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260" w:type="dxa"/>
        <w:tblCellMar>
          <w:top w:w="0" w:type="dxa"/>
          <w:left w:w="0" w:type="dxa"/>
          <w:bottom w:w="0" w:type="dxa"/>
          <w:right w:w="0" w:type="dxa"/>
        </w:tblCellMar>
      </w:tblPr>
      <w:tr>
        <w:trPr>
          <w:trHeight w:val="230"/>
        </w:trPr>
        <w:tc>
          <w:tcPr>
            <w:tcW w:w="1060" w:type="dxa"/>
            <w:vAlign w:val="bottom"/>
          </w:tcPr>
          <w:p>
            <w:pPr>
              <w:spacing w:after="0"/>
              <w:rPr>
                <w:sz w:val="19"/>
                <w:szCs w:val="19"/>
                <w:color w:val="auto"/>
              </w:rPr>
            </w:pPr>
          </w:p>
        </w:tc>
        <w:tc>
          <w:tcPr>
            <w:tcW w:w="8300" w:type="dxa"/>
            <w:vAlign w:val="bottom"/>
          </w:tcPr>
          <w:p>
            <w:pPr>
              <w:jc w:val="center"/>
              <w:ind w:left="219"/>
              <w:spacing w:after="0"/>
              <w:rPr>
                <w:sz w:val="20"/>
                <w:szCs w:val="20"/>
                <w:color w:val="auto"/>
              </w:rPr>
            </w:pPr>
            <w:r>
              <w:rPr>
                <w:rFonts w:ascii="Arial" w:cs="Arial" w:eastAsia="Arial" w:hAnsi="Arial"/>
                <w:sz w:val="20"/>
                <w:szCs w:val="20"/>
                <w:b w:val="1"/>
                <w:bCs w:val="1"/>
                <w:color w:val="auto"/>
                <w:w w:val="98"/>
              </w:rPr>
              <w:t>UNITED STATES</w:t>
            </w:r>
          </w:p>
        </w:tc>
        <w:tc>
          <w:tcPr>
            <w:tcW w:w="0" w:type="dxa"/>
            <w:vAlign w:val="bottom"/>
          </w:tcPr>
          <w:p>
            <w:pPr>
              <w:spacing w:after="0"/>
              <w:rPr>
                <w:sz w:val="1"/>
                <w:szCs w:val="1"/>
                <w:color w:val="auto"/>
              </w:rPr>
            </w:pPr>
          </w:p>
        </w:tc>
      </w:tr>
      <w:tr>
        <w:trPr>
          <w:trHeight w:val="230"/>
        </w:trPr>
        <w:tc>
          <w:tcPr>
            <w:tcW w:w="1060" w:type="dxa"/>
            <w:vAlign w:val="bottom"/>
          </w:tcPr>
          <w:p>
            <w:pPr>
              <w:spacing w:after="0"/>
              <w:rPr>
                <w:sz w:val="19"/>
                <w:szCs w:val="19"/>
                <w:color w:val="auto"/>
              </w:rPr>
            </w:pPr>
          </w:p>
        </w:tc>
        <w:tc>
          <w:tcPr>
            <w:tcW w:w="8300" w:type="dxa"/>
            <w:vAlign w:val="bottom"/>
          </w:tcPr>
          <w:p>
            <w:pPr>
              <w:jc w:val="center"/>
              <w:ind w:left="239"/>
              <w:spacing w:after="0"/>
              <w:rPr>
                <w:sz w:val="20"/>
                <w:szCs w:val="20"/>
                <w:color w:val="auto"/>
              </w:rPr>
            </w:pPr>
            <w:r>
              <w:rPr>
                <w:rFonts w:ascii="Arial" w:cs="Arial" w:eastAsia="Arial" w:hAnsi="Arial"/>
                <w:sz w:val="20"/>
                <w:szCs w:val="20"/>
                <w:b w:val="1"/>
                <w:bCs w:val="1"/>
                <w:color w:val="auto"/>
              </w:rPr>
              <w:t>SECURITIES AND EXCHANGE COMMISSION</w:t>
            </w:r>
          </w:p>
        </w:tc>
        <w:tc>
          <w:tcPr>
            <w:tcW w:w="0" w:type="dxa"/>
            <w:vAlign w:val="bottom"/>
          </w:tcPr>
          <w:p>
            <w:pPr>
              <w:spacing w:after="0"/>
              <w:rPr>
                <w:sz w:val="1"/>
                <w:szCs w:val="1"/>
                <w:color w:val="auto"/>
              </w:rPr>
            </w:pPr>
          </w:p>
        </w:tc>
      </w:tr>
      <w:tr>
        <w:trPr>
          <w:trHeight w:val="162"/>
        </w:trPr>
        <w:tc>
          <w:tcPr>
            <w:tcW w:w="1060" w:type="dxa"/>
            <w:vAlign w:val="bottom"/>
          </w:tcPr>
          <w:p>
            <w:pPr>
              <w:spacing w:after="0"/>
              <w:rPr>
                <w:sz w:val="14"/>
                <w:szCs w:val="14"/>
                <w:color w:val="auto"/>
              </w:rPr>
            </w:pPr>
          </w:p>
        </w:tc>
        <w:tc>
          <w:tcPr>
            <w:tcW w:w="8300" w:type="dxa"/>
            <w:vAlign w:val="bottom"/>
          </w:tcPr>
          <w:p>
            <w:pPr>
              <w:jc w:val="center"/>
              <w:ind w:left="219"/>
              <w:spacing w:after="0"/>
              <w:rPr>
                <w:sz w:val="20"/>
                <w:szCs w:val="20"/>
                <w:color w:val="auto"/>
              </w:rPr>
            </w:pPr>
            <w:r>
              <w:rPr>
                <w:rFonts w:ascii="Arial" w:cs="Arial" w:eastAsia="Arial" w:hAnsi="Arial"/>
                <w:sz w:val="14"/>
                <w:szCs w:val="14"/>
                <w:b w:val="1"/>
                <w:bCs w:val="1"/>
                <w:color w:val="auto"/>
                <w:w w:val="93"/>
              </w:rPr>
              <w:t>Washington, D.C. 20549</w:t>
            </w:r>
          </w:p>
        </w:tc>
        <w:tc>
          <w:tcPr>
            <w:tcW w:w="0" w:type="dxa"/>
            <w:vAlign w:val="bottom"/>
          </w:tcPr>
          <w:p>
            <w:pPr>
              <w:spacing w:after="0"/>
              <w:rPr>
                <w:sz w:val="1"/>
                <w:szCs w:val="1"/>
                <w:color w:val="auto"/>
              </w:rPr>
            </w:pPr>
          </w:p>
        </w:tc>
      </w:tr>
      <w:tr>
        <w:trPr>
          <w:trHeight w:val="256"/>
        </w:trPr>
        <w:tc>
          <w:tcPr>
            <w:tcW w:w="1060" w:type="dxa"/>
            <w:vAlign w:val="bottom"/>
            <w:vMerge w:val="restart"/>
          </w:tcPr>
          <w:p>
            <w:pPr>
              <w:spacing w:after="0" w:line="141" w:lineRule="exact"/>
              <w:rPr>
                <w:sz w:val="20"/>
                <w:szCs w:val="20"/>
                <w:color w:val="auto"/>
              </w:rPr>
            </w:pPr>
            <w:r>
              <w:rPr>
                <w:rFonts w:ascii="MS PGothic" w:cs="MS PGothic" w:eastAsia="MS PGothic" w:hAnsi="MS PGothic"/>
                <w:sz w:val="14"/>
                <w:szCs w:val="14"/>
                <w:color w:val="auto"/>
              </w:rPr>
              <w:t>☒</w:t>
            </w:r>
          </w:p>
        </w:tc>
        <w:tc>
          <w:tcPr>
            <w:tcW w:w="8300" w:type="dxa"/>
            <w:vAlign w:val="bottom"/>
          </w:tcPr>
          <w:p>
            <w:pPr>
              <w:jc w:val="center"/>
              <w:ind w:left="219"/>
              <w:spacing w:after="0"/>
              <w:rPr>
                <w:sz w:val="20"/>
                <w:szCs w:val="20"/>
                <w:color w:val="auto"/>
              </w:rPr>
            </w:pPr>
            <w:r>
              <w:rPr>
                <w:rFonts w:ascii="Arial" w:cs="Arial" w:eastAsia="Arial" w:hAnsi="Arial"/>
                <w:sz w:val="20"/>
                <w:szCs w:val="20"/>
                <w:b w:val="1"/>
                <w:bCs w:val="1"/>
                <w:color w:val="auto"/>
                <w:w w:val="99"/>
              </w:rPr>
              <w:t>FORM 10-Q</w:t>
            </w:r>
          </w:p>
        </w:tc>
        <w:tc>
          <w:tcPr>
            <w:tcW w:w="0" w:type="dxa"/>
            <w:vAlign w:val="bottom"/>
          </w:tcPr>
          <w:p>
            <w:pPr>
              <w:spacing w:after="0"/>
              <w:rPr>
                <w:sz w:val="1"/>
                <w:szCs w:val="1"/>
                <w:color w:val="auto"/>
              </w:rPr>
            </w:pPr>
          </w:p>
        </w:tc>
      </w:tr>
      <w:tr>
        <w:trPr>
          <w:trHeight w:val="216"/>
        </w:trPr>
        <w:tc>
          <w:tcPr>
            <w:tcW w:w="1060" w:type="dxa"/>
            <w:vAlign w:val="bottom"/>
            <w:vMerge w:val="continue"/>
          </w:tcPr>
          <w:p>
            <w:pPr>
              <w:spacing w:after="0"/>
              <w:rPr>
                <w:sz w:val="18"/>
                <w:szCs w:val="18"/>
                <w:color w:val="auto"/>
              </w:rPr>
            </w:pPr>
          </w:p>
        </w:tc>
        <w:tc>
          <w:tcPr>
            <w:tcW w:w="8300" w:type="dxa"/>
            <w:vAlign w:val="bottom"/>
          </w:tcPr>
          <w:p>
            <w:pPr>
              <w:ind w:left="960"/>
              <w:spacing w:after="0"/>
              <w:rPr>
                <w:sz w:val="20"/>
                <w:szCs w:val="20"/>
                <w:color w:val="auto"/>
              </w:rPr>
            </w:pPr>
            <w:r>
              <w:rPr>
                <w:rFonts w:ascii="Arial" w:cs="Arial" w:eastAsia="Arial" w:hAnsi="Arial"/>
                <w:sz w:val="14"/>
                <w:szCs w:val="14"/>
                <w:b w:val="1"/>
                <w:bCs w:val="1"/>
                <w:color w:val="auto"/>
              </w:rPr>
              <w:t>QUARTERLY REPORT PURSUANT TO SECTION 13 OR 15(D) OF THE SECURITIES EXCHANGE ACT OF 1934</w:t>
            </w:r>
          </w:p>
        </w:tc>
        <w:tc>
          <w:tcPr>
            <w:tcW w:w="0" w:type="dxa"/>
            <w:vAlign w:val="bottom"/>
          </w:tcPr>
          <w:p>
            <w:pPr>
              <w:spacing w:after="0"/>
              <w:rPr>
                <w:sz w:val="1"/>
                <w:szCs w:val="1"/>
                <w:color w:val="auto"/>
              </w:rPr>
            </w:pPr>
          </w:p>
        </w:tc>
      </w:tr>
      <w:tr>
        <w:trPr>
          <w:trHeight w:val="243"/>
        </w:trPr>
        <w:tc>
          <w:tcPr>
            <w:tcW w:w="1060" w:type="dxa"/>
            <w:vAlign w:val="bottom"/>
          </w:tcPr>
          <w:p>
            <w:pPr>
              <w:spacing w:after="0"/>
              <w:rPr>
                <w:sz w:val="21"/>
                <w:szCs w:val="21"/>
                <w:color w:val="auto"/>
              </w:rPr>
            </w:pPr>
          </w:p>
        </w:tc>
        <w:tc>
          <w:tcPr>
            <w:tcW w:w="8300" w:type="dxa"/>
            <w:vAlign w:val="bottom"/>
          </w:tcPr>
          <w:p>
            <w:pPr>
              <w:jc w:val="center"/>
              <w:ind w:left="239"/>
              <w:spacing w:after="0"/>
              <w:rPr>
                <w:sz w:val="20"/>
                <w:szCs w:val="20"/>
                <w:color w:val="auto"/>
              </w:rPr>
            </w:pPr>
            <w:r>
              <w:rPr>
                <w:rFonts w:ascii="Arial" w:cs="Arial" w:eastAsia="Arial" w:hAnsi="Arial"/>
                <w:sz w:val="14"/>
                <w:szCs w:val="14"/>
                <w:b w:val="1"/>
                <w:bCs w:val="1"/>
                <w:color w:val="auto"/>
                <w:w w:val="93"/>
              </w:rPr>
              <w:t>For the quarterly period ended June 30, 2022</w:t>
            </w:r>
          </w:p>
        </w:tc>
        <w:tc>
          <w:tcPr>
            <w:tcW w:w="0" w:type="dxa"/>
            <w:vAlign w:val="bottom"/>
          </w:tcPr>
          <w:p>
            <w:pPr>
              <w:spacing w:after="0"/>
              <w:rPr>
                <w:sz w:val="1"/>
                <w:szCs w:val="1"/>
                <w:color w:val="auto"/>
              </w:rPr>
            </w:pPr>
          </w:p>
        </w:tc>
      </w:tr>
      <w:tr>
        <w:trPr>
          <w:trHeight w:val="186"/>
        </w:trPr>
        <w:tc>
          <w:tcPr>
            <w:tcW w:w="1060" w:type="dxa"/>
            <w:vAlign w:val="bottom"/>
            <w:vMerge w:val="restart"/>
          </w:tcPr>
          <w:p>
            <w:pPr>
              <w:spacing w:after="0" w:line="141" w:lineRule="exact"/>
              <w:rPr>
                <w:sz w:val="20"/>
                <w:szCs w:val="20"/>
                <w:color w:val="auto"/>
              </w:rPr>
            </w:pPr>
            <w:r>
              <w:rPr>
                <w:rFonts w:ascii="MS PGothic" w:cs="MS PGothic" w:eastAsia="MS PGothic" w:hAnsi="MS PGothic"/>
                <w:sz w:val="14"/>
                <w:szCs w:val="14"/>
                <w:color w:val="auto"/>
              </w:rPr>
              <w:t>☐</w:t>
            </w:r>
          </w:p>
        </w:tc>
        <w:tc>
          <w:tcPr>
            <w:tcW w:w="8300" w:type="dxa"/>
            <w:vAlign w:val="bottom"/>
          </w:tcPr>
          <w:p>
            <w:pPr>
              <w:jc w:val="center"/>
              <w:ind w:left="239"/>
              <w:spacing w:after="0"/>
              <w:rPr>
                <w:sz w:val="20"/>
                <w:szCs w:val="20"/>
                <w:color w:val="auto"/>
              </w:rPr>
            </w:pPr>
            <w:r>
              <w:rPr>
                <w:rFonts w:ascii="Arial" w:cs="Arial" w:eastAsia="Arial" w:hAnsi="Arial"/>
                <w:sz w:val="14"/>
                <w:szCs w:val="14"/>
                <w:b w:val="1"/>
                <w:bCs w:val="1"/>
                <w:color w:val="auto"/>
              </w:rPr>
              <w:t>OR</w:t>
            </w:r>
          </w:p>
        </w:tc>
        <w:tc>
          <w:tcPr>
            <w:tcW w:w="0" w:type="dxa"/>
            <w:vAlign w:val="bottom"/>
          </w:tcPr>
          <w:p>
            <w:pPr>
              <w:spacing w:after="0"/>
              <w:rPr>
                <w:sz w:val="1"/>
                <w:szCs w:val="1"/>
                <w:color w:val="auto"/>
              </w:rPr>
            </w:pPr>
          </w:p>
        </w:tc>
      </w:tr>
      <w:tr>
        <w:trPr>
          <w:trHeight w:val="219"/>
        </w:trPr>
        <w:tc>
          <w:tcPr>
            <w:tcW w:w="1060" w:type="dxa"/>
            <w:vAlign w:val="bottom"/>
            <w:vMerge w:val="continue"/>
          </w:tcPr>
          <w:p>
            <w:pPr>
              <w:spacing w:after="0"/>
              <w:rPr>
                <w:sz w:val="19"/>
                <w:szCs w:val="19"/>
                <w:color w:val="auto"/>
              </w:rPr>
            </w:pPr>
          </w:p>
        </w:tc>
        <w:tc>
          <w:tcPr>
            <w:tcW w:w="8300" w:type="dxa"/>
            <w:vAlign w:val="bottom"/>
          </w:tcPr>
          <w:p>
            <w:pPr>
              <w:ind w:left="940"/>
              <w:spacing w:after="0"/>
              <w:rPr>
                <w:sz w:val="20"/>
                <w:szCs w:val="20"/>
                <w:color w:val="auto"/>
              </w:rPr>
            </w:pPr>
            <w:r>
              <w:rPr>
                <w:rFonts w:ascii="Arial" w:cs="Arial" w:eastAsia="Arial" w:hAnsi="Arial"/>
                <w:sz w:val="14"/>
                <w:szCs w:val="14"/>
                <w:b w:val="1"/>
                <w:bCs w:val="1"/>
                <w:color w:val="auto"/>
              </w:rPr>
              <w:t>TRANSITION REPORT PURSUANT TO SECTION 13 OR 15(D) OF THE SECURITIES EXCHANGE ACT OF 1934</w:t>
            </w:r>
          </w:p>
        </w:tc>
        <w:tc>
          <w:tcPr>
            <w:tcW w:w="0" w:type="dxa"/>
            <w:vAlign w:val="bottom"/>
          </w:tcPr>
          <w:p>
            <w:pPr>
              <w:spacing w:after="0"/>
              <w:rPr>
                <w:sz w:val="1"/>
                <w:szCs w:val="1"/>
                <w:color w:val="auto"/>
              </w:rPr>
            </w:pPr>
          </w:p>
        </w:tc>
      </w:tr>
      <w:tr>
        <w:trPr>
          <w:trHeight w:val="267"/>
        </w:trPr>
        <w:tc>
          <w:tcPr>
            <w:tcW w:w="1060" w:type="dxa"/>
            <w:vAlign w:val="bottom"/>
          </w:tcPr>
          <w:p>
            <w:pPr>
              <w:spacing w:after="0"/>
              <w:rPr>
                <w:sz w:val="23"/>
                <w:szCs w:val="23"/>
                <w:color w:val="auto"/>
              </w:rPr>
            </w:pPr>
          </w:p>
        </w:tc>
        <w:tc>
          <w:tcPr>
            <w:tcW w:w="8300" w:type="dxa"/>
            <w:vAlign w:val="bottom"/>
          </w:tcPr>
          <w:p>
            <w:pPr>
              <w:jc w:val="center"/>
              <w:ind w:left="219"/>
              <w:spacing w:after="0"/>
              <w:rPr>
                <w:sz w:val="20"/>
                <w:szCs w:val="20"/>
                <w:color w:val="auto"/>
              </w:rPr>
            </w:pPr>
            <w:r>
              <w:rPr>
                <w:rFonts w:ascii="Arial" w:cs="Arial" w:eastAsia="Arial" w:hAnsi="Arial"/>
                <w:sz w:val="14"/>
                <w:szCs w:val="14"/>
                <w:b w:val="1"/>
                <w:bCs w:val="1"/>
                <w:color w:val="auto"/>
                <w:w w:val="92"/>
              </w:rPr>
              <w:t>Commission file number 001-34057</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276860</wp:posOffset>
            </wp:positionH>
            <wp:positionV relativeFrom="page">
              <wp:posOffset>517525</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483235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2756535</wp:posOffset>
            </wp:positionH>
            <wp:positionV relativeFrom="paragraph">
              <wp:posOffset>102235</wp:posOffset>
            </wp:positionV>
            <wp:extent cx="2040255" cy="6172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040255" cy="61722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4"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AGNC INVESTMENT CORP.</w:t>
      </w:r>
    </w:p>
    <w:p>
      <w:pPr>
        <w:sectPr>
          <w:pgSz w:w="11900" w:h="16838" w:orient="portrait"/>
          <w:cols w:equalWidth="0" w:num="1">
            <w:col w:w="11240"/>
          </w:cols>
          <w:pgMar w:left="320" w:top="899" w:right="339" w:bottom="1440" w:gutter="0" w:footer="0" w:header="0"/>
        </w:sectPr>
      </w:pPr>
    </w:p>
    <w:p>
      <w:pPr>
        <w:spacing w:after="0" w:line="5"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4040" w:type="dxa"/>
            <w:vAlign w:val="bottom"/>
          </w:tcPr>
          <w:p>
            <w:pPr>
              <w:spacing w:after="0"/>
              <w:rPr>
                <w:sz w:val="14"/>
                <w:szCs w:val="14"/>
                <w:color w:val="auto"/>
              </w:rPr>
            </w:pPr>
          </w:p>
        </w:tc>
        <w:tc>
          <w:tcPr>
            <w:tcW w:w="3400" w:type="dxa"/>
            <w:vAlign w:val="bottom"/>
            <w:gridSpan w:val="4"/>
          </w:tcPr>
          <w:p>
            <w:pPr>
              <w:jc w:val="center"/>
              <w:ind w:right="220"/>
              <w:spacing w:after="0"/>
              <w:rPr>
                <w:sz w:val="20"/>
                <w:szCs w:val="20"/>
                <w:color w:val="auto"/>
              </w:rPr>
            </w:pPr>
            <w:r>
              <w:rPr>
                <w:rFonts w:ascii="Arial" w:cs="Arial" w:eastAsia="Arial" w:hAnsi="Arial"/>
                <w:sz w:val="14"/>
                <w:szCs w:val="14"/>
                <w:b w:val="1"/>
                <w:bCs w:val="1"/>
                <w:color w:val="auto"/>
                <w:w w:val="92"/>
              </w:rPr>
              <w:t>(Exact name of registrant as specified in its charter)</w:t>
            </w:r>
          </w:p>
        </w:tc>
        <w:tc>
          <w:tcPr>
            <w:tcW w:w="0" w:type="dxa"/>
            <w:vAlign w:val="bottom"/>
          </w:tcPr>
          <w:p>
            <w:pPr>
              <w:spacing w:after="0"/>
              <w:rPr>
                <w:sz w:val="1"/>
                <w:szCs w:val="1"/>
                <w:color w:val="auto"/>
              </w:rPr>
            </w:pPr>
          </w:p>
        </w:tc>
      </w:tr>
      <w:tr>
        <w:trPr>
          <w:trHeight w:val="182"/>
        </w:trPr>
        <w:tc>
          <w:tcPr>
            <w:tcW w:w="7440" w:type="dxa"/>
            <w:vAlign w:val="bottom"/>
            <w:gridSpan w:val="5"/>
          </w:tcPr>
          <w:p>
            <w:pPr>
              <w:jc w:val="right"/>
              <w:ind w:right="20"/>
              <w:spacing w:after="0"/>
              <w:rPr>
                <w:sz w:val="20"/>
                <w:szCs w:val="20"/>
                <w:color w:val="auto"/>
              </w:rPr>
            </w:pPr>
            <w:r>
              <w:rPr>
                <w:rFonts w:ascii="Arial" w:cs="Arial" w:eastAsia="Arial" w:hAnsi="Arial"/>
                <w:sz w:val="14"/>
                <w:szCs w:val="14"/>
                <w:color w:val="auto"/>
              </w:rPr>
              <w:t>__________________________________________________</w:t>
            </w:r>
          </w:p>
        </w:tc>
        <w:tc>
          <w:tcPr>
            <w:tcW w:w="0" w:type="dxa"/>
            <w:vAlign w:val="bottom"/>
          </w:tcPr>
          <w:p>
            <w:pPr>
              <w:spacing w:after="0"/>
              <w:rPr>
                <w:sz w:val="1"/>
                <w:szCs w:val="1"/>
                <w:color w:val="auto"/>
              </w:rPr>
            </w:pPr>
          </w:p>
        </w:tc>
      </w:tr>
      <w:tr>
        <w:trPr>
          <w:trHeight w:val="203"/>
        </w:trPr>
        <w:tc>
          <w:tcPr>
            <w:tcW w:w="4040" w:type="dxa"/>
            <w:vAlign w:val="bottom"/>
          </w:tcPr>
          <w:p>
            <w:pPr>
              <w:jc w:val="center"/>
              <w:ind w:left="1308"/>
              <w:spacing w:after="0"/>
              <w:rPr>
                <w:sz w:val="20"/>
                <w:szCs w:val="20"/>
                <w:color w:val="auto"/>
              </w:rPr>
            </w:pPr>
            <w:r>
              <w:rPr>
                <w:rFonts w:ascii="Arial" w:cs="Arial" w:eastAsia="Arial" w:hAnsi="Arial"/>
                <w:sz w:val="14"/>
                <w:szCs w:val="14"/>
                <w:b w:val="1"/>
                <w:bCs w:val="1"/>
                <w:color w:val="auto"/>
                <w:w w:val="94"/>
              </w:rPr>
              <w:t>Delaware</w:t>
            </w:r>
          </w:p>
        </w:tc>
        <w:tc>
          <w:tcPr>
            <w:tcW w:w="15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47"/>
        </w:trPr>
        <w:tc>
          <w:tcPr>
            <w:tcW w:w="4040" w:type="dxa"/>
            <w:vAlign w:val="bottom"/>
          </w:tcPr>
          <w:p>
            <w:pPr>
              <w:jc w:val="center"/>
              <w:ind w:left="1308"/>
              <w:spacing w:after="0" w:line="147" w:lineRule="exact"/>
              <w:rPr>
                <w:sz w:val="20"/>
                <w:szCs w:val="20"/>
                <w:color w:val="auto"/>
              </w:rPr>
            </w:pPr>
            <w:r>
              <w:rPr>
                <w:rFonts w:ascii="Arial" w:cs="Arial" w:eastAsia="Arial" w:hAnsi="Arial"/>
                <w:sz w:val="14"/>
                <w:szCs w:val="14"/>
                <w:b w:val="1"/>
                <w:bCs w:val="1"/>
                <w:color w:val="auto"/>
                <w:w w:val="93"/>
              </w:rPr>
              <w:t>(State or Other Jurisdiction of</w:t>
            </w:r>
          </w:p>
        </w:tc>
        <w:tc>
          <w:tcPr>
            <w:tcW w:w="15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6"/>
        </w:trPr>
        <w:tc>
          <w:tcPr>
            <w:tcW w:w="4040" w:type="dxa"/>
            <w:vAlign w:val="bottom"/>
          </w:tcPr>
          <w:p>
            <w:pPr>
              <w:jc w:val="center"/>
              <w:ind w:left="1308"/>
              <w:spacing w:after="0"/>
              <w:rPr>
                <w:sz w:val="20"/>
                <w:szCs w:val="20"/>
                <w:color w:val="auto"/>
              </w:rPr>
            </w:pPr>
            <w:r>
              <w:rPr>
                <w:rFonts w:ascii="Arial" w:cs="Arial" w:eastAsia="Arial" w:hAnsi="Arial"/>
                <w:sz w:val="14"/>
                <w:szCs w:val="14"/>
                <w:b w:val="1"/>
                <w:bCs w:val="1"/>
                <w:color w:val="auto"/>
                <w:w w:val="95"/>
              </w:rPr>
              <w:t>Incorporation or Organization)</w:t>
            </w:r>
          </w:p>
        </w:tc>
        <w:tc>
          <w:tcPr>
            <w:tcW w:w="15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5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4040" w:type="dxa"/>
            <w:vAlign w:val="bottom"/>
          </w:tcPr>
          <w:p>
            <w:pPr>
              <w:spacing w:after="0"/>
              <w:rPr>
                <w:sz w:val="21"/>
                <w:szCs w:val="21"/>
                <w:color w:val="auto"/>
              </w:rPr>
            </w:pPr>
          </w:p>
        </w:tc>
        <w:tc>
          <w:tcPr>
            <w:tcW w:w="3400" w:type="dxa"/>
            <w:vAlign w:val="bottom"/>
            <w:gridSpan w:val="4"/>
          </w:tcPr>
          <w:p>
            <w:pPr>
              <w:jc w:val="center"/>
              <w:ind w:right="240"/>
              <w:spacing w:after="0"/>
              <w:rPr>
                <w:sz w:val="20"/>
                <w:szCs w:val="20"/>
                <w:color w:val="auto"/>
              </w:rPr>
            </w:pPr>
            <w:r>
              <w:rPr>
                <w:rFonts w:ascii="Arial" w:cs="Arial" w:eastAsia="Arial" w:hAnsi="Arial"/>
                <w:sz w:val="14"/>
                <w:szCs w:val="14"/>
                <w:b w:val="1"/>
                <w:bCs w:val="1"/>
                <w:color w:val="auto"/>
                <w:w w:val="93"/>
              </w:rPr>
              <w:t>2 Bethesda Metro Center, 12th Floor</w:t>
            </w:r>
          </w:p>
        </w:tc>
        <w:tc>
          <w:tcPr>
            <w:tcW w:w="0" w:type="dxa"/>
            <w:vAlign w:val="bottom"/>
          </w:tcPr>
          <w:p>
            <w:pPr>
              <w:spacing w:after="0"/>
              <w:rPr>
                <w:sz w:val="1"/>
                <w:szCs w:val="1"/>
                <w:color w:val="auto"/>
              </w:rPr>
            </w:pPr>
          </w:p>
        </w:tc>
      </w:tr>
      <w:tr>
        <w:trPr>
          <w:trHeight w:val="162"/>
        </w:trPr>
        <w:tc>
          <w:tcPr>
            <w:tcW w:w="4040" w:type="dxa"/>
            <w:vAlign w:val="bottom"/>
          </w:tcPr>
          <w:p>
            <w:pPr>
              <w:spacing w:after="0"/>
              <w:rPr>
                <w:sz w:val="14"/>
                <w:szCs w:val="14"/>
                <w:color w:val="auto"/>
              </w:rPr>
            </w:pPr>
          </w:p>
        </w:tc>
        <w:tc>
          <w:tcPr>
            <w:tcW w:w="3400" w:type="dxa"/>
            <w:vAlign w:val="bottom"/>
            <w:gridSpan w:val="4"/>
          </w:tcPr>
          <w:p>
            <w:pPr>
              <w:jc w:val="center"/>
              <w:ind w:right="240"/>
              <w:spacing w:after="0"/>
              <w:rPr>
                <w:sz w:val="20"/>
                <w:szCs w:val="20"/>
                <w:color w:val="auto"/>
              </w:rPr>
            </w:pPr>
            <w:r>
              <w:rPr>
                <w:rFonts w:ascii="Arial" w:cs="Arial" w:eastAsia="Arial" w:hAnsi="Arial"/>
                <w:sz w:val="14"/>
                <w:szCs w:val="14"/>
                <w:b w:val="1"/>
                <w:bCs w:val="1"/>
                <w:color w:val="auto"/>
                <w:w w:val="93"/>
              </w:rPr>
              <w:t>Bethesda, Maryland 20814</w:t>
            </w:r>
          </w:p>
        </w:tc>
        <w:tc>
          <w:tcPr>
            <w:tcW w:w="0" w:type="dxa"/>
            <w:vAlign w:val="bottom"/>
          </w:tcPr>
          <w:p>
            <w:pPr>
              <w:spacing w:after="0"/>
              <w:rPr>
                <w:sz w:val="1"/>
                <w:szCs w:val="1"/>
                <w:color w:val="auto"/>
              </w:rPr>
            </w:pPr>
          </w:p>
        </w:tc>
      </w:tr>
      <w:tr>
        <w:trPr>
          <w:trHeight w:val="162"/>
        </w:trPr>
        <w:tc>
          <w:tcPr>
            <w:tcW w:w="4040" w:type="dxa"/>
            <w:vAlign w:val="bottom"/>
          </w:tcPr>
          <w:p>
            <w:pPr>
              <w:spacing w:after="0"/>
              <w:rPr>
                <w:sz w:val="14"/>
                <w:szCs w:val="14"/>
                <w:color w:val="auto"/>
              </w:rPr>
            </w:pPr>
          </w:p>
        </w:tc>
        <w:tc>
          <w:tcPr>
            <w:tcW w:w="3400" w:type="dxa"/>
            <w:vAlign w:val="bottom"/>
            <w:gridSpan w:val="4"/>
          </w:tcPr>
          <w:p>
            <w:pPr>
              <w:jc w:val="center"/>
              <w:ind w:right="220"/>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0" w:type="dxa"/>
            <w:vAlign w:val="bottom"/>
          </w:tcPr>
          <w:p>
            <w:pPr>
              <w:spacing w:after="0"/>
              <w:rPr>
                <w:sz w:val="1"/>
                <w:szCs w:val="1"/>
                <w:color w:val="auto"/>
              </w:rPr>
            </w:pPr>
          </w:p>
        </w:tc>
      </w:tr>
      <w:tr>
        <w:trPr>
          <w:trHeight w:val="162"/>
        </w:trPr>
        <w:tc>
          <w:tcPr>
            <w:tcW w:w="4040" w:type="dxa"/>
            <w:vAlign w:val="bottom"/>
          </w:tcPr>
          <w:p>
            <w:pPr>
              <w:spacing w:after="0"/>
              <w:rPr>
                <w:sz w:val="14"/>
                <w:szCs w:val="14"/>
                <w:color w:val="auto"/>
              </w:rPr>
            </w:pPr>
          </w:p>
        </w:tc>
        <w:tc>
          <w:tcPr>
            <w:tcW w:w="3240" w:type="dxa"/>
            <w:vAlign w:val="bottom"/>
            <w:gridSpan w:val="3"/>
          </w:tcPr>
          <w:p>
            <w:pPr>
              <w:jc w:val="right"/>
              <w:ind w:right="1128"/>
              <w:spacing w:after="0"/>
              <w:rPr>
                <w:sz w:val="20"/>
                <w:szCs w:val="20"/>
                <w:color w:val="auto"/>
              </w:rPr>
            </w:pPr>
            <w:r>
              <w:rPr>
                <w:rFonts w:ascii="Arial" w:cs="Arial" w:eastAsia="Arial" w:hAnsi="Arial"/>
                <w:sz w:val="14"/>
                <w:szCs w:val="14"/>
                <w:b w:val="1"/>
                <w:bCs w:val="1"/>
                <w:color w:val="auto"/>
              </w:rPr>
              <w:t>(301) 968-9315</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6"/>
        </w:trPr>
        <w:tc>
          <w:tcPr>
            <w:tcW w:w="7440" w:type="dxa"/>
            <w:vAlign w:val="bottom"/>
            <w:gridSpan w:val="5"/>
          </w:tcPr>
          <w:p>
            <w:pPr>
              <w:jc w:val="center"/>
              <w:ind w:left="3728"/>
              <w:spacing w:after="0"/>
              <w:rPr>
                <w:sz w:val="20"/>
                <w:szCs w:val="20"/>
                <w:color w:val="auto"/>
              </w:rPr>
            </w:pPr>
            <w:r>
              <w:rPr>
                <w:rFonts w:ascii="Arial" w:cs="Arial" w:eastAsia="Arial" w:hAnsi="Arial"/>
                <w:sz w:val="14"/>
                <w:szCs w:val="14"/>
                <w:b w:val="1"/>
                <w:bCs w:val="1"/>
                <w:color w:val="auto"/>
                <w:w w:val="91"/>
              </w:rPr>
              <w:t>(Registrant’s telephone number, including area code)</w:t>
            </w:r>
          </w:p>
        </w:tc>
        <w:tc>
          <w:tcPr>
            <w:tcW w:w="0" w:type="dxa"/>
            <w:vAlign w:val="bottom"/>
          </w:tcPr>
          <w:p>
            <w:pPr>
              <w:spacing w:after="0"/>
              <w:rPr>
                <w:sz w:val="1"/>
                <w:szCs w:val="1"/>
                <w:color w:val="auto"/>
              </w:rPr>
            </w:pPr>
          </w:p>
        </w:tc>
      </w:tr>
      <w:tr>
        <w:trPr>
          <w:trHeight w:val="162"/>
        </w:trPr>
        <w:tc>
          <w:tcPr>
            <w:tcW w:w="7440" w:type="dxa"/>
            <w:vAlign w:val="bottom"/>
            <w:gridSpan w:val="5"/>
          </w:tcPr>
          <w:p>
            <w:pPr>
              <w:jc w:val="center"/>
              <w:ind w:left="3768"/>
              <w:spacing w:after="0"/>
              <w:rPr>
                <w:sz w:val="20"/>
                <w:szCs w:val="20"/>
                <w:color w:val="auto"/>
              </w:rPr>
            </w:pPr>
            <w:r>
              <w:rPr>
                <w:rFonts w:ascii="Arial" w:cs="Arial" w:eastAsia="Arial" w:hAnsi="Arial"/>
                <w:sz w:val="14"/>
                <w:szCs w:val="14"/>
                <w:color w:val="auto"/>
                <w:w w:val="92"/>
              </w:rPr>
              <w:t>__________________________________________________</w:t>
            </w:r>
          </w:p>
        </w:tc>
        <w:tc>
          <w:tcPr>
            <w:tcW w:w="0" w:type="dxa"/>
            <w:vAlign w:val="bottom"/>
          </w:tcPr>
          <w:p>
            <w:pPr>
              <w:spacing w:after="0"/>
              <w:rPr>
                <w:sz w:val="1"/>
                <w:szCs w:val="1"/>
                <w:color w:val="auto"/>
              </w:rPr>
            </w:pPr>
          </w:p>
        </w:tc>
      </w:tr>
      <w:tr>
        <w:trPr>
          <w:trHeight w:val="182"/>
        </w:trPr>
        <w:tc>
          <w:tcPr>
            <w:tcW w:w="4040" w:type="dxa"/>
            <w:vAlign w:val="bottom"/>
          </w:tcPr>
          <w:p>
            <w:pPr>
              <w:spacing w:after="0"/>
              <w:rPr>
                <w:sz w:val="20"/>
                <w:szCs w:val="20"/>
                <w:color w:val="auto"/>
              </w:rPr>
            </w:pPr>
            <w:r>
              <w:rPr>
                <w:rFonts w:ascii="Arial" w:cs="Arial" w:eastAsia="Arial" w:hAnsi="Arial"/>
                <w:sz w:val="14"/>
                <w:szCs w:val="14"/>
                <w:color w:val="auto"/>
              </w:rPr>
              <w:t>Securities registered pursuant to Section 12(b) of the Act:</w:t>
            </w:r>
          </w:p>
        </w:tc>
        <w:tc>
          <w:tcPr>
            <w:tcW w:w="15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9"/>
        </w:trPr>
        <w:tc>
          <w:tcPr>
            <w:tcW w:w="4040" w:type="dxa"/>
            <w:vAlign w:val="bottom"/>
          </w:tcPr>
          <w:p>
            <w:pPr>
              <w:jc w:val="center"/>
              <w:ind w:left="1528"/>
              <w:spacing w:after="0"/>
              <w:rPr>
                <w:sz w:val="20"/>
                <w:szCs w:val="20"/>
                <w:color w:val="auto"/>
              </w:rPr>
            </w:pPr>
            <w:r>
              <w:rPr>
                <w:rFonts w:ascii="Arial" w:cs="Arial" w:eastAsia="Arial" w:hAnsi="Arial"/>
                <w:sz w:val="14"/>
                <w:szCs w:val="14"/>
                <w:b w:val="1"/>
                <w:bCs w:val="1"/>
                <w:color w:val="auto"/>
                <w:w w:val="93"/>
              </w:rPr>
              <w:t>Title of Each Class</w:t>
            </w:r>
          </w:p>
        </w:tc>
        <w:tc>
          <w:tcPr>
            <w:tcW w:w="1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70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2"/>
              </w:rPr>
              <w:t>Trading Symbol(s)</w:t>
            </w:r>
          </w:p>
        </w:tc>
        <w:tc>
          <w:tcPr>
            <w:tcW w:w="0" w:type="dxa"/>
            <w:vAlign w:val="bottom"/>
          </w:tcPr>
          <w:p>
            <w:pPr>
              <w:spacing w:after="0"/>
              <w:rPr>
                <w:sz w:val="1"/>
                <w:szCs w:val="1"/>
                <w:color w:val="auto"/>
              </w:rPr>
            </w:pPr>
          </w:p>
        </w:tc>
      </w:tr>
      <w:tr>
        <w:trPr>
          <w:trHeight w:val="182"/>
        </w:trPr>
        <w:tc>
          <w:tcPr>
            <w:tcW w:w="4040" w:type="dxa"/>
            <w:vAlign w:val="bottom"/>
            <w:tcBorders>
              <w:top w:val="single" w:sz="8" w:color="auto"/>
            </w:tcBorders>
          </w:tcPr>
          <w:p>
            <w:pPr>
              <w:jc w:val="center"/>
              <w:ind w:left="1508"/>
              <w:spacing w:after="0"/>
              <w:rPr>
                <w:sz w:val="20"/>
                <w:szCs w:val="20"/>
                <w:color w:val="auto"/>
              </w:rPr>
            </w:pPr>
            <w:r>
              <w:rPr>
                <w:rFonts w:ascii="Arial" w:cs="Arial" w:eastAsia="Arial" w:hAnsi="Arial"/>
                <w:sz w:val="14"/>
                <w:szCs w:val="14"/>
                <w:color w:val="auto"/>
                <w:w w:val="91"/>
              </w:rPr>
              <w:t>Common Stock, par value $0.01 per share</w:t>
            </w:r>
          </w:p>
        </w:tc>
        <w:tc>
          <w:tcPr>
            <w:tcW w:w="1580" w:type="dxa"/>
            <w:vAlign w:val="bottom"/>
            <w:tcBorders>
              <w:top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540" w:type="dxa"/>
            <w:vAlign w:val="bottom"/>
            <w:tcBorders>
              <w:top w:val="single" w:sz="8" w:color="auto"/>
            </w:tcBorders>
          </w:tcPr>
          <w:p>
            <w:pPr>
              <w:jc w:val="center"/>
              <w:spacing w:after="0"/>
              <w:rPr>
                <w:sz w:val="20"/>
                <w:szCs w:val="20"/>
                <w:color w:val="auto"/>
              </w:rPr>
            </w:pPr>
            <w:r>
              <w:rPr>
                <w:rFonts w:ascii="Arial" w:cs="Arial" w:eastAsia="Arial" w:hAnsi="Arial"/>
                <w:sz w:val="14"/>
                <w:szCs w:val="14"/>
                <w:color w:val="auto"/>
              </w:rPr>
              <w:t>AGNC</w:t>
            </w: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5740" w:type="dxa"/>
            <w:vAlign w:val="bottom"/>
            <w:gridSpan w:val="3"/>
          </w:tcPr>
          <w:p>
            <w:pPr>
              <w:jc w:val="center"/>
              <w:ind w:right="100"/>
              <w:spacing w:after="0" w:line="142" w:lineRule="exact"/>
              <w:rPr>
                <w:sz w:val="20"/>
                <w:szCs w:val="20"/>
                <w:color w:val="auto"/>
              </w:rPr>
            </w:pPr>
            <w:r>
              <w:rPr>
                <w:rFonts w:ascii="Arial" w:cs="Arial" w:eastAsia="Arial" w:hAnsi="Arial"/>
                <w:sz w:val="14"/>
                <w:szCs w:val="14"/>
                <w:color w:val="auto"/>
                <w:w w:val="92"/>
              </w:rPr>
              <w:t>Depositary shares of 7.000% Series C Fixed-to-Floating Rate Cumulative Redeemable Preferred</w:t>
            </w:r>
          </w:p>
        </w:tc>
        <w:tc>
          <w:tcPr>
            <w:tcW w:w="1700" w:type="dxa"/>
            <w:vAlign w:val="bottom"/>
            <w:gridSpan w:val="2"/>
            <w:vMerge w:val="restart"/>
          </w:tcPr>
          <w:p>
            <w:pPr>
              <w:jc w:val="center"/>
              <w:ind w:right="160"/>
              <w:spacing w:after="0"/>
              <w:rPr>
                <w:sz w:val="20"/>
                <w:szCs w:val="20"/>
                <w:color w:val="auto"/>
              </w:rPr>
            </w:pPr>
            <w:r>
              <w:rPr>
                <w:rFonts w:ascii="Arial" w:cs="Arial" w:eastAsia="Arial" w:hAnsi="Arial"/>
                <w:sz w:val="14"/>
                <w:szCs w:val="14"/>
                <w:color w:val="auto"/>
                <w:w w:val="98"/>
              </w:rPr>
              <w:t>AGNCN</w:t>
            </w:r>
          </w:p>
        </w:tc>
        <w:tc>
          <w:tcPr>
            <w:tcW w:w="0" w:type="dxa"/>
            <w:vAlign w:val="bottom"/>
          </w:tcPr>
          <w:p>
            <w:pPr>
              <w:spacing w:after="0"/>
              <w:rPr>
                <w:sz w:val="1"/>
                <w:szCs w:val="1"/>
                <w:color w:val="auto"/>
              </w:rPr>
            </w:pPr>
          </w:p>
        </w:tc>
      </w:tr>
      <w:tr>
        <w:trPr>
          <w:trHeight w:val="110"/>
        </w:trPr>
        <w:tc>
          <w:tcPr>
            <w:tcW w:w="4040" w:type="dxa"/>
            <w:vAlign w:val="bottom"/>
            <w:vMerge w:val="restart"/>
          </w:tcPr>
          <w:p>
            <w:pPr>
              <w:jc w:val="center"/>
              <w:ind w:left="1528"/>
              <w:spacing w:after="0"/>
              <w:rPr>
                <w:sz w:val="20"/>
                <w:szCs w:val="20"/>
                <w:color w:val="auto"/>
              </w:rPr>
            </w:pPr>
            <w:r>
              <w:rPr>
                <w:rFonts w:ascii="Arial" w:cs="Arial" w:eastAsia="Arial" w:hAnsi="Arial"/>
                <w:sz w:val="14"/>
                <w:szCs w:val="14"/>
                <w:color w:val="auto"/>
                <w:w w:val="91"/>
              </w:rPr>
              <w:t>Stock</w:t>
            </w:r>
          </w:p>
        </w:tc>
        <w:tc>
          <w:tcPr>
            <w:tcW w:w="15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70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73"/>
        </w:trPr>
        <w:tc>
          <w:tcPr>
            <w:tcW w:w="4040" w:type="dxa"/>
            <w:vAlign w:val="bottom"/>
            <w:vMerge w:val="continue"/>
          </w:tcPr>
          <w:p>
            <w:pPr>
              <w:spacing w:after="0"/>
              <w:rPr>
                <w:sz w:val="6"/>
                <w:szCs w:val="6"/>
                <w:color w:val="auto"/>
              </w:rPr>
            </w:pPr>
          </w:p>
        </w:tc>
        <w:tc>
          <w:tcPr>
            <w:tcW w:w="1580" w:type="dxa"/>
            <w:vAlign w:val="bottom"/>
          </w:tcPr>
          <w:p>
            <w:pPr>
              <w:spacing w:after="0"/>
              <w:rPr>
                <w:sz w:val="6"/>
                <w:szCs w:val="6"/>
                <w:color w:val="auto"/>
              </w:rPr>
            </w:pPr>
          </w:p>
        </w:tc>
        <w:tc>
          <w:tcPr>
            <w:tcW w:w="120" w:type="dxa"/>
            <w:vAlign w:val="bottom"/>
          </w:tcPr>
          <w:p>
            <w:pPr>
              <w:spacing w:after="0"/>
              <w:rPr>
                <w:sz w:val="6"/>
                <w:szCs w:val="6"/>
                <w:color w:val="auto"/>
              </w:rPr>
            </w:pPr>
          </w:p>
        </w:tc>
        <w:tc>
          <w:tcPr>
            <w:tcW w:w="1540" w:type="dxa"/>
            <w:vAlign w:val="bottom"/>
          </w:tcPr>
          <w:p>
            <w:pPr>
              <w:spacing w:after="0"/>
              <w:rPr>
                <w:sz w:val="6"/>
                <w:szCs w:val="6"/>
                <w:color w:val="auto"/>
              </w:rPr>
            </w:pPr>
          </w:p>
        </w:tc>
        <w:tc>
          <w:tcPr>
            <w:tcW w:w="16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1" w:lineRule="exact"/>
        <w:rPr>
          <w:sz w:val="24"/>
          <w:szCs w:val="24"/>
          <w:color w:val="auto"/>
        </w:rPr>
      </w:pPr>
    </w:p>
    <w:tbl>
      <w:tblPr>
        <w:tblLayout w:type="fixed"/>
        <w:tblInd w:w="40" w:type="dxa"/>
        <w:tblCellMar>
          <w:top w:w="0" w:type="dxa"/>
          <w:left w:w="0" w:type="dxa"/>
          <w:bottom w:w="0" w:type="dxa"/>
          <w:right w:w="0" w:type="dxa"/>
        </w:tblCellMar>
      </w:tblPr>
      <w:tr>
        <w:trPr>
          <w:trHeight w:val="142"/>
        </w:trPr>
        <w:tc>
          <w:tcPr>
            <w:tcW w:w="5880" w:type="dxa"/>
            <w:vAlign w:val="bottom"/>
          </w:tcPr>
          <w:p>
            <w:pPr>
              <w:jc w:val="center"/>
              <w:ind w:right="248"/>
              <w:spacing w:after="0" w:line="142" w:lineRule="exact"/>
              <w:rPr>
                <w:sz w:val="20"/>
                <w:szCs w:val="20"/>
                <w:color w:val="auto"/>
              </w:rPr>
            </w:pPr>
            <w:r>
              <w:rPr>
                <w:rFonts w:ascii="Arial" w:cs="Arial" w:eastAsia="Arial" w:hAnsi="Arial"/>
                <w:sz w:val="14"/>
                <w:szCs w:val="14"/>
                <w:color w:val="auto"/>
                <w:w w:val="92"/>
              </w:rPr>
              <w:t>Depositary shares of 6.875% Series D Fixed-to-Floating Rate Cumulative Redeemable Preferred</w:t>
            </w:r>
          </w:p>
        </w:tc>
        <w:tc>
          <w:tcPr>
            <w:tcW w:w="860" w:type="dxa"/>
            <w:vAlign w:val="bottom"/>
            <w:vMerge w:val="restart"/>
          </w:tcPr>
          <w:p>
            <w:pPr>
              <w:jc w:val="center"/>
              <w:ind w:left="248"/>
              <w:spacing w:after="0"/>
              <w:rPr>
                <w:sz w:val="20"/>
                <w:szCs w:val="20"/>
                <w:color w:val="auto"/>
              </w:rPr>
            </w:pPr>
            <w:r>
              <w:rPr>
                <w:rFonts w:ascii="Arial" w:cs="Arial" w:eastAsia="Arial" w:hAnsi="Arial"/>
                <w:sz w:val="14"/>
                <w:szCs w:val="14"/>
                <w:color w:val="auto"/>
              </w:rPr>
              <w:t>AGNCM</w:t>
            </w:r>
          </w:p>
        </w:tc>
        <w:tc>
          <w:tcPr>
            <w:tcW w:w="0" w:type="dxa"/>
            <w:vAlign w:val="bottom"/>
          </w:tcPr>
          <w:p>
            <w:pPr>
              <w:spacing w:after="0"/>
              <w:rPr>
                <w:sz w:val="1"/>
                <w:szCs w:val="1"/>
                <w:color w:val="auto"/>
              </w:rPr>
            </w:pPr>
          </w:p>
        </w:tc>
      </w:tr>
      <w:tr>
        <w:trPr>
          <w:trHeight w:val="110"/>
        </w:trPr>
        <w:tc>
          <w:tcPr>
            <w:tcW w:w="5880" w:type="dxa"/>
            <w:vAlign w:val="bottom"/>
            <w:vMerge w:val="restart"/>
          </w:tcPr>
          <w:p>
            <w:pPr>
              <w:jc w:val="center"/>
              <w:ind w:right="248"/>
              <w:spacing w:after="0"/>
              <w:rPr>
                <w:sz w:val="20"/>
                <w:szCs w:val="20"/>
                <w:color w:val="auto"/>
              </w:rPr>
            </w:pPr>
            <w:r>
              <w:rPr>
                <w:rFonts w:ascii="Arial" w:cs="Arial" w:eastAsia="Arial" w:hAnsi="Arial"/>
                <w:sz w:val="14"/>
                <w:szCs w:val="14"/>
                <w:color w:val="auto"/>
                <w:w w:val="91"/>
              </w:rPr>
              <w:t>Stock</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73"/>
        </w:trPr>
        <w:tc>
          <w:tcPr>
            <w:tcW w:w="5880" w:type="dxa"/>
            <w:vAlign w:val="bottom"/>
            <w:vMerge w:val="continue"/>
          </w:tcPr>
          <w:p>
            <w:pPr>
              <w:spacing w:after="0"/>
              <w:rPr>
                <w:sz w:val="6"/>
                <w:szCs w:val="6"/>
                <w:color w:val="auto"/>
              </w:rPr>
            </w:pPr>
          </w:p>
        </w:tc>
        <w:tc>
          <w:tcPr>
            <w:tcW w:w="8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2"/>
        </w:trPr>
        <w:tc>
          <w:tcPr>
            <w:tcW w:w="5880" w:type="dxa"/>
            <w:vAlign w:val="bottom"/>
          </w:tcPr>
          <w:p>
            <w:pPr>
              <w:jc w:val="center"/>
              <w:ind w:right="248"/>
              <w:spacing w:after="0" w:line="142" w:lineRule="exact"/>
              <w:rPr>
                <w:sz w:val="20"/>
                <w:szCs w:val="20"/>
                <w:color w:val="auto"/>
              </w:rPr>
            </w:pPr>
            <w:r>
              <w:rPr>
                <w:rFonts w:ascii="Arial" w:cs="Arial" w:eastAsia="Arial" w:hAnsi="Arial"/>
                <w:sz w:val="14"/>
                <w:szCs w:val="14"/>
                <w:color w:val="auto"/>
                <w:w w:val="92"/>
              </w:rPr>
              <w:t>Depositary shares of 6.50% Series E Fixed-to-Floating Rate Cumulative Redeemable Preferred</w:t>
            </w:r>
          </w:p>
        </w:tc>
        <w:tc>
          <w:tcPr>
            <w:tcW w:w="860" w:type="dxa"/>
            <w:vAlign w:val="bottom"/>
            <w:vMerge w:val="restart"/>
          </w:tcPr>
          <w:p>
            <w:pPr>
              <w:jc w:val="center"/>
              <w:ind w:left="248"/>
              <w:spacing w:after="0"/>
              <w:rPr>
                <w:sz w:val="20"/>
                <w:szCs w:val="20"/>
                <w:color w:val="auto"/>
              </w:rPr>
            </w:pPr>
            <w:r>
              <w:rPr>
                <w:rFonts w:ascii="Arial" w:cs="Arial" w:eastAsia="Arial" w:hAnsi="Arial"/>
                <w:sz w:val="14"/>
                <w:szCs w:val="14"/>
                <w:color w:val="auto"/>
                <w:w w:val="97"/>
              </w:rPr>
              <w:t>AGNCO</w:t>
            </w:r>
          </w:p>
        </w:tc>
        <w:tc>
          <w:tcPr>
            <w:tcW w:w="0" w:type="dxa"/>
            <w:vAlign w:val="bottom"/>
          </w:tcPr>
          <w:p>
            <w:pPr>
              <w:spacing w:after="0"/>
              <w:rPr>
                <w:sz w:val="1"/>
                <w:szCs w:val="1"/>
                <w:color w:val="auto"/>
              </w:rPr>
            </w:pPr>
          </w:p>
        </w:tc>
      </w:tr>
      <w:tr>
        <w:trPr>
          <w:trHeight w:val="110"/>
        </w:trPr>
        <w:tc>
          <w:tcPr>
            <w:tcW w:w="5880" w:type="dxa"/>
            <w:vAlign w:val="bottom"/>
            <w:vMerge w:val="restart"/>
          </w:tcPr>
          <w:p>
            <w:pPr>
              <w:jc w:val="center"/>
              <w:ind w:right="248"/>
              <w:spacing w:after="0"/>
              <w:rPr>
                <w:sz w:val="20"/>
                <w:szCs w:val="20"/>
                <w:color w:val="auto"/>
              </w:rPr>
            </w:pPr>
            <w:r>
              <w:rPr>
                <w:rFonts w:ascii="Arial" w:cs="Arial" w:eastAsia="Arial" w:hAnsi="Arial"/>
                <w:sz w:val="14"/>
                <w:szCs w:val="14"/>
                <w:color w:val="auto"/>
                <w:w w:val="91"/>
              </w:rPr>
              <w:t>Stock</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73"/>
        </w:trPr>
        <w:tc>
          <w:tcPr>
            <w:tcW w:w="5880" w:type="dxa"/>
            <w:vAlign w:val="bottom"/>
            <w:vMerge w:val="continue"/>
          </w:tcPr>
          <w:p>
            <w:pPr>
              <w:spacing w:after="0"/>
              <w:rPr>
                <w:sz w:val="6"/>
                <w:szCs w:val="6"/>
                <w:color w:val="auto"/>
              </w:rPr>
            </w:pPr>
          </w:p>
        </w:tc>
        <w:tc>
          <w:tcPr>
            <w:tcW w:w="8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2"/>
        </w:trPr>
        <w:tc>
          <w:tcPr>
            <w:tcW w:w="5880" w:type="dxa"/>
            <w:vAlign w:val="bottom"/>
          </w:tcPr>
          <w:p>
            <w:pPr>
              <w:jc w:val="center"/>
              <w:ind w:right="268"/>
              <w:spacing w:after="0" w:line="142" w:lineRule="exact"/>
              <w:rPr>
                <w:sz w:val="20"/>
                <w:szCs w:val="20"/>
                <w:color w:val="auto"/>
              </w:rPr>
            </w:pPr>
            <w:r>
              <w:rPr>
                <w:rFonts w:ascii="Arial" w:cs="Arial" w:eastAsia="Arial" w:hAnsi="Arial"/>
                <w:sz w:val="14"/>
                <w:szCs w:val="14"/>
                <w:color w:val="auto"/>
                <w:w w:val="92"/>
              </w:rPr>
              <w:t>Depositary shares of 6.125% Series F Fixed-to-Floating Rate Cumulative Redeemable Preferred</w:t>
            </w:r>
          </w:p>
        </w:tc>
        <w:tc>
          <w:tcPr>
            <w:tcW w:w="860" w:type="dxa"/>
            <w:vAlign w:val="bottom"/>
            <w:vMerge w:val="restart"/>
          </w:tcPr>
          <w:p>
            <w:pPr>
              <w:jc w:val="center"/>
              <w:ind w:left="248"/>
              <w:spacing w:after="0"/>
              <w:rPr>
                <w:sz w:val="20"/>
                <w:szCs w:val="20"/>
                <w:color w:val="auto"/>
              </w:rPr>
            </w:pPr>
            <w:r>
              <w:rPr>
                <w:rFonts w:ascii="Arial" w:cs="Arial" w:eastAsia="Arial" w:hAnsi="Arial"/>
                <w:sz w:val="14"/>
                <w:szCs w:val="14"/>
                <w:color w:val="auto"/>
              </w:rPr>
              <w:t>AGNCP</w:t>
            </w:r>
          </w:p>
        </w:tc>
        <w:tc>
          <w:tcPr>
            <w:tcW w:w="0" w:type="dxa"/>
            <w:vAlign w:val="bottom"/>
          </w:tcPr>
          <w:p>
            <w:pPr>
              <w:spacing w:after="0"/>
              <w:rPr>
                <w:sz w:val="1"/>
                <w:szCs w:val="1"/>
                <w:color w:val="auto"/>
              </w:rPr>
            </w:pPr>
          </w:p>
        </w:tc>
      </w:tr>
      <w:tr>
        <w:trPr>
          <w:trHeight w:val="110"/>
        </w:trPr>
        <w:tc>
          <w:tcPr>
            <w:tcW w:w="5880" w:type="dxa"/>
            <w:vAlign w:val="bottom"/>
            <w:vMerge w:val="restart"/>
          </w:tcPr>
          <w:p>
            <w:pPr>
              <w:jc w:val="center"/>
              <w:ind w:right="248"/>
              <w:spacing w:after="0"/>
              <w:rPr>
                <w:sz w:val="20"/>
                <w:szCs w:val="20"/>
                <w:color w:val="auto"/>
              </w:rPr>
            </w:pPr>
            <w:r>
              <w:rPr>
                <w:rFonts w:ascii="Arial" w:cs="Arial" w:eastAsia="Arial" w:hAnsi="Arial"/>
                <w:sz w:val="14"/>
                <w:szCs w:val="14"/>
                <w:color w:val="auto"/>
                <w:w w:val="91"/>
              </w:rPr>
              <w:t>Stock</w:t>
            </w:r>
          </w:p>
        </w:tc>
        <w:tc>
          <w:tcPr>
            <w:tcW w:w="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73"/>
        </w:trPr>
        <w:tc>
          <w:tcPr>
            <w:tcW w:w="5880" w:type="dxa"/>
            <w:vAlign w:val="bottom"/>
            <w:vMerge w:val="continue"/>
          </w:tcPr>
          <w:p>
            <w:pPr>
              <w:spacing w:after="0"/>
              <w:rPr>
                <w:sz w:val="6"/>
                <w:szCs w:val="6"/>
                <w:color w:val="auto"/>
              </w:rPr>
            </w:pPr>
          </w:p>
        </w:tc>
        <w:tc>
          <w:tcPr>
            <w:tcW w:w="86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344" w:lineRule="exact"/>
        <w:rPr>
          <w:sz w:val="24"/>
          <w:szCs w:val="24"/>
          <w:color w:val="auto"/>
        </w:rPr>
      </w:pPr>
    </w:p>
    <w:p>
      <w:pPr>
        <w:jc w:val="center"/>
        <w:ind w:right="2040"/>
        <w:spacing w:after="0"/>
        <w:rPr>
          <w:sz w:val="20"/>
          <w:szCs w:val="20"/>
          <w:color w:val="auto"/>
        </w:rPr>
      </w:pPr>
      <w:r>
        <w:rPr>
          <w:rFonts w:ascii="Arial" w:cs="Arial" w:eastAsia="Arial" w:hAnsi="Arial"/>
          <w:sz w:val="14"/>
          <w:szCs w:val="14"/>
          <w:b w:val="1"/>
          <w:bCs w:val="1"/>
          <w:color w:val="auto"/>
        </w:rPr>
        <w:t>26-1701984</w:t>
      </w:r>
    </w:p>
    <w:p>
      <w:pPr>
        <w:spacing w:after="0" w:line="18"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(I.R.S. Employer</w:t>
      </w:r>
    </w:p>
    <w:p>
      <w:pPr>
        <w:spacing w:after="0"/>
        <w:rPr>
          <w:sz w:val="20"/>
          <w:szCs w:val="20"/>
          <w:color w:val="auto"/>
        </w:rPr>
      </w:pPr>
      <w:r>
        <w:rPr>
          <w:rFonts w:ascii="Arial" w:cs="Arial" w:eastAsia="Arial" w:hAnsi="Arial"/>
          <w:sz w:val="14"/>
          <w:szCs w:val="14"/>
          <w:b w:val="1"/>
          <w:bCs w:val="1"/>
          <w:color w:val="auto"/>
        </w:rPr>
        <w:t>Identification No.)</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1" w:lineRule="exact"/>
        <w:rPr>
          <w:sz w:val="24"/>
          <w:szCs w:val="24"/>
          <w:color w:val="auto"/>
        </w:rPr>
      </w:pPr>
    </w:p>
    <w:p>
      <w:pPr>
        <w:jc w:val="center"/>
        <w:ind w:right="680"/>
        <w:spacing w:after="0"/>
        <w:rPr>
          <w:sz w:val="20"/>
          <w:szCs w:val="20"/>
          <w:color w:val="auto"/>
        </w:rPr>
      </w:pPr>
      <w:r>
        <w:rPr>
          <w:rFonts w:ascii="Arial" w:cs="Arial" w:eastAsia="Arial" w:hAnsi="Arial"/>
          <w:sz w:val="12"/>
          <w:szCs w:val="12"/>
          <w:b w:val="1"/>
          <w:bCs w:val="1"/>
          <w:color w:val="auto"/>
        </w:rPr>
        <w:t>Name of Exchange on Which Registered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-436245</wp:posOffset>
            </wp:positionH>
            <wp:positionV relativeFrom="paragraph">
              <wp:posOffset>38100</wp:posOffset>
            </wp:positionV>
            <wp:extent cx="244284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442845" cy="8255"/>
                    </a:xfrm>
                    <a:prstGeom prst="rect">
                      <a:avLst/>
                    </a:prstGeom>
                    <a:noFill/>
                  </pic:spPr>
                </pic:pic>
              </a:graphicData>
            </a:graphic>
          </wp:anchor>
        </w:drawing>
      </w:r>
    </w:p>
    <w:p>
      <w:pPr>
        <w:spacing w:after="0" w:line="49" w:lineRule="exact"/>
        <w:rPr>
          <w:sz w:val="24"/>
          <w:szCs w:val="24"/>
          <w:color w:val="auto"/>
        </w:rPr>
      </w:pPr>
    </w:p>
    <w:p>
      <w:pPr>
        <w:jc w:val="center"/>
        <w:ind w:right="680"/>
        <w:spacing w:after="0"/>
        <w:rPr>
          <w:sz w:val="20"/>
          <w:szCs w:val="20"/>
          <w:color w:val="auto"/>
        </w:rPr>
      </w:pPr>
      <w:r>
        <w:rPr>
          <w:rFonts w:ascii="Arial" w:cs="Arial" w:eastAsia="Arial" w:hAnsi="Arial"/>
          <w:sz w:val="14"/>
          <w:szCs w:val="14"/>
          <w:color w:val="auto"/>
        </w:rPr>
        <w:t>The Nasdaq Global Select Market</w:t>
      </w:r>
    </w:p>
    <w:p>
      <w:pPr>
        <w:spacing w:after="0" w:line="96" w:lineRule="exact"/>
        <w:rPr>
          <w:sz w:val="24"/>
          <w:szCs w:val="24"/>
          <w:color w:val="auto"/>
        </w:rPr>
      </w:pPr>
    </w:p>
    <w:p>
      <w:pPr>
        <w:jc w:val="center"/>
        <w:ind w:right="680"/>
        <w:spacing w:after="0"/>
        <w:rPr>
          <w:sz w:val="20"/>
          <w:szCs w:val="20"/>
          <w:color w:val="auto"/>
        </w:rPr>
      </w:pPr>
      <w:r>
        <w:rPr>
          <w:rFonts w:ascii="Arial" w:cs="Arial" w:eastAsia="Arial" w:hAnsi="Arial"/>
          <w:sz w:val="14"/>
          <w:szCs w:val="14"/>
          <w:color w:val="auto"/>
        </w:rPr>
        <w:t>The Nasdaq Global Select Market</w:t>
      </w:r>
    </w:p>
    <w:p>
      <w:pPr>
        <w:spacing w:after="0" w:line="163" w:lineRule="exact"/>
        <w:rPr>
          <w:sz w:val="24"/>
          <w:szCs w:val="24"/>
          <w:color w:val="auto"/>
        </w:rPr>
      </w:pPr>
    </w:p>
    <w:p>
      <w:pPr>
        <w:jc w:val="center"/>
        <w:ind w:right="680"/>
        <w:spacing w:after="0"/>
        <w:rPr>
          <w:sz w:val="20"/>
          <w:szCs w:val="20"/>
          <w:color w:val="auto"/>
        </w:rPr>
      </w:pPr>
      <w:r>
        <w:rPr>
          <w:rFonts w:ascii="Arial" w:cs="Arial" w:eastAsia="Arial" w:hAnsi="Arial"/>
          <w:sz w:val="14"/>
          <w:szCs w:val="14"/>
          <w:color w:val="auto"/>
        </w:rPr>
        <w:t>The Nasdaq Global Select Market</w:t>
      </w:r>
    </w:p>
    <w:p>
      <w:pPr>
        <w:spacing w:after="0" w:line="163" w:lineRule="exact"/>
        <w:rPr>
          <w:sz w:val="24"/>
          <w:szCs w:val="24"/>
          <w:color w:val="auto"/>
        </w:rPr>
      </w:pPr>
    </w:p>
    <w:p>
      <w:pPr>
        <w:jc w:val="center"/>
        <w:ind w:right="680"/>
        <w:spacing w:after="0"/>
        <w:rPr>
          <w:sz w:val="20"/>
          <w:szCs w:val="20"/>
          <w:color w:val="auto"/>
        </w:rPr>
      </w:pPr>
      <w:r>
        <w:rPr>
          <w:rFonts w:ascii="Arial" w:cs="Arial" w:eastAsia="Arial" w:hAnsi="Arial"/>
          <w:sz w:val="14"/>
          <w:szCs w:val="14"/>
          <w:color w:val="auto"/>
        </w:rPr>
        <w:t>The Nasdaq Global Select Market</w:t>
      </w:r>
    </w:p>
    <w:p>
      <w:pPr>
        <w:spacing w:after="0" w:line="163" w:lineRule="exact"/>
        <w:rPr>
          <w:sz w:val="24"/>
          <w:szCs w:val="24"/>
          <w:color w:val="auto"/>
        </w:rPr>
      </w:pPr>
    </w:p>
    <w:p>
      <w:pPr>
        <w:jc w:val="center"/>
        <w:ind w:right="680"/>
        <w:spacing w:after="0"/>
        <w:rPr>
          <w:sz w:val="20"/>
          <w:szCs w:val="20"/>
          <w:color w:val="auto"/>
        </w:rPr>
      </w:pPr>
      <w:r>
        <w:rPr>
          <w:rFonts w:ascii="Arial" w:cs="Arial" w:eastAsia="Arial" w:hAnsi="Arial"/>
          <w:sz w:val="14"/>
          <w:szCs w:val="14"/>
          <w:color w:val="auto"/>
        </w:rPr>
        <w:t>The Nasdaq Global Select Market</w:t>
      </w:r>
    </w:p>
    <w:p>
      <w:pPr>
        <w:spacing w:after="0" w:line="172" w:lineRule="exact"/>
        <w:rPr>
          <w:sz w:val="24"/>
          <w:szCs w:val="24"/>
          <w:color w:val="auto"/>
        </w:rPr>
      </w:pPr>
    </w:p>
    <w:p>
      <w:pPr>
        <w:sectPr>
          <w:pgSz w:w="11900" w:h="16838" w:orient="portrait"/>
          <w:cols w:equalWidth="0" w:num="2">
            <w:col w:w="7440" w:space="640"/>
            <w:col w:w="3160"/>
          </w:cols>
          <w:pgMar w:left="320" w:top="899" w:right="339" w:bottom="1440" w:gutter="0" w:footer="0" w:header="0"/>
          <w:type w:val="continuous"/>
        </w:sectPr>
      </w:pPr>
    </w:p>
    <w:p>
      <w:pPr>
        <w:jc w:val="center"/>
        <w:ind w:right="-339"/>
        <w:spacing w:after="0"/>
        <w:rPr>
          <w:sz w:val="20"/>
          <w:szCs w:val="20"/>
          <w:color w:val="auto"/>
        </w:rPr>
      </w:pPr>
      <w:r>
        <w:rPr>
          <w:rFonts w:ascii="Arial" w:cs="Arial" w:eastAsia="Arial" w:hAnsi="Arial"/>
          <w:sz w:val="14"/>
          <w:szCs w:val="14"/>
          <w:b w:val="1"/>
          <w:bCs w:val="1"/>
          <w:color w:val="auto"/>
        </w:rPr>
        <w:t>Securities Registered Pursuant to Section 12(g) of the Act: None</w:t>
      </w:r>
    </w:p>
    <w:p>
      <w:pPr>
        <w:spacing w:after="0" w:line="17" w:lineRule="exact"/>
        <w:rPr>
          <w:sz w:val="24"/>
          <w:szCs w:val="24"/>
          <w:color w:val="auto"/>
        </w:rPr>
      </w:pPr>
    </w:p>
    <w:p>
      <w:pPr>
        <w:ind w:right="100" w:firstLine="324"/>
        <w:spacing w:after="0" w:line="169" w:lineRule="exact"/>
        <w:rPr>
          <w:sz w:val="20"/>
          <w:szCs w:val="20"/>
          <w:color w:val="auto"/>
        </w:rPr>
      </w:pPr>
      <w:r>
        <w:rPr>
          <w:rFonts w:ascii="Arial" w:cs="Arial" w:eastAsia="Arial" w:hAnsi="Arial"/>
          <w:sz w:val="14"/>
          <w:szCs w:val="14"/>
          <w:color w:val="auto"/>
        </w:rPr>
        <w:t xml:space="preserve">Indicate by check mark whether the registrant (1) has filed all reports to be filed by Section 13 or 15(d) of the Securities Exchange Act of 1934 during the preceding 12 months (or for such shorter period that the registrant was required to file such reports), and (2) has been subject to such filing requirements for the past 90 days. Yes x No </w:t>
      </w:r>
      <w:r>
        <w:rPr>
          <w:rFonts w:ascii="MS PGothic" w:cs="MS PGothic" w:eastAsia="MS PGothic" w:hAnsi="MS PGothic"/>
          <w:sz w:val="14"/>
          <w:szCs w:val="14"/>
          <w:color w:val="auto"/>
        </w:rPr>
        <w:t>☐</w:t>
      </w:r>
    </w:p>
    <w:p>
      <w:pPr>
        <w:spacing w:after="0" w:line="1" w:lineRule="exact"/>
        <w:rPr>
          <w:sz w:val="24"/>
          <w:szCs w:val="24"/>
          <w:color w:val="auto"/>
        </w:rPr>
      </w:pPr>
    </w:p>
    <w:p>
      <w:pPr>
        <w:ind w:firstLine="324"/>
        <w:spacing w:after="0" w:line="169" w:lineRule="exact"/>
        <w:rPr>
          <w:sz w:val="20"/>
          <w:szCs w:val="20"/>
          <w:color w:val="auto"/>
        </w:rPr>
      </w:pPr>
      <w:r>
        <w:rPr>
          <w:rFonts w:ascii="Arial" w:cs="Arial" w:eastAsia="Arial" w:hAnsi="Arial"/>
          <w:sz w:val="14"/>
          <w:szCs w:val="14"/>
          <w:color w:val="auto"/>
        </w:rPr>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such files). Yes x No </w:t>
      </w:r>
      <w:r>
        <w:rPr>
          <w:rFonts w:ascii="MS PGothic" w:cs="MS PGothic" w:eastAsia="MS PGothic" w:hAnsi="MS PGothic"/>
          <w:sz w:val="14"/>
          <w:szCs w:val="14"/>
          <w:color w:val="auto"/>
        </w:rPr>
        <w:t>☐</w:t>
      </w:r>
    </w:p>
    <w:p>
      <w:pPr>
        <w:spacing w:after="0" w:line="1" w:lineRule="exact"/>
        <w:rPr>
          <w:sz w:val="24"/>
          <w:szCs w:val="24"/>
          <w:color w:val="auto"/>
        </w:rPr>
      </w:pPr>
    </w:p>
    <w:p>
      <w:pPr>
        <w:ind w:right="320" w:firstLine="324"/>
        <w:spacing w:after="0" w:line="247" w:lineRule="auto"/>
        <w:rPr>
          <w:sz w:val="20"/>
          <w:szCs w:val="20"/>
          <w:color w:val="auto"/>
        </w:rPr>
      </w:pPr>
      <w:r>
        <w:rPr>
          <w:rFonts w:ascii="Arial" w:cs="Arial" w:eastAsia="Arial" w:hAnsi="Arial"/>
          <w:sz w:val="14"/>
          <w:szCs w:val="14"/>
          <w:color w:val="auto"/>
        </w:rPr>
        <w:t>Indicate by check mark whether the registrant is a large accelerated filer, an accelerated filer, a non-accelerated filer, a smaller reporting company, or an emerging growth company. See definitions of "large accelerated filer," "accelerated filer," "smaller reporting company" and "emerging growth company" in Rule 12b-2 of the Exchange Act.</w:t>
      </w:r>
    </w:p>
    <w:p>
      <w:pPr>
        <w:spacing w:after="0" w:line="1" w:lineRule="exact"/>
        <w:rPr>
          <w:sz w:val="24"/>
          <w:szCs w:val="24"/>
          <w:color w:val="auto"/>
        </w:rPr>
      </w:pPr>
    </w:p>
    <w:tbl>
      <w:tblPr>
        <w:tblLayout w:type="fixed"/>
        <w:tblInd w:w="2300" w:type="dxa"/>
        <w:tblCellMar>
          <w:top w:w="0" w:type="dxa"/>
          <w:left w:w="0" w:type="dxa"/>
          <w:bottom w:w="0" w:type="dxa"/>
          <w:right w:w="0" w:type="dxa"/>
        </w:tblCellMar>
      </w:tblPr>
      <w:tr>
        <w:trPr>
          <w:trHeight w:val="182"/>
        </w:trPr>
        <w:tc>
          <w:tcPr>
            <w:tcW w:w="2140" w:type="dxa"/>
            <w:vAlign w:val="bottom"/>
          </w:tcPr>
          <w:p>
            <w:pPr>
              <w:spacing w:after="0"/>
              <w:rPr>
                <w:sz w:val="20"/>
                <w:szCs w:val="20"/>
                <w:color w:val="auto"/>
              </w:rPr>
            </w:pPr>
            <w:r>
              <w:rPr>
                <w:rFonts w:ascii="Arial" w:cs="Arial" w:eastAsia="Arial" w:hAnsi="Arial"/>
                <w:sz w:val="14"/>
                <w:szCs w:val="14"/>
                <w:color w:val="auto"/>
              </w:rPr>
              <w:t>Large accelerated filer</w:t>
            </w:r>
          </w:p>
        </w:tc>
        <w:tc>
          <w:tcPr>
            <w:tcW w:w="880" w:type="dxa"/>
            <w:vAlign w:val="bottom"/>
          </w:tcPr>
          <w:p>
            <w:pPr>
              <w:ind w:left="560"/>
              <w:spacing w:after="0" w:line="141" w:lineRule="exact"/>
              <w:rPr>
                <w:sz w:val="20"/>
                <w:szCs w:val="20"/>
                <w:color w:val="auto"/>
              </w:rPr>
            </w:pPr>
            <w:r>
              <w:rPr>
                <w:rFonts w:ascii="MS PGothic" w:cs="MS PGothic" w:eastAsia="MS PGothic" w:hAnsi="MS PGothic"/>
                <w:sz w:val="14"/>
                <w:szCs w:val="14"/>
                <w:color w:val="auto"/>
              </w:rPr>
              <w:t>☒</w:t>
            </w:r>
          </w:p>
        </w:tc>
        <w:tc>
          <w:tcPr>
            <w:tcW w:w="2620" w:type="dxa"/>
            <w:vAlign w:val="bottom"/>
          </w:tcPr>
          <w:p>
            <w:pPr>
              <w:ind w:left="180"/>
              <w:spacing w:after="0"/>
              <w:rPr>
                <w:sz w:val="20"/>
                <w:szCs w:val="20"/>
                <w:color w:val="auto"/>
              </w:rPr>
            </w:pPr>
            <w:r>
              <w:rPr>
                <w:rFonts w:ascii="Arial" w:cs="Arial" w:eastAsia="Arial" w:hAnsi="Arial"/>
                <w:sz w:val="14"/>
                <w:szCs w:val="14"/>
                <w:color w:val="auto"/>
              </w:rPr>
              <w:t>Accelerated filer</w:t>
            </w:r>
          </w:p>
        </w:tc>
        <w:tc>
          <w:tcPr>
            <w:tcW w:w="940" w:type="dxa"/>
            <w:vAlign w:val="bottom"/>
          </w:tcPr>
          <w:p>
            <w:pPr>
              <w:ind w:left="800"/>
              <w:spacing w:after="0" w:line="141" w:lineRule="exact"/>
              <w:rPr>
                <w:sz w:val="20"/>
                <w:szCs w:val="20"/>
                <w:color w:val="auto"/>
              </w:rPr>
            </w:pPr>
            <w:r>
              <w:rPr>
                <w:rFonts w:ascii="MS PGothic" w:cs="MS PGothic" w:eastAsia="MS PGothic" w:hAnsi="MS PGothic"/>
                <w:sz w:val="14"/>
                <w:szCs w:val="14"/>
                <w:color w:val="auto"/>
                <w:w w:val="85"/>
              </w:rPr>
              <w:t>☐</w:t>
            </w:r>
          </w:p>
        </w:tc>
      </w:tr>
      <w:tr>
        <w:trPr>
          <w:trHeight w:val="203"/>
        </w:trPr>
        <w:tc>
          <w:tcPr>
            <w:tcW w:w="2140" w:type="dxa"/>
            <w:vAlign w:val="bottom"/>
          </w:tcPr>
          <w:p>
            <w:pPr>
              <w:spacing w:after="0"/>
              <w:rPr>
                <w:sz w:val="20"/>
                <w:szCs w:val="20"/>
                <w:color w:val="auto"/>
              </w:rPr>
            </w:pPr>
            <w:r>
              <w:rPr>
                <w:rFonts w:ascii="Arial" w:cs="Arial" w:eastAsia="Arial" w:hAnsi="Arial"/>
                <w:sz w:val="14"/>
                <w:szCs w:val="14"/>
                <w:color w:val="auto"/>
              </w:rPr>
              <w:t>Non-accelerated filer</w:t>
            </w:r>
          </w:p>
        </w:tc>
        <w:tc>
          <w:tcPr>
            <w:tcW w:w="880" w:type="dxa"/>
            <w:vAlign w:val="bottom"/>
          </w:tcPr>
          <w:p>
            <w:pPr>
              <w:ind w:left="560"/>
              <w:spacing w:after="0" w:line="141" w:lineRule="exact"/>
              <w:rPr>
                <w:sz w:val="20"/>
                <w:szCs w:val="20"/>
                <w:color w:val="auto"/>
              </w:rPr>
            </w:pPr>
            <w:r>
              <w:rPr>
                <w:rFonts w:ascii="MS PGothic" w:cs="MS PGothic" w:eastAsia="MS PGothic" w:hAnsi="MS PGothic"/>
                <w:sz w:val="14"/>
                <w:szCs w:val="14"/>
                <w:color w:val="auto"/>
              </w:rPr>
              <w:t>☐</w:t>
            </w:r>
          </w:p>
        </w:tc>
        <w:tc>
          <w:tcPr>
            <w:tcW w:w="2620" w:type="dxa"/>
            <w:vAlign w:val="bottom"/>
          </w:tcPr>
          <w:p>
            <w:pPr>
              <w:ind w:left="180"/>
              <w:spacing w:after="0"/>
              <w:rPr>
                <w:sz w:val="20"/>
                <w:szCs w:val="20"/>
                <w:color w:val="auto"/>
              </w:rPr>
            </w:pPr>
            <w:r>
              <w:rPr>
                <w:rFonts w:ascii="Arial" w:cs="Arial" w:eastAsia="Arial" w:hAnsi="Arial"/>
                <w:sz w:val="14"/>
                <w:szCs w:val="14"/>
                <w:color w:val="auto"/>
              </w:rPr>
              <w:t>Smaller Reporting Company</w:t>
            </w:r>
          </w:p>
        </w:tc>
        <w:tc>
          <w:tcPr>
            <w:tcW w:w="940" w:type="dxa"/>
            <w:vAlign w:val="bottom"/>
          </w:tcPr>
          <w:p>
            <w:pPr>
              <w:ind w:left="800"/>
              <w:spacing w:after="0" w:line="141" w:lineRule="exact"/>
              <w:rPr>
                <w:sz w:val="20"/>
                <w:szCs w:val="20"/>
                <w:color w:val="auto"/>
              </w:rPr>
            </w:pPr>
            <w:r>
              <w:rPr>
                <w:rFonts w:ascii="MS PGothic" w:cs="MS PGothic" w:eastAsia="MS PGothic" w:hAnsi="MS PGothic"/>
                <w:sz w:val="14"/>
                <w:szCs w:val="14"/>
                <w:color w:val="auto"/>
                <w:w w:val="85"/>
              </w:rPr>
              <w:t>☐</w:t>
            </w:r>
          </w:p>
        </w:tc>
      </w:tr>
      <w:tr>
        <w:trPr>
          <w:trHeight w:val="226"/>
        </w:trPr>
        <w:tc>
          <w:tcPr>
            <w:tcW w:w="2140" w:type="dxa"/>
            <w:vAlign w:val="bottom"/>
          </w:tcPr>
          <w:p>
            <w:pPr>
              <w:spacing w:after="0"/>
              <w:rPr>
                <w:sz w:val="20"/>
                <w:szCs w:val="20"/>
                <w:color w:val="auto"/>
              </w:rPr>
            </w:pPr>
            <w:r>
              <w:rPr>
                <w:rFonts w:ascii="Arial" w:cs="Arial" w:eastAsia="Arial" w:hAnsi="Arial"/>
                <w:sz w:val="14"/>
                <w:szCs w:val="14"/>
                <w:color w:val="auto"/>
              </w:rPr>
              <w:t>Emerging growth company</w:t>
            </w:r>
          </w:p>
        </w:tc>
        <w:tc>
          <w:tcPr>
            <w:tcW w:w="880" w:type="dxa"/>
            <w:vAlign w:val="bottom"/>
          </w:tcPr>
          <w:p>
            <w:pPr>
              <w:ind w:left="560"/>
              <w:spacing w:after="0" w:line="141" w:lineRule="exact"/>
              <w:rPr>
                <w:sz w:val="20"/>
                <w:szCs w:val="20"/>
                <w:color w:val="auto"/>
              </w:rPr>
            </w:pPr>
            <w:r>
              <w:rPr>
                <w:rFonts w:ascii="MS PGothic" w:cs="MS PGothic" w:eastAsia="MS PGothic" w:hAnsi="MS PGothic"/>
                <w:sz w:val="14"/>
                <w:szCs w:val="14"/>
                <w:color w:val="auto"/>
              </w:rPr>
              <w:t>☐</w:t>
            </w:r>
          </w:p>
        </w:tc>
        <w:tc>
          <w:tcPr>
            <w:tcW w:w="2620" w:type="dxa"/>
            <w:vAlign w:val="bottom"/>
          </w:tcPr>
          <w:p>
            <w:pPr>
              <w:spacing w:after="0"/>
              <w:rPr>
                <w:sz w:val="19"/>
                <w:szCs w:val="19"/>
                <w:color w:val="auto"/>
              </w:rPr>
            </w:pPr>
          </w:p>
        </w:tc>
        <w:tc>
          <w:tcPr>
            <w:tcW w:w="940" w:type="dxa"/>
            <w:vAlign w:val="bottom"/>
          </w:tcPr>
          <w:p>
            <w:pPr>
              <w:spacing w:after="0"/>
              <w:rPr>
                <w:sz w:val="19"/>
                <w:szCs w:val="19"/>
                <w:color w:val="auto"/>
              </w:rPr>
            </w:pPr>
          </w:p>
        </w:tc>
      </w:tr>
    </w:tbl>
    <w:p>
      <w:pPr>
        <w:spacing w:after="0" w:line="85" w:lineRule="exact"/>
        <w:rPr>
          <w:sz w:val="24"/>
          <w:szCs w:val="24"/>
          <w:color w:val="auto"/>
        </w:rPr>
      </w:pPr>
    </w:p>
    <w:p>
      <w:pPr>
        <w:ind w:right="460" w:firstLine="324"/>
        <w:spacing w:after="0" w:line="179" w:lineRule="exact"/>
        <w:rPr>
          <w:sz w:val="20"/>
          <w:szCs w:val="20"/>
          <w:color w:val="auto"/>
        </w:rPr>
      </w:pPr>
      <w:r>
        <w:rPr>
          <w:rFonts w:ascii="Arial" w:cs="Arial" w:eastAsia="Arial" w:hAnsi="Arial"/>
          <w:sz w:val="14"/>
          <w:szCs w:val="14"/>
          <w:color w:val="auto"/>
        </w:rPr>
        <w:t xml:space="preserve">If an emerging growth company, indicate by check mark if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4"/>
          <w:szCs w:val="14"/>
          <w:color w:val="auto"/>
        </w:rPr>
        <w:t>☐</w:t>
      </w:r>
    </w:p>
    <w:p>
      <w:pPr>
        <w:spacing w:after="0" w:line="1" w:lineRule="exact"/>
        <w:rPr>
          <w:sz w:val="24"/>
          <w:szCs w:val="24"/>
          <w:color w:val="auto"/>
        </w:rPr>
      </w:pPr>
    </w:p>
    <w:p>
      <w:pPr>
        <w:ind w:left="340" w:right="3360"/>
        <w:spacing w:after="0" w:line="169" w:lineRule="exact"/>
        <w:rPr>
          <w:sz w:val="20"/>
          <w:szCs w:val="20"/>
          <w:color w:val="auto"/>
        </w:rPr>
      </w:pPr>
      <w:r>
        <w:rPr>
          <w:rFonts w:ascii="Arial" w:cs="Arial" w:eastAsia="Arial" w:hAnsi="Arial"/>
          <w:sz w:val="13"/>
          <w:szCs w:val="13"/>
          <w:color w:val="auto"/>
        </w:rPr>
        <w:t xml:space="preserve">Indicate by check mark whether the registrant is a shell company (as defined in Rule 12b-2 of the Exchange Act). Yes </w:t>
      </w:r>
      <w:r>
        <w:rPr>
          <w:rFonts w:ascii="MS PGothic" w:cs="MS PGothic" w:eastAsia="MS PGothic" w:hAnsi="MS PGothic"/>
          <w:sz w:val="13"/>
          <w:szCs w:val="13"/>
          <w:color w:val="auto"/>
        </w:rPr>
        <w:t>☐</w:t>
      </w:r>
      <w:r>
        <w:rPr>
          <w:rFonts w:ascii="Arial" w:cs="Arial" w:eastAsia="Arial" w:hAnsi="Arial"/>
          <w:sz w:val="13"/>
          <w:szCs w:val="13"/>
          <w:color w:val="auto"/>
        </w:rPr>
        <w:t xml:space="preserve"> No x The number of shares of the issuer's common stock, $0.01 par value, outstanding as of July 31, 2022 was 522,722,819.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475615</wp:posOffset>
            </wp:positionV>
            <wp:extent cx="715772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57720" cy="42545"/>
                    </a:xfrm>
                    <a:prstGeom prst="rect">
                      <a:avLst/>
                    </a:prstGeom>
                    <a:noFill/>
                  </pic:spPr>
                </pic:pic>
              </a:graphicData>
            </a:graphic>
          </wp:anchor>
        </w:drawing>
        <w:drawing>
          <wp:anchor simplePos="0" relativeHeight="251657728" behindDoc="1" locked="0" layoutInCell="0" allowOverlap="1">
            <wp:simplePos x="0" y="0"/>
            <wp:positionH relativeFrom="column">
              <wp:posOffset>210820</wp:posOffset>
            </wp:positionH>
            <wp:positionV relativeFrom="paragraph">
              <wp:posOffset>51435</wp:posOffset>
            </wp:positionV>
            <wp:extent cx="699008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990080" cy="8255"/>
                    </a:xfrm>
                    <a:prstGeom prst="rect">
                      <a:avLst/>
                    </a:prstGeom>
                    <a:noFill/>
                  </pic:spPr>
                </pic:pic>
              </a:graphicData>
            </a:graphic>
          </wp:anchor>
        </w:drawing>
        <w:drawing>
          <wp:anchor simplePos="0" relativeHeight="251657728" behindDoc="1" locked="0" layoutInCell="0" allowOverlap="1">
            <wp:simplePos x="0" y="0"/>
            <wp:positionH relativeFrom="column">
              <wp:posOffset>210820</wp:posOffset>
            </wp:positionH>
            <wp:positionV relativeFrom="paragraph">
              <wp:posOffset>17145</wp:posOffset>
            </wp:positionV>
            <wp:extent cx="699008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990080" cy="8890"/>
                    </a:xfrm>
                    <a:prstGeom prst="rect">
                      <a:avLst/>
                    </a:prstGeom>
                    <a:noFill/>
                  </pic:spPr>
                </pic:pic>
              </a:graphicData>
            </a:graphic>
          </wp:anchor>
        </w:drawing>
      </w:r>
    </w:p>
    <w:p>
      <w:pPr>
        <w:sectPr>
          <w:pgSz w:w="11900" w:h="16838" w:orient="portrait"/>
          <w:cols w:equalWidth="0" w:num="1">
            <w:col w:w="11240"/>
          </w:cols>
          <w:pgMar w:left="320" w:top="899" w:right="339" w:bottom="1440" w:gutter="0" w:footer="0" w:header="0"/>
          <w:type w:val="continuous"/>
        </w:sectPr>
      </w:pPr>
    </w:p>
    <w:bookmarkStart w:id="1" w:name="page2"/>
    <w:bookmarkEnd w:id="1"/>
    <w:p>
      <w:pPr>
        <w:jc w:val="center"/>
        <w:ind w:right="-619"/>
        <w:spacing w:after="0"/>
        <w:rPr>
          <w:sz w:val="20"/>
          <w:szCs w:val="20"/>
          <w:color w:val="auto"/>
        </w:rPr>
      </w:pPr>
      <w:r>
        <w:rPr>
          <w:rFonts w:ascii="Arial" w:cs="Arial" w:eastAsia="Arial" w:hAnsi="Arial"/>
          <w:sz w:val="18"/>
          <w:szCs w:val="18"/>
          <w:b w:val="1"/>
          <w:bCs w:val="1"/>
          <w:color w:val="auto"/>
        </w:rPr>
        <w:t>AGNC INVESTMENT CORP.</w:t>
      </w:r>
    </w:p>
    <w:p>
      <w:pPr>
        <w:spacing w:after="0" w:line="104" w:lineRule="exact"/>
        <w:rPr>
          <w:sz w:val="20"/>
          <w:szCs w:val="20"/>
          <w:color w:val="auto"/>
        </w:rPr>
      </w:pPr>
    </w:p>
    <w:p>
      <w:pPr>
        <w:jc w:val="center"/>
        <w:ind w:right="-619"/>
        <w:spacing w:after="0"/>
        <w:rPr>
          <w:sz w:val="20"/>
          <w:szCs w:val="20"/>
          <w:color w:val="auto"/>
        </w:rPr>
      </w:pPr>
      <w:r>
        <w:rPr>
          <w:rFonts w:ascii="Arial" w:cs="Arial" w:eastAsia="Arial" w:hAnsi="Arial"/>
          <w:sz w:val="18"/>
          <w:szCs w:val="18"/>
          <w:b w:val="1"/>
          <w:bCs w:val="1"/>
          <w:color w:val="auto"/>
        </w:rPr>
        <w:t>TABLE OF CONTENTS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580" w:type="dxa"/>
            <w:vAlign w:val="bottom"/>
            <w:gridSpan w:val="2"/>
          </w:tcPr>
          <w:p>
            <w:pPr>
              <w:spacing w:after="0"/>
              <w:rPr>
                <w:rFonts w:ascii="Arial" w:cs="Arial" w:eastAsia="Arial" w:hAnsi="Arial"/>
                <w:sz w:val="16"/>
                <w:szCs w:val="16"/>
                <w:b w:val="1"/>
                <w:bCs w:val="1"/>
                <w:color w:val="0000FF"/>
                <w:w w:val="98"/>
              </w:rPr>
            </w:pPr>
            <w:hyperlink w:anchor="page47">
              <w:r>
                <w:rPr>
                  <w:rFonts w:ascii="Arial" w:cs="Arial" w:eastAsia="Arial" w:hAnsi="Arial"/>
                  <w:sz w:val="16"/>
                  <w:szCs w:val="16"/>
                  <w:b w:val="1"/>
                  <w:bCs w:val="1"/>
                  <w:color w:val="0000FF"/>
                  <w:w w:val="98"/>
                </w:rPr>
                <w:t>PART I.</w:t>
              </w:r>
            </w:hyperlink>
          </w:p>
        </w:tc>
        <w:tc>
          <w:tcPr>
            <w:tcW w:w="460" w:type="dxa"/>
            <w:vAlign w:val="bottom"/>
            <w:gridSpan w:val="2"/>
          </w:tcPr>
          <w:p>
            <w:pPr>
              <w:spacing w:after="0"/>
              <w:rPr>
                <w:sz w:val="16"/>
                <w:szCs w:val="16"/>
                <w:color w:val="auto"/>
              </w:rPr>
            </w:pPr>
          </w:p>
        </w:tc>
        <w:tc>
          <w:tcPr>
            <w:tcW w:w="7580" w:type="dxa"/>
            <w:vAlign w:val="bottom"/>
            <w:gridSpan w:val="12"/>
          </w:tcPr>
          <w:p>
            <w:pPr>
              <w:spacing w:after="0"/>
              <w:rPr>
                <w:rFonts w:ascii="Arial" w:cs="Arial" w:eastAsia="Arial" w:hAnsi="Arial"/>
                <w:sz w:val="16"/>
                <w:szCs w:val="16"/>
                <w:b w:val="1"/>
                <w:bCs w:val="1"/>
                <w:color w:val="0000FF"/>
              </w:rPr>
            </w:pPr>
            <w:hyperlink w:anchor="page2">
              <w:r>
                <w:rPr>
                  <w:rFonts w:ascii="Arial" w:cs="Arial" w:eastAsia="Arial" w:hAnsi="Arial"/>
                  <w:sz w:val="16"/>
                  <w:szCs w:val="16"/>
                  <w:b w:val="1"/>
                  <w:bCs w:val="1"/>
                  <w:color w:val="0000FF"/>
                </w:rPr>
                <w:t>FINANCIAL INFORMATION</w:t>
              </w:r>
            </w:hyperlink>
          </w:p>
        </w:tc>
        <w:tc>
          <w:tcPr>
            <w:tcW w:w="17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r>
      <w:tr>
        <w:trPr>
          <w:trHeight w:val="196"/>
        </w:trPr>
        <w:tc>
          <w:tcPr>
            <w:tcW w:w="460" w:type="dxa"/>
            <w:vAlign w:val="bottom"/>
            <w:tcBorders>
              <w:top w:val="single" w:sz="8" w:color="0000FF"/>
            </w:tcBorders>
          </w:tcPr>
          <w:p>
            <w:pPr>
              <w:spacing w:after="0"/>
              <w:rPr>
                <w:rFonts w:ascii="Arial" w:cs="Arial" w:eastAsia="Arial" w:hAnsi="Arial"/>
                <w:sz w:val="16"/>
                <w:szCs w:val="16"/>
                <w:color w:val="0000FF"/>
                <w:w w:val="85"/>
              </w:rPr>
            </w:pPr>
            <w:hyperlink w:anchor="page3">
              <w:r>
                <w:rPr>
                  <w:rFonts w:ascii="Arial" w:cs="Arial" w:eastAsia="Arial" w:hAnsi="Arial"/>
                  <w:sz w:val="16"/>
                  <w:szCs w:val="16"/>
                  <w:color w:val="0000FF"/>
                  <w:w w:val="85"/>
                </w:rPr>
                <w:t>Item 1.</w:t>
              </w:r>
            </w:hyperlink>
          </w:p>
        </w:tc>
        <w:tc>
          <w:tcPr>
            <w:tcW w:w="120" w:type="dxa"/>
            <w:vAlign w:val="bottom"/>
            <w:tcBorders>
              <w:top w:val="single" w:sz="8" w:color="0000FF"/>
            </w:tcBorders>
          </w:tcPr>
          <w:p>
            <w:pPr>
              <w:spacing w:after="0"/>
              <w:rPr>
                <w:sz w:val="17"/>
                <w:szCs w:val="17"/>
                <w:color w:val="auto"/>
              </w:rPr>
            </w:pPr>
          </w:p>
        </w:tc>
        <w:tc>
          <w:tcPr>
            <w:tcW w:w="460" w:type="dxa"/>
            <w:vAlign w:val="bottom"/>
            <w:gridSpan w:val="2"/>
          </w:tcPr>
          <w:p>
            <w:pPr>
              <w:spacing w:after="0"/>
              <w:rPr>
                <w:sz w:val="17"/>
                <w:szCs w:val="17"/>
                <w:color w:val="auto"/>
              </w:rPr>
            </w:pPr>
          </w:p>
        </w:tc>
        <w:tc>
          <w:tcPr>
            <w:tcW w:w="2140" w:type="dxa"/>
            <w:vAlign w:val="bottom"/>
            <w:tcBorders>
              <w:top w:val="single" w:sz="8" w:color="0000FF"/>
            </w:tcBorders>
            <w:gridSpan w:val="9"/>
          </w:tcPr>
          <w:p>
            <w:pPr>
              <w:spacing w:after="0"/>
              <w:rPr>
                <w:rFonts w:ascii="Arial" w:cs="Arial" w:eastAsia="Arial" w:hAnsi="Arial"/>
                <w:sz w:val="16"/>
                <w:szCs w:val="16"/>
                <w:color w:val="0000FF"/>
              </w:rPr>
            </w:pPr>
            <w:hyperlink w:anchor="page3">
              <w:r>
                <w:rPr>
                  <w:rFonts w:ascii="Arial" w:cs="Arial" w:eastAsia="Arial" w:hAnsi="Arial"/>
                  <w:sz w:val="16"/>
                  <w:szCs w:val="16"/>
                  <w:color w:val="0000FF"/>
                </w:rPr>
                <w:t>Financial Statements</w:t>
              </w:r>
            </w:hyperlink>
          </w:p>
        </w:tc>
        <w:tc>
          <w:tcPr>
            <w:tcW w:w="5440" w:type="dxa"/>
            <w:vAlign w:val="bottom"/>
            <w:gridSpan w:val="3"/>
          </w:tcPr>
          <w:p>
            <w:pPr>
              <w:spacing w:after="0"/>
              <w:rPr>
                <w:sz w:val="17"/>
                <w:szCs w:val="17"/>
                <w:color w:val="auto"/>
              </w:rPr>
            </w:pPr>
          </w:p>
        </w:tc>
        <w:tc>
          <w:tcPr>
            <w:tcW w:w="1920" w:type="dxa"/>
            <w:vAlign w:val="bottom"/>
            <w:gridSpan w:val="3"/>
          </w:tcPr>
          <w:p>
            <w:pPr>
              <w:jc w:val="right"/>
              <w:spacing w:after="0"/>
              <w:rPr>
                <w:rFonts w:ascii="Arial" w:cs="Arial" w:eastAsia="Arial" w:hAnsi="Arial"/>
                <w:sz w:val="16"/>
                <w:szCs w:val="16"/>
                <w:color w:val="0000FF"/>
              </w:rPr>
            </w:pPr>
            <w:hyperlink w:anchor="page3">
              <w:r>
                <w:rPr>
                  <w:rFonts w:ascii="Arial" w:cs="Arial" w:eastAsia="Arial" w:hAnsi="Arial"/>
                  <w:sz w:val="16"/>
                  <w:szCs w:val="16"/>
                  <w:color w:val="0000FF"/>
                </w:rPr>
                <w:t>2</w:t>
              </w:r>
            </w:hyperlink>
          </w:p>
        </w:tc>
        <w:tc>
          <w:tcPr>
            <w:tcW w:w="40" w:type="dxa"/>
            <w:vAlign w:val="bottom"/>
          </w:tcPr>
          <w:p>
            <w:pPr>
              <w:spacing w:after="0"/>
              <w:rPr>
                <w:sz w:val="17"/>
                <w:szCs w:val="17"/>
                <w:color w:val="auto"/>
              </w:rPr>
            </w:pPr>
          </w:p>
        </w:tc>
      </w:tr>
      <w:tr>
        <w:trPr>
          <w:trHeight w:val="20"/>
        </w:trPr>
        <w:tc>
          <w:tcPr>
            <w:tcW w:w="460" w:type="dxa"/>
            <w:vAlign w:val="bottom"/>
            <w:shd w:val="clear" w:color="auto" w:fill="0000FF"/>
          </w:tcPr>
          <w:p>
            <w:pPr>
              <w:spacing w:after="0" w:line="20" w:lineRule="exact"/>
              <w:rPr>
                <w:sz w:val="1"/>
                <w:szCs w:val="1"/>
                <w:color w:val="auto"/>
              </w:rPr>
            </w:pPr>
          </w:p>
        </w:tc>
        <w:tc>
          <w:tcPr>
            <w:tcW w:w="120" w:type="dxa"/>
            <w:vAlign w:val="bottom"/>
            <w:tcBorders>
              <w:left w:val="single" w:sz="8" w:color="0000FF"/>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60" w:type="dxa"/>
            <w:vAlign w:val="bottom"/>
            <w:gridSpan w:val="2"/>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460" w:type="dxa"/>
            <w:vAlign w:val="bottom"/>
          </w:tcPr>
          <w:p>
            <w:pPr>
              <w:spacing w:after="0"/>
              <w:rPr>
                <w:rFonts w:ascii="Arial" w:cs="Arial" w:eastAsia="Arial" w:hAnsi="Arial"/>
                <w:sz w:val="16"/>
                <w:szCs w:val="16"/>
                <w:color w:val="0000FF"/>
                <w:w w:val="85"/>
              </w:rPr>
            </w:pPr>
            <w:hyperlink w:anchor="page25">
              <w:r>
                <w:rPr>
                  <w:rFonts w:ascii="Arial" w:cs="Arial" w:eastAsia="Arial" w:hAnsi="Arial"/>
                  <w:sz w:val="16"/>
                  <w:szCs w:val="16"/>
                  <w:color w:val="0000FF"/>
                  <w:w w:val="85"/>
                </w:rPr>
                <w:t>Item 2.</w:t>
              </w:r>
            </w:hyperlink>
          </w:p>
        </w:tc>
        <w:tc>
          <w:tcPr>
            <w:tcW w:w="120" w:type="dxa"/>
            <w:vAlign w:val="bottom"/>
          </w:tcPr>
          <w:p>
            <w:pPr>
              <w:spacing w:after="0"/>
              <w:rPr>
                <w:sz w:val="17"/>
                <w:szCs w:val="17"/>
                <w:color w:val="auto"/>
              </w:rPr>
            </w:pPr>
          </w:p>
        </w:tc>
        <w:tc>
          <w:tcPr>
            <w:tcW w:w="460" w:type="dxa"/>
            <w:vAlign w:val="bottom"/>
            <w:gridSpan w:val="2"/>
          </w:tcPr>
          <w:p>
            <w:pPr>
              <w:spacing w:after="0"/>
              <w:rPr>
                <w:sz w:val="17"/>
                <w:szCs w:val="17"/>
                <w:color w:val="auto"/>
              </w:rPr>
            </w:pPr>
          </w:p>
        </w:tc>
        <w:tc>
          <w:tcPr>
            <w:tcW w:w="7580" w:type="dxa"/>
            <w:vAlign w:val="bottom"/>
            <w:gridSpan w:val="12"/>
          </w:tcPr>
          <w:p>
            <w:pPr>
              <w:spacing w:after="0"/>
              <w:rPr>
                <w:rFonts w:ascii="Arial" w:cs="Arial" w:eastAsia="Arial" w:hAnsi="Arial"/>
                <w:sz w:val="16"/>
                <w:szCs w:val="16"/>
                <w:color w:val="0000FF"/>
              </w:rPr>
            </w:pPr>
            <w:hyperlink w:anchor="page25">
              <w:r>
                <w:rPr>
                  <w:rFonts w:ascii="Arial" w:cs="Arial" w:eastAsia="Arial" w:hAnsi="Arial"/>
                  <w:sz w:val="16"/>
                  <w:szCs w:val="16"/>
                  <w:color w:val="0000FF"/>
                </w:rPr>
                <w:t>Management's Discussion and Analysis of Financial Condition and Results of Operations</w:t>
              </w:r>
            </w:hyperlink>
          </w:p>
        </w:tc>
        <w:tc>
          <w:tcPr>
            <w:tcW w:w="1960" w:type="dxa"/>
            <w:vAlign w:val="bottom"/>
            <w:gridSpan w:val="4"/>
          </w:tcPr>
          <w:p>
            <w:pPr>
              <w:jc w:val="right"/>
              <w:spacing w:after="0"/>
              <w:rPr>
                <w:rFonts w:ascii="Arial" w:cs="Arial" w:eastAsia="Arial" w:hAnsi="Arial"/>
                <w:sz w:val="16"/>
                <w:szCs w:val="16"/>
                <w:color w:val="0000FF"/>
              </w:rPr>
            </w:pPr>
            <w:hyperlink w:anchor="page25">
              <w:r>
                <w:rPr>
                  <w:rFonts w:ascii="Arial" w:cs="Arial" w:eastAsia="Arial" w:hAnsi="Arial"/>
                  <w:sz w:val="16"/>
                  <w:szCs w:val="16"/>
                  <w:color w:val="0000FF"/>
                </w:rPr>
                <w:t>24</w:t>
              </w:r>
            </w:hyperlink>
          </w:p>
        </w:tc>
      </w:tr>
      <w:tr>
        <w:trPr>
          <w:trHeight w:val="20"/>
        </w:trPr>
        <w:tc>
          <w:tcPr>
            <w:tcW w:w="460" w:type="dxa"/>
            <w:vAlign w:val="bottom"/>
            <w:shd w:val="clear" w:color="auto" w:fill="0000FF"/>
          </w:tcPr>
          <w:p>
            <w:pPr>
              <w:spacing w:after="0" w:line="20" w:lineRule="exact"/>
              <w:rPr>
                <w:sz w:val="1"/>
                <w:szCs w:val="1"/>
                <w:color w:val="auto"/>
              </w:rPr>
            </w:pPr>
          </w:p>
        </w:tc>
        <w:tc>
          <w:tcPr>
            <w:tcW w:w="120" w:type="dxa"/>
            <w:vAlign w:val="bottom"/>
            <w:tcBorders>
              <w:left w:val="single" w:sz="8" w:color="0000FF"/>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380" w:type="dxa"/>
            <w:vAlign w:val="bottom"/>
            <w:gridSpan w:val="2"/>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1860" w:type="dxa"/>
            <w:vAlign w:val="bottom"/>
            <w:gridSpan w:val="2"/>
            <w:shd w:val="clear" w:color="auto" w:fill="0000FF"/>
          </w:tcPr>
          <w:p>
            <w:pPr>
              <w:spacing w:after="0" w:line="20" w:lineRule="exact"/>
              <w:rPr>
                <w:sz w:val="1"/>
                <w:szCs w:val="1"/>
                <w:color w:val="auto"/>
              </w:rPr>
            </w:pPr>
          </w:p>
        </w:tc>
        <w:tc>
          <w:tcPr>
            <w:tcW w:w="1880" w:type="dxa"/>
            <w:vAlign w:val="bottom"/>
            <w:tcBorders>
              <w:left w:val="single" w:sz="8" w:color="0000FF"/>
            </w:tcBorders>
            <w:shd w:val="clear" w:color="auto" w:fill="0000FF"/>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60" w:type="dxa"/>
            <w:vAlign w:val="bottom"/>
            <w:tcBorders>
              <w:right w:val="single" w:sz="8" w:color="0000FF"/>
            </w:tcBorders>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r>
      <w:tr>
        <w:trPr>
          <w:trHeight w:val="196"/>
        </w:trPr>
        <w:tc>
          <w:tcPr>
            <w:tcW w:w="460" w:type="dxa"/>
            <w:vAlign w:val="bottom"/>
          </w:tcPr>
          <w:p>
            <w:pPr>
              <w:spacing w:after="0"/>
              <w:rPr>
                <w:rFonts w:ascii="Arial" w:cs="Arial" w:eastAsia="Arial" w:hAnsi="Arial"/>
                <w:sz w:val="16"/>
                <w:szCs w:val="16"/>
                <w:color w:val="0000FF"/>
                <w:w w:val="85"/>
              </w:rPr>
            </w:pPr>
            <w:hyperlink w:anchor="page44">
              <w:r>
                <w:rPr>
                  <w:rFonts w:ascii="Arial" w:cs="Arial" w:eastAsia="Arial" w:hAnsi="Arial"/>
                  <w:sz w:val="16"/>
                  <w:szCs w:val="16"/>
                  <w:color w:val="0000FF"/>
                  <w:w w:val="85"/>
                </w:rPr>
                <w:t>Item 3.</w:t>
              </w:r>
            </w:hyperlink>
          </w:p>
        </w:tc>
        <w:tc>
          <w:tcPr>
            <w:tcW w:w="120" w:type="dxa"/>
            <w:vAlign w:val="bottom"/>
          </w:tcPr>
          <w:p>
            <w:pPr>
              <w:spacing w:after="0"/>
              <w:rPr>
                <w:sz w:val="17"/>
                <w:szCs w:val="17"/>
                <w:color w:val="auto"/>
              </w:rPr>
            </w:pPr>
          </w:p>
        </w:tc>
        <w:tc>
          <w:tcPr>
            <w:tcW w:w="460" w:type="dxa"/>
            <w:vAlign w:val="bottom"/>
            <w:gridSpan w:val="2"/>
          </w:tcPr>
          <w:p>
            <w:pPr>
              <w:spacing w:after="0"/>
              <w:rPr>
                <w:sz w:val="17"/>
                <w:szCs w:val="17"/>
                <w:color w:val="auto"/>
              </w:rPr>
            </w:pPr>
          </w:p>
        </w:tc>
        <w:tc>
          <w:tcPr>
            <w:tcW w:w="3900" w:type="dxa"/>
            <w:vAlign w:val="bottom"/>
            <w:gridSpan w:val="10"/>
          </w:tcPr>
          <w:p>
            <w:pPr>
              <w:spacing w:after="0"/>
              <w:rPr>
                <w:rFonts w:ascii="Arial" w:cs="Arial" w:eastAsia="Arial" w:hAnsi="Arial"/>
                <w:sz w:val="16"/>
                <w:szCs w:val="16"/>
                <w:color w:val="0000FF"/>
                <w:w w:val="92"/>
              </w:rPr>
            </w:pPr>
            <w:hyperlink w:anchor="page44">
              <w:r>
                <w:rPr>
                  <w:rFonts w:ascii="Arial" w:cs="Arial" w:eastAsia="Arial" w:hAnsi="Arial"/>
                  <w:sz w:val="16"/>
                  <w:szCs w:val="16"/>
                  <w:color w:val="0000FF"/>
                  <w:w w:val="92"/>
                </w:rPr>
                <w:t>Quantitative and Qualitative Disclosures About Market Risk</w:t>
              </w:r>
            </w:hyperlink>
          </w:p>
        </w:tc>
        <w:tc>
          <w:tcPr>
            <w:tcW w:w="1880" w:type="dxa"/>
            <w:vAlign w:val="bottom"/>
          </w:tcPr>
          <w:p>
            <w:pPr>
              <w:spacing w:after="0"/>
              <w:rPr>
                <w:sz w:val="17"/>
                <w:szCs w:val="17"/>
                <w:color w:val="auto"/>
              </w:rPr>
            </w:pPr>
          </w:p>
        </w:tc>
        <w:tc>
          <w:tcPr>
            <w:tcW w:w="1800" w:type="dxa"/>
            <w:vAlign w:val="bottom"/>
          </w:tcPr>
          <w:p>
            <w:pPr>
              <w:spacing w:after="0"/>
              <w:rPr>
                <w:sz w:val="17"/>
                <w:szCs w:val="17"/>
                <w:color w:val="auto"/>
              </w:rPr>
            </w:pPr>
          </w:p>
        </w:tc>
        <w:tc>
          <w:tcPr>
            <w:tcW w:w="1960" w:type="dxa"/>
            <w:vAlign w:val="bottom"/>
            <w:gridSpan w:val="4"/>
          </w:tcPr>
          <w:p>
            <w:pPr>
              <w:jc w:val="right"/>
              <w:spacing w:after="0"/>
              <w:rPr>
                <w:rFonts w:ascii="Arial" w:cs="Arial" w:eastAsia="Arial" w:hAnsi="Arial"/>
                <w:sz w:val="16"/>
                <w:szCs w:val="16"/>
                <w:color w:val="0000FF"/>
              </w:rPr>
            </w:pPr>
            <w:hyperlink w:anchor="page44">
              <w:r>
                <w:rPr>
                  <w:rFonts w:ascii="Arial" w:cs="Arial" w:eastAsia="Arial" w:hAnsi="Arial"/>
                  <w:sz w:val="16"/>
                  <w:szCs w:val="16"/>
                  <w:color w:val="0000FF"/>
                </w:rPr>
                <w:t>43</w:t>
              </w:r>
            </w:hyperlink>
          </w:p>
        </w:tc>
      </w:tr>
      <w:tr>
        <w:trPr>
          <w:trHeight w:val="20"/>
        </w:trPr>
        <w:tc>
          <w:tcPr>
            <w:tcW w:w="460" w:type="dxa"/>
            <w:vAlign w:val="bottom"/>
            <w:shd w:val="clear" w:color="auto" w:fill="0000FF"/>
          </w:tcPr>
          <w:p>
            <w:pPr>
              <w:spacing w:after="0" w:line="20" w:lineRule="exact"/>
              <w:rPr>
                <w:sz w:val="1"/>
                <w:szCs w:val="1"/>
                <w:color w:val="auto"/>
              </w:rPr>
            </w:pPr>
          </w:p>
        </w:tc>
        <w:tc>
          <w:tcPr>
            <w:tcW w:w="120" w:type="dxa"/>
            <w:vAlign w:val="bottom"/>
            <w:tcBorders>
              <w:left w:val="single" w:sz="8" w:color="0000FF"/>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380" w:type="dxa"/>
            <w:vAlign w:val="bottom"/>
            <w:gridSpan w:val="2"/>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1860" w:type="dxa"/>
            <w:vAlign w:val="bottom"/>
            <w:gridSpan w:val="2"/>
            <w:shd w:val="clear" w:color="auto" w:fill="0000FF"/>
          </w:tcPr>
          <w:p>
            <w:pPr>
              <w:spacing w:after="0" w:line="20" w:lineRule="exact"/>
              <w:rPr>
                <w:sz w:val="1"/>
                <w:szCs w:val="1"/>
                <w:color w:val="auto"/>
              </w:rPr>
            </w:pPr>
          </w:p>
        </w:tc>
        <w:tc>
          <w:tcPr>
            <w:tcW w:w="3680" w:type="dxa"/>
            <w:vAlign w:val="bottom"/>
            <w:tcBorders>
              <w:left w:val="single" w:sz="8" w:color="0000FF"/>
            </w:tcBorders>
            <w:gridSpan w:val="2"/>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60" w:type="dxa"/>
            <w:vAlign w:val="bottom"/>
            <w:tcBorders>
              <w:right w:val="single" w:sz="8" w:color="0000FF"/>
            </w:tcBorders>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r>
      <w:tr>
        <w:trPr>
          <w:trHeight w:val="196"/>
        </w:trPr>
        <w:tc>
          <w:tcPr>
            <w:tcW w:w="460" w:type="dxa"/>
            <w:vAlign w:val="bottom"/>
          </w:tcPr>
          <w:p>
            <w:pPr>
              <w:spacing w:after="0"/>
              <w:rPr>
                <w:rFonts w:ascii="Arial" w:cs="Arial" w:eastAsia="Arial" w:hAnsi="Arial"/>
                <w:sz w:val="16"/>
                <w:szCs w:val="16"/>
                <w:color w:val="0000FF"/>
                <w:w w:val="85"/>
              </w:rPr>
            </w:pPr>
            <w:hyperlink w:anchor="page47">
              <w:r>
                <w:rPr>
                  <w:rFonts w:ascii="Arial" w:cs="Arial" w:eastAsia="Arial" w:hAnsi="Arial"/>
                  <w:sz w:val="16"/>
                  <w:szCs w:val="16"/>
                  <w:color w:val="0000FF"/>
                  <w:w w:val="85"/>
                </w:rPr>
                <w:t>Item 4.</w:t>
              </w:r>
            </w:hyperlink>
          </w:p>
        </w:tc>
        <w:tc>
          <w:tcPr>
            <w:tcW w:w="580" w:type="dxa"/>
            <w:vAlign w:val="bottom"/>
            <w:gridSpan w:val="3"/>
          </w:tcPr>
          <w:p>
            <w:pPr>
              <w:spacing w:after="0"/>
              <w:rPr>
                <w:sz w:val="17"/>
                <w:szCs w:val="17"/>
                <w:color w:val="auto"/>
              </w:rPr>
            </w:pPr>
          </w:p>
        </w:tc>
        <w:tc>
          <w:tcPr>
            <w:tcW w:w="3900" w:type="dxa"/>
            <w:vAlign w:val="bottom"/>
            <w:gridSpan w:val="10"/>
          </w:tcPr>
          <w:p>
            <w:pPr>
              <w:spacing w:after="0"/>
              <w:rPr>
                <w:rFonts w:ascii="Arial" w:cs="Arial" w:eastAsia="Arial" w:hAnsi="Arial"/>
                <w:sz w:val="16"/>
                <w:szCs w:val="16"/>
                <w:color w:val="0000FF"/>
              </w:rPr>
            </w:pPr>
            <w:hyperlink w:anchor="page47">
              <w:r>
                <w:rPr>
                  <w:rFonts w:ascii="Arial" w:cs="Arial" w:eastAsia="Arial" w:hAnsi="Arial"/>
                  <w:sz w:val="16"/>
                  <w:szCs w:val="16"/>
                  <w:color w:val="0000FF"/>
                </w:rPr>
                <w:t>Controls and Procedures</w:t>
              </w:r>
            </w:hyperlink>
          </w:p>
        </w:tc>
        <w:tc>
          <w:tcPr>
            <w:tcW w:w="3680" w:type="dxa"/>
            <w:vAlign w:val="bottom"/>
            <w:gridSpan w:val="2"/>
          </w:tcPr>
          <w:p>
            <w:pPr>
              <w:spacing w:after="0"/>
              <w:rPr>
                <w:sz w:val="17"/>
                <w:szCs w:val="17"/>
                <w:color w:val="auto"/>
              </w:rPr>
            </w:pPr>
          </w:p>
        </w:tc>
        <w:tc>
          <w:tcPr>
            <w:tcW w:w="1960" w:type="dxa"/>
            <w:vAlign w:val="bottom"/>
            <w:gridSpan w:val="4"/>
          </w:tcPr>
          <w:p>
            <w:pPr>
              <w:jc w:val="right"/>
              <w:spacing w:after="0"/>
              <w:rPr>
                <w:rFonts w:ascii="Arial" w:cs="Arial" w:eastAsia="Arial" w:hAnsi="Arial"/>
                <w:sz w:val="16"/>
                <w:szCs w:val="16"/>
                <w:color w:val="0000FF"/>
              </w:rPr>
            </w:pPr>
            <w:hyperlink w:anchor="page47">
              <w:r>
                <w:rPr>
                  <w:rFonts w:ascii="Arial" w:cs="Arial" w:eastAsia="Arial" w:hAnsi="Arial"/>
                  <w:sz w:val="16"/>
                  <w:szCs w:val="16"/>
                  <w:color w:val="0000FF"/>
                </w:rPr>
                <w:t>46</w:t>
              </w:r>
            </w:hyperlink>
          </w:p>
        </w:tc>
      </w:tr>
      <w:tr>
        <w:trPr>
          <w:trHeight w:val="20"/>
        </w:trPr>
        <w:tc>
          <w:tcPr>
            <w:tcW w:w="460" w:type="dxa"/>
            <w:vAlign w:val="bottom"/>
            <w:shd w:val="clear" w:color="auto" w:fill="0000FF"/>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380" w:type="dxa"/>
            <w:vAlign w:val="bottom"/>
            <w:gridSpan w:val="2"/>
            <w:shd w:val="clear" w:color="auto" w:fill="0000FF"/>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60" w:type="dxa"/>
            <w:vAlign w:val="bottom"/>
            <w:gridSpan w:val="2"/>
          </w:tcPr>
          <w:p>
            <w:pPr>
              <w:spacing w:after="0" w:line="20" w:lineRule="exact"/>
              <w:rPr>
                <w:sz w:val="1"/>
                <w:szCs w:val="1"/>
                <w:color w:val="auto"/>
              </w:rPr>
            </w:pPr>
          </w:p>
        </w:tc>
        <w:tc>
          <w:tcPr>
            <w:tcW w:w="3680" w:type="dxa"/>
            <w:vAlign w:val="bottom"/>
            <w:gridSpan w:val="2"/>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60" w:type="dxa"/>
            <w:vAlign w:val="bottom"/>
            <w:tcBorders>
              <w:right w:val="single" w:sz="8" w:color="0000FF"/>
            </w:tcBorders>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r>
      <w:tr>
        <w:trPr>
          <w:trHeight w:val="453"/>
        </w:trPr>
        <w:tc>
          <w:tcPr>
            <w:tcW w:w="680" w:type="dxa"/>
            <w:vAlign w:val="bottom"/>
            <w:tcBorders>
              <w:bottom w:val="single" w:sz="8" w:color="0000FF"/>
            </w:tcBorders>
            <w:gridSpan w:val="3"/>
          </w:tcPr>
          <w:p>
            <w:pPr>
              <w:spacing w:after="0"/>
              <w:rPr>
                <w:rFonts w:ascii="Arial" w:cs="Arial" w:eastAsia="Arial" w:hAnsi="Arial"/>
                <w:sz w:val="16"/>
                <w:szCs w:val="16"/>
                <w:b w:val="1"/>
                <w:bCs w:val="1"/>
                <w:color w:val="0000FF"/>
              </w:rPr>
            </w:pPr>
            <w:hyperlink w:anchor="page47">
              <w:r>
                <w:rPr>
                  <w:rFonts w:ascii="Arial" w:cs="Arial" w:eastAsia="Arial" w:hAnsi="Arial"/>
                  <w:sz w:val="16"/>
                  <w:szCs w:val="16"/>
                  <w:b w:val="1"/>
                  <w:bCs w:val="1"/>
                  <w:color w:val="0000FF"/>
                </w:rPr>
                <w:t>PART II.</w:t>
              </w:r>
            </w:hyperlink>
          </w:p>
        </w:tc>
        <w:tc>
          <w:tcPr>
            <w:tcW w:w="360" w:type="dxa"/>
            <w:vAlign w:val="bottom"/>
          </w:tcPr>
          <w:p>
            <w:pPr>
              <w:spacing w:after="0"/>
              <w:rPr>
                <w:sz w:val="24"/>
                <w:szCs w:val="24"/>
                <w:color w:val="auto"/>
              </w:rPr>
            </w:pPr>
          </w:p>
        </w:tc>
        <w:tc>
          <w:tcPr>
            <w:tcW w:w="1820" w:type="dxa"/>
            <w:vAlign w:val="bottom"/>
            <w:tcBorders>
              <w:bottom w:val="single" w:sz="8" w:color="0000FF"/>
            </w:tcBorders>
            <w:gridSpan w:val="7"/>
          </w:tcPr>
          <w:p>
            <w:pPr>
              <w:spacing w:after="0"/>
              <w:rPr>
                <w:rFonts w:ascii="Arial" w:cs="Arial" w:eastAsia="Arial" w:hAnsi="Arial"/>
                <w:sz w:val="16"/>
                <w:szCs w:val="16"/>
                <w:b w:val="1"/>
                <w:bCs w:val="1"/>
                <w:color w:val="0000FF"/>
              </w:rPr>
            </w:pPr>
            <w:hyperlink w:anchor="page47">
              <w:r>
                <w:rPr>
                  <w:rFonts w:ascii="Arial" w:cs="Arial" w:eastAsia="Arial" w:hAnsi="Arial"/>
                  <w:sz w:val="16"/>
                  <w:szCs w:val="16"/>
                  <w:b w:val="1"/>
                  <w:bCs w:val="1"/>
                  <w:color w:val="0000FF"/>
                </w:rPr>
                <w:t>OTHER INFORMATION</w:t>
              </w:r>
            </w:hyperlink>
          </w:p>
        </w:tc>
        <w:tc>
          <w:tcPr>
            <w:tcW w:w="5760" w:type="dxa"/>
            <w:vAlign w:val="bottom"/>
            <w:gridSpan w:val="5"/>
          </w:tcPr>
          <w:p>
            <w:pPr>
              <w:spacing w:after="0"/>
              <w:rPr>
                <w:sz w:val="24"/>
                <w:szCs w:val="24"/>
                <w:color w:val="auto"/>
              </w:rPr>
            </w:pPr>
          </w:p>
        </w:tc>
        <w:tc>
          <w:tcPr>
            <w:tcW w:w="17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216"/>
        </w:trPr>
        <w:tc>
          <w:tcPr>
            <w:tcW w:w="580" w:type="dxa"/>
            <w:vAlign w:val="bottom"/>
            <w:tcBorders>
              <w:bottom w:val="single" w:sz="8" w:color="0000FF"/>
            </w:tcBorders>
            <w:gridSpan w:val="2"/>
          </w:tcPr>
          <w:p>
            <w:pPr>
              <w:spacing w:after="0" w:line="183" w:lineRule="exact"/>
              <w:rPr>
                <w:rFonts w:ascii="Arial" w:cs="Arial" w:eastAsia="Arial" w:hAnsi="Arial"/>
                <w:sz w:val="16"/>
                <w:szCs w:val="16"/>
                <w:color w:val="0000FF"/>
              </w:rPr>
            </w:pPr>
            <w:hyperlink w:anchor="page48">
              <w:r>
                <w:rPr>
                  <w:rFonts w:ascii="Arial" w:cs="Arial" w:eastAsia="Arial" w:hAnsi="Arial"/>
                  <w:sz w:val="16"/>
                  <w:szCs w:val="16"/>
                  <w:color w:val="0000FF"/>
                </w:rPr>
                <w:t>Item 1.</w:t>
              </w:r>
            </w:hyperlink>
          </w:p>
        </w:tc>
        <w:tc>
          <w:tcPr>
            <w:tcW w:w="460" w:type="dxa"/>
            <w:vAlign w:val="bottom"/>
            <w:gridSpan w:val="2"/>
          </w:tcPr>
          <w:p>
            <w:pPr>
              <w:spacing w:after="0"/>
              <w:rPr>
                <w:sz w:val="18"/>
                <w:szCs w:val="18"/>
                <w:color w:val="auto"/>
              </w:rPr>
            </w:pPr>
          </w:p>
        </w:tc>
        <w:tc>
          <w:tcPr>
            <w:tcW w:w="1200" w:type="dxa"/>
            <w:vAlign w:val="bottom"/>
            <w:tcBorders>
              <w:bottom w:val="single" w:sz="8" w:color="0000FF"/>
            </w:tcBorders>
            <w:gridSpan w:val="4"/>
          </w:tcPr>
          <w:p>
            <w:pPr>
              <w:spacing w:after="0" w:line="183" w:lineRule="exact"/>
              <w:rPr>
                <w:rFonts w:ascii="Arial" w:cs="Arial" w:eastAsia="Arial" w:hAnsi="Arial"/>
                <w:sz w:val="16"/>
                <w:szCs w:val="16"/>
                <w:color w:val="0000FF"/>
                <w:w w:val="89"/>
              </w:rPr>
            </w:pPr>
            <w:hyperlink w:anchor="page48">
              <w:r>
                <w:rPr>
                  <w:rFonts w:ascii="Arial" w:cs="Arial" w:eastAsia="Arial" w:hAnsi="Arial"/>
                  <w:sz w:val="16"/>
                  <w:szCs w:val="16"/>
                  <w:color w:val="0000FF"/>
                  <w:w w:val="89"/>
                </w:rPr>
                <w:t>Legal Proceedings</w:t>
              </w:r>
            </w:hyperlink>
          </w:p>
        </w:tc>
        <w:tc>
          <w:tcPr>
            <w:tcW w:w="840" w:type="dxa"/>
            <w:vAlign w:val="bottom"/>
            <w:tcBorders>
              <w:bottom w:val="single" w:sz="8" w:color="0000FF"/>
            </w:tcBorders>
            <w:gridSpan w:val="4"/>
          </w:tcPr>
          <w:p>
            <w:pPr>
              <w:spacing w:after="0"/>
              <w:rPr>
                <w:sz w:val="18"/>
                <w:szCs w:val="18"/>
                <w:color w:val="auto"/>
              </w:rPr>
            </w:pPr>
          </w:p>
        </w:tc>
        <w:tc>
          <w:tcPr>
            <w:tcW w:w="1860" w:type="dxa"/>
            <w:vAlign w:val="bottom"/>
            <w:gridSpan w:val="2"/>
          </w:tcPr>
          <w:p>
            <w:pPr>
              <w:spacing w:after="0"/>
              <w:rPr>
                <w:sz w:val="18"/>
                <w:szCs w:val="18"/>
                <w:color w:val="auto"/>
              </w:rPr>
            </w:pPr>
          </w:p>
        </w:tc>
        <w:tc>
          <w:tcPr>
            <w:tcW w:w="3680" w:type="dxa"/>
            <w:vAlign w:val="bottom"/>
            <w:gridSpan w:val="2"/>
          </w:tcPr>
          <w:p>
            <w:pPr>
              <w:spacing w:after="0"/>
              <w:rPr>
                <w:sz w:val="18"/>
                <w:szCs w:val="18"/>
                <w:color w:val="auto"/>
              </w:rPr>
            </w:pPr>
          </w:p>
        </w:tc>
        <w:tc>
          <w:tcPr>
            <w:tcW w:w="1780" w:type="dxa"/>
            <w:vAlign w:val="bottom"/>
          </w:tcPr>
          <w:p>
            <w:pPr>
              <w:spacing w:after="0"/>
              <w:rPr>
                <w:sz w:val="18"/>
                <w:szCs w:val="18"/>
                <w:color w:val="auto"/>
              </w:rPr>
            </w:pPr>
          </w:p>
        </w:tc>
        <w:tc>
          <w:tcPr>
            <w:tcW w:w="180" w:type="dxa"/>
            <w:vAlign w:val="bottom"/>
            <w:tcBorders>
              <w:bottom w:val="single" w:sz="8" w:color="0000FF"/>
            </w:tcBorders>
            <w:gridSpan w:val="3"/>
          </w:tcPr>
          <w:p>
            <w:pPr>
              <w:jc w:val="right"/>
              <w:spacing w:after="0" w:line="176" w:lineRule="exact"/>
              <w:rPr>
                <w:rFonts w:ascii="Arial" w:cs="Arial" w:eastAsia="Arial" w:hAnsi="Arial"/>
                <w:sz w:val="18"/>
                <w:szCs w:val="18"/>
                <w:color w:val="0000FF"/>
                <w:w w:val="79"/>
              </w:rPr>
            </w:pPr>
            <w:hyperlink w:anchor="page48">
              <w:r>
                <w:rPr>
                  <w:rFonts w:ascii="Arial" w:cs="Arial" w:eastAsia="Arial" w:hAnsi="Arial"/>
                  <w:sz w:val="18"/>
                  <w:szCs w:val="18"/>
                  <w:color w:val="0000FF"/>
                  <w:w w:val="79"/>
                </w:rPr>
                <w:t>47</w:t>
              </w:r>
            </w:hyperlink>
          </w:p>
        </w:tc>
      </w:tr>
      <w:tr>
        <w:trPr>
          <w:trHeight w:val="190"/>
        </w:trPr>
        <w:tc>
          <w:tcPr>
            <w:tcW w:w="1040" w:type="dxa"/>
            <w:vAlign w:val="bottom"/>
            <w:gridSpan w:val="4"/>
          </w:tcPr>
          <w:p>
            <w:pPr>
              <w:spacing w:after="0"/>
              <w:rPr>
                <w:rFonts w:ascii="Arial" w:cs="Arial" w:eastAsia="Arial" w:hAnsi="Arial"/>
                <w:sz w:val="16"/>
                <w:szCs w:val="16"/>
                <w:color w:val="0000FF"/>
              </w:rPr>
            </w:pPr>
            <w:hyperlink w:anchor="page48">
              <w:r>
                <w:rPr>
                  <w:rFonts w:ascii="Arial" w:cs="Arial" w:eastAsia="Arial" w:hAnsi="Arial"/>
                  <w:sz w:val="16"/>
                  <w:szCs w:val="16"/>
                  <w:color w:val="0000FF"/>
                </w:rPr>
                <w:t>Item 1A.</w:t>
              </w:r>
            </w:hyperlink>
          </w:p>
        </w:tc>
        <w:tc>
          <w:tcPr>
            <w:tcW w:w="7580" w:type="dxa"/>
            <w:vAlign w:val="bottom"/>
            <w:gridSpan w:val="12"/>
          </w:tcPr>
          <w:p>
            <w:pPr>
              <w:spacing w:after="0"/>
              <w:rPr>
                <w:rFonts w:ascii="Arial" w:cs="Arial" w:eastAsia="Arial" w:hAnsi="Arial"/>
                <w:sz w:val="16"/>
                <w:szCs w:val="16"/>
                <w:color w:val="0000FF"/>
              </w:rPr>
            </w:pPr>
            <w:hyperlink w:anchor="page48">
              <w:r>
                <w:rPr>
                  <w:rFonts w:ascii="Arial" w:cs="Arial" w:eastAsia="Arial" w:hAnsi="Arial"/>
                  <w:sz w:val="16"/>
                  <w:szCs w:val="16"/>
                  <w:color w:val="0000FF"/>
                </w:rPr>
                <w:t>Risk Factors</w:t>
              </w:r>
            </w:hyperlink>
          </w:p>
        </w:tc>
        <w:tc>
          <w:tcPr>
            <w:tcW w:w="1960" w:type="dxa"/>
            <w:vAlign w:val="bottom"/>
            <w:gridSpan w:val="4"/>
          </w:tcPr>
          <w:p>
            <w:pPr>
              <w:jc w:val="right"/>
              <w:spacing w:after="0"/>
              <w:rPr>
                <w:rFonts w:ascii="Arial" w:cs="Arial" w:eastAsia="Arial" w:hAnsi="Arial"/>
                <w:sz w:val="16"/>
                <w:szCs w:val="16"/>
                <w:color w:val="0000FF"/>
              </w:rPr>
            </w:pPr>
            <w:hyperlink w:anchor="page48">
              <w:r>
                <w:rPr>
                  <w:rFonts w:ascii="Arial" w:cs="Arial" w:eastAsia="Arial" w:hAnsi="Arial"/>
                  <w:sz w:val="16"/>
                  <w:szCs w:val="16"/>
                  <w:color w:val="0000FF"/>
                </w:rPr>
                <w:t>47</w:t>
              </w:r>
            </w:hyperlink>
          </w:p>
        </w:tc>
      </w:tr>
      <w:tr>
        <w:trPr>
          <w:trHeight w:val="20"/>
        </w:trPr>
        <w:tc>
          <w:tcPr>
            <w:tcW w:w="580" w:type="dxa"/>
            <w:vAlign w:val="bottom"/>
            <w:gridSpan w:val="2"/>
            <w:shd w:val="clear" w:color="auto" w:fill="0000FF"/>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60" w:type="dxa"/>
            <w:vAlign w:val="bottom"/>
            <w:gridSpan w:val="5"/>
          </w:tcPr>
          <w:p>
            <w:pPr>
              <w:spacing w:after="0" w:line="20" w:lineRule="exact"/>
              <w:rPr>
                <w:sz w:val="1"/>
                <w:szCs w:val="1"/>
                <w:color w:val="auto"/>
              </w:rPr>
            </w:pPr>
          </w:p>
        </w:tc>
        <w:tc>
          <w:tcPr>
            <w:tcW w:w="1860" w:type="dxa"/>
            <w:vAlign w:val="bottom"/>
            <w:gridSpan w:val="2"/>
          </w:tcPr>
          <w:p>
            <w:pPr>
              <w:spacing w:after="0" w:line="20" w:lineRule="exact"/>
              <w:rPr>
                <w:sz w:val="1"/>
                <w:szCs w:val="1"/>
                <w:color w:val="auto"/>
              </w:rPr>
            </w:pPr>
          </w:p>
        </w:tc>
        <w:tc>
          <w:tcPr>
            <w:tcW w:w="3680" w:type="dxa"/>
            <w:vAlign w:val="bottom"/>
            <w:gridSpan w:val="2"/>
          </w:tcPr>
          <w:p>
            <w:pPr>
              <w:spacing w:after="0" w:line="20" w:lineRule="exact"/>
              <w:rPr>
                <w:sz w:val="1"/>
                <w:szCs w:val="1"/>
                <w:color w:val="auto"/>
              </w:rPr>
            </w:pPr>
          </w:p>
        </w:tc>
        <w:tc>
          <w:tcPr>
            <w:tcW w:w="1840" w:type="dxa"/>
            <w:vAlign w:val="bottom"/>
            <w:tcBorders>
              <w:right w:val="single" w:sz="8" w:color="0000FF"/>
            </w:tcBorders>
            <w:gridSpan w:val="2"/>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r>
      <w:tr>
        <w:trPr>
          <w:trHeight w:val="196"/>
        </w:trPr>
        <w:tc>
          <w:tcPr>
            <w:tcW w:w="460" w:type="dxa"/>
            <w:vAlign w:val="bottom"/>
          </w:tcPr>
          <w:p>
            <w:pPr>
              <w:spacing w:after="0"/>
              <w:rPr>
                <w:rFonts w:ascii="Arial" w:cs="Arial" w:eastAsia="Arial" w:hAnsi="Arial"/>
                <w:sz w:val="16"/>
                <w:szCs w:val="16"/>
                <w:color w:val="0000FF"/>
                <w:w w:val="85"/>
              </w:rPr>
            </w:pPr>
            <w:hyperlink w:anchor="page48">
              <w:r>
                <w:rPr>
                  <w:rFonts w:ascii="Arial" w:cs="Arial" w:eastAsia="Arial" w:hAnsi="Arial"/>
                  <w:sz w:val="16"/>
                  <w:szCs w:val="16"/>
                  <w:color w:val="0000FF"/>
                  <w:w w:val="85"/>
                </w:rPr>
                <w:t>Item 2.</w:t>
              </w:r>
            </w:hyperlink>
          </w:p>
        </w:tc>
        <w:tc>
          <w:tcPr>
            <w:tcW w:w="120" w:type="dxa"/>
            <w:vAlign w:val="bottom"/>
          </w:tcPr>
          <w:p>
            <w:pPr>
              <w:spacing w:after="0"/>
              <w:rPr>
                <w:sz w:val="17"/>
                <w:szCs w:val="17"/>
                <w:color w:val="auto"/>
              </w:rPr>
            </w:pPr>
          </w:p>
        </w:tc>
        <w:tc>
          <w:tcPr>
            <w:tcW w:w="460" w:type="dxa"/>
            <w:vAlign w:val="bottom"/>
            <w:gridSpan w:val="2"/>
          </w:tcPr>
          <w:p>
            <w:pPr>
              <w:spacing w:after="0"/>
              <w:rPr>
                <w:sz w:val="17"/>
                <w:szCs w:val="17"/>
                <w:color w:val="auto"/>
              </w:rPr>
            </w:pPr>
          </w:p>
        </w:tc>
        <w:tc>
          <w:tcPr>
            <w:tcW w:w="7580" w:type="dxa"/>
            <w:vAlign w:val="bottom"/>
            <w:gridSpan w:val="12"/>
          </w:tcPr>
          <w:p>
            <w:pPr>
              <w:spacing w:after="0"/>
              <w:rPr>
                <w:rFonts w:ascii="Arial" w:cs="Arial" w:eastAsia="Arial" w:hAnsi="Arial"/>
                <w:sz w:val="16"/>
                <w:szCs w:val="16"/>
                <w:color w:val="0000FF"/>
              </w:rPr>
            </w:pPr>
            <w:hyperlink w:anchor="page48">
              <w:r>
                <w:rPr>
                  <w:rFonts w:ascii="Arial" w:cs="Arial" w:eastAsia="Arial" w:hAnsi="Arial"/>
                  <w:sz w:val="16"/>
                  <w:szCs w:val="16"/>
                  <w:color w:val="0000FF"/>
                </w:rPr>
                <w:t>Unregistered Sales of Equity Securities and Use of Proceeds</w:t>
              </w:r>
            </w:hyperlink>
          </w:p>
        </w:tc>
        <w:tc>
          <w:tcPr>
            <w:tcW w:w="1960" w:type="dxa"/>
            <w:vAlign w:val="bottom"/>
            <w:gridSpan w:val="4"/>
          </w:tcPr>
          <w:p>
            <w:pPr>
              <w:jc w:val="right"/>
              <w:spacing w:after="0"/>
              <w:rPr>
                <w:rFonts w:ascii="Arial" w:cs="Arial" w:eastAsia="Arial" w:hAnsi="Arial"/>
                <w:sz w:val="16"/>
                <w:szCs w:val="16"/>
                <w:color w:val="0000FF"/>
              </w:rPr>
            </w:pPr>
            <w:hyperlink w:anchor="page48">
              <w:r>
                <w:rPr>
                  <w:rFonts w:ascii="Arial" w:cs="Arial" w:eastAsia="Arial" w:hAnsi="Arial"/>
                  <w:sz w:val="16"/>
                  <w:szCs w:val="16"/>
                  <w:color w:val="0000FF"/>
                </w:rPr>
                <w:t>47</w:t>
              </w:r>
            </w:hyperlink>
          </w:p>
        </w:tc>
      </w:tr>
      <w:tr>
        <w:trPr>
          <w:trHeight w:val="20"/>
        </w:trPr>
        <w:tc>
          <w:tcPr>
            <w:tcW w:w="460" w:type="dxa"/>
            <w:vAlign w:val="bottom"/>
            <w:shd w:val="clear" w:color="auto" w:fill="0000FF"/>
          </w:tcPr>
          <w:p>
            <w:pPr>
              <w:spacing w:after="0" w:line="20" w:lineRule="exact"/>
              <w:rPr>
                <w:sz w:val="1"/>
                <w:szCs w:val="1"/>
                <w:color w:val="auto"/>
              </w:rPr>
            </w:pPr>
          </w:p>
        </w:tc>
        <w:tc>
          <w:tcPr>
            <w:tcW w:w="220" w:type="dxa"/>
            <w:vAlign w:val="bottom"/>
            <w:tcBorders>
              <w:left w:val="single" w:sz="8" w:color="0000FF"/>
            </w:tcBorders>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FF"/>
          </w:tcPr>
          <w:p>
            <w:pPr>
              <w:spacing w:after="0" w:line="20" w:lineRule="exact"/>
              <w:rPr>
                <w:sz w:val="1"/>
                <w:szCs w:val="1"/>
                <w:color w:val="auto"/>
              </w:rPr>
            </w:pPr>
          </w:p>
        </w:tc>
        <w:tc>
          <w:tcPr>
            <w:tcW w:w="640" w:type="dxa"/>
            <w:vAlign w:val="bottom"/>
            <w:gridSpan w:val="2"/>
            <w:shd w:val="clear" w:color="auto" w:fill="0000FF"/>
          </w:tcPr>
          <w:p>
            <w:pPr>
              <w:spacing w:after="0" w:line="20" w:lineRule="exact"/>
              <w:rPr>
                <w:sz w:val="1"/>
                <w:szCs w:val="1"/>
                <w:color w:val="auto"/>
              </w:rPr>
            </w:pPr>
          </w:p>
        </w:tc>
        <w:tc>
          <w:tcPr>
            <w:tcW w:w="860" w:type="dxa"/>
            <w:vAlign w:val="bottom"/>
            <w:gridSpan w:val="5"/>
            <w:shd w:val="clear" w:color="auto" w:fill="0000FF"/>
          </w:tcPr>
          <w:p>
            <w:pPr>
              <w:spacing w:after="0" w:line="20" w:lineRule="exact"/>
              <w:rPr>
                <w:sz w:val="1"/>
                <w:szCs w:val="1"/>
                <w:color w:val="auto"/>
              </w:rPr>
            </w:pPr>
          </w:p>
        </w:tc>
        <w:tc>
          <w:tcPr>
            <w:tcW w:w="1860" w:type="dxa"/>
            <w:vAlign w:val="bottom"/>
            <w:gridSpan w:val="2"/>
            <w:shd w:val="clear" w:color="auto" w:fill="0000FF"/>
          </w:tcPr>
          <w:p>
            <w:pPr>
              <w:spacing w:after="0" w:line="20" w:lineRule="exact"/>
              <w:rPr>
                <w:sz w:val="1"/>
                <w:szCs w:val="1"/>
                <w:color w:val="auto"/>
              </w:rPr>
            </w:pPr>
          </w:p>
        </w:tc>
        <w:tc>
          <w:tcPr>
            <w:tcW w:w="3680" w:type="dxa"/>
            <w:vAlign w:val="bottom"/>
            <w:gridSpan w:val="2"/>
          </w:tcPr>
          <w:p>
            <w:pPr>
              <w:spacing w:after="0" w:line="20" w:lineRule="exact"/>
              <w:rPr>
                <w:sz w:val="1"/>
                <w:szCs w:val="1"/>
                <w:color w:val="auto"/>
              </w:rPr>
            </w:pPr>
          </w:p>
        </w:tc>
        <w:tc>
          <w:tcPr>
            <w:tcW w:w="1840" w:type="dxa"/>
            <w:vAlign w:val="bottom"/>
            <w:tcBorders>
              <w:right w:val="single" w:sz="8" w:color="0000FF"/>
            </w:tcBorders>
            <w:gridSpan w:val="2"/>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r>
      <w:tr>
        <w:trPr>
          <w:trHeight w:val="203"/>
        </w:trPr>
        <w:tc>
          <w:tcPr>
            <w:tcW w:w="460" w:type="dxa"/>
            <w:vAlign w:val="bottom"/>
            <w:tcBorders>
              <w:bottom w:val="single" w:sz="8" w:color="0000FF"/>
            </w:tcBorders>
          </w:tcPr>
          <w:p>
            <w:pPr>
              <w:spacing w:after="0" w:line="183" w:lineRule="exact"/>
              <w:rPr>
                <w:rFonts w:ascii="Arial" w:cs="Arial" w:eastAsia="Arial" w:hAnsi="Arial"/>
                <w:sz w:val="16"/>
                <w:szCs w:val="16"/>
                <w:color w:val="0000FF"/>
                <w:w w:val="85"/>
              </w:rPr>
            </w:pPr>
            <w:hyperlink w:anchor="page48">
              <w:r>
                <w:rPr>
                  <w:rFonts w:ascii="Arial" w:cs="Arial" w:eastAsia="Arial" w:hAnsi="Arial"/>
                  <w:sz w:val="16"/>
                  <w:szCs w:val="16"/>
                  <w:color w:val="0000FF"/>
                  <w:w w:val="85"/>
                </w:rPr>
                <w:t>Item 3.</w:t>
              </w:r>
            </w:hyperlink>
          </w:p>
        </w:tc>
        <w:tc>
          <w:tcPr>
            <w:tcW w:w="220" w:type="dxa"/>
            <w:vAlign w:val="bottom"/>
            <w:tcBorders>
              <w:bottom w:val="single" w:sz="8" w:color="0000FF"/>
            </w:tcBorders>
            <w:gridSpan w:val="2"/>
          </w:tcPr>
          <w:p>
            <w:pPr>
              <w:spacing w:after="0"/>
              <w:rPr>
                <w:sz w:val="17"/>
                <w:szCs w:val="17"/>
                <w:color w:val="auto"/>
              </w:rPr>
            </w:pPr>
          </w:p>
        </w:tc>
        <w:tc>
          <w:tcPr>
            <w:tcW w:w="360" w:type="dxa"/>
            <w:vAlign w:val="bottom"/>
          </w:tcPr>
          <w:p>
            <w:pPr>
              <w:spacing w:after="0"/>
              <w:rPr>
                <w:sz w:val="17"/>
                <w:szCs w:val="17"/>
                <w:color w:val="auto"/>
              </w:rPr>
            </w:pPr>
          </w:p>
        </w:tc>
        <w:tc>
          <w:tcPr>
            <w:tcW w:w="3900" w:type="dxa"/>
            <w:vAlign w:val="bottom"/>
            <w:tcBorders>
              <w:bottom w:val="single" w:sz="8" w:color="0000FF"/>
            </w:tcBorders>
            <w:gridSpan w:val="10"/>
          </w:tcPr>
          <w:p>
            <w:pPr>
              <w:spacing w:after="0" w:line="183" w:lineRule="exact"/>
              <w:rPr>
                <w:rFonts w:ascii="Arial" w:cs="Arial" w:eastAsia="Arial" w:hAnsi="Arial"/>
                <w:sz w:val="16"/>
                <w:szCs w:val="16"/>
                <w:color w:val="0000FF"/>
              </w:rPr>
            </w:pPr>
            <w:hyperlink w:anchor="page48">
              <w:r>
                <w:rPr>
                  <w:rFonts w:ascii="Arial" w:cs="Arial" w:eastAsia="Arial" w:hAnsi="Arial"/>
                  <w:sz w:val="16"/>
                  <w:szCs w:val="16"/>
                  <w:color w:val="0000FF"/>
                </w:rPr>
                <w:t>Defaults upon Senior Securities</w:t>
              </w:r>
            </w:hyperlink>
          </w:p>
        </w:tc>
        <w:tc>
          <w:tcPr>
            <w:tcW w:w="3680" w:type="dxa"/>
            <w:vAlign w:val="bottom"/>
            <w:tcBorders>
              <w:bottom w:val="single" w:sz="8" w:color="0000FF"/>
            </w:tcBorders>
            <w:gridSpan w:val="2"/>
          </w:tcPr>
          <w:p>
            <w:pPr>
              <w:spacing w:after="0"/>
              <w:rPr>
                <w:sz w:val="17"/>
                <w:szCs w:val="17"/>
                <w:color w:val="auto"/>
              </w:rPr>
            </w:pPr>
          </w:p>
        </w:tc>
        <w:tc>
          <w:tcPr>
            <w:tcW w:w="1780" w:type="dxa"/>
            <w:vAlign w:val="bottom"/>
          </w:tcPr>
          <w:p>
            <w:pPr>
              <w:spacing w:after="0"/>
              <w:rPr>
                <w:sz w:val="17"/>
                <w:szCs w:val="17"/>
                <w:color w:val="auto"/>
              </w:rPr>
            </w:pPr>
          </w:p>
        </w:tc>
        <w:tc>
          <w:tcPr>
            <w:tcW w:w="180" w:type="dxa"/>
            <w:vAlign w:val="bottom"/>
            <w:tcBorders>
              <w:bottom w:val="single" w:sz="8" w:color="0000FF"/>
            </w:tcBorders>
            <w:gridSpan w:val="3"/>
          </w:tcPr>
          <w:p>
            <w:pPr>
              <w:jc w:val="right"/>
              <w:spacing w:after="0" w:line="182" w:lineRule="exact"/>
              <w:rPr>
                <w:rFonts w:ascii="Arial" w:cs="Arial" w:eastAsia="Arial" w:hAnsi="Arial"/>
                <w:sz w:val="18"/>
                <w:szCs w:val="18"/>
                <w:color w:val="0000FF"/>
                <w:w w:val="79"/>
              </w:rPr>
            </w:pPr>
            <w:hyperlink w:anchor="page48">
              <w:r>
                <w:rPr>
                  <w:rFonts w:ascii="Arial" w:cs="Arial" w:eastAsia="Arial" w:hAnsi="Arial"/>
                  <w:sz w:val="18"/>
                  <w:szCs w:val="18"/>
                  <w:color w:val="0000FF"/>
                  <w:w w:val="79"/>
                </w:rPr>
                <w:t>47</w:t>
              </w:r>
            </w:hyperlink>
          </w:p>
        </w:tc>
      </w:tr>
      <w:tr>
        <w:trPr>
          <w:trHeight w:val="203"/>
        </w:trPr>
        <w:tc>
          <w:tcPr>
            <w:tcW w:w="680" w:type="dxa"/>
            <w:vAlign w:val="bottom"/>
            <w:gridSpan w:val="3"/>
          </w:tcPr>
          <w:p>
            <w:pPr>
              <w:spacing w:after="0"/>
              <w:rPr>
                <w:rFonts w:ascii="Arial" w:cs="Arial" w:eastAsia="Arial" w:hAnsi="Arial"/>
                <w:sz w:val="16"/>
                <w:szCs w:val="16"/>
                <w:color w:val="0000FF"/>
              </w:rPr>
            </w:pPr>
            <w:hyperlink w:anchor="page48">
              <w:r>
                <w:rPr>
                  <w:rFonts w:ascii="Arial" w:cs="Arial" w:eastAsia="Arial" w:hAnsi="Arial"/>
                  <w:sz w:val="16"/>
                  <w:szCs w:val="16"/>
                  <w:color w:val="0000FF"/>
                </w:rPr>
                <w:t>Item 4.</w:t>
              </w:r>
            </w:hyperlink>
          </w:p>
        </w:tc>
        <w:tc>
          <w:tcPr>
            <w:tcW w:w="360" w:type="dxa"/>
            <w:vAlign w:val="bottom"/>
          </w:tcPr>
          <w:p>
            <w:pPr>
              <w:spacing w:after="0"/>
              <w:rPr>
                <w:sz w:val="17"/>
                <w:szCs w:val="17"/>
                <w:color w:val="auto"/>
              </w:rPr>
            </w:pPr>
          </w:p>
        </w:tc>
        <w:tc>
          <w:tcPr>
            <w:tcW w:w="7580" w:type="dxa"/>
            <w:vAlign w:val="bottom"/>
            <w:gridSpan w:val="12"/>
          </w:tcPr>
          <w:p>
            <w:pPr>
              <w:spacing w:after="0"/>
              <w:rPr>
                <w:rFonts w:ascii="Arial" w:cs="Arial" w:eastAsia="Arial" w:hAnsi="Arial"/>
                <w:sz w:val="16"/>
                <w:szCs w:val="16"/>
                <w:color w:val="0000FF"/>
              </w:rPr>
            </w:pPr>
            <w:hyperlink w:anchor="page48">
              <w:r>
                <w:rPr>
                  <w:rFonts w:ascii="Arial" w:cs="Arial" w:eastAsia="Arial" w:hAnsi="Arial"/>
                  <w:sz w:val="16"/>
                  <w:szCs w:val="16"/>
                  <w:color w:val="0000FF"/>
                </w:rPr>
                <w:t>Mine Safety Disclosures</w:t>
              </w:r>
            </w:hyperlink>
          </w:p>
        </w:tc>
        <w:tc>
          <w:tcPr>
            <w:tcW w:w="1960" w:type="dxa"/>
            <w:vAlign w:val="bottom"/>
            <w:gridSpan w:val="4"/>
          </w:tcPr>
          <w:p>
            <w:pPr>
              <w:jc w:val="right"/>
              <w:spacing w:after="0"/>
              <w:rPr>
                <w:rFonts w:ascii="Arial" w:cs="Arial" w:eastAsia="Arial" w:hAnsi="Arial"/>
                <w:sz w:val="16"/>
                <w:szCs w:val="16"/>
                <w:color w:val="0000FF"/>
              </w:rPr>
            </w:pPr>
            <w:hyperlink w:anchor="page48">
              <w:r>
                <w:rPr>
                  <w:rFonts w:ascii="Arial" w:cs="Arial" w:eastAsia="Arial" w:hAnsi="Arial"/>
                  <w:sz w:val="16"/>
                  <w:szCs w:val="16"/>
                  <w:color w:val="0000FF"/>
                </w:rPr>
                <w:t>47</w:t>
              </w:r>
            </w:hyperlink>
          </w:p>
        </w:tc>
      </w:tr>
      <w:tr>
        <w:trPr>
          <w:trHeight w:val="196"/>
        </w:trPr>
        <w:tc>
          <w:tcPr>
            <w:tcW w:w="460" w:type="dxa"/>
            <w:vAlign w:val="bottom"/>
            <w:tcBorders>
              <w:top w:val="single" w:sz="8" w:color="0000FF"/>
            </w:tcBorders>
          </w:tcPr>
          <w:p>
            <w:pPr>
              <w:spacing w:after="0"/>
              <w:rPr>
                <w:rFonts w:ascii="Arial" w:cs="Arial" w:eastAsia="Arial" w:hAnsi="Arial"/>
                <w:sz w:val="16"/>
                <w:szCs w:val="16"/>
                <w:color w:val="0000FF"/>
                <w:w w:val="85"/>
              </w:rPr>
            </w:pPr>
            <w:hyperlink w:anchor="page48">
              <w:r>
                <w:rPr>
                  <w:rFonts w:ascii="Arial" w:cs="Arial" w:eastAsia="Arial" w:hAnsi="Arial"/>
                  <w:sz w:val="16"/>
                  <w:szCs w:val="16"/>
                  <w:color w:val="0000FF"/>
                  <w:w w:val="85"/>
                </w:rPr>
                <w:t>Item 5.</w:t>
              </w:r>
            </w:hyperlink>
          </w:p>
        </w:tc>
        <w:tc>
          <w:tcPr>
            <w:tcW w:w="220" w:type="dxa"/>
            <w:vAlign w:val="bottom"/>
            <w:tcBorders>
              <w:top w:val="single" w:sz="8" w:color="0000FF"/>
            </w:tcBorders>
            <w:gridSpan w:val="2"/>
          </w:tcPr>
          <w:p>
            <w:pPr>
              <w:spacing w:after="0"/>
              <w:rPr>
                <w:sz w:val="17"/>
                <w:szCs w:val="17"/>
                <w:color w:val="auto"/>
              </w:rPr>
            </w:pPr>
          </w:p>
        </w:tc>
        <w:tc>
          <w:tcPr>
            <w:tcW w:w="360" w:type="dxa"/>
            <w:vAlign w:val="bottom"/>
          </w:tcPr>
          <w:p>
            <w:pPr>
              <w:spacing w:after="0"/>
              <w:rPr>
                <w:sz w:val="17"/>
                <w:szCs w:val="17"/>
                <w:color w:val="auto"/>
              </w:rPr>
            </w:pPr>
          </w:p>
        </w:tc>
        <w:tc>
          <w:tcPr>
            <w:tcW w:w="1180" w:type="dxa"/>
            <w:vAlign w:val="bottom"/>
            <w:tcBorders>
              <w:top w:val="single" w:sz="8" w:color="0000FF"/>
            </w:tcBorders>
            <w:gridSpan w:val="3"/>
          </w:tcPr>
          <w:p>
            <w:pPr>
              <w:spacing w:after="0"/>
              <w:rPr>
                <w:rFonts w:ascii="Arial" w:cs="Arial" w:eastAsia="Arial" w:hAnsi="Arial"/>
                <w:sz w:val="16"/>
                <w:szCs w:val="16"/>
                <w:color w:val="0000FF"/>
                <w:w w:val="93"/>
              </w:rPr>
            </w:pPr>
            <w:hyperlink w:anchor="page48">
              <w:r>
                <w:rPr>
                  <w:rFonts w:ascii="Arial" w:cs="Arial" w:eastAsia="Arial" w:hAnsi="Arial"/>
                  <w:sz w:val="16"/>
                  <w:szCs w:val="16"/>
                  <w:color w:val="0000FF"/>
                  <w:w w:val="93"/>
                </w:rPr>
                <w:t>Other Information</w:t>
              </w:r>
            </w:hyperlink>
          </w:p>
        </w:tc>
        <w:tc>
          <w:tcPr>
            <w:tcW w:w="400" w:type="dxa"/>
            <w:vAlign w:val="bottom"/>
            <w:tcBorders>
              <w:top w:val="single" w:sz="8" w:color="0000FF"/>
            </w:tcBorders>
            <w:gridSpan w:val="3"/>
          </w:tcPr>
          <w:p>
            <w:pPr>
              <w:spacing w:after="0"/>
              <w:rPr>
                <w:sz w:val="17"/>
                <w:szCs w:val="17"/>
                <w:color w:val="auto"/>
              </w:rPr>
            </w:pPr>
          </w:p>
        </w:tc>
        <w:tc>
          <w:tcPr>
            <w:tcW w:w="6000" w:type="dxa"/>
            <w:vAlign w:val="bottom"/>
            <w:gridSpan w:val="6"/>
          </w:tcPr>
          <w:p>
            <w:pPr>
              <w:spacing w:after="0"/>
              <w:rPr>
                <w:sz w:val="17"/>
                <w:szCs w:val="17"/>
                <w:color w:val="auto"/>
              </w:rPr>
            </w:pPr>
          </w:p>
        </w:tc>
        <w:tc>
          <w:tcPr>
            <w:tcW w:w="1960" w:type="dxa"/>
            <w:vAlign w:val="bottom"/>
            <w:gridSpan w:val="4"/>
          </w:tcPr>
          <w:p>
            <w:pPr>
              <w:jc w:val="right"/>
              <w:spacing w:after="0"/>
              <w:rPr>
                <w:rFonts w:ascii="Arial" w:cs="Arial" w:eastAsia="Arial" w:hAnsi="Arial"/>
                <w:sz w:val="16"/>
                <w:szCs w:val="16"/>
                <w:color w:val="0000FF"/>
              </w:rPr>
            </w:pPr>
            <w:hyperlink w:anchor="page48">
              <w:r>
                <w:rPr>
                  <w:rFonts w:ascii="Arial" w:cs="Arial" w:eastAsia="Arial" w:hAnsi="Arial"/>
                  <w:sz w:val="16"/>
                  <w:szCs w:val="16"/>
                  <w:color w:val="0000FF"/>
                </w:rPr>
                <w:t>47</w:t>
              </w:r>
            </w:hyperlink>
          </w:p>
        </w:tc>
      </w:tr>
      <w:tr>
        <w:trPr>
          <w:trHeight w:val="20"/>
        </w:trPr>
        <w:tc>
          <w:tcPr>
            <w:tcW w:w="460" w:type="dxa"/>
            <w:vAlign w:val="bottom"/>
            <w:shd w:val="clear" w:color="auto" w:fill="0000FF"/>
          </w:tcPr>
          <w:p>
            <w:pPr>
              <w:spacing w:after="0" w:line="20" w:lineRule="exact"/>
              <w:rPr>
                <w:sz w:val="1"/>
                <w:szCs w:val="1"/>
                <w:color w:val="auto"/>
              </w:rPr>
            </w:pPr>
          </w:p>
        </w:tc>
        <w:tc>
          <w:tcPr>
            <w:tcW w:w="220" w:type="dxa"/>
            <w:vAlign w:val="bottom"/>
            <w:tcBorders>
              <w:left w:val="single" w:sz="8" w:color="0000FF"/>
            </w:tcBorders>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FF"/>
          </w:tcPr>
          <w:p>
            <w:pPr>
              <w:spacing w:after="0" w:line="20" w:lineRule="exact"/>
              <w:rPr>
                <w:sz w:val="1"/>
                <w:szCs w:val="1"/>
                <w:color w:val="auto"/>
              </w:rPr>
            </w:pPr>
          </w:p>
        </w:tc>
        <w:tc>
          <w:tcPr>
            <w:tcW w:w="640" w:type="dxa"/>
            <w:vAlign w:val="bottom"/>
            <w:gridSpan w:val="2"/>
            <w:shd w:val="clear" w:color="auto" w:fill="0000FF"/>
          </w:tcPr>
          <w:p>
            <w:pPr>
              <w:spacing w:after="0" w:line="20" w:lineRule="exact"/>
              <w:rPr>
                <w:sz w:val="1"/>
                <w:szCs w:val="1"/>
                <w:color w:val="auto"/>
              </w:rPr>
            </w:pPr>
          </w:p>
        </w:tc>
        <w:tc>
          <w:tcPr>
            <w:tcW w:w="6400" w:type="dxa"/>
            <w:vAlign w:val="bottom"/>
            <w:gridSpan w:val="9"/>
          </w:tcPr>
          <w:p>
            <w:pPr>
              <w:spacing w:after="0" w:line="20" w:lineRule="exact"/>
              <w:rPr>
                <w:sz w:val="1"/>
                <w:szCs w:val="1"/>
                <w:color w:val="auto"/>
              </w:rPr>
            </w:pPr>
          </w:p>
        </w:tc>
        <w:tc>
          <w:tcPr>
            <w:tcW w:w="1840" w:type="dxa"/>
            <w:vAlign w:val="bottom"/>
            <w:tcBorders>
              <w:right w:val="single" w:sz="8" w:color="0000FF"/>
            </w:tcBorders>
            <w:gridSpan w:val="2"/>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r>
      <w:tr>
        <w:trPr>
          <w:trHeight w:val="196"/>
        </w:trPr>
        <w:tc>
          <w:tcPr>
            <w:tcW w:w="460" w:type="dxa"/>
            <w:vAlign w:val="bottom"/>
          </w:tcPr>
          <w:p>
            <w:pPr>
              <w:spacing w:after="0"/>
              <w:rPr>
                <w:rFonts w:ascii="Arial" w:cs="Arial" w:eastAsia="Arial" w:hAnsi="Arial"/>
                <w:sz w:val="16"/>
                <w:szCs w:val="16"/>
                <w:color w:val="0000FF"/>
                <w:w w:val="85"/>
              </w:rPr>
            </w:pPr>
            <w:hyperlink w:anchor="page48">
              <w:r>
                <w:rPr>
                  <w:rFonts w:ascii="Arial" w:cs="Arial" w:eastAsia="Arial" w:hAnsi="Arial"/>
                  <w:sz w:val="16"/>
                  <w:szCs w:val="16"/>
                  <w:color w:val="0000FF"/>
                  <w:w w:val="85"/>
                </w:rPr>
                <w:t>Item 6.</w:t>
              </w:r>
            </w:hyperlink>
          </w:p>
        </w:tc>
        <w:tc>
          <w:tcPr>
            <w:tcW w:w="580" w:type="dxa"/>
            <w:vAlign w:val="bottom"/>
            <w:gridSpan w:val="3"/>
          </w:tcPr>
          <w:p>
            <w:pPr>
              <w:spacing w:after="0"/>
              <w:rPr>
                <w:sz w:val="17"/>
                <w:szCs w:val="17"/>
                <w:color w:val="auto"/>
              </w:rPr>
            </w:pPr>
          </w:p>
        </w:tc>
        <w:tc>
          <w:tcPr>
            <w:tcW w:w="540" w:type="dxa"/>
            <w:vAlign w:val="bottom"/>
          </w:tcPr>
          <w:p>
            <w:pPr>
              <w:spacing w:after="0"/>
              <w:rPr>
                <w:rFonts w:ascii="Arial" w:cs="Arial" w:eastAsia="Arial" w:hAnsi="Arial"/>
                <w:sz w:val="16"/>
                <w:szCs w:val="16"/>
                <w:color w:val="0000FF"/>
                <w:w w:val="92"/>
              </w:rPr>
            </w:pPr>
            <w:hyperlink w:anchor="page48">
              <w:r>
                <w:rPr>
                  <w:rFonts w:ascii="Arial" w:cs="Arial" w:eastAsia="Arial" w:hAnsi="Arial"/>
                  <w:sz w:val="16"/>
                  <w:szCs w:val="16"/>
                  <w:color w:val="0000FF"/>
                  <w:w w:val="92"/>
                </w:rPr>
                <w:t>Exhibits</w:t>
              </w:r>
            </w:hyperlink>
          </w:p>
        </w:tc>
        <w:tc>
          <w:tcPr>
            <w:tcW w:w="640" w:type="dxa"/>
            <w:vAlign w:val="bottom"/>
            <w:gridSpan w:val="2"/>
          </w:tcPr>
          <w:p>
            <w:pPr>
              <w:spacing w:after="0"/>
              <w:rPr>
                <w:sz w:val="17"/>
                <w:szCs w:val="17"/>
                <w:color w:val="auto"/>
              </w:rPr>
            </w:pPr>
          </w:p>
        </w:tc>
        <w:tc>
          <w:tcPr>
            <w:tcW w:w="6400" w:type="dxa"/>
            <w:vAlign w:val="bottom"/>
            <w:gridSpan w:val="9"/>
          </w:tcPr>
          <w:p>
            <w:pPr>
              <w:spacing w:after="0"/>
              <w:rPr>
                <w:sz w:val="17"/>
                <w:szCs w:val="17"/>
                <w:color w:val="auto"/>
              </w:rPr>
            </w:pPr>
          </w:p>
        </w:tc>
        <w:tc>
          <w:tcPr>
            <w:tcW w:w="1960" w:type="dxa"/>
            <w:vAlign w:val="bottom"/>
            <w:gridSpan w:val="4"/>
          </w:tcPr>
          <w:p>
            <w:pPr>
              <w:jc w:val="right"/>
              <w:spacing w:after="0"/>
              <w:rPr>
                <w:rFonts w:ascii="Arial" w:cs="Arial" w:eastAsia="Arial" w:hAnsi="Arial"/>
                <w:sz w:val="16"/>
                <w:szCs w:val="16"/>
                <w:color w:val="0000FF"/>
              </w:rPr>
            </w:pPr>
            <w:hyperlink w:anchor="page48">
              <w:r>
                <w:rPr>
                  <w:rFonts w:ascii="Arial" w:cs="Arial" w:eastAsia="Arial" w:hAnsi="Arial"/>
                  <w:sz w:val="16"/>
                  <w:szCs w:val="16"/>
                  <w:color w:val="0000FF"/>
                </w:rPr>
                <w:t>47</w:t>
              </w:r>
            </w:hyperlink>
          </w:p>
        </w:tc>
      </w:tr>
      <w:tr>
        <w:trPr>
          <w:trHeight w:val="20"/>
        </w:trPr>
        <w:tc>
          <w:tcPr>
            <w:tcW w:w="460" w:type="dxa"/>
            <w:vAlign w:val="bottom"/>
            <w:shd w:val="clear" w:color="auto" w:fill="0000FF"/>
          </w:tcPr>
          <w:p>
            <w:pPr>
              <w:spacing w:after="0" w:line="20" w:lineRule="exact"/>
              <w:rPr>
                <w:sz w:val="1"/>
                <w:szCs w:val="1"/>
                <w:color w:val="auto"/>
              </w:rPr>
            </w:pPr>
          </w:p>
        </w:tc>
        <w:tc>
          <w:tcPr>
            <w:tcW w:w="220" w:type="dxa"/>
            <w:vAlign w:val="bottom"/>
            <w:tcBorders>
              <w:left w:val="single" w:sz="8" w:color="0000FF"/>
            </w:tcBorders>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FF"/>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1840" w:type="dxa"/>
            <w:vAlign w:val="bottom"/>
            <w:tcBorders>
              <w:right w:val="single" w:sz="8" w:color="0000FF"/>
            </w:tcBorders>
            <w:gridSpan w:val="2"/>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r>
      <w:tr>
        <w:trPr>
          <w:trHeight w:val="453"/>
        </w:trPr>
        <w:tc>
          <w:tcPr>
            <w:tcW w:w="1040" w:type="dxa"/>
            <w:vAlign w:val="bottom"/>
            <w:gridSpan w:val="4"/>
          </w:tcPr>
          <w:p>
            <w:pPr>
              <w:spacing w:after="0"/>
              <w:rPr>
                <w:sz w:val="20"/>
                <w:szCs w:val="20"/>
                <w:color w:val="auto"/>
              </w:rPr>
            </w:pPr>
            <w:r>
              <w:rPr>
                <w:rFonts w:ascii="Arial" w:cs="Arial" w:eastAsia="Arial" w:hAnsi="Arial"/>
                <w:sz w:val="16"/>
                <w:szCs w:val="16"/>
                <w:color w:val="0000FF"/>
              </w:rPr>
              <w:t>Signatures</w:t>
            </w:r>
          </w:p>
        </w:tc>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1960" w:type="dxa"/>
            <w:vAlign w:val="bottom"/>
            <w:gridSpan w:val="4"/>
          </w:tcPr>
          <w:p>
            <w:pPr>
              <w:jc w:val="right"/>
              <w:spacing w:after="0"/>
              <w:rPr>
                <w:rFonts w:ascii="Arial" w:cs="Arial" w:eastAsia="Arial" w:hAnsi="Arial"/>
                <w:sz w:val="16"/>
                <w:szCs w:val="16"/>
                <w:color w:val="0000FF"/>
              </w:rPr>
            </w:pPr>
            <w:hyperlink w:anchor="page50">
              <w:r>
                <w:rPr>
                  <w:rFonts w:ascii="Arial" w:cs="Arial" w:eastAsia="Arial" w:hAnsi="Arial"/>
                  <w:sz w:val="16"/>
                  <w:szCs w:val="16"/>
                  <w:color w:val="0000FF"/>
                </w:rPr>
                <w:t>50</w:t>
              </w:r>
            </w:hyperlink>
          </w:p>
        </w:tc>
      </w:tr>
      <w:tr>
        <w:trPr>
          <w:trHeight w:val="20"/>
        </w:trPr>
        <w:tc>
          <w:tcPr>
            <w:tcW w:w="460" w:type="dxa"/>
            <w:vAlign w:val="bottom"/>
            <w:shd w:val="clear" w:color="auto" w:fill="0000FF"/>
          </w:tcPr>
          <w:p>
            <w:pPr>
              <w:spacing w:after="0" w:line="20" w:lineRule="exact"/>
              <w:rPr>
                <w:sz w:val="1"/>
                <w:szCs w:val="1"/>
                <w:color w:val="auto"/>
              </w:rPr>
            </w:pPr>
          </w:p>
        </w:tc>
        <w:tc>
          <w:tcPr>
            <w:tcW w:w="120" w:type="dxa"/>
            <w:vAlign w:val="bottom"/>
            <w:tcBorders>
              <w:left w:val="single" w:sz="8" w:color="0000FF"/>
            </w:tcBorders>
            <w:shd w:val="clear" w:color="auto" w:fill="0000FF"/>
          </w:tcPr>
          <w:p>
            <w:pPr>
              <w:spacing w:after="0" w:line="20" w:lineRule="exact"/>
              <w:rPr>
                <w:sz w:val="1"/>
                <w:szCs w:val="1"/>
                <w:color w:val="auto"/>
              </w:rPr>
            </w:pPr>
          </w:p>
        </w:tc>
        <w:tc>
          <w:tcPr>
            <w:tcW w:w="100" w:type="dxa"/>
            <w:vAlign w:val="bottom"/>
            <w:tcBorders>
              <w:right w:val="single" w:sz="8" w:color="0000FF"/>
            </w:tcBorders>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60" w:type="dxa"/>
            <w:vAlign w:val="bottom"/>
            <w:tcBorders>
              <w:right w:val="single" w:sz="8" w:color="0000FF"/>
            </w:tcBorders>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ind w:left="5560"/>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70485</wp:posOffset>
            </wp:positionV>
            <wp:extent cx="715772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580"/>
          </w:cols>
          <w:pgMar w:left="340" w:top="891" w:right="97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18"/>
          <w:szCs w:val="18"/>
          <w:b w:val="1"/>
          <w:bCs w:val="1"/>
          <w:color w:val="auto"/>
        </w:rPr>
        <w:t>PART I. FINANCIAL INFORMATION</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 </w:t>
      </w:r>
      <w:r>
        <w:rPr>
          <w:rFonts w:ascii="Arial" w:cs="Arial" w:eastAsia="Arial" w:hAnsi="Arial"/>
          <w:sz w:val="18"/>
          <w:szCs w:val="18"/>
          <w:b w:val="1"/>
          <w:bCs w:val="1"/>
          <w:i w:val="1"/>
          <w:iCs w:val="1"/>
          <w:color w:val="auto"/>
        </w:rPr>
        <w:t>Financial Statements</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AGNC INVESTMENT CORP.</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CONSOLIDATED BALANCE SHEETS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millions, except per share data)</w:t>
      </w:r>
    </w:p>
    <w:p>
      <w:pPr>
        <w:spacing w:after="0" w:line="27"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79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480" w:type="dxa"/>
            <w:vAlign w:val="bottom"/>
            <w:gridSpan w:val="2"/>
          </w:tcPr>
          <w:p>
            <w:pPr>
              <w:ind w:left="140"/>
              <w:spacing w:after="0"/>
              <w:rPr>
                <w:sz w:val="20"/>
                <w:szCs w:val="20"/>
                <w:color w:val="auto"/>
              </w:rPr>
            </w:pPr>
            <w:r>
              <w:rPr>
                <w:rFonts w:ascii="Arial" w:cs="Arial" w:eastAsia="Arial" w:hAnsi="Arial"/>
                <w:sz w:val="14"/>
                <w:szCs w:val="14"/>
                <w:b w:val="1"/>
                <w:bCs w:val="1"/>
                <w:color w:val="auto"/>
              </w:rPr>
              <w:t>June 30, 2022</w:t>
            </w:r>
          </w:p>
        </w:tc>
        <w:tc>
          <w:tcPr>
            <w:tcW w:w="140" w:type="dxa"/>
            <w:vAlign w:val="bottom"/>
          </w:tcPr>
          <w:p>
            <w:pPr>
              <w:spacing w:after="0"/>
              <w:rPr>
                <w:sz w:val="16"/>
                <w:szCs w:val="16"/>
                <w:color w:val="auto"/>
              </w:rPr>
            </w:pPr>
          </w:p>
        </w:tc>
        <w:tc>
          <w:tcPr>
            <w:tcW w:w="1440" w:type="dxa"/>
            <w:vAlign w:val="bottom"/>
          </w:tcPr>
          <w:p>
            <w:pPr>
              <w:jc w:val="right"/>
              <w:ind w:right="139"/>
              <w:spacing w:after="0"/>
              <w:rPr>
                <w:sz w:val="20"/>
                <w:szCs w:val="20"/>
                <w:color w:val="auto"/>
              </w:rPr>
            </w:pPr>
            <w:r>
              <w:rPr>
                <w:rFonts w:ascii="Arial" w:cs="Arial" w:eastAsia="Arial" w:hAnsi="Arial"/>
                <w:sz w:val="14"/>
                <w:szCs w:val="14"/>
                <w:b w:val="1"/>
                <w:bCs w:val="1"/>
                <w:color w:val="auto"/>
                <w:w w:val="95"/>
              </w:rPr>
              <w:t>December 31, 2021</w:t>
            </w:r>
          </w:p>
        </w:tc>
        <w:tc>
          <w:tcPr>
            <w:tcW w:w="0" w:type="dxa"/>
            <w:vAlign w:val="bottom"/>
          </w:tcPr>
          <w:p>
            <w:pPr>
              <w:spacing w:after="0"/>
              <w:rPr>
                <w:sz w:val="1"/>
                <w:szCs w:val="1"/>
                <w:color w:val="auto"/>
              </w:rPr>
            </w:pPr>
          </w:p>
        </w:tc>
      </w:tr>
      <w:tr>
        <w:trPr>
          <w:trHeight w:val="187"/>
        </w:trPr>
        <w:tc>
          <w:tcPr>
            <w:tcW w:w="7900" w:type="dxa"/>
            <w:vAlign w:val="bottom"/>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1360" w:type="dxa"/>
            <w:vAlign w:val="bottom"/>
            <w:tcBorders>
              <w:top w:val="single" w:sz="8" w:color="auto"/>
            </w:tcBorders>
          </w:tcPr>
          <w:p>
            <w:pPr>
              <w:jc w:val="right"/>
              <w:ind w:right="340"/>
              <w:spacing w:after="0"/>
              <w:rPr>
                <w:sz w:val="20"/>
                <w:szCs w:val="20"/>
                <w:color w:val="auto"/>
              </w:rPr>
            </w:pPr>
            <w:r>
              <w:rPr>
                <w:rFonts w:ascii="Arial" w:cs="Arial" w:eastAsia="Arial" w:hAnsi="Arial"/>
                <w:sz w:val="14"/>
                <w:szCs w:val="14"/>
                <w:b w:val="1"/>
                <w:bCs w:val="1"/>
                <w:color w:val="auto"/>
              </w:rPr>
              <w:t>(Unaudited)</w:t>
            </w:r>
          </w:p>
        </w:tc>
        <w:tc>
          <w:tcPr>
            <w:tcW w:w="12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440" w:type="dxa"/>
            <w:vAlign w:val="bottom"/>
            <w:tcBorders>
              <w:top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17"/>
        </w:trPr>
        <w:tc>
          <w:tcPr>
            <w:tcW w:w="790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Assets:</w:t>
            </w:r>
          </w:p>
        </w:tc>
        <w:tc>
          <w:tcPr>
            <w:tcW w:w="22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7900" w:type="dxa"/>
            <w:vAlign w:val="bottom"/>
          </w:tcPr>
          <w:p>
            <w:pPr>
              <w:ind w:left="200"/>
              <w:spacing w:after="0"/>
              <w:rPr>
                <w:sz w:val="20"/>
                <w:szCs w:val="20"/>
                <w:color w:val="auto"/>
              </w:rPr>
            </w:pPr>
            <w:r>
              <w:rPr>
                <w:rFonts w:ascii="Arial" w:cs="Arial" w:eastAsia="Arial" w:hAnsi="Arial"/>
                <w:sz w:val="16"/>
                <w:szCs w:val="16"/>
                <w:color w:val="auto"/>
              </w:rPr>
              <w:t>Agency securities, at fair value (including pledged securities of $40,107 and $47,601, respectively)</w:t>
            </w:r>
          </w:p>
        </w:tc>
        <w:tc>
          <w:tcPr>
            <w:tcW w:w="220" w:type="dxa"/>
            <w:vAlign w:val="bottom"/>
          </w:tcPr>
          <w:p>
            <w:pPr>
              <w:jc w:val="right"/>
              <w:ind w:right="64"/>
              <w:spacing w:after="0"/>
              <w:rPr>
                <w:sz w:val="20"/>
                <w:szCs w:val="20"/>
                <w:color w:val="auto"/>
              </w:rPr>
            </w:pPr>
            <w:r>
              <w:rPr>
                <w:rFonts w:ascii="Arial" w:cs="Arial" w:eastAsia="Arial" w:hAnsi="Arial"/>
                <w:sz w:val="15"/>
                <w:szCs w:val="15"/>
                <w:color w:val="auto"/>
                <w:w w:val="71"/>
              </w:rPr>
              <w:t>$</w:t>
            </w:r>
          </w:p>
        </w:tc>
        <w:tc>
          <w:tcPr>
            <w:tcW w:w="1360" w:type="dxa"/>
            <w:vAlign w:val="bottom"/>
          </w:tcPr>
          <w:p>
            <w:pPr>
              <w:jc w:val="right"/>
              <w:spacing w:after="0"/>
              <w:rPr>
                <w:sz w:val="20"/>
                <w:szCs w:val="20"/>
                <w:color w:val="auto"/>
              </w:rPr>
            </w:pPr>
            <w:r>
              <w:rPr>
                <w:rFonts w:ascii="Arial" w:cs="Arial" w:eastAsia="Arial" w:hAnsi="Arial"/>
                <w:sz w:val="16"/>
                <w:szCs w:val="16"/>
                <w:color w:val="auto"/>
              </w:rPr>
              <w:t>43,459</w:t>
            </w:r>
          </w:p>
        </w:tc>
        <w:tc>
          <w:tcPr>
            <w:tcW w:w="12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440" w:type="dxa"/>
            <w:vAlign w:val="bottom"/>
          </w:tcPr>
          <w:p>
            <w:pPr>
              <w:jc w:val="right"/>
              <w:spacing w:after="0"/>
              <w:rPr>
                <w:sz w:val="20"/>
                <w:szCs w:val="20"/>
                <w:color w:val="auto"/>
              </w:rPr>
            </w:pPr>
            <w:r>
              <w:rPr>
                <w:rFonts w:ascii="Arial" w:cs="Arial" w:eastAsia="Arial" w:hAnsi="Arial"/>
                <w:sz w:val="16"/>
                <w:szCs w:val="16"/>
                <w:color w:val="auto"/>
              </w:rPr>
              <w:t>52,396</w:t>
            </w:r>
          </w:p>
        </w:tc>
        <w:tc>
          <w:tcPr>
            <w:tcW w:w="0" w:type="dxa"/>
            <w:vAlign w:val="bottom"/>
          </w:tcPr>
          <w:p>
            <w:pPr>
              <w:spacing w:after="0"/>
              <w:rPr>
                <w:sz w:val="1"/>
                <w:szCs w:val="1"/>
                <w:color w:val="auto"/>
              </w:rPr>
            </w:pPr>
          </w:p>
        </w:tc>
      </w:tr>
      <w:tr>
        <w:trPr>
          <w:trHeight w:val="219"/>
        </w:trPr>
        <w:tc>
          <w:tcPr>
            <w:tcW w:w="7900" w:type="dxa"/>
            <w:vAlign w:val="bottom"/>
            <w:shd w:val="clear" w:color="auto" w:fill="CCEEFF"/>
          </w:tcPr>
          <w:p>
            <w:pPr>
              <w:ind w:left="200"/>
              <w:spacing w:after="0"/>
              <w:rPr>
                <w:sz w:val="20"/>
                <w:szCs w:val="20"/>
                <w:color w:val="auto"/>
              </w:rPr>
            </w:pPr>
            <w:r>
              <w:rPr>
                <w:rFonts w:ascii="Arial" w:cs="Arial" w:eastAsia="Arial" w:hAnsi="Arial"/>
                <w:sz w:val="16"/>
                <w:szCs w:val="16"/>
                <w:color w:val="auto"/>
              </w:rPr>
              <w:t>Agency securities transferred to consolidated variable interest entities, at fair value (pledged securities)</w:t>
            </w:r>
          </w:p>
        </w:tc>
        <w:tc>
          <w:tcPr>
            <w:tcW w:w="22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167</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208</w:t>
            </w:r>
          </w:p>
        </w:tc>
        <w:tc>
          <w:tcPr>
            <w:tcW w:w="0" w:type="dxa"/>
            <w:vAlign w:val="bottom"/>
          </w:tcPr>
          <w:p>
            <w:pPr>
              <w:spacing w:after="0"/>
              <w:rPr>
                <w:sz w:val="1"/>
                <w:szCs w:val="1"/>
                <w:color w:val="auto"/>
              </w:rPr>
            </w:pPr>
          </w:p>
        </w:tc>
      </w:tr>
      <w:tr>
        <w:trPr>
          <w:trHeight w:val="213"/>
        </w:trPr>
        <w:tc>
          <w:tcPr>
            <w:tcW w:w="7900" w:type="dxa"/>
            <w:vAlign w:val="bottom"/>
          </w:tcPr>
          <w:p>
            <w:pPr>
              <w:ind w:left="200"/>
              <w:spacing w:after="0"/>
              <w:rPr>
                <w:sz w:val="20"/>
                <w:szCs w:val="20"/>
                <w:color w:val="auto"/>
              </w:rPr>
            </w:pPr>
            <w:r>
              <w:rPr>
                <w:rFonts w:ascii="Arial" w:cs="Arial" w:eastAsia="Arial" w:hAnsi="Arial"/>
                <w:sz w:val="16"/>
                <w:szCs w:val="16"/>
                <w:color w:val="auto"/>
              </w:rPr>
              <w:t>Credit risk transfer securities, at fair value (including pledged securities of $629 and $510, respectively)</w:t>
            </w:r>
          </w:p>
        </w:tc>
        <w:tc>
          <w:tcPr>
            <w:tcW w:w="2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6"/>
                <w:szCs w:val="16"/>
                <w:color w:val="auto"/>
              </w:rPr>
              <w:t>894</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974</w:t>
            </w:r>
          </w:p>
        </w:tc>
        <w:tc>
          <w:tcPr>
            <w:tcW w:w="0" w:type="dxa"/>
            <w:vAlign w:val="bottom"/>
          </w:tcPr>
          <w:p>
            <w:pPr>
              <w:spacing w:after="0"/>
              <w:rPr>
                <w:sz w:val="1"/>
                <w:szCs w:val="1"/>
                <w:color w:val="auto"/>
              </w:rPr>
            </w:pPr>
          </w:p>
        </w:tc>
      </w:tr>
      <w:tr>
        <w:trPr>
          <w:trHeight w:val="219"/>
        </w:trPr>
        <w:tc>
          <w:tcPr>
            <w:tcW w:w="7900" w:type="dxa"/>
            <w:vAlign w:val="bottom"/>
            <w:shd w:val="clear" w:color="auto" w:fill="CCEEFF"/>
          </w:tcPr>
          <w:p>
            <w:pPr>
              <w:ind w:left="200"/>
              <w:spacing w:after="0"/>
              <w:rPr>
                <w:sz w:val="20"/>
                <w:szCs w:val="20"/>
                <w:color w:val="auto"/>
              </w:rPr>
            </w:pPr>
            <w:r>
              <w:rPr>
                <w:rFonts w:ascii="Arial" w:cs="Arial" w:eastAsia="Arial" w:hAnsi="Arial"/>
                <w:sz w:val="16"/>
                <w:szCs w:val="16"/>
                <w:color w:val="auto"/>
              </w:rPr>
              <w:t>Non-Agency securities, at fair value (including pledged securities of $643 and $571, respectively)</w:t>
            </w:r>
          </w:p>
        </w:tc>
        <w:tc>
          <w:tcPr>
            <w:tcW w:w="22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881</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843</w:t>
            </w:r>
          </w:p>
        </w:tc>
        <w:tc>
          <w:tcPr>
            <w:tcW w:w="0" w:type="dxa"/>
            <w:vAlign w:val="bottom"/>
          </w:tcPr>
          <w:p>
            <w:pPr>
              <w:spacing w:after="0"/>
              <w:rPr>
                <w:sz w:val="1"/>
                <w:szCs w:val="1"/>
                <w:color w:val="auto"/>
              </w:rPr>
            </w:pPr>
          </w:p>
        </w:tc>
      </w:tr>
      <w:tr>
        <w:trPr>
          <w:trHeight w:val="213"/>
        </w:trPr>
        <w:tc>
          <w:tcPr>
            <w:tcW w:w="7900" w:type="dxa"/>
            <w:vAlign w:val="bottom"/>
          </w:tcPr>
          <w:p>
            <w:pPr>
              <w:ind w:left="200"/>
              <w:spacing w:after="0"/>
              <w:rPr>
                <w:sz w:val="20"/>
                <w:szCs w:val="20"/>
                <w:color w:val="auto"/>
              </w:rPr>
            </w:pPr>
            <w:r>
              <w:rPr>
                <w:rFonts w:ascii="Arial" w:cs="Arial" w:eastAsia="Arial" w:hAnsi="Arial"/>
                <w:sz w:val="16"/>
                <w:szCs w:val="16"/>
                <w:color w:val="auto"/>
              </w:rPr>
              <w:t>U.S. Treasury securities, at fair value (including pledged securities of $1,882 and $471, respectively)</w:t>
            </w:r>
          </w:p>
        </w:tc>
        <w:tc>
          <w:tcPr>
            <w:tcW w:w="2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6"/>
                <w:szCs w:val="16"/>
                <w:color w:val="auto"/>
              </w:rPr>
              <w:t>1,882</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471</w:t>
            </w:r>
          </w:p>
        </w:tc>
        <w:tc>
          <w:tcPr>
            <w:tcW w:w="0" w:type="dxa"/>
            <w:vAlign w:val="bottom"/>
          </w:tcPr>
          <w:p>
            <w:pPr>
              <w:spacing w:after="0"/>
              <w:rPr>
                <w:sz w:val="1"/>
                <w:szCs w:val="1"/>
                <w:color w:val="auto"/>
              </w:rPr>
            </w:pPr>
          </w:p>
        </w:tc>
      </w:tr>
      <w:tr>
        <w:trPr>
          <w:trHeight w:val="219"/>
        </w:trPr>
        <w:tc>
          <w:tcPr>
            <w:tcW w:w="7900" w:type="dxa"/>
            <w:vAlign w:val="bottom"/>
            <w:shd w:val="clear" w:color="auto" w:fill="CCEEFF"/>
          </w:tcPr>
          <w:p>
            <w:pPr>
              <w:ind w:left="200"/>
              <w:spacing w:after="0"/>
              <w:rPr>
                <w:sz w:val="20"/>
                <w:szCs w:val="20"/>
                <w:color w:val="auto"/>
              </w:rPr>
            </w:pPr>
            <w:r>
              <w:rPr>
                <w:rFonts w:ascii="Arial" w:cs="Arial" w:eastAsia="Arial" w:hAnsi="Arial"/>
                <w:sz w:val="16"/>
                <w:szCs w:val="16"/>
                <w:color w:val="auto"/>
              </w:rPr>
              <w:t>Cash and cash equivalents</w:t>
            </w:r>
          </w:p>
        </w:tc>
        <w:tc>
          <w:tcPr>
            <w:tcW w:w="22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906</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998</w:t>
            </w:r>
          </w:p>
        </w:tc>
        <w:tc>
          <w:tcPr>
            <w:tcW w:w="0" w:type="dxa"/>
            <w:vAlign w:val="bottom"/>
          </w:tcPr>
          <w:p>
            <w:pPr>
              <w:spacing w:after="0"/>
              <w:rPr>
                <w:sz w:val="1"/>
                <w:szCs w:val="1"/>
                <w:color w:val="auto"/>
              </w:rPr>
            </w:pPr>
          </w:p>
        </w:tc>
      </w:tr>
      <w:tr>
        <w:trPr>
          <w:trHeight w:val="213"/>
        </w:trPr>
        <w:tc>
          <w:tcPr>
            <w:tcW w:w="7900" w:type="dxa"/>
            <w:vAlign w:val="bottom"/>
          </w:tcPr>
          <w:p>
            <w:pPr>
              <w:ind w:left="200"/>
              <w:spacing w:after="0"/>
              <w:rPr>
                <w:sz w:val="20"/>
                <w:szCs w:val="20"/>
                <w:color w:val="auto"/>
              </w:rPr>
            </w:pPr>
            <w:r>
              <w:rPr>
                <w:rFonts w:ascii="Arial" w:cs="Arial" w:eastAsia="Arial" w:hAnsi="Arial"/>
                <w:sz w:val="16"/>
                <w:szCs w:val="16"/>
                <w:color w:val="auto"/>
              </w:rPr>
              <w:t>Restricted cash</w:t>
            </w:r>
          </w:p>
        </w:tc>
        <w:tc>
          <w:tcPr>
            <w:tcW w:w="2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6"/>
                <w:szCs w:val="16"/>
                <w:color w:val="auto"/>
              </w:rPr>
              <w:t>1,333</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527</w:t>
            </w:r>
          </w:p>
        </w:tc>
        <w:tc>
          <w:tcPr>
            <w:tcW w:w="0" w:type="dxa"/>
            <w:vAlign w:val="bottom"/>
          </w:tcPr>
          <w:p>
            <w:pPr>
              <w:spacing w:after="0"/>
              <w:rPr>
                <w:sz w:val="1"/>
                <w:szCs w:val="1"/>
                <w:color w:val="auto"/>
              </w:rPr>
            </w:pPr>
          </w:p>
        </w:tc>
      </w:tr>
      <w:tr>
        <w:trPr>
          <w:trHeight w:val="219"/>
        </w:trPr>
        <w:tc>
          <w:tcPr>
            <w:tcW w:w="7900" w:type="dxa"/>
            <w:vAlign w:val="bottom"/>
            <w:shd w:val="clear" w:color="auto" w:fill="CCEEFF"/>
          </w:tcPr>
          <w:p>
            <w:pPr>
              <w:ind w:left="200"/>
              <w:spacing w:after="0"/>
              <w:rPr>
                <w:sz w:val="20"/>
                <w:szCs w:val="20"/>
                <w:color w:val="auto"/>
              </w:rPr>
            </w:pPr>
            <w:r>
              <w:rPr>
                <w:rFonts w:ascii="Arial" w:cs="Arial" w:eastAsia="Arial" w:hAnsi="Arial"/>
                <w:sz w:val="16"/>
                <w:szCs w:val="16"/>
                <w:color w:val="auto"/>
              </w:rPr>
              <w:t>Derivative assets, at fair value</w:t>
            </w:r>
          </w:p>
        </w:tc>
        <w:tc>
          <w:tcPr>
            <w:tcW w:w="22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536</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317</w:t>
            </w:r>
          </w:p>
        </w:tc>
        <w:tc>
          <w:tcPr>
            <w:tcW w:w="0" w:type="dxa"/>
            <w:vAlign w:val="bottom"/>
          </w:tcPr>
          <w:p>
            <w:pPr>
              <w:spacing w:after="0"/>
              <w:rPr>
                <w:sz w:val="1"/>
                <w:szCs w:val="1"/>
                <w:color w:val="auto"/>
              </w:rPr>
            </w:pPr>
          </w:p>
        </w:tc>
      </w:tr>
      <w:tr>
        <w:trPr>
          <w:trHeight w:val="213"/>
        </w:trPr>
        <w:tc>
          <w:tcPr>
            <w:tcW w:w="7900" w:type="dxa"/>
            <w:vAlign w:val="bottom"/>
          </w:tcPr>
          <w:p>
            <w:pPr>
              <w:ind w:left="200"/>
              <w:spacing w:after="0"/>
              <w:rPr>
                <w:sz w:val="20"/>
                <w:szCs w:val="20"/>
                <w:color w:val="auto"/>
              </w:rPr>
            </w:pPr>
            <w:r>
              <w:rPr>
                <w:rFonts w:ascii="Arial" w:cs="Arial" w:eastAsia="Arial" w:hAnsi="Arial"/>
                <w:sz w:val="16"/>
                <w:szCs w:val="16"/>
                <w:color w:val="auto"/>
              </w:rPr>
              <w:t>Receivable for investment securities sold (including pledged securities of $1,907 and $0, respectively)</w:t>
            </w:r>
          </w:p>
        </w:tc>
        <w:tc>
          <w:tcPr>
            <w:tcW w:w="2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6"/>
                <w:szCs w:val="16"/>
                <w:color w:val="auto"/>
              </w:rPr>
              <w:t>2,006</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9"/>
        </w:trPr>
        <w:tc>
          <w:tcPr>
            <w:tcW w:w="7900" w:type="dxa"/>
            <w:vAlign w:val="bottom"/>
            <w:shd w:val="clear" w:color="auto" w:fill="CCEEFF"/>
          </w:tcPr>
          <w:p>
            <w:pPr>
              <w:ind w:left="200"/>
              <w:spacing w:after="0"/>
              <w:rPr>
                <w:sz w:val="20"/>
                <w:szCs w:val="20"/>
                <w:color w:val="auto"/>
              </w:rPr>
            </w:pPr>
            <w:r>
              <w:rPr>
                <w:rFonts w:ascii="Arial" w:cs="Arial" w:eastAsia="Arial" w:hAnsi="Arial"/>
                <w:sz w:val="16"/>
                <w:szCs w:val="16"/>
                <w:color w:val="auto"/>
              </w:rPr>
              <w:t>Receivable under reverse repurchase agreements</w:t>
            </w:r>
          </w:p>
        </w:tc>
        <w:tc>
          <w:tcPr>
            <w:tcW w:w="22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8,438</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10,475</w:t>
            </w:r>
          </w:p>
        </w:tc>
        <w:tc>
          <w:tcPr>
            <w:tcW w:w="0" w:type="dxa"/>
            <w:vAlign w:val="bottom"/>
          </w:tcPr>
          <w:p>
            <w:pPr>
              <w:spacing w:after="0"/>
              <w:rPr>
                <w:sz w:val="1"/>
                <w:szCs w:val="1"/>
                <w:color w:val="auto"/>
              </w:rPr>
            </w:pPr>
          </w:p>
        </w:tc>
      </w:tr>
      <w:tr>
        <w:trPr>
          <w:trHeight w:val="213"/>
        </w:trPr>
        <w:tc>
          <w:tcPr>
            <w:tcW w:w="7900" w:type="dxa"/>
            <w:vAlign w:val="bottom"/>
          </w:tcPr>
          <w:p>
            <w:pPr>
              <w:ind w:left="200"/>
              <w:spacing w:after="0"/>
              <w:rPr>
                <w:sz w:val="20"/>
                <w:szCs w:val="20"/>
                <w:color w:val="auto"/>
              </w:rPr>
            </w:pPr>
            <w:r>
              <w:rPr>
                <w:rFonts w:ascii="Arial" w:cs="Arial" w:eastAsia="Arial" w:hAnsi="Arial"/>
                <w:sz w:val="16"/>
                <w:szCs w:val="16"/>
                <w:color w:val="auto"/>
              </w:rPr>
              <w:t>Goodwill</w:t>
            </w:r>
          </w:p>
        </w:tc>
        <w:tc>
          <w:tcPr>
            <w:tcW w:w="2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6"/>
                <w:szCs w:val="16"/>
                <w:color w:val="auto"/>
              </w:rPr>
              <w:t>526</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526</w:t>
            </w:r>
          </w:p>
        </w:tc>
        <w:tc>
          <w:tcPr>
            <w:tcW w:w="0" w:type="dxa"/>
            <w:vAlign w:val="bottom"/>
          </w:tcPr>
          <w:p>
            <w:pPr>
              <w:spacing w:after="0"/>
              <w:rPr>
                <w:sz w:val="1"/>
                <w:szCs w:val="1"/>
                <w:color w:val="auto"/>
              </w:rPr>
            </w:pPr>
          </w:p>
        </w:tc>
      </w:tr>
      <w:tr>
        <w:trPr>
          <w:trHeight w:val="216"/>
        </w:trPr>
        <w:tc>
          <w:tcPr>
            <w:tcW w:w="7900" w:type="dxa"/>
            <w:vAlign w:val="bottom"/>
            <w:shd w:val="clear" w:color="auto" w:fill="CCEEFF"/>
          </w:tcPr>
          <w:p>
            <w:pPr>
              <w:ind w:left="200"/>
              <w:spacing w:after="0"/>
              <w:rPr>
                <w:sz w:val="20"/>
                <w:szCs w:val="20"/>
                <w:color w:val="auto"/>
              </w:rPr>
            </w:pPr>
            <w:r>
              <w:rPr>
                <w:rFonts w:ascii="Arial" w:cs="Arial" w:eastAsia="Arial" w:hAnsi="Arial"/>
                <w:sz w:val="16"/>
                <w:szCs w:val="16"/>
                <w:color w:val="auto"/>
              </w:rPr>
              <w:t>Other assets</w:t>
            </w:r>
          </w:p>
        </w:tc>
        <w:tc>
          <w:tcPr>
            <w:tcW w:w="220" w:type="dxa"/>
            <w:vAlign w:val="bottom"/>
            <w:tcBorders>
              <w:bottom w:val="single" w:sz="8" w:color="auto"/>
            </w:tcBorders>
            <w:shd w:val="clear" w:color="auto" w:fill="CCEEFF"/>
          </w:tcPr>
          <w:p>
            <w:pPr>
              <w:spacing w:after="0"/>
              <w:rPr>
                <w:sz w:val="18"/>
                <w:szCs w:val="18"/>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212</w:t>
            </w:r>
          </w:p>
        </w:tc>
        <w:tc>
          <w:tcPr>
            <w:tcW w:w="12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414</w:t>
            </w:r>
          </w:p>
        </w:tc>
        <w:tc>
          <w:tcPr>
            <w:tcW w:w="0" w:type="dxa"/>
            <w:vAlign w:val="bottom"/>
          </w:tcPr>
          <w:p>
            <w:pPr>
              <w:spacing w:after="0"/>
              <w:rPr>
                <w:sz w:val="1"/>
                <w:szCs w:val="1"/>
                <w:color w:val="auto"/>
              </w:rPr>
            </w:pPr>
          </w:p>
        </w:tc>
      </w:tr>
      <w:tr>
        <w:trPr>
          <w:trHeight w:val="213"/>
        </w:trPr>
        <w:tc>
          <w:tcPr>
            <w:tcW w:w="7900" w:type="dxa"/>
            <w:vAlign w:val="bottom"/>
          </w:tcPr>
          <w:p>
            <w:pPr>
              <w:ind w:left="540"/>
              <w:spacing w:after="0"/>
              <w:rPr>
                <w:sz w:val="20"/>
                <w:szCs w:val="20"/>
                <w:color w:val="auto"/>
              </w:rPr>
            </w:pPr>
            <w:r>
              <w:rPr>
                <w:rFonts w:ascii="Arial" w:cs="Arial" w:eastAsia="Arial" w:hAnsi="Arial"/>
                <w:sz w:val="16"/>
                <w:szCs w:val="16"/>
                <w:color w:val="auto"/>
              </w:rPr>
              <w:t>Total assets</w:t>
            </w:r>
          </w:p>
        </w:tc>
        <w:tc>
          <w:tcPr>
            <w:tcW w:w="220" w:type="dxa"/>
            <w:vAlign w:val="bottom"/>
            <w:tcBorders>
              <w:bottom w:val="single" w:sz="8" w:color="auto"/>
            </w:tcBorders>
          </w:tcPr>
          <w:p>
            <w:pPr>
              <w:jc w:val="right"/>
              <w:ind w:right="64"/>
              <w:spacing w:after="0"/>
              <w:rPr>
                <w:sz w:val="20"/>
                <w:szCs w:val="20"/>
                <w:color w:val="auto"/>
              </w:rPr>
            </w:pPr>
            <w:r>
              <w:rPr>
                <w:rFonts w:ascii="Arial" w:cs="Arial" w:eastAsia="Arial" w:hAnsi="Arial"/>
                <w:sz w:val="15"/>
                <w:szCs w:val="15"/>
                <w:color w:val="auto"/>
                <w:w w:val="71"/>
              </w:rPr>
              <w:t>$</w:t>
            </w: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61,240</w:t>
            </w:r>
          </w:p>
        </w:tc>
        <w:tc>
          <w:tcPr>
            <w:tcW w:w="12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68,149</w:t>
            </w:r>
          </w:p>
        </w:tc>
        <w:tc>
          <w:tcPr>
            <w:tcW w:w="0" w:type="dxa"/>
            <w:vAlign w:val="bottom"/>
          </w:tcPr>
          <w:p>
            <w:pPr>
              <w:spacing w:after="0"/>
              <w:rPr>
                <w:sz w:val="1"/>
                <w:szCs w:val="1"/>
                <w:color w:val="auto"/>
              </w:rPr>
            </w:pPr>
          </w:p>
        </w:tc>
      </w:tr>
      <w:tr>
        <w:trPr>
          <w:trHeight w:val="20"/>
        </w:trPr>
        <w:tc>
          <w:tcPr>
            <w:tcW w:w="79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790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Liabilities:</w:t>
            </w:r>
          </w:p>
        </w:tc>
        <w:tc>
          <w:tcPr>
            <w:tcW w:w="220" w:type="dxa"/>
            <w:vAlign w:val="bottom"/>
            <w:shd w:val="clear" w:color="auto" w:fill="CCEEFF"/>
          </w:tcPr>
          <w:p>
            <w:pPr>
              <w:spacing w:after="0"/>
              <w:rPr>
                <w:sz w:val="15"/>
                <w:szCs w:val="15"/>
                <w:color w:val="auto"/>
              </w:rPr>
            </w:pPr>
          </w:p>
        </w:tc>
        <w:tc>
          <w:tcPr>
            <w:tcW w:w="13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4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13"/>
        </w:trPr>
        <w:tc>
          <w:tcPr>
            <w:tcW w:w="7900" w:type="dxa"/>
            <w:vAlign w:val="bottom"/>
          </w:tcPr>
          <w:p>
            <w:pPr>
              <w:ind w:left="200"/>
              <w:spacing w:after="0"/>
              <w:rPr>
                <w:sz w:val="20"/>
                <w:szCs w:val="20"/>
                <w:color w:val="auto"/>
              </w:rPr>
            </w:pPr>
            <w:r>
              <w:rPr>
                <w:rFonts w:ascii="Arial" w:cs="Arial" w:eastAsia="Arial" w:hAnsi="Arial"/>
                <w:sz w:val="16"/>
                <w:szCs w:val="16"/>
                <w:color w:val="auto"/>
              </w:rPr>
              <w:t>Repurchase agreements</w:t>
            </w:r>
          </w:p>
        </w:tc>
        <w:tc>
          <w:tcPr>
            <w:tcW w:w="220" w:type="dxa"/>
            <w:vAlign w:val="bottom"/>
          </w:tcPr>
          <w:p>
            <w:pPr>
              <w:jc w:val="right"/>
              <w:ind w:right="64"/>
              <w:spacing w:after="0"/>
              <w:rPr>
                <w:sz w:val="20"/>
                <w:szCs w:val="20"/>
                <w:color w:val="auto"/>
              </w:rPr>
            </w:pPr>
            <w:r>
              <w:rPr>
                <w:rFonts w:ascii="Arial" w:cs="Arial" w:eastAsia="Arial" w:hAnsi="Arial"/>
                <w:sz w:val="15"/>
                <w:szCs w:val="15"/>
                <w:color w:val="auto"/>
                <w:w w:val="71"/>
              </w:rPr>
              <w:t>$</w:t>
            </w:r>
          </w:p>
        </w:tc>
        <w:tc>
          <w:tcPr>
            <w:tcW w:w="1360" w:type="dxa"/>
            <w:vAlign w:val="bottom"/>
          </w:tcPr>
          <w:p>
            <w:pPr>
              <w:jc w:val="right"/>
              <w:spacing w:after="0"/>
              <w:rPr>
                <w:sz w:val="20"/>
                <w:szCs w:val="20"/>
                <w:color w:val="auto"/>
              </w:rPr>
            </w:pPr>
            <w:r>
              <w:rPr>
                <w:rFonts w:ascii="Arial" w:cs="Arial" w:eastAsia="Arial" w:hAnsi="Arial"/>
                <w:sz w:val="16"/>
                <w:szCs w:val="16"/>
                <w:color w:val="auto"/>
              </w:rPr>
              <w:t>43,153</w:t>
            </w:r>
          </w:p>
        </w:tc>
        <w:tc>
          <w:tcPr>
            <w:tcW w:w="12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440" w:type="dxa"/>
            <w:vAlign w:val="bottom"/>
          </w:tcPr>
          <w:p>
            <w:pPr>
              <w:jc w:val="right"/>
              <w:spacing w:after="0"/>
              <w:rPr>
                <w:sz w:val="20"/>
                <w:szCs w:val="20"/>
                <w:color w:val="auto"/>
              </w:rPr>
            </w:pPr>
            <w:r>
              <w:rPr>
                <w:rFonts w:ascii="Arial" w:cs="Arial" w:eastAsia="Arial" w:hAnsi="Arial"/>
                <w:sz w:val="16"/>
                <w:szCs w:val="16"/>
                <w:color w:val="auto"/>
              </w:rPr>
              <w:t>47,381</w:t>
            </w:r>
          </w:p>
        </w:tc>
        <w:tc>
          <w:tcPr>
            <w:tcW w:w="0" w:type="dxa"/>
            <w:vAlign w:val="bottom"/>
          </w:tcPr>
          <w:p>
            <w:pPr>
              <w:spacing w:after="0"/>
              <w:rPr>
                <w:sz w:val="1"/>
                <w:szCs w:val="1"/>
                <w:color w:val="auto"/>
              </w:rPr>
            </w:pPr>
          </w:p>
        </w:tc>
      </w:tr>
      <w:tr>
        <w:trPr>
          <w:trHeight w:val="219"/>
        </w:trPr>
        <w:tc>
          <w:tcPr>
            <w:tcW w:w="7900" w:type="dxa"/>
            <w:vAlign w:val="bottom"/>
            <w:shd w:val="clear" w:color="auto" w:fill="CCEEFF"/>
          </w:tcPr>
          <w:p>
            <w:pPr>
              <w:ind w:left="200"/>
              <w:spacing w:after="0"/>
              <w:rPr>
                <w:sz w:val="20"/>
                <w:szCs w:val="20"/>
                <w:color w:val="auto"/>
              </w:rPr>
            </w:pPr>
            <w:r>
              <w:rPr>
                <w:rFonts w:ascii="Arial" w:cs="Arial" w:eastAsia="Arial" w:hAnsi="Arial"/>
                <w:sz w:val="16"/>
                <w:szCs w:val="16"/>
                <w:color w:val="auto"/>
              </w:rPr>
              <w:t>Debt of consolidated variable interest entities, at fair value</w:t>
            </w:r>
          </w:p>
        </w:tc>
        <w:tc>
          <w:tcPr>
            <w:tcW w:w="22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107</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126</w:t>
            </w:r>
          </w:p>
        </w:tc>
        <w:tc>
          <w:tcPr>
            <w:tcW w:w="0" w:type="dxa"/>
            <w:vAlign w:val="bottom"/>
          </w:tcPr>
          <w:p>
            <w:pPr>
              <w:spacing w:after="0"/>
              <w:rPr>
                <w:sz w:val="1"/>
                <w:szCs w:val="1"/>
                <w:color w:val="auto"/>
              </w:rPr>
            </w:pPr>
          </w:p>
        </w:tc>
      </w:tr>
      <w:tr>
        <w:trPr>
          <w:trHeight w:val="213"/>
        </w:trPr>
        <w:tc>
          <w:tcPr>
            <w:tcW w:w="7900" w:type="dxa"/>
            <w:vAlign w:val="bottom"/>
          </w:tcPr>
          <w:p>
            <w:pPr>
              <w:ind w:left="200"/>
              <w:spacing w:after="0"/>
              <w:rPr>
                <w:sz w:val="20"/>
                <w:szCs w:val="20"/>
                <w:color w:val="auto"/>
              </w:rPr>
            </w:pPr>
            <w:r>
              <w:rPr>
                <w:rFonts w:ascii="Arial" w:cs="Arial" w:eastAsia="Arial" w:hAnsi="Arial"/>
                <w:sz w:val="16"/>
                <w:szCs w:val="16"/>
                <w:color w:val="auto"/>
              </w:rPr>
              <w:t>Payable for investment securities purchased</w:t>
            </w:r>
          </w:p>
        </w:tc>
        <w:tc>
          <w:tcPr>
            <w:tcW w:w="2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6"/>
                <w:szCs w:val="16"/>
                <w:color w:val="auto"/>
              </w:rPr>
              <w:t>547</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80</w:t>
            </w:r>
          </w:p>
        </w:tc>
        <w:tc>
          <w:tcPr>
            <w:tcW w:w="0" w:type="dxa"/>
            <w:vAlign w:val="bottom"/>
          </w:tcPr>
          <w:p>
            <w:pPr>
              <w:spacing w:after="0"/>
              <w:rPr>
                <w:sz w:val="1"/>
                <w:szCs w:val="1"/>
                <w:color w:val="auto"/>
              </w:rPr>
            </w:pPr>
          </w:p>
        </w:tc>
      </w:tr>
      <w:tr>
        <w:trPr>
          <w:trHeight w:val="219"/>
        </w:trPr>
        <w:tc>
          <w:tcPr>
            <w:tcW w:w="7900" w:type="dxa"/>
            <w:vAlign w:val="bottom"/>
            <w:shd w:val="clear" w:color="auto" w:fill="CCEEFF"/>
          </w:tcPr>
          <w:p>
            <w:pPr>
              <w:ind w:left="200"/>
              <w:spacing w:after="0"/>
              <w:rPr>
                <w:sz w:val="20"/>
                <w:szCs w:val="20"/>
                <w:color w:val="auto"/>
              </w:rPr>
            </w:pPr>
            <w:r>
              <w:rPr>
                <w:rFonts w:ascii="Arial" w:cs="Arial" w:eastAsia="Arial" w:hAnsi="Arial"/>
                <w:sz w:val="16"/>
                <w:szCs w:val="16"/>
                <w:color w:val="auto"/>
              </w:rPr>
              <w:t>Derivative liabilities, at fair value</w:t>
            </w:r>
          </w:p>
        </w:tc>
        <w:tc>
          <w:tcPr>
            <w:tcW w:w="22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237</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86</w:t>
            </w:r>
          </w:p>
        </w:tc>
        <w:tc>
          <w:tcPr>
            <w:tcW w:w="0" w:type="dxa"/>
            <w:vAlign w:val="bottom"/>
          </w:tcPr>
          <w:p>
            <w:pPr>
              <w:spacing w:after="0"/>
              <w:rPr>
                <w:sz w:val="1"/>
                <w:szCs w:val="1"/>
                <w:color w:val="auto"/>
              </w:rPr>
            </w:pPr>
          </w:p>
        </w:tc>
      </w:tr>
      <w:tr>
        <w:trPr>
          <w:trHeight w:val="213"/>
        </w:trPr>
        <w:tc>
          <w:tcPr>
            <w:tcW w:w="7900" w:type="dxa"/>
            <w:vAlign w:val="bottom"/>
          </w:tcPr>
          <w:p>
            <w:pPr>
              <w:ind w:left="200"/>
              <w:spacing w:after="0"/>
              <w:rPr>
                <w:sz w:val="20"/>
                <w:szCs w:val="20"/>
                <w:color w:val="auto"/>
              </w:rPr>
            </w:pPr>
            <w:r>
              <w:rPr>
                <w:rFonts w:ascii="Arial" w:cs="Arial" w:eastAsia="Arial" w:hAnsi="Arial"/>
                <w:sz w:val="16"/>
                <w:szCs w:val="16"/>
                <w:color w:val="auto"/>
              </w:rPr>
              <w:t>Dividends payable</w:t>
            </w:r>
          </w:p>
        </w:tc>
        <w:tc>
          <w:tcPr>
            <w:tcW w:w="2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6"/>
                <w:szCs w:val="16"/>
                <w:color w:val="auto"/>
              </w:rPr>
              <w:t>88</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88</w:t>
            </w:r>
          </w:p>
        </w:tc>
        <w:tc>
          <w:tcPr>
            <w:tcW w:w="0" w:type="dxa"/>
            <w:vAlign w:val="bottom"/>
          </w:tcPr>
          <w:p>
            <w:pPr>
              <w:spacing w:after="0"/>
              <w:rPr>
                <w:sz w:val="1"/>
                <w:szCs w:val="1"/>
                <w:color w:val="auto"/>
              </w:rPr>
            </w:pPr>
          </w:p>
        </w:tc>
      </w:tr>
      <w:tr>
        <w:trPr>
          <w:trHeight w:val="219"/>
        </w:trPr>
        <w:tc>
          <w:tcPr>
            <w:tcW w:w="7900" w:type="dxa"/>
            <w:vAlign w:val="bottom"/>
            <w:shd w:val="clear" w:color="auto" w:fill="CCEEFF"/>
          </w:tcPr>
          <w:p>
            <w:pPr>
              <w:ind w:left="200"/>
              <w:spacing w:after="0"/>
              <w:rPr>
                <w:sz w:val="20"/>
                <w:szCs w:val="20"/>
                <w:color w:val="auto"/>
              </w:rPr>
            </w:pPr>
            <w:r>
              <w:rPr>
                <w:rFonts w:ascii="Arial" w:cs="Arial" w:eastAsia="Arial" w:hAnsi="Arial"/>
                <w:sz w:val="16"/>
                <w:szCs w:val="16"/>
                <w:color w:val="auto"/>
              </w:rPr>
              <w:t>Obligation to return securities borrowed under reverse repurchase agreements, at fair value</w:t>
            </w:r>
          </w:p>
        </w:tc>
        <w:tc>
          <w:tcPr>
            <w:tcW w:w="22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8,265</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9,697</w:t>
            </w:r>
          </w:p>
        </w:tc>
        <w:tc>
          <w:tcPr>
            <w:tcW w:w="0" w:type="dxa"/>
            <w:vAlign w:val="bottom"/>
          </w:tcPr>
          <w:p>
            <w:pPr>
              <w:spacing w:after="0"/>
              <w:rPr>
                <w:sz w:val="1"/>
                <w:szCs w:val="1"/>
                <w:color w:val="auto"/>
              </w:rPr>
            </w:pPr>
          </w:p>
        </w:tc>
      </w:tr>
      <w:tr>
        <w:trPr>
          <w:trHeight w:val="213"/>
        </w:trPr>
        <w:tc>
          <w:tcPr>
            <w:tcW w:w="7900" w:type="dxa"/>
            <w:vAlign w:val="bottom"/>
            <w:tcBorders>
              <w:bottom w:val="single" w:sz="8" w:color="CCEEFF"/>
            </w:tcBorders>
          </w:tcPr>
          <w:p>
            <w:pPr>
              <w:ind w:left="200"/>
              <w:spacing w:after="0"/>
              <w:rPr>
                <w:sz w:val="20"/>
                <w:szCs w:val="20"/>
                <w:color w:val="auto"/>
              </w:rPr>
            </w:pPr>
            <w:r>
              <w:rPr>
                <w:rFonts w:ascii="Arial" w:cs="Arial" w:eastAsia="Arial" w:hAnsi="Arial"/>
                <w:sz w:val="16"/>
                <w:szCs w:val="16"/>
                <w:color w:val="auto"/>
              </w:rPr>
              <w:t>Accounts payable and other liabilities</w:t>
            </w:r>
          </w:p>
        </w:tc>
        <w:tc>
          <w:tcPr>
            <w:tcW w:w="22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803</w:t>
            </w:r>
          </w:p>
        </w:tc>
        <w:tc>
          <w:tcPr>
            <w:tcW w:w="12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400</w:t>
            </w:r>
          </w:p>
        </w:tc>
        <w:tc>
          <w:tcPr>
            <w:tcW w:w="0" w:type="dxa"/>
            <w:vAlign w:val="bottom"/>
          </w:tcPr>
          <w:p>
            <w:pPr>
              <w:spacing w:after="0"/>
              <w:rPr>
                <w:sz w:val="1"/>
                <w:szCs w:val="1"/>
                <w:color w:val="auto"/>
              </w:rPr>
            </w:pPr>
          </w:p>
        </w:tc>
      </w:tr>
      <w:tr>
        <w:trPr>
          <w:trHeight w:val="213"/>
        </w:trPr>
        <w:tc>
          <w:tcPr>
            <w:tcW w:w="7900" w:type="dxa"/>
            <w:vAlign w:val="bottom"/>
            <w:shd w:val="clear" w:color="auto" w:fill="CCEEFF"/>
          </w:tcPr>
          <w:p>
            <w:pPr>
              <w:ind w:left="540"/>
              <w:spacing w:after="0"/>
              <w:rPr>
                <w:sz w:val="20"/>
                <w:szCs w:val="20"/>
                <w:color w:val="auto"/>
              </w:rPr>
            </w:pPr>
            <w:r>
              <w:rPr>
                <w:rFonts w:ascii="Arial" w:cs="Arial" w:eastAsia="Arial" w:hAnsi="Arial"/>
                <w:sz w:val="16"/>
                <w:szCs w:val="16"/>
                <w:color w:val="auto"/>
              </w:rPr>
              <w:t>Total liabilities</w:t>
            </w:r>
          </w:p>
        </w:tc>
        <w:tc>
          <w:tcPr>
            <w:tcW w:w="220" w:type="dxa"/>
            <w:vAlign w:val="bottom"/>
            <w:tcBorders>
              <w:bottom w:val="single" w:sz="8" w:color="auto"/>
            </w:tcBorders>
            <w:shd w:val="clear" w:color="auto" w:fill="CCEEFF"/>
          </w:tcPr>
          <w:p>
            <w:pPr>
              <w:spacing w:after="0"/>
              <w:rPr>
                <w:sz w:val="18"/>
                <w:szCs w:val="18"/>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53,200</w:t>
            </w:r>
          </w:p>
        </w:tc>
        <w:tc>
          <w:tcPr>
            <w:tcW w:w="12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57,858</w:t>
            </w:r>
          </w:p>
        </w:tc>
        <w:tc>
          <w:tcPr>
            <w:tcW w:w="0" w:type="dxa"/>
            <w:vAlign w:val="bottom"/>
          </w:tcPr>
          <w:p>
            <w:pPr>
              <w:spacing w:after="0"/>
              <w:rPr>
                <w:sz w:val="1"/>
                <w:szCs w:val="1"/>
                <w:color w:val="auto"/>
              </w:rPr>
            </w:pPr>
          </w:p>
        </w:tc>
      </w:tr>
      <w:tr>
        <w:trPr>
          <w:trHeight w:val="193"/>
        </w:trPr>
        <w:tc>
          <w:tcPr>
            <w:tcW w:w="7900" w:type="dxa"/>
            <w:vAlign w:val="bottom"/>
          </w:tcPr>
          <w:p>
            <w:pPr>
              <w:spacing w:after="0"/>
              <w:rPr>
                <w:sz w:val="20"/>
                <w:szCs w:val="20"/>
                <w:color w:val="auto"/>
              </w:rPr>
            </w:pPr>
            <w:r>
              <w:rPr>
                <w:rFonts w:ascii="Arial" w:cs="Arial" w:eastAsia="Arial" w:hAnsi="Arial"/>
                <w:sz w:val="16"/>
                <w:szCs w:val="16"/>
                <w:b w:val="1"/>
                <w:bCs w:val="1"/>
                <w:color w:val="auto"/>
              </w:rPr>
              <w:t>Stockholders' equity:</w:t>
            </w:r>
          </w:p>
        </w:tc>
        <w:tc>
          <w:tcPr>
            <w:tcW w:w="220" w:type="dxa"/>
            <w:vAlign w:val="bottom"/>
          </w:tcPr>
          <w:p>
            <w:pPr>
              <w:spacing w:after="0"/>
              <w:rPr>
                <w:sz w:val="16"/>
                <w:szCs w:val="16"/>
                <w:color w:val="auto"/>
              </w:rPr>
            </w:pPr>
          </w:p>
        </w:tc>
        <w:tc>
          <w:tcPr>
            <w:tcW w:w="13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9"/>
        </w:trPr>
        <w:tc>
          <w:tcPr>
            <w:tcW w:w="7900" w:type="dxa"/>
            <w:vAlign w:val="bottom"/>
            <w:shd w:val="clear" w:color="auto" w:fill="CCEEFF"/>
          </w:tcPr>
          <w:p>
            <w:pPr>
              <w:ind w:left="200"/>
              <w:spacing w:after="0"/>
              <w:rPr>
                <w:sz w:val="20"/>
                <w:szCs w:val="20"/>
                <w:color w:val="auto"/>
              </w:rPr>
            </w:pPr>
            <w:r>
              <w:rPr>
                <w:rFonts w:ascii="Arial" w:cs="Arial" w:eastAsia="Arial" w:hAnsi="Arial"/>
                <w:sz w:val="16"/>
                <w:szCs w:val="16"/>
                <w:color w:val="auto"/>
              </w:rPr>
              <w:t>Preferred Stock - aggregate liquidation preference of $1,538</w:t>
            </w:r>
          </w:p>
        </w:tc>
        <w:tc>
          <w:tcPr>
            <w:tcW w:w="22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1,489</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1,489</w:t>
            </w:r>
          </w:p>
        </w:tc>
        <w:tc>
          <w:tcPr>
            <w:tcW w:w="0" w:type="dxa"/>
            <w:vAlign w:val="bottom"/>
          </w:tcPr>
          <w:p>
            <w:pPr>
              <w:spacing w:after="0"/>
              <w:rPr>
                <w:sz w:val="1"/>
                <w:szCs w:val="1"/>
                <w:color w:val="auto"/>
              </w:rPr>
            </w:pPr>
          </w:p>
        </w:tc>
      </w:tr>
      <w:tr>
        <w:trPr>
          <w:trHeight w:val="166"/>
        </w:trPr>
        <w:tc>
          <w:tcPr>
            <w:tcW w:w="7900" w:type="dxa"/>
            <w:vAlign w:val="bottom"/>
          </w:tcPr>
          <w:p>
            <w:pPr>
              <w:ind w:left="200"/>
              <w:spacing w:after="0" w:line="166" w:lineRule="exact"/>
              <w:rPr>
                <w:sz w:val="20"/>
                <w:szCs w:val="20"/>
                <w:color w:val="auto"/>
              </w:rPr>
            </w:pPr>
            <w:r>
              <w:rPr>
                <w:rFonts w:ascii="Arial" w:cs="Arial" w:eastAsia="Arial" w:hAnsi="Arial"/>
                <w:sz w:val="16"/>
                <w:szCs w:val="16"/>
                <w:color w:val="auto"/>
              </w:rPr>
              <w:t>Common stock - $0.01 par value; 1,500 shares authorized; 522.7 and 522.2 shares issued and outstanding,</w:t>
            </w:r>
          </w:p>
        </w:tc>
        <w:tc>
          <w:tcPr>
            <w:tcW w:w="220" w:type="dxa"/>
            <w:vAlign w:val="bottom"/>
          </w:tcPr>
          <w:p>
            <w:pPr>
              <w:spacing w:after="0"/>
              <w:rPr>
                <w:sz w:val="14"/>
                <w:szCs w:val="14"/>
                <w:color w:val="auto"/>
              </w:rPr>
            </w:pPr>
          </w:p>
        </w:tc>
        <w:tc>
          <w:tcPr>
            <w:tcW w:w="1360" w:type="dxa"/>
            <w:vAlign w:val="bottom"/>
            <w:vMerge w:val="restart"/>
          </w:tcPr>
          <w:p>
            <w:pPr>
              <w:jc w:val="right"/>
              <w:spacing w:after="0"/>
              <w:rPr>
                <w:sz w:val="20"/>
                <w:szCs w:val="20"/>
                <w:color w:val="auto"/>
              </w:rPr>
            </w:pPr>
            <w:r>
              <w:rPr>
                <w:rFonts w:ascii="Arial" w:cs="Arial" w:eastAsia="Arial" w:hAnsi="Arial"/>
                <w:sz w:val="16"/>
                <w:szCs w:val="16"/>
                <w:color w:val="auto"/>
              </w:rPr>
              <w:t>5</w:t>
            </w: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40" w:type="dxa"/>
            <w:vAlign w:val="bottom"/>
            <w:vMerge w:val="restart"/>
          </w:tcPr>
          <w:p>
            <w:pPr>
              <w:jc w:val="right"/>
              <w:spacing w:after="0"/>
              <w:rPr>
                <w:sz w:val="20"/>
                <w:szCs w:val="20"/>
                <w:color w:val="auto"/>
              </w:rPr>
            </w:pPr>
            <w:r>
              <w:rPr>
                <w:rFonts w:ascii="Arial" w:cs="Arial" w:eastAsia="Arial" w:hAnsi="Arial"/>
                <w:sz w:val="16"/>
                <w:szCs w:val="16"/>
                <w:color w:val="auto"/>
              </w:rPr>
              <w:t>5</w:t>
            </w:r>
          </w:p>
        </w:tc>
        <w:tc>
          <w:tcPr>
            <w:tcW w:w="0" w:type="dxa"/>
            <w:vAlign w:val="bottom"/>
          </w:tcPr>
          <w:p>
            <w:pPr>
              <w:spacing w:after="0"/>
              <w:rPr>
                <w:sz w:val="1"/>
                <w:szCs w:val="1"/>
                <w:color w:val="auto"/>
              </w:rPr>
            </w:pPr>
          </w:p>
        </w:tc>
      </w:tr>
      <w:tr>
        <w:trPr>
          <w:trHeight w:val="209"/>
        </w:trPr>
        <w:tc>
          <w:tcPr>
            <w:tcW w:w="7900" w:type="dxa"/>
            <w:vAlign w:val="bottom"/>
          </w:tcPr>
          <w:p>
            <w:pPr>
              <w:ind w:left="200"/>
              <w:spacing w:after="0"/>
              <w:rPr>
                <w:sz w:val="20"/>
                <w:szCs w:val="20"/>
                <w:color w:val="auto"/>
              </w:rPr>
            </w:pPr>
            <w:r>
              <w:rPr>
                <w:rFonts w:ascii="Arial" w:cs="Arial" w:eastAsia="Arial" w:hAnsi="Arial"/>
                <w:sz w:val="16"/>
                <w:szCs w:val="16"/>
                <w:color w:val="auto"/>
              </w:rPr>
              <w:t>respectively</w:t>
            </w:r>
          </w:p>
        </w:tc>
        <w:tc>
          <w:tcPr>
            <w:tcW w:w="220" w:type="dxa"/>
            <w:vAlign w:val="bottom"/>
          </w:tcPr>
          <w:p>
            <w:pPr>
              <w:spacing w:after="0"/>
              <w:rPr>
                <w:sz w:val="18"/>
                <w:szCs w:val="18"/>
                <w:color w:val="auto"/>
              </w:rPr>
            </w:pPr>
          </w:p>
        </w:tc>
        <w:tc>
          <w:tcPr>
            <w:tcW w:w="136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7900" w:type="dxa"/>
            <w:vAlign w:val="bottom"/>
            <w:shd w:val="clear" w:color="auto" w:fill="CCEEFF"/>
          </w:tcPr>
          <w:p>
            <w:pPr>
              <w:ind w:left="200"/>
              <w:spacing w:after="0"/>
              <w:rPr>
                <w:sz w:val="20"/>
                <w:szCs w:val="20"/>
                <w:color w:val="auto"/>
              </w:rPr>
            </w:pPr>
            <w:r>
              <w:rPr>
                <w:rFonts w:ascii="Arial" w:cs="Arial" w:eastAsia="Arial" w:hAnsi="Arial"/>
                <w:sz w:val="16"/>
                <w:szCs w:val="16"/>
                <w:color w:val="auto"/>
              </w:rPr>
              <w:t>Additional paid-in capital</w:t>
            </w:r>
          </w:p>
        </w:tc>
        <w:tc>
          <w:tcPr>
            <w:tcW w:w="22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13,707</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13,710</w:t>
            </w:r>
          </w:p>
        </w:tc>
        <w:tc>
          <w:tcPr>
            <w:tcW w:w="0" w:type="dxa"/>
            <w:vAlign w:val="bottom"/>
          </w:tcPr>
          <w:p>
            <w:pPr>
              <w:spacing w:after="0"/>
              <w:rPr>
                <w:sz w:val="1"/>
                <w:szCs w:val="1"/>
                <w:color w:val="auto"/>
              </w:rPr>
            </w:pPr>
          </w:p>
        </w:tc>
      </w:tr>
      <w:tr>
        <w:trPr>
          <w:trHeight w:val="213"/>
        </w:trPr>
        <w:tc>
          <w:tcPr>
            <w:tcW w:w="7900" w:type="dxa"/>
            <w:vAlign w:val="bottom"/>
          </w:tcPr>
          <w:p>
            <w:pPr>
              <w:ind w:left="200"/>
              <w:spacing w:after="0"/>
              <w:rPr>
                <w:sz w:val="20"/>
                <w:szCs w:val="20"/>
                <w:color w:val="auto"/>
              </w:rPr>
            </w:pPr>
            <w:r>
              <w:rPr>
                <w:rFonts w:ascii="Arial" w:cs="Arial" w:eastAsia="Arial" w:hAnsi="Arial"/>
                <w:sz w:val="16"/>
                <w:szCs w:val="16"/>
                <w:color w:val="auto"/>
              </w:rPr>
              <w:t>Retained deficit</w:t>
            </w:r>
          </w:p>
        </w:tc>
        <w:tc>
          <w:tcPr>
            <w:tcW w:w="2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6"/>
                <w:szCs w:val="16"/>
                <w:color w:val="auto"/>
              </w:rPr>
              <w:t>(6,726)</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(5,214)</w:t>
            </w:r>
          </w:p>
        </w:tc>
        <w:tc>
          <w:tcPr>
            <w:tcW w:w="0" w:type="dxa"/>
            <w:vAlign w:val="bottom"/>
          </w:tcPr>
          <w:p>
            <w:pPr>
              <w:spacing w:after="0"/>
              <w:rPr>
                <w:sz w:val="1"/>
                <w:szCs w:val="1"/>
                <w:color w:val="auto"/>
              </w:rPr>
            </w:pPr>
          </w:p>
        </w:tc>
      </w:tr>
      <w:tr>
        <w:trPr>
          <w:trHeight w:val="219"/>
        </w:trPr>
        <w:tc>
          <w:tcPr>
            <w:tcW w:w="7900" w:type="dxa"/>
            <w:vAlign w:val="bottom"/>
            <w:shd w:val="clear" w:color="auto" w:fill="CCEEFF"/>
          </w:tcPr>
          <w:p>
            <w:pPr>
              <w:ind w:left="200"/>
              <w:spacing w:after="0"/>
              <w:rPr>
                <w:sz w:val="20"/>
                <w:szCs w:val="20"/>
                <w:color w:val="auto"/>
              </w:rPr>
            </w:pPr>
            <w:r>
              <w:rPr>
                <w:rFonts w:ascii="Arial" w:cs="Arial" w:eastAsia="Arial" w:hAnsi="Arial"/>
                <w:sz w:val="16"/>
                <w:szCs w:val="16"/>
                <w:color w:val="auto"/>
              </w:rPr>
              <w:t>Accumulated other comprehensive income</w:t>
            </w:r>
          </w:p>
        </w:tc>
        <w:tc>
          <w:tcPr>
            <w:tcW w:w="220" w:type="dxa"/>
            <w:vAlign w:val="bottom"/>
            <w:tcBorders>
              <w:bottom w:val="single" w:sz="8" w:color="auto"/>
            </w:tcBorders>
            <w:shd w:val="clear" w:color="auto" w:fill="CCEEFF"/>
          </w:tcPr>
          <w:p>
            <w:pPr>
              <w:spacing w:after="0"/>
              <w:rPr>
                <w:sz w:val="19"/>
                <w:szCs w:val="19"/>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(435)</w:t>
            </w:r>
          </w:p>
        </w:tc>
        <w:tc>
          <w:tcPr>
            <w:tcW w:w="12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301</w:t>
            </w:r>
          </w:p>
        </w:tc>
        <w:tc>
          <w:tcPr>
            <w:tcW w:w="0" w:type="dxa"/>
            <w:vAlign w:val="bottom"/>
          </w:tcPr>
          <w:p>
            <w:pPr>
              <w:spacing w:after="0"/>
              <w:rPr>
                <w:sz w:val="1"/>
                <w:szCs w:val="1"/>
                <w:color w:val="auto"/>
              </w:rPr>
            </w:pPr>
          </w:p>
        </w:tc>
      </w:tr>
      <w:tr>
        <w:trPr>
          <w:trHeight w:val="206"/>
        </w:trPr>
        <w:tc>
          <w:tcPr>
            <w:tcW w:w="7900" w:type="dxa"/>
            <w:vAlign w:val="bottom"/>
            <w:tcBorders>
              <w:bottom w:val="single" w:sz="8" w:color="CCEEFF"/>
            </w:tcBorders>
          </w:tcPr>
          <w:p>
            <w:pPr>
              <w:ind w:left="540"/>
              <w:spacing w:after="0"/>
              <w:rPr>
                <w:sz w:val="20"/>
                <w:szCs w:val="20"/>
                <w:color w:val="auto"/>
              </w:rPr>
            </w:pPr>
            <w:r>
              <w:rPr>
                <w:rFonts w:ascii="Arial" w:cs="Arial" w:eastAsia="Arial" w:hAnsi="Arial"/>
                <w:sz w:val="16"/>
                <w:szCs w:val="16"/>
                <w:color w:val="auto"/>
              </w:rPr>
              <w:t>Total stockholders' equity</w:t>
            </w:r>
          </w:p>
        </w:tc>
        <w:tc>
          <w:tcPr>
            <w:tcW w:w="220" w:type="dxa"/>
            <w:vAlign w:val="bottom"/>
            <w:tcBorders>
              <w:bottom w:val="single" w:sz="8" w:color="auto"/>
            </w:tcBorders>
          </w:tcPr>
          <w:p>
            <w:pPr>
              <w:spacing w:after="0"/>
              <w:rPr>
                <w:sz w:val="17"/>
                <w:szCs w:val="17"/>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8,040</w:t>
            </w:r>
          </w:p>
        </w:tc>
        <w:tc>
          <w:tcPr>
            <w:tcW w:w="12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10,291</w:t>
            </w:r>
          </w:p>
        </w:tc>
        <w:tc>
          <w:tcPr>
            <w:tcW w:w="0" w:type="dxa"/>
            <w:vAlign w:val="bottom"/>
          </w:tcPr>
          <w:p>
            <w:pPr>
              <w:spacing w:after="0"/>
              <w:rPr>
                <w:sz w:val="1"/>
                <w:szCs w:val="1"/>
                <w:color w:val="auto"/>
              </w:rPr>
            </w:pPr>
          </w:p>
        </w:tc>
      </w:tr>
      <w:tr>
        <w:trPr>
          <w:trHeight w:val="238"/>
        </w:trPr>
        <w:tc>
          <w:tcPr>
            <w:tcW w:w="790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16"/>
                <w:szCs w:val="16"/>
                <w:color w:val="auto"/>
              </w:rPr>
              <w:t>Total liabilities and stockholders' equity</w:t>
            </w:r>
          </w:p>
        </w:tc>
        <w:tc>
          <w:tcPr>
            <w:tcW w:w="220" w:type="dxa"/>
            <w:vAlign w:val="bottom"/>
            <w:tcBorders>
              <w:bottom w:val="single" w:sz="8" w:color="auto"/>
            </w:tcBorders>
            <w:shd w:val="clear" w:color="auto" w:fill="CCEEFF"/>
          </w:tcPr>
          <w:p>
            <w:pPr>
              <w:jc w:val="right"/>
              <w:ind w:right="64"/>
              <w:spacing w:after="0"/>
              <w:rPr>
                <w:sz w:val="20"/>
                <w:szCs w:val="20"/>
                <w:color w:val="auto"/>
              </w:rPr>
            </w:pPr>
            <w:r>
              <w:rPr>
                <w:rFonts w:ascii="Arial" w:cs="Arial" w:eastAsia="Arial" w:hAnsi="Arial"/>
                <w:sz w:val="15"/>
                <w:szCs w:val="15"/>
                <w:color w:val="auto"/>
                <w:w w:val="71"/>
              </w:rPr>
              <w:t>$</w:t>
            </w: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61,240</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68,149</w:t>
            </w:r>
          </w:p>
        </w:tc>
        <w:tc>
          <w:tcPr>
            <w:tcW w:w="0" w:type="dxa"/>
            <w:vAlign w:val="bottom"/>
          </w:tcPr>
          <w:p>
            <w:pPr>
              <w:spacing w:after="0"/>
              <w:rPr>
                <w:sz w:val="1"/>
                <w:szCs w:val="1"/>
                <w:color w:val="auto"/>
              </w:rPr>
            </w:pPr>
          </w:p>
        </w:tc>
      </w:tr>
      <w:tr>
        <w:trPr>
          <w:trHeight w:val="20"/>
        </w:trPr>
        <w:tc>
          <w:tcPr>
            <w:tcW w:w="79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3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4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36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891" w:right="35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b w:val="1"/>
          <w:bCs w:val="1"/>
          <w:color w:val="auto"/>
        </w:rPr>
        <w:t>AGNC INVESTMENT CORP.</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COMPREHENSIVE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millions, except per share data)</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7280" w:type="dxa"/>
            <w:vAlign w:val="bottom"/>
          </w:tcPr>
          <w:p>
            <w:pPr>
              <w:spacing w:after="0"/>
              <w:rPr>
                <w:sz w:val="16"/>
                <w:szCs w:val="16"/>
                <w:color w:val="auto"/>
              </w:rPr>
            </w:pPr>
          </w:p>
        </w:tc>
        <w:tc>
          <w:tcPr>
            <w:tcW w:w="2020" w:type="dxa"/>
            <w:vAlign w:val="bottom"/>
            <w:gridSpan w:val="6"/>
          </w:tcPr>
          <w:p>
            <w:pPr>
              <w:ind w:left="40"/>
              <w:spacing w:after="0"/>
              <w:rPr>
                <w:sz w:val="20"/>
                <w:szCs w:val="20"/>
                <w:color w:val="auto"/>
              </w:rPr>
            </w:pPr>
            <w:r>
              <w:rPr>
                <w:rFonts w:ascii="Arial" w:cs="Arial" w:eastAsia="Arial" w:hAnsi="Arial"/>
                <w:sz w:val="16"/>
                <w:szCs w:val="16"/>
                <w:b w:val="1"/>
                <w:bCs w:val="1"/>
                <w:color w:val="auto"/>
                <w:w w:val="97"/>
              </w:rPr>
              <w:t>Three Months Ended June</w:t>
            </w:r>
          </w:p>
        </w:tc>
        <w:tc>
          <w:tcPr>
            <w:tcW w:w="1940" w:type="dxa"/>
            <w:vAlign w:val="bottom"/>
            <w:gridSpan w:val="5"/>
            <w:vMerge w:val="restart"/>
          </w:tcPr>
          <w:p>
            <w:pPr>
              <w:ind w:left="20"/>
              <w:spacing w:after="0"/>
              <w:rPr>
                <w:sz w:val="20"/>
                <w:szCs w:val="20"/>
                <w:color w:val="auto"/>
              </w:rPr>
            </w:pPr>
            <w:r>
              <w:rPr>
                <w:rFonts w:ascii="Arial" w:cs="Arial" w:eastAsia="Arial" w:hAnsi="Arial"/>
                <w:sz w:val="16"/>
                <w:szCs w:val="16"/>
                <w:b w:val="1"/>
                <w:bCs w:val="1"/>
                <w:color w:val="auto"/>
                <w:w w:val="91"/>
              </w:rPr>
              <w:t>Six Months Ended June 30,</w:t>
            </w:r>
          </w:p>
        </w:tc>
        <w:tc>
          <w:tcPr>
            <w:tcW w:w="0" w:type="dxa"/>
            <w:vAlign w:val="bottom"/>
          </w:tcPr>
          <w:p>
            <w:pPr>
              <w:spacing w:after="0"/>
              <w:rPr>
                <w:sz w:val="1"/>
                <w:szCs w:val="1"/>
                <w:color w:val="auto"/>
              </w:rPr>
            </w:pPr>
          </w:p>
        </w:tc>
      </w:tr>
      <w:tr>
        <w:trPr>
          <w:trHeight w:val="213"/>
        </w:trPr>
        <w:tc>
          <w:tcPr>
            <w:tcW w:w="728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gridSpan w:val="3"/>
          </w:tcPr>
          <w:p>
            <w:pPr>
              <w:jc w:val="right"/>
              <w:ind w:right="50"/>
              <w:spacing w:after="0"/>
              <w:rPr>
                <w:sz w:val="20"/>
                <w:szCs w:val="20"/>
                <w:color w:val="auto"/>
              </w:rPr>
            </w:pPr>
            <w:r>
              <w:rPr>
                <w:rFonts w:ascii="Arial" w:cs="Arial" w:eastAsia="Arial" w:hAnsi="Arial"/>
                <w:sz w:val="16"/>
                <w:szCs w:val="16"/>
                <w:b w:val="1"/>
                <w:bCs w:val="1"/>
                <w:color w:val="auto"/>
              </w:rPr>
              <w:t>30,</w:t>
            </w:r>
          </w:p>
        </w:tc>
        <w:tc>
          <w:tcPr>
            <w:tcW w:w="72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940" w:type="dxa"/>
            <w:vAlign w:val="bottom"/>
            <w:tcBorders>
              <w:bottom w:val="single" w:sz="8" w:color="auto"/>
            </w:tcBorders>
            <w:gridSpan w:val="5"/>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728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ind w:right="191"/>
              <w:spacing w:after="0"/>
              <w:rPr>
                <w:sz w:val="20"/>
                <w:szCs w:val="20"/>
                <w:color w:val="auto"/>
              </w:rPr>
            </w:pPr>
            <w:r>
              <w:rPr>
                <w:rFonts w:ascii="Arial" w:cs="Arial" w:eastAsia="Arial" w:hAnsi="Arial"/>
                <w:sz w:val="16"/>
                <w:szCs w:val="16"/>
                <w:b w:val="1"/>
                <w:bCs w:val="1"/>
                <w:color w:val="auto"/>
              </w:rPr>
              <w:t>2022</w:t>
            </w: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ind w:right="210"/>
              <w:spacing w:after="0"/>
              <w:rPr>
                <w:sz w:val="20"/>
                <w:szCs w:val="20"/>
                <w:color w:val="auto"/>
              </w:rPr>
            </w:pPr>
            <w:r>
              <w:rPr>
                <w:rFonts w:ascii="Arial" w:cs="Arial" w:eastAsia="Arial" w:hAnsi="Arial"/>
                <w:sz w:val="16"/>
                <w:szCs w:val="16"/>
                <w:b w:val="1"/>
                <w:bCs w:val="1"/>
                <w:color w:val="auto"/>
              </w:rPr>
              <w:t>2021</w:t>
            </w: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ind w:right="210"/>
              <w:spacing w:after="0"/>
              <w:rPr>
                <w:sz w:val="20"/>
                <w:szCs w:val="20"/>
                <w:color w:val="auto"/>
              </w:rPr>
            </w:pPr>
            <w:r>
              <w:rPr>
                <w:rFonts w:ascii="Arial" w:cs="Arial" w:eastAsia="Arial" w:hAnsi="Arial"/>
                <w:sz w:val="16"/>
                <w:szCs w:val="16"/>
                <w:b w:val="1"/>
                <w:bCs w:val="1"/>
                <w:color w:val="auto"/>
              </w:rPr>
              <w:t>2022</w:t>
            </w: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ind w:right="210"/>
              <w:spacing w:after="0"/>
              <w:rPr>
                <w:sz w:val="20"/>
                <w:szCs w:val="20"/>
                <w:color w:val="auto"/>
              </w:rPr>
            </w:pPr>
            <w:r>
              <w:rPr>
                <w:rFonts w:ascii="Arial" w:cs="Arial" w:eastAsia="Arial" w:hAnsi="Arial"/>
                <w:sz w:val="16"/>
                <w:szCs w:val="16"/>
                <w:b w:val="1"/>
                <w:bCs w:val="1"/>
                <w:color w:val="auto"/>
              </w:rPr>
              <w:t>2021</w:t>
            </w:r>
          </w:p>
        </w:tc>
        <w:tc>
          <w:tcPr>
            <w:tcW w:w="0" w:type="dxa"/>
            <w:vAlign w:val="bottom"/>
          </w:tcPr>
          <w:p>
            <w:pPr>
              <w:spacing w:after="0"/>
              <w:rPr>
                <w:sz w:val="1"/>
                <w:szCs w:val="1"/>
                <w:color w:val="auto"/>
              </w:rPr>
            </w:pPr>
          </w:p>
        </w:tc>
      </w:tr>
      <w:tr>
        <w:trPr>
          <w:trHeight w:val="212"/>
        </w:trPr>
        <w:tc>
          <w:tcPr>
            <w:tcW w:w="7280" w:type="dxa"/>
            <w:vAlign w:val="bottom"/>
            <w:shd w:val="clear" w:color="auto" w:fill="CCEEFF"/>
          </w:tcPr>
          <w:p>
            <w:pPr>
              <w:ind w:left="20"/>
              <w:spacing w:after="0"/>
              <w:rPr>
                <w:sz w:val="20"/>
                <w:szCs w:val="20"/>
                <w:color w:val="auto"/>
              </w:rPr>
            </w:pPr>
            <w:r>
              <w:rPr>
                <w:rFonts w:ascii="Arial" w:cs="Arial" w:eastAsia="Arial" w:hAnsi="Arial"/>
                <w:sz w:val="18"/>
                <w:szCs w:val="18"/>
                <w:b w:val="1"/>
                <w:bCs w:val="1"/>
                <w:color w:val="auto"/>
              </w:rPr>
              <w:t>Interest income:</w:t>
            </w: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7280" w:type="dxa"/>
            <w:vAlign w:val="bottom"/>
          </w:tcPr>
          <w:p>
            <w:pPr>
              <w:ind w:left="360"/>
              <w:spacing w:after="0"/>
              <w:rPr>
                <w:sz w:val="20"/>
                <w:szCs w:val="20"/>
                <w:color w:val="auto"/>
              </w:rPr>
            </w:pPr>
            <w:r>
              <w:rPr>
                <w:rFonts w:ascii="Arial" w:cs="Arial" w:eastAsia="Arial" w:hAnsi="Arial"/>
                <w:sz w:val="18"/>
                <w:szCs w:val="18"/>
                <w:color w:val="auto"/>
              </w:rPr>
              <w:t>Interest income</w:t>
            </w:r>
          </w:p>
        </w:tc>
        <w:tc>
          <w:tcPr>
            <w:tcW w:w="200" w:type="dxa"/>
            <w:vAlign w:val="bottom"/>
          </w:tcPr>
          <w:p>
            <w:pPr>
              <w:jc w:val="right"/>
              <w:ind w:right="11"/>
              <w:spacing w:after="0"/>
              <w:rPr>
                <w:sz w:val="20"/>
                <w:szCs w:val="20"/>
                <w:color w:val="auto"/>
              </w:rPr>
            </w:pPr>
            <w:r>
              <w:rPr>
                <w:rFonts w:ascii="Arial" w:cs="Arial" w:eastAsia="Arial" w:hAnsi="Arial"/>
                <w:sz w:val="18"/>
                <w:szCs w:val="18"/>
                <w:color w:val="auto"/>
                <w:w w:val="79"/>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395</w:t>
            </w:r>
          </w:p>
        </w:tc>
        <w:tc>
          <w:tcPr>
            <w:tcW w:w="100" w:type="dxa"/>
            <w:vAlign w:val="bottom"/>
          </w:tcPr>
          <w:p>
            <w:pPr>
              <w:spacing w:after="0"/>
              <w:rPr>
                <w:sz w:val="19"/>
                <w:szCs w:val="19"/>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249</w:t>
            </w:r>
          </w:p>
        </w:tc>
        <w:tc>
          <w:tcPr>
            <w:tcW w:w="100" w:type="dxa"/>
            <w:vAlign w:val="bottom"/>
          </w:tcPr>
          <w:p>
            <w:pPr>
              <w:spacing w:after="0"/>
              <w:rPr>
                <w:sz w:val="19"/>
                <w:szCs w:val="19"/>
                <w:color w:val="auto"/>
              </w:rPr>
            </w:pPr>
          </w:p>
        </w:tc>
        <w:tc>
          <w:tcPr>
            <w:tcW w:w="200" w:type="dxa"/>
            <w:vAlign w:val="bottom"/>
          </w:tcPr>
          <w:p>
            <w:pPr>
              <w:ind w:left="20"/>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870</w:t>
            </w:r>
          </w:p>
        </w:tc>
        <w:tc>
          <w:tcPr>
            <w:tcW w:w="100" w:type="dxa"/>
            <w:vAlign w:val="bottom"/>
          </w:tcPr>
          <w:p>
            <w:pPr>
              <w:spacing w:after="0"/>
              <w:rPr>
                <w:sz w:val="19"/>
                <w:szCs w:val="19"/>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806</w:t>
            </w:r>
          </w:p>
        </w:tc>
        <w:tc>
          <w:tcPr>
            <w:tcW w:w="0" w:type="dxa"/>
            <w:vAlign w:val="bottom"/>
          </w:tcPr>
          <w:p>
            <w:pPr>
              <w:spacing w:after="0"/>
              <w:rPr>
                <w:sz w:val="1"/>
                <w:szCs w:val="1"/>
                <w:color w:val="auto"/>
              </w:rPr>
            </w:pPr>
          </w:p>
        </w:tc>
      </w:tr>
      <w:tr>
        <w:trPr>
          <w:trHeight w:val="230"/>
        </w:trPr>
        <w:tc>
          <w:tcPr>
            <w:tcW w:w="72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Interest expense</w:t>
            </w:r>
          </w:p>
        </w:tc>
        <w:tc>
          <w:tcPr>
            <w:tcW w:w="200" w:type="dxa"/>
            <w:vAlign w:val="bottom"/>
            <w:tcBorders>
              <w:bottom w:val="single" w:sz="8" w:color="auto"/>
            </w:tcBorders>
            <w:shd w:val="clear" w:color="auto" w:fill="CCEEFF"/>
          </w:tcPr>
          <w:p>
            <w:pPr>
              <w:spacing w:after="0"/>
              <w:rPr>
                <w:sz w:val="19"/>
                <w:szCs w:val="19"/>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80</w:t>
            </w: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w:t>
            </w: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107</w:t>
            </w: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46</w:t>
            </w:r>
          </w:p>
        </w:tc>
        <w:tc>
          <w:tcPr>
            <w:tcW w:w="0" w:type="dxa"/>
            <w:vAlign w:val="bottom"/>
          </w:tcPr>
          <w:p>
            <w:pPr>
              <w:spacing w:after="0"/>
              <w:rPr>
                <w:sz w:val="1"/>
                <w:szCs w:val="1"/>
                <w:color w:val="auto"/>
              </w:rPr>
            </w:pPr>
          </w:p>
        </w:tc>
      </w:tr>
      <w:tr>
        <w:trPr>
          <w:trHeight w:val="223"/>
        </w:trPr>
        <w:tc>
          <w:tcPr>
            <w:tcW w:w="7280" w:type="dxa"/>
            <w:vAlign w:val="bottom"/>
            <w:tcBorders>
              <w:bottom w:val="single" w:sz="8" w:color="CCEEFF"/>
            </w:tcBorders>
          </w:tcPr>
          <w:p>
            <w:pPr>
              <w:ind w:left="680"/>
              <w:spacing w:after="0"/>
              <w:rPr>
                <w:sz w:val="20"/>
                <w:szCs w:val="20"/>
                <w:color w:val="auto"/>
              </w:rPr>
            </w:pPr>
            <w:r>
              <w:rPr>
                <w:rFonts w:ascii="Arial" w:cs="Arial" w:eastAsia="Arial" w:hAnsi="Arial"/>
                <w:sz w:val="18"/>
                <w:szCs w:val="18"/>
                <w:color w:val="auto"/>
              </w:rPr>
              <w:t>Net interest income</w:t>
            </w:r>
          </w:p>
        </w:tc>
        <w:tc>
          <w:tcPr>
            <w:tcW w:w="2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315</w:t>
            </w: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232</w:t>
            </w: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763</w:t>
            </w: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760</w:t>
            </w:r>
          </w:p>
        </w:tc>
        <w:tc>
          <w:tcPr>
            <w:tcW w:w="0" w:type="dxa"/>
            <w:vAlign w:val="bottom"/>
          </w:tcPr>
          <w:p>
            <w:pPr>
              <w:spacing w:after="0"/>
              <w:rPr>
                <w:sz w:val="1"/>
                <w:szCs w:val="1"/>
                <w:color w:val="auto"/>
              </w:rPr>
            </w:pPr>
          </w:p>
        </w:tc>
      </w:tr>
      <w:tr>
        <w:trPr>
          <w:trHeight w:val="210"/>
        </w:trPr>
        <w:tc>
          <w:tcPr>
            <w:tcW w:w="7280" w:type="dxa"/>
            <w:vAlign w:val="bottom"/>
            <w:shd w:val="clear" w:color="auto" w:fill="CCEEFF"/>
          </w:tcPr>
          <w:p>
            <w:pPr>
              <w:ind w:left="20"/>
              <w:spacing w:after="0"/>
              <w:rPr>
                <w:sz w:val="20"/>
                <w:szCs w:val="20"/>
                <w:color w:val="auto"/>
              </w:rPr>
            </w:pPr>
            <w:r>
              <w:rPr>
                <w:rFonts w:ascii="Arial" w:cs="Arial" w:eastAsia="Arial" w:hAnsi="Arial"/>
                <w:sz w:val="18"/>
                <w:szCs w:val="18"/>
                <w:b w:val="1"/>
                <w:bCs w:val="1"/>
                <w:color w:val="auto"/>
              </w:rPr>
              <w:t>Other gain (loss), net:</w:t>
            </w: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7280" w:type="dxa"/>
            <w:vAlign w:val="bottom"/>
          </w:tcPr>
          <w:p>
            <w:pPr>
              <w:ind w:left="360"/>
              <w:spacing w:after="0"/>
              <w:rPr>
                <w:sz w:val="20"/>
                <w:szCs w:val="20"/>
                <w:color w:val="auto"/>
              </w:rPr>
            </w:pPr>
            <w:r>
              <w:rPr>
                <w:rFonts w:ascii="Arial" w:cs="Arial" w:eastAsia="Arial" w:hAnsi="Arial"/>
                <w:sz w:val="18"/>
                <w:szCs w:val="18"/>
                <w:color w:val="auto"/>
              </w:rPr>
              <w:t>Gain (loss) on sale of investment securities, net</w:t>
            </w:r>
          </w:p>
        </w:tc>
        <w:tc>
          <w:tcPr>
            <w:tcW w:w="20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(946)</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25</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(1,288)</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29"/>
        </w:trPr>
        <w:tc>
          <w:tcPr>
            <w:tcW w:w="7280" w:type="dxa"/>
            <w:vAlign w:val="bottom"/>
            <w:shd w:val="clear" w:color="auto" w:fill="CCEEFF"/>
          </w:tcPr>
          <w:p>
            <w:pPr>
              <w:ind w:left="360"/>
              <w:spacing w:after="0"/>
              <w:rPr>
                <w:sz w:val="20"/>
                <w:szCs w:val="20"/>
                <w:color w:val="auto"/>
              </w:rPr>
            </w:pPr>
            <w:r>
              <w:rPr>
                <w:rFonts w:ascii="Arial" w:cs="Arial" w:eastAsia="Arial" w:hAnsi="Arial"/>
                <w:sz w:val="18"/>
                <w:szCs w:val="18"/>
                <w:color w:val="auto"/>
                <w:w w:val="98"/>
              </w:rPr>
              <w:t>Unrealized loss on investment securities measured at fair value through net income, net</w:t>
            </w:r>
          </w:p>
        </w:tc>
        <w:tc>
          <w:tcPr>
            <w:tcW w:w="20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(987)</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(3,519)</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(983)</w:t>
            </w:r>
          </w:p>
        </w:tc>
        <w:tc>
          <w:tcPr>
            <w:tcW w:w="0" w:type="dxa"/>
            <w:vAlign w:val="bottom"/>
          </w:tcPr>
          <w:p>
            <w:pPr>
              <w:spacing w:after="0"/>
              <w:rPr>
                <w:sz w:val="1"/>
                <w:szCs w:val="1"/>
                <w:color w:val="auto"/>
              </w:rPr>
            </w:pPr>
          </w:p>
        </w:tc>
      </w:tr>
      <w:tr>
        <w:trPr>
          <w:trHeight w:val="230"/>
        </w:trPr>
        <w:tc>
          <w:tcPr>
            <w:tcW w:w="7280" w:type="dxa"/>
            <w:vAlign w:val="bottom"/>
            <w:tcBorders>
              <w:bottom w:val="single" w:sz="8" w:color="CCEEFF"/>
            </w:tcBorders>
          </w:tcPr>
          <w:p>
            <w:pPr>
              <w:ind w:left="360"/>
              <w:spacing w:after="0"/>
              <w:rPr>
                <w:sz w:val="20"/>
                <w:szCs w:val="20"/>
                <w:color w:val="auto"/>
              </w:rPr>
            </w:pPr>
            <w:r>
              <w:rPr>
                <w:rFonts w:ascii="Arial" w:cs="Arial" w:eastAsia="Arial" w:hAnsi="Arial"/>
                <w:sz w:val="18"/>
                <w:szCs w:val="18"/>
                <w:color w:val="auto"/>
              </w:rPr>
              <w:t>Gain (loss) on derivative instruments and other securities, net</w:t>
            </w:r>
          </w:p>
        </w:tc>
        <w:tc>
          <w:tcPr>
            <w:tcW w:w="2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1,204</w:t>
            </w: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(618)</w:t>
            </w: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3,000</w:t>
            </w: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821</w:t>
            </w:r>
          </w:p>
        </w:tc>
        <w:tc>
          <w:tcPr>
            <w:tcW w:w="0" w:type="dxa"/>
            <w:vAlign w:val="bottom"/>
          </w:tcPr>
          <w:p>
            <w:pPr>
              <w:spacing w:after="0"/>
              <w:rPr>
                <w:sz w:val="1"/>
                <w:szCs w:val="1"/>
                <w:color w:val="auto"/>
              </w:rPr>
            </w:pPr>
          </w:p>
        </w:tc>
      </w:tr>
      <w:tr>
        <w:trPr>
          <w:trHeight w:val="223"/>
        </w:trPr>
        <w:tc>
          <w:tcPr>
            <w:tcW w:w="7280" w:type="dxa"/>
            <w:vAlign w:val="bottom"/>
            <w:shd w:val="clear" w:color="auto" w:fill="CCEEFF"/>
          </w:tcPr>
          <w:p>
            <w:pPr>
              <w:ind w:left="680"/>
              <w:spacing w:after="0"/>
              <w:rPr>
                <w:sz w:val="20"/>
                <w:szCs w:val="20"/>
                <w:color w:val="auto"/>
              </w:rPr>
            </w:pPr>
            <w:r>
              <w:rPr>
                <w:rFonts w:ascii="Arial" w:cs="Arial" w:eastAsia="Arial" w:hAnsi="Arial"/>
                <w:sz w:val="18"/>
                <w:szCs w:val="18"/>
                <w:color w:val="auto"/>
              </w:rPr>
              <w:t>Total other loss, net:</w:t>
            </w:r>
          </w:p>
        </w:tc>
        <w:tc>
          <w:tcPr>
            <w:tcW w:w="200" w:type="dxa"/>
            <w:vAlign w:val="bottom"/>
            <w:tcBorders>
              <w:bottom w:val="single" w:sz="8" w:color="auto"/>
            </w:tcBorders>
            <w:shd w:val="clear" w:color="auto" w:fill="CCEEFF"/>
          </w:tcPr>
          <w:p>
            <w:pPr>
              <w:spacing w:after="0"/>
              <w:rPr>
                <w:sz w:val="19"/>
                <w:szCs w:val="19"/>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(729)</w:t>
            </w: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(621)</w:t>
            </w: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(1,807)</w:t>
            </w: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(150)</w:t>
            </w:r>
          </w:p>
        </w:tc>
        <w:tc>
          <w:tcPr>
            <w:tcW w:w="0" w:type="dxa"/>
            <w:vAlign w:val="bottom"/>
          </w:tcPr>
          <w:p>
            <w:pPr>
              <w:spacing w:after="0"/>
              <w:rPr>
                <w:sz w:val="1"/>
                <w:szCs w:val="1"/>
                <w:color w:val="auto"/>
              </w:rPr>
            </w:pPr>
          </w:p>
        </w:tc>
      </w:tr>
      <w:tr>
        <w:trPr>
          <w:trHeight w:val="210"/>
        </w:trPr>
        <w:tc>
          <w:tcPr>
            <w:tcW w:w="7280" w:type="dxa"/>
            <w:vAlign w:val="bottom"/>
          </w:tcPr>
          <w:p>
            <w:pPr>
              <w:ind w:left="20"/>
              <w:spacing w:after="0"/>
              <w:rPr>
                <w:sz w:val="20"/>
                <w:szCs w:val="20"/>
                <w:color w:val="auto"/>
              </w:rPr>
            </w:pPr>
            <w:r>
              <w:rPr>
                <w:rFonts w:ascii="Arial" w:cs="Arial" w:eastAsia="Arial" w:hAnsi="Arial"/>
                <w:sz w:val="18"/>
                <w:szCs w:val="18"/>
                <w:b w:val="1"/>
                <w:bCs w:val="1"/>
                <w:color w:val="auto"/>
              </w:rPr>
              <w:t>Expenses:</w:t>
            </w: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72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Compensation and benefits</w:t>
            </w:r>
          </w:p>
        </w:tc>
        <w:tc>
          <w:tcPr>
            <w:tcW w:w="20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0" w:type="dxa"/>
            <w:vAlign w:val="bottom"/>
          </w:tcPr>
          <w:p>
            <w:pPr>
              <w:spacing w:after="0"/>
              <w:rPr>
                <w:sz w:val="1"/>
                <w:szCs w:val="1"/>
                <w:color w:val="auto"/>
              </w:rPr>
            </w:pPr>
          </w:p>
        </w:tc>
      </w:tr>
      <w:tr>
        <w:trPr>
          <w:trHeight w:val="230"/>
        </w:trPr>
        <w:tc>
          <w:tcPr>
            <w:tcW w:w="7280" w:type="dxa"/>
            <w:vAlign w:val="bottom"/>
            <w:tcBorders>
              <w:bottom w:val="single" w:sz="8" w:color="CCEEFF"/>
            </w:tcBorders>
          </w:tcPr>
          <w:p>
            <w:pPr>
              <w:ind w:left="360"/>
              <w:spacing w:after="0"/>
              <w:rPr>
                <w:sz w:val="20"/>
                <w:szCs w:val="20"/>
                <w:color w:val="auto"/>
              </w:rPr>
            </w:pPr>
            <w:r>
              <w:rPr>
                <w:rFonts w:ascii="Arial" w:cs="Arial" w:eastAsia="Arial" w:hAnsi="Arial"/>
                <w:sz w:val="18"/>
                <w:szCs w:val="18"/>
                <w:color w:val="auto"/>
              </w:rPr>
              <w:t>Other operating expense</w:t>
            </w:r>
          </w:p>
        </w:tc>
        <w:tc>
          <w:tcPr>
            <w:tcW w:w="2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w:t>
            </w: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w:t>
            </w: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w:t>
            </w: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23"/>
        </w:trPr>
        <w:tc>
          <w:tcPr>
            <w:tcW w:w="7280" w:type="dxa"/>
            <w:vAlign w:val="bottom"/>
            <w:shd w:val="clear" w:color="auto" w:fill="CCEEFF"/>
          </w:tcPr>
          <w:p>
            <w:pPr>
              <w:ind w:left="680"/>
              <w:spacing w:after="0"/>
              <w:rPr>
                <w:sz w:val="20"/>
                <w:szCs w:val="20"/>
                <w:color w:val="auto"/>
              </w:rPr>
            </w:pPr>
            <w:r>
              <w:rPr>
                <w:rFonts w:ascii="Arial" w:cs="Arial" w:eastAsia="Arial" w:hAnsi="Arial"/>
                <w:sz w:val="18"/>
                <w:szCs w:val="18"/>
                <w:color w:val="auto"/>
              </w:rPr>
              <w:t>Total operating expense</w:t>
            </w:r>
          </w:p>
        </w:tc>
        <w:tc>
          <w:tcPr>
            <w:tcW w:w="200" w:type="dxa"/>
            <w:vAlign w:val="bottom"/>
            <w:tcBorders>
              <w:bottom w:val="single" w:sz="8" w:color="auto"/>
            </w:tcBorders>
            <w:shd w:val="clear" w:color="auto" w:fill="CCEEFF"/>
          </w:tcPr>
          <w:p>
            <w:pPr>
              <w:spacing w:after="0"/>
              <w:rPr>
                <w:sz w:val="19"/>
                <w:szCs w:val="19"/>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w:t>
            </w: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w:t>
            </w: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46</w:t>
            </w:r>
          </w:p>
        </w:tc>
        <w:tc>
          <w:tcPr>
            <w:tcW w:w="0" w:type="dxa"/>
            <w:vAlign w:val="bottom"/>
          </w:tcPr>
          <w:p>
            <w:pPr>
              <w:spacing w:after="0"/>
              <w:rPr>
                <w:sz w:val="1"/>
                <w:szCs w:val="1"/>
                <w:color w:val="auto"/>
              </w:rPr>
            </w:pPr>
          </w:p>
        </w:tc>
      </w:tr>
      <w:tr>
        <w:trPr>
          <w:trHeight w:val="223"/>
        </w:trPr>
        <w:tc>
          <w:tcPr>
            <w:tcW w:w="7280" w:type="dxa"/>
            <w:vAlign w:val="bottom"/>
          </w:tcPr>
          <w:p>
            <w:pPr>
              <w:ind w:left="20"/>
              <w:spacing w:after="0"/>
              <w:rPr>
                <w:sz w:val="20"/>
                <w:szCs w:val="20"/>
                <w:color w:val="auto"/>
              </w:rPr>
            </w:pPr>
            <w:r>
              <w:rPr>
                <w:rFonts w:ascii="Arial" w:cs="Arial" w:eastAsia="Arial" w:hAnsi="Arial"/>
                <w:sz w:val="18"/>
                <w:szCs w:val="18"/>
                <w:b w:val="1"/>
                <w:bCs w:val="1"/>
                <w:color w:val="auto"/>
              </w:rPr>
              <w:t>Net income (loss)</w:t>
            </w:r>
          </w:p>
        </w:tc>
        <w:tc>
          <w:tcPr>
            <w:tcW w:w="20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(434)</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(411)</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(1,085)</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564</w:t>
            </w:r>
          </w:p>
        </w:tc>
        <w:tc>
          <w:tcPr>
            <w:tcW w:w="0" w:type="dxa"/>
            <w:vAlign w:val="bottom"/>
          </w:tcPr>
          <w:p>
            <w:pPr>
              <w:spacing w:after="0"/>
              <w:rPr>
                <w:sz w:val="1"/>
                <w:szCs w:val="1"/>
                <w:color w:val="auto"/>
              </w:rPr>
            </w:pPr>
          </w:p>
        </w:tc>
      </w:tr>
      <w:tr>
        <w:trPr>
          <w:trHeight w:val="229"/>
        </w:trPr>
        <w:tc>
          <w:tcPr>
            <w:tcW w:w="72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Dividends on preferred stock</w:t>
            </w:r>
          </w:p>
        </w:tc>
        <w:tc>
          <w:tcPr>
            <w:tcW w:w="200" w:type="dxa"/>
            <w:vAlign w:val="bottom"/>
            <w:tcBorders>
              <w:bottom w:val="single" w:sz="8" w:color="auto"/>
            </w:tcBorders>
            <w:shd w:val="clear" w:color="auto" w:fill="CCEEFF"/>
          </w:tcPr>
          <w:p>
            <w:pPr>
              <w:spacing w:after="0"/>
              <w:rPr>
                <w:sz w:val="19"/>
                <w:szCs w:val="19"/>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0" w:type="dxa"/>
            <w:vAlign w:val="bottom"/>
          </w:tcPr>
          <w:p>
            <w:pPr>
              <w:spacing w:after="0"/>
              <w:rPr>
                <w:sz w:val="1"/>
                <w:szCs w:val="1"/>
                <w:color w:val="auto"/>
              </w:rPr>
            </w:pPr>
          </w:p>
        </w:tc>
      </w:tr>
      <w:tr>
        <w:trPr>
          <w:trHeight w:val="223"/>
        </w:trPr>
        <w:tc>
          <w:tcPr>
            <w:tcW w:w="7280" w:type="dxa"/>
            <w:vAlign w:val="bottom"/>
          </w:tcPr>
          <w:p>
            <w:pPr>
              <w:ind w:left="20"/>
              <w:spacing w:after="0"/>
              <w:rPr>
                <w:sz w:val="20"/>
                <w:szCs w:val="20"/>
                <w:color w:val="auto"/>
              </w:rPr>
            </w:pPr>
            <w:r>
              <w:rPr>
                <w:rFonts w:ascii="Arial" w:cs="Arial" w:eastAsia="Arial" w:hAnsi="Arial"/>
                <w:sz w:val="18"/>
                <w:szCs w:val="18"/>
                <w:b w:val="1"/>
                <w:bCs w:val="1"/>
                <w:color w:val="auto"/>
              </w:rPr>
              <w:t>Net income (loss) available (attributable) to common stockholders</w:t>
            </w:r>
          </w:p>
        </w:tc>
        <w:tc>
          <w:tcPr>
            <w:tcW w:w="20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w w:val="79"/>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(459)</w:t>
            </w:r>
          </w:p>
        </w:tc>
        <w:tc>
          <w:tcPr>
            <w:tcW w:w="100" w:type="dxa"/>
            <w:vAlign w:val="bottom"/>
          </w:tcPr>
          <w:p>
            <w:pPr>
              <w:spacing w:after="0"/>
              <w:rPr>
                <w:sz w:val="19"/>
                <w:szCs w:val="19"/>
                <w:color w:val="auto"/>
              </w:rPr>
            </w:pP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(436)</w:t>
            </w:r>
          </w:p>
        </w:tc>
        <w:tc>
          <w:tcPr>
            <w:tcW w:w="100" w:type="dxa"/>
            <w:vAlign w:val="bottom"/>
          </w:tcPr>
          <w:p>
            <w:pPr>
              <w:spacing w:after="0"/>
              <w:rPr>
                <w:sz w:val="19"/>
                <w:szCs w:val="19"/>
                <w:color w:val="auto"/>
              </w:rPr>
            </w:pPr>
          </w:p>
        </w:tc>
        <w:tc>
          <w:tcPr>
            <w:tcW w:w="20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(1,135)</w:t>
            </w:r>
          </w:p>
        </w:tc>
        <w:tc>
          <w:tcPr>
            <w:tcW w:w="100" w:type="dxa"/>
            <w:vAlign w:val="bottom"/>
          </w:tcPr>
          <w:p>
            <w:pPr>
              <w:spacing w:after="0"/>
              <w:rPr>
                <w:sz w:val="19"/>
                <w:szCs w:val="19"/>
                <w:color w:val="auto"/>
              </w:rPr>
            </w:pP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514</w:t>
            </w:r>
          </w:p>
        </w:tc>
        <w:tc>
          <w:tcPr>
            <w:tcW w:w="0" w:type="dxa"/>
            <w:vAlign w:val="bottom"/>
          </w:tcPr>
          <w:p>
            <w:pPr>
              <w:spacing w:after="0"/>
              <w:rPr>
                <w:sz w:val="1"/>
                <w:szCs w:val="1"/>
                <w:color w:val="auto"/>
              </w:rPr>
            </w:pPr>
          </w:p>
        </w:tc>
      </w:tr>
      <w:tr>
        <w:trPr>
          <w:trHeight w:val="20"/>
        </w:trPr>
        <w:tc>
          <w:tcPr>
            <w:tcW w:w="728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728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7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280" w:type="dxa"/>
            <w:vAlign w:val="bottom"/>
          </w:tcPr>
          <w:p>
            <w:pPr>
              <w:ind w:left="20"/>
              <w:spacing w:after="0"/>
              <w:rPr>
                <w:sz w:val="20"/>
                <w:szCs w:val="20"/>
                <w:color w:val="auto"/>
              </w:rPr>
            </w:pPr>
            <w:r>
              <w:rPr>
                <w:rFonts w:ascii="Arial" w:cs="Arial" w:eastAsia="Arial" w:hAnsi="Arial"/>
                <w:sz w:val="18"/>
                <w:szCs w:val="18"/>
                <w:b w:val="1"/>
                <w:bCs w:val="1"/>
                <w:color w:val="auto"/>
              </w:rPr>
              <w:t>Net income (loss)</w:t>
            </w:r>
          </w:p>
        </w:tc>
        <w:tc>
          <w:tcPr>
            <w:tcW w:w="200" w:type="dxa"/>
            <w:vAlign w:val="bottom"/>
          </w:tcPr>
          <w:p>
            <w:pPr>
              <w:jc w:val="right"/>
              <w:ind w:right="11"/>
              <w:spacing w:after="0"/>
              <w:rPr>
                <w:sz w:val="20"/>
                <w:szCs w:val="20"/>
                <w:color w:val="auto"/>
              </w:rPr>
            </w:pPr>
            <w:r>
              <w:rPr>
                <w:rFonts w:ascii="Arial" w:cs="Arial" w:eastAsia="Arial" w:hAnsi="Arial"/>
                <w:sz w:val="18"/>
                <w:szCs w:val="18"/>
                <w:color w:val="auto"/>
                <w:w w:val="79"/>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(434)</w:t>
            </w:r>
          </w:p>
        </w:tc>
        <w:tc>
          <w:tcPr>
            <w:tcW w:w="100" w:type="dxa"/>
            <w:vAlign w:val="bottom"/>
          </w:tcPr>
          <w:p>
            <w:pPr>
              <w:spacing w:after="0"/>
              <w:rPr>
                <w:sz w:val="19"/>
                <w:szCs w:val="19"/>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(411)</w:t>
            </w:r>
          </w:p>
        </w:tc>
        <w:tc>
          <w:tcPr>
            <w:tcW w:w="100" w:type="dxa"/>
            <w:vAlign w:val="bottom"/>
          </w:tcPr>
          <w:p>
            <w:pPr>
              <w:spacing w:after="0"/>
              <w:rPr>
                <w:sz w:val="19"/>
                <w:szCs w:val="19"/>
                <w:color w:val="auto"/>
              </w:rPr>
            </w:pPr>
          </w:p>
        </w:tc>
        <w:tc>
          <w:tcPr>
            <w:tcW w:w="200" w:type="dxa"/>
            <w:vAlign w:val="bottom"/>
          </w:tcPr>
          <w:p>
            <w:pPr>
              <w:ind w:left="20"/>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(1,085)</w:t>
            </w:r>
          </w:p>
        </w:tc>
        <w:tc>
          <w:tcPr>
            <w:tcW w:w="100" w:type="dxa"/>
            <w:vAlign w:val="bottom"/>
          </w:tcPr>
          <w:p>
            <w:pPr>
              <w:spacing w:after="0"/>
              <w:rPr>
                <w:sz w:val="19"/>
                <w:szCs w:val="19"/>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564</w:t>
            </w:r>
          </w:p>
        </w:tc>
        <w:tc>
          <w:tcPr>
            <w:tcW w:w="0" w:type="dxa"/>
            <w:vAlign w:val="bottom"/>
          </w:tcPr>
          <w:p>
            <w:pPr>
              <w:spacing w:after="0"/>
              <w:rPr>
                <w:sz w:val="1"/>
                <w:szCs w:val="1"/>
                <w:color w:val="auto"/>
              </w:rPr>
            </w:pPr>
          </w:p>
        </w:tc>
      </w:tr>
      <w:tr>
        <w:trPr>
          <w:trHeight w:val="175"/>
        </w:trPr>
        <w:tc>
          <w:tcPr>
            <w:tcW w:w="7280" w:type="dxa"/>
            <w:vAlign w:val="bottom"/>
            <w:shd w:val="clear" w:color="auto" w:fill="CCEEFF"/>
          </w:tcPr>
          <w:p>
            <w:pPr>
              <w:ind w:left="360"/>
              <w:spacing w:after="0" w:line="176" w:lineRule="exact"/>
              <w:rPr>
                <w:sz w:val="20"/>
                <w:szCs w:val="20"/>
                <w:color w:val="auto"/>
              </w:rPr>
            </w:pPr>
            <w:r>
              <w:rPr>
                <w:rFonts w:ascii="Arial" w:cs="Arial" w:eastAsia="Arial" w:hAnsi="Arial"/>
                <w:sz w:val="18"/>
                <w:szCs w:val="18"/>
                <w:color w:val="auto"/>
                <w:w w:val="92"/>
              </w:rPr>
              <w:t>Unrealized loss on investment securities measured at fair value through other comprehensive</w:t>
            </w:r>
          </w:p>
        </w:tc>
        <w:tc>
          <w:tcPr>
            <w:tcW w:w="200" w:type="dxa"/>
            <w:vAlign w:val="bottom"/>
            <w:shd w:val="clear" w:color="auto" w:fill="CCEEFF"/>
          </w:tcPr>
          <w:p>
            <w:pPr>
              <w:spacing w:after="0"/>
              <w:rPr>
                <w:sz w:val="15"/>
                <w:szCs w:val="15"/>
                <w:color w:val="auto"/>
              </w:rPr>
            </w:pP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(245)</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2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(77)</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2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(736)</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2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(314)</w:t>
            </w:r>
          </w:p>
        </w:tc>
        <w:tc>
          <w:tcPr>
            <w:tcW w:w="0" w:type="dxa"/>
            <w:vAlign w:val="bottom"/>
          </w:tcPr>
          <w:p>
            <w:pPr>
              <w:spacing w:after="0"/>
              <w:rPr>
                <w:sz w:val="1"/>
                <w:szCs w:val="1"/>
                <w:color w:val="auto"/>
              </w:rPr>
            </w:pPr>
          </w:p>
        </w:tc>
      </w:tr>
      <w:tr>
        <w:trPr>
          <w:trHeight w:val="230"/>
        </w:trPr>
        <w:tc>
          <w:tcPr>
            <w:tcW w:w="72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loss, net</w:t>
            </w:r>
          </w:p>
        </w:tc>
        <w:tc>
          <w:tcPr>
            <w:tcW w:w="200" w:type="dxa"/>
            <w:vAlign w:val="bottom"/>
            <w:tcBorders>
              <w:bottom w:val="single" w:sz="8" w:color="auto"/>
            </w:tcBorders>
            <w:shd w:val="clear" w:color="auto" w:fill="CCEEFF"/>
          </w:tcPr>
          <w:p>
            <w:pPr>
              <w:spacing w:after="0"/>
              <w:rPr>
                <w:sz w:val="19"/>
                <w:szCs w:val="19"/>
                <w:color w:val="auto"/>
              </w:rPr>
            </w:pPr>
          </w:p>
        </w:tc>
        <w:tc>
          <w:tcPr>
            <w:tcW w:w="700" w:type="dxa"/>
            <w:vAlign w:val="bottom"/>
            <w:tcBorders>
              <w:bottom w:val="single" w:sz="8" w:color="auto"/>
            </w:tcBorders>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7280" w:type="dxa"/>
            <w:vAlign w:val="bottom"/>
          </w:tcPr>
          <w:p>
            <w:pPr>
              <w:ind w:left="20"/>
              <w:spacing w:after="0"/>
              <w:rPr>
                <w:sz w:val="20"/>
                <w:szCs w:val="20"/>
                <w:color w:val="auto"/>
              </w:rPr>
            </w:pPr>
            <w:r>
              <w:rPr>
                <w:rFonts w:ascii="Arial" w:cs="Arial" w:eastAsia="Arial" w:hAnsi="Arial"/>
                <w:sz w:val="18"/>
                <w:szCs w:val="18"/>
                <w:b w:val="1"/>
                <w:bCs w:val="1"/>
                <w:color w:val="auto"/>
              </w:rPr>
              <w:t>Comprehensive income (loss)</w:t>
            </w:r>
          </w:p>
        </w:tc>
        <w:tc>
          <w:tcPr>
            <w:tcW w:w="20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(679)</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(488)</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(1,821)</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250</w:t>
            </w:r>
          </w:p>
        </w:tc>
        <w:tc>
          <w:tcPr>
            <w:tcW w:w="0" w:type="dxa"/>
            <w:vAlign w:val="bottom"/>
          </w:tcPr>
          <w:p>
            <w:pPr>
              <w:spacing w:after="0"/>
              <w:rPr>
                <w:sz w:val="1"/>
                <w:szCs w:val="1"/>
                <w:color w:val="auto"/>
              </w:rPr>
            </w:pPr>
          </w:p>
        </w:tc>
      </w:tr>
      <w:tr>
        <w:trPr>
          <w:trHeight w:val="230"/>
        </w:trPr>
        <w:tc>
          <w:tcPr>
            <w:tcW w:w="72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Dividends on preferred stock</w:t>
            </w:r>
          </w:p>
        </w:tc>
        <w:tc>
          <w:tcPr>
            <w:tcW w:w="200" w:type="dxa"/>
            <w:vAlign w:val="bottom"/>
            <w:tcBorders>
              <w:bottom w:val="single" w:sz="8" w:color="auto"/>
            </w:tcBorders>
            <w:shd w:val="clear" w:color="auto" w:fill="CCEEFF"/>
          </w:tcPr>
          <w:p>
            <w:pPr>
              <w:spacing w:after="0"/>
              <w:rPr>
                <w:sz w:val="19"/>
                <w:szCs w:val="19"/>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0" w:type="dxa"/>
            <w:vAlign w:val="bottom"/>
          </w:tcPr>
          <w:p>
            <w:pPr>
              <w:spacing w:after="0"/>
              <w:rPr>
                <w:sz w:val="1"/>
                <w:szCs w:val="1"/>
                <w:color w:val="auto"/>
              </w:rPr>
            </w:pPr>
          </w:p>
        </w:tc>
      </w:tr>
      <w:tr>
        <w:trPr>
          <w:trHeight w:val="223"/>
        </w:trPr>
        <w:tc>
          <w:tcPr>
            <w:tcW w:w="7280" w:type="dxa"/>
            <w:vAlign w:val="bottom"/>
          </w:tcPr>
          <w:p>
            <w:pPr>
              <w:ind w:left="60"/>
              <w:spacing w:after="0"/>
              <w:rPr>
                <w:sz w:val="20"/>
                <w:szCs w:val="20"/>
                <w:color w:val="auto"/>
              </w:rPr>
            </w:pPr>
            <w:r>
              <w:rPr>
                <w:rFonts w:ascii="Arial" w:cs="Arial" w:eastAsia="Arial" w:hAnsi="Arial"/>
                <w:sz w:val="18"/>
                <w:szCs w:val="18"/>
                <w:b w:val="1"/>
                <w:bCs w:val="1"/>
                <w:color w:val="auto"/>
              </w:rPr>
              <w:t>Comprehensive income (loss) available (attributable) to common stockholders</w:t>
            </w:r>
          </w:p>
        </w:tc>
        <w:tc>
          <w:tcPr>
            <w:tcW w:w="20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w w:val="79"/>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(704)</w:t>
            </w:r>
          </w:p>
        </w:tc>
        <w:tc>
          <w:tcPr>
            <w:tcW w:w="100" w:type="dxa"/>
            <w:vAlign w:val="bottom"/>
          </w:tcPr>
          <w:p>
            <w:pPr>
              <w:spacing w:after="0"/>
              <w:rPr>
                <w:sz w:val="19"/>
                <w:szCs w:val="19"/>
                <w:color w:val="auto"/>
              </w:rPr>
            </w:pP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(513)</w:t>
            </w:r>
          </w:p>
        </w:tc>
        <w:tc>
          <w:tcPr>
            <w:tcW w:w="100" w:type="dxa"/>
            <w:vAlign w:val="bottom"/>
          </w:tcPr>
          <w:p>
            <w:pPr>
              <w:spacing w:after="0"/>
              <w:rPr>
                <w:sz w:val="19"/>
                <w:szCs w:val="19"/>
                <w:color w:val="auto"/>
              </w:rPr>
            </w:pPr>
          </w:p>
        </w:tc>
        <w:tc>
          <w:tcPr>
            <w:tcW w:w="20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(1,871)</w:t>
            </w:r>
          </w:p>
        </w:tc>
        <w:tc>
          <w:tcPr>
            <w:tcW w:w="100" w:type="dxa"/>
            <w:vAlign w:val="bottom"/>
          </w:tcPr>
          <w:p>
            <w:pPr>
              <w:spacing w:after="0"/>
              <w:rPr>
                <w:sz w:val="19"/>
                <w:szCs w:val="19"/>
                <w:color w:val="auto"/>
              </w:rPr>
            </w:pP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200</w:t>
            </w:r>
          </w:p>
        </w:tc>
        <w:tc>
          <w:tcPr>
            <w:tcW w:w="0" w:type="dxa"/>
            <w:vAlign w:val="bottom"/>
          </w:tcPr>
          <w:p>
            <w:pPr>
              <w:spacing w:after="0"/>
              <w:rPr>
                <w:sz w:val="1"/>
                <w:szCs w:val="1"/>
                <w:color w:val="auto"/>
              </w:rPr>
            </w:pPr>
          </w:p>
        </w:tc>
      </w:tr>
      <w:tr>
        <w:trPr>
          <w:trHeight w:val="20"/>
        </w:trPr>
        <w:tc>
          <w:tcPr>
            <w:tcW w:w="728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728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7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280" w:type="dxa"/>
            <w:vAlign w:val="bottom"/>
          </w:tcPr>
          <w:p>
            <w:pPr>
              <w:ind w:left="20"/>
              <w:spacing w:after="0"/>
              <w:rPr>
                <w:sz w:val="20"/>
                <w:szCs w:val="20"/>
                <w:color w:val="auto"/>
              </w:rPr>
            </w:pPr>
            <w:r>
              <w:rPr>
                <w:rFonts w:ascii="Arial" w:cs="Arial" w:eastAsia="Arial" w:hAnsi="Arial"/>
                <w:sz w:val="18"/>
                <w:szCs w:val="18"/>
                <w:b w:val="1"/>
                <w:bCs w:val="1"/>
                <w:color w:val="auto"/>
              </w:rPr>
              <w:t>Weighted average number of common shares outstanding - basic</w:t>
            </w:r>
          </w:p>
        </w:tc>
        <w:tc>
          <w:tcPr>
            <w:tcW w:w="2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526.2</w:t>
            </w:r>
          </w:p>
        </w:tc>
        <w:tc>
          <w:tcPr>
            <w:tcW w:w="10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526.6</w:t>
            </w:r>
          </w:p>
        </w:tc>
        <w:tc>
          <w:tcPr>
            <w:tcW w:w="10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525.3</w:t>
            </w:r>
          </w:p>
        </w:tc>
        <w:tc>
          <w:tcPr>
            <w:tcW w:w="10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530.1</w:t>
            </w:r>
          </w:p>
        </w:tc>
        <w:tc>
          <w:tcPr>
            <w:tcW w:w="0" w:type="dxa"/>
            <w:vAlign w:val="bottom"/>
          </w:tcPr>
          <w:p>
            <w:pPr>
              <w:spacing w:after="0"/>
              <w:rPr>
                <w:sz w:val="1"/>
                <w:szCs w:val="1"/>
                <w:color w:val="auto"/>
              </w:rPr>
            </w:pPr>
          </w:p>
        </w:tc>
      </w:tr>
      <w:tr>
        <w:trPr>
          <w:trHeight w:val="20"/>
        </w:trPr>
        <w:tc>
          <w:tcPr>
            <w:tcW w:w="728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9"/>
        </w:trPr>
        <w:tc>
          <w:tcPr>
            <w:tcW w:w="7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Weighted average number of common shares outstanding - diluted</w:t>
            </w:r>
          </w:p>
        </w:tc>
        <w:tc>
          <w:tcPr>
            <w:tcW w:w="200" w:type="dxa"/>
            <w:vAlign w:val="bottom"/>
            <w:tcBorders>
              <w:bottom w:val="single" w:sz="8" w:color="auto"/>
            </w:tcBorders>
            <w:shd w:val="clear" w:color="auto" w:fill="CCEEFF"/>
          </w:tcPr>
          <w:p>
            <w:pPr>
              <w:spacing w:after="0"/>
              <w:rPr>
                <w:sz w:val="21"/>
                <w:szCs w:val="21"/>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526.2</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526.6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525.3</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531.9</w:t>
            </w:r>
          </w:p>
        </w:tc>
        <w:tc>
          <w:tcPr>
            <w:tcW w:w="0" w:type="dxa"/>
            <w:vAlign w:val="bottom"/>
          </w:tcPr>
          <w:p>
            <w:pPr>
              <w:spacing w:after="0"/>
              <w:rPr>
                <w:sz w:val="1"/>
                <w:szCs w:val="1"/>
                <w:color w:val="auto"/>
              </w:rPr>
            </w:pPr>
          </w:p>
        </w:tc>
      </w:tr>
      <w:tr>
        <w:trPr>
          <w:trHeight w:val="20"/>
        </w:trPr>
        <w:tc>
          <w:tcPr>
            <w:tcW w:w="72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7280" w:type="dxa"/>
            <w:vAlign w:val="bottom"/>
          </w:tcPr>
          <w:p>
            <w:pPr>
              <w:ind w:left="20"/>
              <w:spacing w:after="0" w:line="203" w:lineRule="exact"/>
              <w:rPr>
                <w:sz w:val="20"/>
                <w:szCs w:val="20"/>
                <w:color w:val="auto"/>
              </w:rPr>
            </w:pPr>
            <w:r>
              <w:rPr>
                <w:rFonts w:ascii="Arial" w:cs="Arial" w:eastAsia="Arial" w:hAnsi="Arial"/>
                <w:sz w:val="18"/>
                <w:szCs w:val="18"/>
                <w:b w:val="1"/>
                <w:bCs w:val="1"/>
                <w:color w:val="auto"/>
              </w:rPr>
              <w:t>Net income (loss) per common share - basic</w:t>
            </w:r>
          </w:p>
        </w:tc>
        <w:tc>
          <w:tcPr>
            <w:tcW w:w="200" w:type="dxa"/>
            <w:vAlign w:val="bottom"/>
            <w:tcBorders>
              <w:bottom w:val="single" w:sz="8" w:color="auto"/>
            </w:tcBorders>
          </w:tcPr>
          <w:p>
            <w:pPr>
              <w:jc w:val="right"/>
              <w:ind w:right="11"/>
              <w:spacing w:after="0" w:line="203" w:lineRule="exact"/>
              <w:rPr>
                <w:sz w:val="20"/>
                <w:szCs w:val="20"/>
                <w:color w:val="auto"/>
              </w:rPr>
            </w:pPr>
            <w:r>
              <w:rPr>
                <w:rFonts w:ascii="Arial" w:cs="Arial" w:eastAsia="Arial" w:hAnsi="Arial"/>
                <w:sz w:val="18"/>
                <w:szCs w:val="18"/>
                <w:color w:val="auto"/>
                <w:w w:val="79"/>
              </w:rPr>
              <w:t>$</w:t>
            </w:r>
          </w:p>
        </w:tc>
        <w:tc>
          <w:tcPr>
            <w:tcW w:w="7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(0.87)</w:t>
            </w:r>
          </w:p>
        </w:tc>
        <w:tc>
          <w:tcPr>
            <w:tcW w:w="100" w:type="dxa"/>
            <w:vAlign w:val="bottom"/>
          </w:tcPr>
          <w:p>
            <w:pPr>
              <w:spacing w:after="0"/>
              <w:rPr>
                <w:sz w:val="17"/>
                <w:szCs w:val="17"/>
                <w:color w:val="auto"/>
              </w:rPr>
            </w:pPr>
          </w:p>
        </w:tc>
        <w:tc>
          <w:tcPr>
            <w:tcW w:w="2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(0.83)</w:t>
            </w:r>
          </w:p>
        </w:tc>
        <w:tc>
          <w:tcPr>
            <w:tcW w:w="100" w:type="dxa"/>
            <w:vAlign w:val="bottom"/>
          </w:tcPr>
          <w:p>
            <w:pPr>
              <w:spacing w:after="0"/>
              <w:rPr>
                <w:sz w:val="17"/>
                <w:szCs w:val="17"/>
                <w:color w:val="auto"/>
              </w:rPr>
            </w:pPr>
          </w:p>
        </w:tc>
        <w:tc>
          <w:tcPr>
            <w:tcW w:w="200" w:type="dxa"/>
            <w:vAlign w:val="bottom"/>
            <w:tcBorders>
              <w:bottom w:val="single" w:sz="8" w:color="auto"/>
            </w:tcBorders>
          </w:tcPr>
          <w:p>
            <w:pPr>
              <w:ind w:left="20"/>
              <w:spacing w:after="0" w:line="203" w:lineRule="exact"/>
              <w:rPr>
                <w:sz w:val="20"/>
                <w:szCs w:val="20"/>
                <w:color w:val="auto"/>
              </w:rPr>
            </w:pPr>
            <w:r>
              <w:rPr>
                <w:rFonts w:ascii="Arial" w:cs="Arial" w:eastAsia="Arial" w:hAnsi="Arial"/>
                <w:sz w:val="18"/>
                <w:szCs w:val="18"/>
                <w:color w:val="auto"/>
              </w:rPr>
              <w:t>$</w:t>
            </w:r>
          </w:p>
        </w:tc>
        <w:tc>
          <w:tcPr>
            <w:tcW w:w="72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(2.16)</w:t>
            </w:r>
          </w:p>
        </w:tc>
        <w:tc>
          <w:tcPr>
            <w:tcW w:w="100" w:type="dxa"/>
            <w:vAlign w:val="bottom"/>
          </w:tcPr>
          <w:p>
            <w:pPr>
              <w:spacing w:after="0"/>
              <w:rPr>
                <w:sz w:val="17"/>
                <w:szCs w:val="17"/>
                <w:color w:val="auto"/>
              </w:rPr>
            </w:pPr>
          </w:p>
        </w:tc>
        <w:tc>
          <w:tcPr>
            <w:tcW w:w="2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0.97</w:t>
            </w:r>
          </w:p>
        </w:tc>
        <w:tc>
          <w:tcPr>
            <w:tcW w:w="0" w:type="dxa"/>
            <w:vAlign w:val="bottom"/>
          </w:tcPr>
          <w:p>
            <w:pPr>
              <w:spacing w:after="0"/>
              <w:rPr>
                <w:sz w:val="1"/>
                <w:szCs w:val="1"/>
                <w:color w:val="auto"/>
              </w:rPr>
            </w:pPr>
          </w:p>
        </w:tc>
      </w:tr>
      <w:tr>
        <w:trPr>
          <w:trHeight w:val="20"/>
        </w:trPr>
        <w:tc>
          <w:tcPr>
            <w:tcW w:w="728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8"/>
        </w:trPr>
        <w:tc>
          <w:tcPr>
            <w:tcW w:w="7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Net income (loss) per common share - diluted</w:t>
            </w:r>
          </w:p>
        </w:tc>
        <w:tc>
          <w:tcPr>
            <w:tcW w:w="20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w w:val="79"/>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(0.87)</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(0.83)</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0.97</w:t>
            </w:r>
          </w:p>
        </w:tc>
        <w:tc>
          <w:tcPr>
            <w:tcW w:w="0" w:type="dxa"/>
            <w:vAlign w:val="bottom"/>
          </w:tcPr>
          <w:p>
            <w:pPr>
              <w:spacing w:after="0"/>
              <w:rPr>
                <w:sz w:val="1"/>
                <w:szCs w:val="1"/>
                <w:color w:val="auto"/>
              </w:rPr>
            </w:pPr>
          </w:p>
        </w:tc>
      </w:tr>
      <w:tr>
        <w:trPr>
          <w:trHeight w:val="20"/>
        </w:trPr>
        <w:tc>
          <w:tcPr>
            <w:tcW w:w="72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4"/>
        </w:trPr>
        <w:tc>
          <w:tcPr>
            <w:tcW w:w="7280" w:type="dxa"/>
            <w:vAlign w:val="bottom"/>
          </w:tcPr>
          <w:p>
            <w:pPr>
              <w:ind w:left="20"/>
              <w:spacing w:after="0" w:line="203" w:lineRule="exact"/>
              <w:rPr>
                <w:sz w:val="20"/>
                <w:szCs w:val="20"/>
                <w:color w:val="auto"/>
              </w:rPr>
            </w:pPr>
            <w:r>
              <w:rPr>
                <w:rFonts w:ascii="Arial" w:cs="Arial" w:eastAsia="Arial" w:hAnsi="Arial"/>
                <w:sz w:val="18"/>
                <w:szCs w:val="18"/>
                <w:b w:val="1"/>
                <w:bCs w:val="1"/>
                <w:color w:val="auto"/>
              </w:rPr>
              <w:t>Dividends declared per common share</w:t>
            </w:r>
          </w:p>
        </w:tc>
        <w:tc>
          <w:tcPr>
            <w:tcW w:w="200" w:type="dxa"/>
            <w:vAlign w:val="bottom"/>
            <w:tcBorders>
              <w:bottom w:val="single" w:sz="8" w:color="auto"/>
            </w:tcBorders>
          </w:tcPr>
          <w:p>
            <w:pPr>
              <w:jc w:val="right"/>
              <w:ind w:right="11"/>
              <w:spacing w:after="0" w:line="203" w:lineRule="exact"/>
              <w:rPr>
                <w:sz w:val="20"/>
                <w:szCs w:val="20"/>
                <w:color w:val="auto"/>
              </w:rPr>
            </w:pPr>
            <w:r>
              <w:rPr>
                <w:rFonts w:ascii="Arial" w:cs="Arial" w:eastAsia="Arial" w:hAnsi="Arial"/>
                <w:sz w:val="18"/>
                <w:szCs w:val="18"/>
                <w:color w:val="auto"/>
                <w:w w:val="79"/>
              </w:rPr>
              <w:t>$</w:t>
            </w:r>
          </w:p>
        </w:tc>
        <w:tc>
          <w:tcPr>
            <w:tcW w:w="7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0.36</w:t>
            </w:r>
          </w:p>
        </w:tc>
        <w:tc>
          <w:tcPr>
            <w:tcW w:w="100" w:type="dxa"/>
            <w:vAlign w:val="bottom"/>
          </w:tcPr>
          <w:p>
            <w:pPr>
              <w:spacing w:after="0"/>
              <w:rPr>
                <w:sz w:val="17"/>
                <w:szCs w:val="17"/>
                <w:color w:val="auto"/>
              </w:rPr>
            </w:pPr>
          </w:p>
        </w:tc>
        <w:tc>
          <w:tcPr>
            <w:tcW w:w="2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0.36</w:t>
            </w:r>
          </w:p>
        </w:tc>
        <w:tc>
          <w:tcPr>
            <w:tcW w:w="100" w:type="dxa"/>
            <w:vAlign w:val="bottom"/>
          </w:tcPr>
          <w:p>
            <w:pPr>
              <w:spacing w:after="0"/>
              <w:rPr>
                <w:sz w:val="17"/>
                <w:szCs w:val="17"/>
                <w:color w:val="auto"/>
              </w:rPr>
            </w:pPr>
          </w:p>
        </w:tc>
        <w:tc>
          <w:tcPr>
            <w:tcW w:w="200" w:type="dxa"/>
            <w:vAlign w:val="bottom"/>
            <w:tcBorders>
              <w:bottom w:val="single" w:sz="8" w:color="auto"/>
            </w:tcBorders>
          </w:tcPr>
          <w:p>
            <w:pPr>
              <w:ind w:left="20"/>
              <w:spacing w:after="0" w:line="203" w:lineRule="exact"/>
              <w:rPr>
                <w:sz w:val="20"/>
                <w:szCs w:val="20"/>
                <w:color w:val="auto"/>
              </w:rPr>
            </w:pPr>
            <w:r>
              <w:rPr>
                <w:rFonts w:ascii="Arial" w:cs="Arial" w:eastAsia="Arial" w:hAnsi="Arial"/>
                <w:sz w:val="18"/>
                <w:szCs w:val="18"/>
                <w:color w:val="auto"/>
              </w:rPr>
              <w:t>$</w:t>
            </w:r>
          </w:p>
        </w:tc>
        <w:tc>
          <w:tcPr>
            <w:tcW w:w="72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0.72</w:t>
            </w:r>
          </w:p>
        </w:tc>
        <w:tc>
          <w:tcPr>
            <w:tcW w:w="100" w:type="dxa"/>
            <w:vAlign w:val="bottom"/>
          </w:tcPr>
          <w:p>
            <w:pPr>
              <w:spacing w:after="0"/>
              <w:rPr>
                <w:sz w:val="17"/>
                <w:szCs w:val="17"/>
                <w:color w:val="auto"/>
              </w:rPr>
            </w:pPr>
          </w:p>
        </w:tc>
        <w:tc>
          <w:tcPr>
            <w:tcW w:w="2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0.72</w:t>
            </w:r>
          </w:p>
        </w:tc>
        <w:tc>
          <w:tcPr>
            <w:tcW w:w="0" w:type="dxa"/>
            <w:vAlign w:val="bottom"/>
          </w:tcPr>
          <w:p>
            <w:pPr>
              <w:spacing w:after="0"/>
              <w:rPr>
                <w:sz w:val="1"/>
                <w:szCs w:val="1"/>
                <w:color w:val="auto"/>
              </w:rPr>
            </w:pPr>
          </w:p>
        </w:tc>
      </w:tr>
      <w:tr>
        <w:trPr>
          <w:trHeight w:val="20"/>
        </w:trPr>
        <w:tc>
          <w:tcPr>
            <w:tcW w:w="72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4" w:name="page5"/>
    <w:bookmarkEnd w:id="4"/>
    <w:p>
      <w:pPr>
        <w:jc w:val="center"/>
        <w:ind w:right="-279"/>
        <w:spacing w:after="0"/>
        <w:rPr>
          <w:sz w:val="20"/>
          <w:szCs w:val="20"/>
          <w:color w:val="auto"/>
        </w:rPr>
      </w:pPr>
      <w:r>
        <w:rPr>
          <w:rFonts w:ascii="Arial" w:cs="Arial" w:eastAsia="Arial" w:hAnsi="Arial"/>
          <w:sz w:val="18"/>
          <w:szCs w:val="18"/>
          <w:b w:val="1"/>
          <w:bCs w:val="1"/>
          <w:color w:val="auto"/>
        </w:rPr>
        <w:t>AGNC INVESTMENT CORP.</w:t>
      </w:r>
    </w:p>
    <w:p>
      <w:pPr>
        <w:spacing w:after="0" w:line="27" w:lineRule="exact"/>
        <w:rPr>
          <w:sz w:val="20"/>
          <w:szCs w:val="20"/>
          <w:color w:val="auto"/>
        </w:rPr>
      </w:pPr>
    </w:p>
    <w:p>
      <w:pPr>
        <w:jc w:val="center"/>
        <w:ind w:right="-279"/>
        <w:spacing w:after="0"/>
        <w:rPr>
          <w:sz w:val="20"/>
          <w:szCs w:val="20"/>
          <w:color w:val="auto"/>
        </w:rPr>
      </w:pPr>
      <w:r>
        <w:rPr>
          <w:rFonts w:ascii="Arial" w:cs="Arial" w:eastAsia="Arial" w:hAnsi="Arial"/>
          <w:sz w:val="18"/>
          <w:szCs w:val="18"/>
          <w:b w:val="1"/>
          <w:bCs w:val="1"/>
          <w:color w:val="auto"/>
        </w:rPr>
        <w:t>CONSOLIDATED STATEMENTS OF STOCKHOLDERS' EQUITY</w:t>
      </w:r>
    </w:p>
    <w:p>
      <w:pPr>
        <w:spacing w:after="0" w:line="9" w:lineRule="exact"/>
        <w:rPr>
          <w:sz w:val="20"/>
          <w:szCs w:val="20"/>
          <w:color w:val="auto"/>
        </w:rPr>
      </w:pPr>
    </w:p>
    <w:p>
      <w:pPr>
        <w:ind w:left="516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ind w:left="5160"/>
        <w:spacing w:after="0"/>
        <w:rPr>
          <w:sz w:val="20"/>
          <w:szCs w:val="20"/>
          <w:color w:val="auto"/>
        </w:rPr>
      </w:pPr>
      <w:r>
        <w:rPr>
          <w:rFonts w:ascii="Arial" w:cs="Arial" w:eastAsia="Arial" w:hAnsi="Arial"/>
          <w:sz w:val="18"/>
          <w:szCs w:val="18"/>
          <w:b w:val="1"/>
          <w:bCs w:val="1"/>
          <w:color w:val="auto"/>
        </w:rPr>
        <w:t>(in millions)</w:t>
      </w:r>
    </w:p>
    <w:p>
      <w:pPr>
        <w:spacing w:after="0" w:line="6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7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80" w:type="dxa"/>
            <w:vAlign w:val="bottom"/>
            <w:gridSpan w:val="2"/>
            <w:vMerge w:val="restart"/>
          </w:tcPr>
          <w:p>
            <w:pPr>
              <w:jc w:val="center"/>
              <w:ind w:right="180"/>
              <w:spacing w:after="0"/>
              <w:rPr>
                <w:sz w:val="20"/>
                <w:szCs w:val="20"/>
                <w:color w:val="auto"/>
              </w:rPr>
            </w:pPr>
            <w:r>
              <w:rPr>
                <w:rFonts w:ascii="Arial" w:cs="Arial" w:eastAsia="Arial" w:hAnsi="Arial"/>
                <w:sz w:val="14"/>
                <w:szCs w:val="14"/>
                <w:b w:val="1"/>
                <w:bCs w:val="1"/>
                <w:color w:val="auto"/>
                <w:w w:val="96"/>
              </w:rPr>
              <w:t>Additional</w:t>
            </w:r>
          </w:p>
        </w:tc>
        <w:tc>
          <w:tcPr>
            <w:tcW w:w="1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3"/>
              </w:rPr>
              <w:t>Accumulated</w:t>
            </w:r>
          </w:p>
        </w:tc>
        <w:tc>
          <w:tcPr>
            <w:tcW w:w="2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37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80" w:type="dxa"/>
            <w:vAlign w:val="bottom"/>
            <w:gridSpan w:val="4"/>
            <w:vMerge w:val="restart"/>
          </w:tcPr>
          <w:p>
            <w:pPr>
              <w:jc w:val="right"/>
              <w:ind w:right="388"/>
              <w:spacing w:after="0"/>
              <w:rPr>
                <w:sz w:val="20"/>
                <w:szCs w:val="20"/>
                <w:color w:val="auto"/>
              </w:rPr>
            </w:pPr>
            <w:r>
              <w:rPr>
                <w:rFonts w:ascii="Arial" w:cs="Arial" w:eastAsia="Arial" w:hAnsi="Arial"/>
                <w:sz w:val="14"/>
                <w:szCs w:val="14"/>
                <w:b w:val="1"/>
                <w:bCs w:val="1"/>
                <w:color w:val="auto"/>
              </w:rPr>
              <w:t>Common Stock</w:t>
            </w:r>
          </w:p>
        </w:tc>
        <w:tc>
          <w:tcPr>
            <w:tcW w:w="100" w:type="dxa"/>
            <w:vAlign w:val="bottom"/>
            <w:vMerge w:val="restart"/>
          </w:tcPr>
          <w:p>
            <w:pPr>
              <w:spacing w:after="0"/>
              <w:rPr>
                <w:sz w:val="11"/>
                <w:szCs w:val="11"/>
                <w:color w:val="auto"/>
              </w:rPr>
            </w:pPr>
          </w:p>
        </w:tc>
        <w:tc>
          <w:tcPr>
            <w:tcW w:w="100" w:type="dxa"/>
            <w:vAlign w:val="bottom"/>
          </w:tcPr>
          <w:p>
            <w:pPr>
              <w:spacing w:after="0"/>
              <w:rPr>
                <w:sz w:val="11"/>
                <w:szCs w:val="11"/>
                <w:color w:val="auto"/>
              </w:rPr>
            </w:pPr>
          </w:p>
        </w:tc>
        <w:tc>
          <w:tcPr>
            <w:tcW w:w="880" w:type="dxa"/>
            <w:vAlign w:val="bottom"/>
            <w:gridSpan w:val="2"/>
            <w:vMerge w:val="continue"/>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20" w:type="dxa"/>
            <w:vAlign w:val="bottom"/>
            <w:gridSpan w:val="2"/>
          </w:tcPr>
          <w:p>
            <w:pPr>
              <w:jc w:val="center"/>
              <w:ind w:right="240"/>
              <w:spacing w:after="0" w:line="135" w:lineRule="exact"/>
              <w:rPr>
                <w:sz w:val="20"/>
                <w:szCs w:val="20"/>
                <w:color w:val="auto"/>
              </w:rPr>
            </w:pPr>
            <w:r>
              <w:rPr>
                <w:rFonts w:ascii="Arial" w:cs="Arial" w:eastAsia="Arial" w:hAnsi="Arial"/>
                <w:sz w:val="14"/>
                <w:szCs w:val="14"/>
                <w:b w:val="1"/>
                <w:bCs w:val="1"/>
                <w:color w:val="auto"/>
              </w:rPr>
              <w:t>Other</w:t>
            </w:r>
          </w:p>
        </w:tc>
        <w:tc>
          <w:tcPr>
            <w:tcW w:w="2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3760" w:type="dxa"/>
            <w:vAlign w:val="bottom"/>
          </w:tcPr>
          <w:p>
            <w:pPr>
              <w:spacing w:after="0"/>
              <w:rPr>
                <w:sz w:val="8"/>
                <w:szCs w:val="8"/>
                <w:color w:val="auto"/>
              </w:rPr>
            </w:pPr>
          </w:p>
        </w:tc>
        <w:tc>
          <w:tcPr>
            <w:tcW w:w="120" w:type="dxa"/>
            <w:vAlign w:val="bottom"/>
          </w:tcPr>
          <w:p>
            <w:pPr>
              <w:spacing w:after="0"/>
              <w:rPr>
                <w:sz w:val="8"/>
                <w:szCs w:val="8"/>
                <w:color w:val="auto"/>
              </w:rPr>
            </w:pPr>
          </w:p>
        </w:tc>
        <w:tc>
          <w:tcPr>
            <w:tcW w:w="880" w:type="dxa"/>
            <w:vAlign w:val="bottom"/>
            <w:gridSpan w:val="2"/>
          </w:tcPr>
          <w:p>
            <w:pPr>
              <w:jc w:val="center"/>
              <w:ind w:right="200"/>
              <w:spacing w:after="0" w:line="102" w:lineRule="exact"/>
              <w:rPr>
                <w:sz w:val="20"/>
                <w:szCs w:val="20"/>
                <w:color w:val="auto"/>
              </w:rPr>
            </w:pPr>
            <w:r>
              <w:rPr>
                <w:rFonts w:ascii="Arial" w:cs="Arial" w:eastAsia="Arial" w:hAnsi="Arial"/>
                <w:sz w:val="11"/>
                <w:szCs w:val="11"/>
                <w:b w:val="1"/>
                <w:bCs w:val="1"/>
                <w:color w:val="auto"/>
              </w:rPr>
              <w:t>Preferred</w:t>
            </w:r>
          </w:p>
        </w:tc>
        <w:tc>
          <w:tcPr>
            <w:tcW w:w="1880" w:type="dxa"/>
            <w:vAlign w:val="bottom"/>
            <w:tcBorders>
              <w:bottom w:val="single" w:sz="8" w:color="auto"/>
            </w:tcBorders>
            <w:gridSpan w:val="4"/>
            <w:vMerge w:val="continue"/>
          </w:tcPr>
          <w:p>
            <w:pPr>
              <w:spacing w:after="0"/>
              <w:rPr>
                <w:sz w:val="8"/>
                <w:szCs w:val="8"/>
                <w:color w:val="auto"/>
              </w:rPr>
            </w:pPr>
          </w:p>
        </w:tc>
        <w:tc>
          <w:tcPr>
            <w:tcW w:w="100" w:type="dxa"/>
            <w:vAlign w:val="bottom"/>
            <w:vMerge w:val="continue"/>
          </w:tcPr>
          <w:p>
            <w:pPr>
              <w:spacing w:after="0"/>
              <w:rPr>
                <w:sz w:val="8"/>
                <w:szCs w:val="8"/>
                <w:color w:val="auto"/>
              </w:rPr>
            </w:pPr>
          </w:p>
        </w:tc>
        <w:tc>
          <w:tcPr>
            <w:tcW w:w="100" w:type="dxa"/>
            <w:vAlign w:val="bottom"/>
          </w:tcPr>
          <w:p>
            <w:pPr>
              <w:spacing w:after="0"/>
              <w:rPr>
                <w:sz w:val="8"/>
                <w:szCs w:val="8"/>
                <w:color w:val="auto"/>
              </w:rPr>
            </w:pPr>
          </w:p>
        </w:tc>
        <w:tc>
          <w:tcPr>
            <w:tcW w:w="880" w:type="dxa"/>
            <w:vAlign w:val="bottom"/>
            <w:gridSpan w:val="2"/>
          </w:tcPr>
          <w:p>
            <w:pPr>
              <w:jc w:val="center"/>
              <w:ind w:right="200"/>
              <w:spacing w:after="0" w:line="102" w:lineRule="exact"/>
              <w:rPr>
                <w:sz w:val="20"/>
                <w:szCs w:val="20"/>
                <w:color w:val="auto"/>
              </w:rPr>
            </w:pPr>
            <w:r>
              <w:rPr>
                <w:rFonts w:ascii="Arial" w:cs="Arial" w:eastAsia="Arial" w:hAnsi="Arial"/>
                <w:sz w:val="11"/>
                <w:szCs w:val="11"/>
                <w:b w:val="1"/>
                <w:bCs w:val="1"/>
                <w:color w:val="auto"/>
              </w:rPr>
              <w:t>Paid-in</w:t>
            </w:r>
          </w:p>
        </w:tc>
        <w:tc>
          <w:tcPr>
            <w:tcW w:w="140" w:type="dxa"/>
            <w:vAlign w:val="bottom"/>
          </w:tcPr>
          <w:p>
            <w:pPr>
              <w:spacing w:after="0"/>
              <w:rPr>
                <w:sz w:val="8"/>
                <w:szCs w:val="8"/>
                <w:color w:val="auto"/>
              </w:rPr>
            </w:pPr>
          </w:p>
        </w:tc>
        <w:tc>
          <w:tcPr>
            <w:tcW w:w="860" w:type="dxa"/>
            <w:vAlign w:val="bottom"/>
            <w:gridSpan w:val="2"/>
          </w:tcPr>
          <w:p>
            <w:pPr>
              <w:jc w:val="center"/>
              <w:ind w:right="260"/>
              <w:spacing w:after="0" w:line="102" w:lineRule="exact"/>
              <w:rPr>
                <w:sz w:val="20"/>
                <w:szCs w:val="20"/>
                <w:color w:val="auto"/>
              </w:rPr>
            </w:pPr>
            <w:r>
              <w:rPr>
                <w:rFonts w:ascii="Arial" w:cs="Arial" w:eastAsia="Arial" w:hAnsi="Arial"/>
                <w:sz w:val="11"/>
                <w:szCs w:val="11"/>
                <w:b w:val="1"/>
                <w:bCs w:val="1"/>
                <w:color w:val="auto"/>
              </w:rPr>
              <w:t>Retained</w:t>
            </w:r>
          </w:p>
        </w:tc>
        <w:tc>
          <w:tcPr>
            <w:tcW w:w="120" w:type="dxa"/>
            <w:vAlign w:val="bottom"/>
          </w:tcPr>
          <w:p>
            <w:pPr>
              <w:spacing w:after="0"/>
              <w:rPr>
                <w:sz w:val="8"/>
                <w:szCs w:val="8"/>
                <w:color w:val="auto"/>
              </w:rPr>
            </w:pPr>
          </w:p>
        </w:tc>
        <w:tc>
          <w:tcPr>
            <w:tcW w:w="1220" w:type="dxa"/>
            <w:vAlign w:val="bottom"/>
            <w:gridSpan w:val="2"/>
          </w:tcPr>
          <w:p>
            <w:pPr>
              <w:jc w:val="center"/>
              <w:ind w:right="240"/>
              <w:spacing w:after="0" w:line="102" w:lineRule="exact"/>
              <w:rPr>
                <w:sz w:val="20"/>
                <w:szCs w:val="20"/>
                <w:color w:val="auto"/>
              </w:rPr>
            </w:pPr>
            <w:r>
              <w:rPr>
                <w:rFonts w:ascii="Arial" w:cs="Arial" w:eastAsia="Arial" w:hAnsi="Arial"/>
                <w:sz w:val="11"/>
                <w:szCs w:val="11"/>
                <w:b w:val="1"/>
                <w:bCs w:val="1"/>
                <w:color w:val="auto"/>
              </w:rPr>
              <w:t>Comprehensive</w:t>
            </w:r>
          </w:p>
        </w:tc>
        <w:tc>
          <w:tcPr>
            <w:tcW w:w="200" w:type="dxa"/>
            <w:vAlign w:val="bottom"/>
          </w:tcPr>
          <w:p>
            <w:pPr>
              <w:spacing w:after="0"/>
              <w:rPr>
                <w:sz w:val="8"/>
                <w:szCs w:val="8"/>
                <w:color w:val="auto"/>
              </w:rPr>
            </w:pPr>
          </w:p>
        </w:tc>
        <w:tc>
          <w:tcPr>
            <w:tcW w:w="7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1"/>
        </w:trPr>
        <w:tc>
          <w:tcPr>
            <w:tcW w:w="3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9"/>
              </w:rPr>
              <w:t>Stock</w:t>
            </w:r>
          </w:p>
        </w:tc>
        <w:tc>
          <w:tcPr>
            <w:tcW w:w="980" w:type="dxa"/>
            <w:vAlign w:val="bottom"/>
            <w:gridSpan w:val="2"/>
          </w:tcPr>
          <w:p>
            <w:pPr>
              <w:ind w:left="240"/>
              <w:spacing w:after="0"/>
              <w:rPr>
                <w:sz w:val="20"/>
                <w:szCs w:val="20"/>
                <w:color w:val="auto"/>
              </w:rPr>
            </w:pPr>
            <w:r>
              <w:rPr>
                <w:rFonts w:ascii="Arial" w:cs="Arial" w:eastAsia="Arial" w:hAnsi="Arial"/>
                <w:sz w:val="14"/>
                <w:szCs w:val="14"/>
                <w:b w:val="1"/>
                <w:bCs w:val="1"/>
                <w:color w:val="auto"/>
              </w:rPr>
              <w:t>Shares</w:t>
            </w:r>
          </w:p>
        </w:tc>
        <w:tc>
          <w:tcPr>
            <w:tcW w:w="140" w:type="dxa"/>
            <w:vAlign w:val="bottom"/>
          </w:tcPr>
          <w:p>
            <w:pPr>
              <w:spacing w:after="0"/>
              <w:rPr>
                <w:sz w:val="17"/>
                <w:szCs w:val="17"/>
                <w:color w:val="auto"/>
              </w:rPr>
            </w:pPr>
          </w:p>
        </w:tc>
        <w:tc>
          <w:tcPr>
            <w:tcW w:w="860" w:type="dxa"/>
            <w:vAlign w:val="bottom"/>
            <w:gridSpan w:val="2"/>
          </w:tcPr>
          <w:p>
            <w:pPr>
              <w:ind w:left="60"/>
              <w:spacing w:after="0"/>
              <w:rPr>
                <w:sz w:val="20"/>
                <w:szCs w:val="20"/>
                <w:color w:val="auto"/>
              </w:rPr>
            </w:pPr>
            <w:r>
              <w:rPr>
                <w:rFonts w:ascii="Arial" w:cs="Arial" w:eastAsia="Arial" w:hAnsi="Arial"/>
                <w:sz w:val="14"/>
                <w:szCs w:val="14"/>
                <w:b w:val="1"/>
                <w:bCs w:val="1"/>
                <w:color w:val="auto"/>
              </w:rPr>
              <w:t>Amount</w:t>
            </w:r>
          </w:p>
        </w:tc>
        <w:tc>
          <w:tcPr>
            <w:tcW w:w="100" w:type="dxa"/>
            <w:vAlign w:val="bottom"/>
          </w:tcPr>
          <w:p>
            <w:pPr>
              <w:spacing w:after="0"/>
              <w:rPr>
                <w:sz w:val="17"/>
                <w:szCs w:val="17"/>
                <w:color w:val="auto"/>
              </w:rPr>
            </w:pPr>
          </w:p>
        </w:tc>
        <w:tc>
          <w:tcPr>
            <w:tcW w:w="88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8"/>
              </w:rPr>
              <w:t>Capital</w:t>
            </w:r>
          </w:p>
        </w:tc>
        <w:tc>
          <w:tcPr>
            <w:tcW w:w="140" w:type="dxa"/>
            <w:vAlign w:val="bottom"/>
          </w:tcPr>
          <w:p>
            <w:pPr>
              <w:spacing w:after="0"/>
              <w:rPr>
                <w:sz w:val="17"/>
                <w:szCs w:val="17"/>
                <w:color w:val="auto"/>
              </w:rPr>
            </w:pPr>
          </w:p>
        </w:tc>
        <w:tc>
          <w:tcPr>
            <w:tcW w:w="8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3"/>
              </w:rPr>
              <w:t>Deficit</w:t>
            </w:r>
          </w:p>
        </w:tc>
        <w:tc>
          <w:tcPr>
            <w:tcW w:w="120" w:type="dxa"/>
            <w:vAlign w:val="bottom"/>
          </w:tcPr>
          <w:p>
            <w:pPr>
              <w:spacing w:after="0"/>
              <w:rPr>
                <w:sz w:val="17"/>
                <w:szCs w:val="17"/>
                <w:color w:val="auto"/>
              </w:rPr>
            </w:pPr>
          </w:p>
        </w:tc>
        <w:tc>
          <w:tcPr>
            <w:tcW w:w="12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0"/>
              </w:rPr>
              <w:t>Income (Loss)</w:t>
            </w:r>
          </w:p>
        </w:tc>
        <w:tc>
          <w:tcPr>
            <w:tcW w:w="200" w:type="dxa"/>
            <w:vAlign w:val="bottom"/>
          </w:tcPr>
          <w:p>
            <w:pPr>
              <w:spacing w:after="0"/>
              <w:rPr>
                <w:sz w:val="17"/>
                <w:szCs w:val="17"/>
                <w:color w:val="auto"/>
              </w:rPr>
            </w:pPr>
          </w:p>
        </w:tc>
        <w:tc>
          <w:tcPr>
            <w:tcW w:w="700" w:type="dxa"/>
            <w:vAlign w:val="bottom"/>
          </w:tcPr>
          <w:p>
            <w:pPr>
              <w:jc w:val="right"/>
              <w:ind w:right="20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84"/>
        </w:trPr>
        <w:tc>
          <w:tcPr>
            <w:tcW w:w="37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Balance, March 31, 2021</w:t>
            </w: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1,489</w:t>
            </w:r>
          </w:p>
        </w:tc>
        <w:tc>
          <w:tcPr>
            <w:tcW w:w="100" w:type="dxa"/>
            <w:vAlign w:val="bottom"/>
            <w:tcBorders>
              <w:top w:val="single" w:sz="8" w:color="CCEEFF"/>
            </w:tcBorders>
            <w:shd w:val="clear" w:color="auto" w:fill="CCEEFF"/>
          </w:tcPr>
          <w:p>
            <w:pPr>
              <w:spacing w:after="0"/>
              <w:rPr>
                <w:sz w:val="15"/>
                <w:szCs w:val="15"/>
                <w:color w:val="auto"/>
              </w:rPr>
            </w:pPr>
          </w:p>
        </w:tc>
        <w:tc>
          <w:tcPr>
            <w:tcW w:w="90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524.9</w:t>
            </w:r>
          </w:p>
        </w:tc>
        <w:tc>
          <w:tcPr>
            <w:tcW w:w="8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10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13,736</w:t>
            </w:r>
          </w:p>
        </w:tc>
        <w:tc>
          <w:tcPr>
            <w:tcW w:w="8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(4,348)</w:t>
            </w:r>
          </w:p>
        </w:tc>
        <w:tc>
          <w:tcPr>
            <w:tcW w:w="8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482</w:t>
            </w:r>
          </w:p>
        </w:tc>
        <w:tc>
          <w:tcPr>
            <w:tcW w:w="12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11,364</w:t>
            </w:r>
          </w:p>
        </w:tc>
        <w:tc>
          <w:tcPr>
            <w:tcW w:w="0" w:type="dxa"/>
            <w:vAlign w:val="bottom"/>
          </w:tcPr>
          <w:p>
            <w:pPr>
              <w:spacing w:after="0"/>
              <w:rPr>
                <w:sz w:val="1"/>
                <w:szCs w:val="1"/>
                <w:color w:val="auto"/>
              </w:rPr>
            </w:pPr>
          </w:p>
        </w:tc>
      </w:tr>
      <w:tr>
        <w:trPr>
          <w:trHeight w:val="186"/>
        </w:trPr>
        <w:tc>
          <w:tcPr>
            <w:tcW w:w="3760" w:type="dxa"/>
            <w:vAlign w:val="bottom"/>
          </w:tcPr>
          <w:p>
            <w:pPr>
              <w:ind w:left="240"/>
              <w:spacing w:after="0"/>
              <w:rPr>
                <w:sz w:val="20"/>
                <w:szCs w:val="20"/>
                <w:color w:val="auto"/>
              </w:rPr>
            </w:pPr>
            <w:r>
              <w:rPr>
                <w:rFonts w:ascii="Arial" w:cs="Arial" w:eastAsia="Arial" w:hAnsi="Arial"/>
                <w:sz w:val="14"/>
                <w:szCs w:val="14"/>
                <w:color w:val="auto"/>
              </w:rPr>
              <w:t>Net loss</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9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(411)</w:t>
            </w: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(411)</w:t>
            </w:r>
          </w:p>
        </w:tc>
        <w:tc>
          <w:tcPr>
            <w:tcW w:w="0" w:type="dxa"/>
            <w:vAlign w:val="bottom"/>
          </w:tcPr>
          <w:p>
            <w:pPr>
              <w:spacing w:after="0"/>
              <w:rPr>
                <w:sz w:val="1"/>
                <w:szCs w:val="1"/>
                <w:color w:val="auto"/>
              </w:rPr>
            </w:pPr>
          </w:p>
        </w:tc>
      </w:tr>
      <w:tr>
        <w:trPr>
          <w:trHeight w:val="192"/>
        </w:trPr>
        <w:tc>
          <w:tcPr>
            <w:tcW w:w="3760" w:type="dxa"/>
            <w:vAlign w:val="bottom"/>
            <w:shd w:val="clear" w:color="auto" w:fill="CCEEFF"/>
          </w:tcPr>
          <w:p>
            <w:pPr>
              <w:ind w:left="240"/>
              <w:spacing w:after="0"/>
              <w:rPr>
                <w:sz w:val="20"/>
                <w:szCs w:val="20"/>
                <w:color w:val="auto"/>
              </w:rPr>
            </w:pPr>
            <w:r>
              <w:rPr>
                <w:rFonts w:ascii="Arial" w:cs="Arial" w:eastAsia="Arial" w:hAnsi="Arial"/>
                <w:sz w:val="14"/>
                <w:szCs w:val="14"/>
                <w:color w:val="auto"/>
              </w:rPr>
              <w:t>Other comprehensive loss:</w:t>
            </w: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3760" w:type="dxa"/>
            <w:vAlign w:val="bottom"/>
          </w:tcPr>
          <w:p>
            <w:pPr>
              <w:ind w:left="360"/>
              <w:spacing w:after="0"/>
              <w:rPr>
                <w:sz w:val="20"/>
                <w:szCs w:val="20"/>
                <w:color w:val="auto"/>
              </w:rPr>
            </w:pPr>
            <w:r>
              <w:rPr>
                <w:rFonts w:ascii="Arial" w:cs="Arial" w:eastAsia="Arial" w:hAnsi="Arial"/>
                <w:sz w:val="14"/>
                <w:szCs w:val="14"/>
                <w:color w:val="auto"/>
              </w:rPr>
              <w:t>Unrealized loss on available-for-sale securities, net</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9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100" w:type="dxa"/>
            <w:vAlign w:val="bottom"/>
          </w:tcPr>
          <w:p>
            <w:pPr>
              <w:jc w:val="right"/>
              <w:spacing w:after="0"/>
              <w:rPr>
                <w:sz w:val="20"/>
                <w:szCs w:val="20"/>
                <w:color w:val="auto"/>
              </w:rPr>
            </w:pPr>
            <w:r>
              <w:rPr>
                <w:rFonts w:ascii="Arial" w:cs="Arial" w:eastAsia="Arial" w:hAnsi="Arial"/>
                <w:sz w:val="14"/>
                <w:szCs w:val="14"/>
                <w:color w:val="auto"/>
              </w:rPr>
              <w:t>(77)</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(77)</w:t>
            </w:r>
          </w:p>
        </w:tc>
        <w:tc>
          <w:tcPr>
            <w:tcW w:w="0" w:type="dxa"/>
            <w:vAlign w:val="bottom"/>
          </w:tcPr>
          <w:p>
            <w:pPr>
              <w:spacing w:after="0"/>
              <w:rPr>
                <w:sz w:val="1"/>
                <w:szCs w:val="1"/>
                <w:color w:val="auto"/>
              </w:rPr>
            </w:pPr>
          </w:p>
        </w:tc>
      </w:tr>
      <w:tr>
        <w:trPr>
          <w:trHeight w:val="192"/>
        </w:trPr>
        <w:tc>
          <w:tcPr>
            <w:tcW w:w="3760" w:type="dxa"/>
            <w:vAlign w:val="bottom"/>
            <w:shd w:val="clear" w:color="auto" w:fill="CCEEFF"/>
          </w:tcPr>
          <w:p>
            <w:pPr>
              <w:ind w:left="240"/>
              <w:spacing w:after="0"/>
              <w:rPr>
                <w:sz w:val="20"/>
                <w:szCs w:val="20"/>
                <w:color w:val="auto"/>
              </w:rPr>
            </w:pPr>
            <w:r>
              <w:rPr>
                <w:rFonts w:ascii="Arial" w:cs="Arial" w:eastAsia="Arial" w:hAnsi="Arial"/>
                <w:sz w:val="14"/>
                <w:szCs w:val="14"/>
                <w:color w:val="auto"/>
              </w:rPr>
              <w:t>Stock-based compensation, net</w:t>
            </w:r>
          </w:p>
        </w:tc>
        <w:tc>
          <w:tcPr>
            <w:tcW w:w="12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0" w:type="dxa"/>
            <w:vAlign w:val="bottom"/>
          </w:tcPr>
          <w:p>
            <w:pPr>
              <w:spacing w:after="0"/>
              <w:rPr>
                <w:sz w:val="1"/>
                <w:szCs w:val="1"/>
                <w:color w:val="auto"/>
              </w:rPr>
            </w:pPr>
          </w:p>
        </w:tc>
      </w:tr>
      <w:tr>
        <w:trPr>
          <w:trHeight w:val="186"/>
        </w:trPr>
        <w:tc>
          <w:tcPr>
            <w:tcW w:w="3760" w:type="dxa"/>
            <w:vAlign w:val="bottom"/>
          </w:tcPr>
          <w:p>
            <w:pPr>
              <w:ind w:left="240"/>
              <w:spacing w:after="0"/>
              <w:rPr>
                <w:sz w:val="20"/>
                <w:szCs w:val="20"/>
                <w:color w:val="auto"/>
              </w:rPr>
            </w:pPr>
            <w:r>
              <w:rPr>
                <w:rFonts w:ascii="Arial" w:cs="Arial" w:eastAsia="Arial" w:hAnsi="Arial"/>
                <w:sz w:val="14"/>
                <w:szCs w:val="14"/>
                <w:color w:val="auto"/>
              </w:rPr>
              <w:t>Preferred dividends declared</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9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(25)</w:t>
            </w: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(25)</w:t>
            </w:r>
          </w:p>
        </w:tc>
        <w:tc>
          <w:tcPr>
            <w:tcW w:w="0" w:type="dxa"/>
            <w:vAlign w:val="bottom"/>
          </w:tcPr>
          <w:p>
            <w:pPr>
              <w:spacing w:after="0"/>
              <w:rPr>
                <w:sz w:val="1"/>
                <w:szCs w:val="1"/>
                <w:color w:val="auto"/>
              </w:rPr>
            </w:pPr>
          </w:p>
        </w:tc>
      </w:tr>
      <w:tr>
        <w:trPr>
          <w:trHeight w:val="189"/>
        </w:trPr>
        <w:tc>
          <w:tcPr>
            <w:tcW w:w="3760" w:type="dxa"/>
            <w:vAlign w:val="bottom"/>
            <w:shd w:val="clear" w:color="auto" w:fill="CCEEFF"/>
          </w:tcPr>
          <w:p>
            <w:pPr>
              <w:ind w:left="240"/>
              <w:spacing w:after="0"/>
              <w:rPr>
                <w:sz w:val="20"/>
                <w:szCs w:val="20"/>
                <w:color w:val="auto"/>
              </w:rPr>
            </w:pPr>
            <w:r>
              <w:rPr>
                <w:rFonts w:ascii="Arial" w:cs="Arial" w:eastAsia="Arial" w:hAnsi="Arial"/>
                <w:sz w:val="14"/>
                <w:szCs w:val="14"/>
                <w:color w:val="auto"/>
              </w:rPr>
              <w:t>Common dividends declared</w:t>
            </w:r>
          </w:p>
        </w:tc>
        <w:tc>
          <w:tcPr>
            <w:tcW w:w="12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(188)</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(188)</w:t>
            </w:r>
          </w:p>
        </w:tc>
        <w:tc>
          <w:tcPr>
            <w:tcW w:w="0" w:type="dxa"/>
            <w:vAlign w:val="bottom"/>
          </w:tcPr>
          <w:p>
            <w:pPr>
              <w:spacing w:after="0"/>
              <w:rPr>
                <w:sz w:val="1"/>
                <w:szCs w:val="1"/>
                <w:color w:val="auto"/>
              </w:rPr>
            </w:pPr>
          </w:p>
        </w:tc>
      </w:tr>
      <w:tr>
        <w:trPr>
          <w:trHeight w:val="186"/>
        </w:trPr>
        <w:tc>
          <w:tcPr>
            <w:tcW w:w="3760" w:type="dxa"/>
            <w:vAlign w:val="bottom"/>
          </w:tcPr>
          <w:p>
            <w:pPr>
              <w:ind w:left="20"/>
              <w:spacing w:after="0"/>
              <w:rPr>
                <w:sz w:val="20"/>
                <w:szCs w:val="20"/>
                <w:color w:val="auto"/>
              </w:rPr>
            </w:pPr>
            <w:r>
              <w:rPr>
                <w:rFonts w:ascii="Arial" w:cs="Arial" w:eastAsia="Arial" w:hAnsi="Arial"/>
                <w:sz w:val="14"/>
                <w:szCs w:val="14"/>
                <w:b w:val="1"/>
                <w:bCs w:val="1"/>
                <w:color w:val="auto"/>
              </w:rPr>
              <w:t>Balance, June 30, 2021</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1,489</w:t>
            </w:r>
          </w:p>
        </w:tc>
        <w:tc>
          <w:tcPr>
            <w:tcW w:w="100" w:type="dxa"/>
            <w:vAlign w:val="bottom"/>
          </w:tcPr>
          <w:p>
            <w:pPr>
              <w:spacing w:after="0"/>
              <w:rPr>
                <w:sz w:val="16"/>
                <w:szCs w:val="16"/>
                <w:color w:val="auto"/>
              </w:rPr>
            </w:pPr>
          </w:p>
        </w:tc>
        <w:tc>
          <w:tcPr>
            <w:tcW w:w="90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524.9</w:t>
            </w:r>
          </w:p>
        </w:tc>
        <w:tc>
          <w:tcPr>
            <w:tcW w:w="80" w:type="dxa"/>
            <w:vAlign w:val="bottom"/>
          </w:tcPr>
          <w:p>
            <w:pPr>
              <w:spacing w:after="0"/>
              <w:rPr>
                <w:sz w:val="16"/>
                <w:szCs w:val="16"/>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5</w:t>
            </w:r>
          </w:p>
        </w:tc>
        <w:tc>
          <w:tcPr>
            <w:tcW w:w="100" w:type="dxa"/>
            <w:vAlign w:val="bottom"/>
          </w:tcPr>
          <w:p>
            <w:pPr>
              <w:spacing w:after="0"/>
              <w:rPr>
                <w:sz w:val="16"/>
                <w:szCs w:val="16"/>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13,741</w:t>
            </w:r>
          </w:p>
        </w:tc>
        <w:tc>
          <w:tcPr>
            <w:tcW w:w="80" w:type="dxa"/>
            <w:vAlign w:val="bottom"/>
          </w:tcPr>
          <w:p>
            <w:pPr>
              <w:spacing w:after="0"/>
              <w:rPr>
                <w:sz w:val="16"/>
                <w:szCs w:val="16"/>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(4,972)</w:t>
            </w:r>
          </w:p>
        </w:tc>
        <w:tc>
          <w:tcPr>
            <w:tcW w:w="80" w:type="dxa"/>
            <w:vAlign w:val="bottom"/>
          </w:tcPr>
          <w:p>
            <w:pPr>
              <w:spacing w:after="0"/>
              <w:rPr>
                <w:sz w:val="16"/>
                <w:szCs w:val="16"/>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405</w:t>
            </w:r>
          </w:p>
        </w:tc>
        <w:tc>
          <w:tcPr>
            <w:tcW w:w="120" w:type="dxa"/>
            <w:vAlign w:val="bottom"/>
          </w:tcPr>
          <w:p>
            <w:pPr>
              <w:spacing w:after="0"/>
              <w:rPr>
                <w:sz w:val="16"/>
                <w:szCs w:val="16"/>
                <w:color w:val="auto"/>
              </w:rPr>
            </w:pPr>
          </w:p>
        </w:tc>
        <w:tc>
          <w:tcPr>
            <w:tcW w:w="20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10,668</w:t>
            </w:r>
          </w:p>
        </w:tc>
        <w:tc>
          <w:tcPr>
            <w:tcW w:w="0" w:type="dxa"/>
            <w:vAlign w:val="bottom"/>
          </w:tcPr>
          <w:p>
            <w:pPr>
              <w:spacing w:after="0"/>
              <w:rPr>
                <w:sz w:val="1"/>
                <w:szCs w:val="1"/>
                <w:color w:val="auto"/>
              </w:rPr>
            </w:pPr>
          </w:p>
        </w:tc>
      </w:tr>
      <w:tr>
        <w:trPr>
          <w:trHeight w:val="20"/>
        </w:trPr>
        <w:tc>
          <w:tcPr>
            <w:tcW w:w="376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37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7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8"/>
        </w:trPr>
        <w:tc>
          <w:tcPr>
            <w:tcW w:w="3760" w:type="dxa"/>
            <w:vAlign w:val="bottom"/>
          </w:tcPr>
          <w:p>
            <w:pPr>
              <w:ind w:left="20"/>
              <w:spacing w:after="0"/>
              <w:rPr>
                <w:sz w:val="20"/>
                <w:szCs w:val="20"/>
                <w:color w:val="auto"/>
              </w:rPr>
            </w:pPr>
            <w:r>
              <w:rPr>
                <w:rFonts w:ascii="Arial" w:cs="Arial" w:eastAsia="Arial" w:hAnsi="Arial"/>
                <w:sz w:val="14"/>
                <w:szCs w:val="14"/>
                <w:b w:val="1"/>
                <w:bCs w:val="1"/>
                <w:color w:val="auto"/>
              </w:rPr>
              <w:t>Balance, March 31, 2022</w:t>
            </w: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1,489</w:t>
            </w:r>
          </w:p>
        </w:tc>
        <w:tc>
          <w:tcPr>
            <w:tcW w:w="100" w:type="dxa"/>
            <w:vAlign w:val="bottom"/>
          </w:tcPr>
          <w:p>
            <w:pPr>
              <w:spacing w:after="0"/>
              <w:rPr>
                <w:sz w:val="16"/>
                <w:szCs w:val="16"/>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523.3</w:t>
            </w:r>
          </w:p>
        </w:tc>
        <w:tc>
          <w:tcPr>
            <w:tcW w:w="8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760" w:type="dxa"/>
            <w:vAlign w:val="bottom"/>
          </w:tcPr>
          <w:p>
            <w:pPr>
              <w:jc w:val="right"/>
              <w:spacing w:after="0"/>
              <w:rPr>
                <w:sz w:val="20"/>
                <w:szCs w:val="20"/>
                <w:color w:val="auto"/>
              </w:rPr>
            </w:pPr>
            <w:r>
              <w:rPr>
                <w:rFonts w:ascii="Arial" w:cs="Arial" w:eastAsia="Arial" w:hAnsi="Arial"/>
                <w:sz w:val="14"/>
                <w:szCs w:val="14"/>
                <w:color w:val="auto"/>
              </w:rPr>
              <w:t>5</w:t>
            </w:r>
          </w:p>
        </w:tc>
        <w:tc>
          <w:tcPr>
            <w:tcW w:w="100" w:type="dxa"/>
            <w:vAlign w:val="bottom"/>
          </w:tcPr>
          <w:p>
            <w:pPr>
              <w:spacing w:after="0"/>
              <w:rPr>
                <w:sz w:val="16"/>
                <w:szCs w:val="16"/>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13,704</w:t>
            </w:r>
          </w:p>
        </w:tc>
        <w:tc>
          <w:tcPr>
            <w:tcW w:w="8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(6,078)</w:t>
            </w:r>
          </w:p>
        </w:tc>
        <w:tc>
          <w:tcPr>
            <w:tcW w:w="80" w:type="dxa"/>
            <w:vAlign w:val="bottom"/>
          </w:tcPr>
          <w:p>
            <w:pPr>
              <w:spacing w:after="0"/>
              <w:rPr>
                <w:sz w:val="16"/>
                <w:szCs w:val="16"/>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100" w:type="dxa"/>
            <w:vAlign w:val="bottom"/>
          </w:tcPr>
          <w:p>
            <w:pPr>
              <w:jc w:val="right"/>
              <w:spacing w:after="0"/>
              <w:rPr>
                <w:sz w:val="20"/>
                <w:szCs w:val="20"/>
                <w:color w:val="auto"/>
              </w:rPr>
            </w:pPr>
            <w:r>
              <w:rPr>
                <w:rFonts w:ascii="Arial" w:cs="Arial" w:eastAsia="Arial" w:hAnsi="Arial"/>
                <w:sz w:val="14"/>
                <w:szCs w:val="14"/>
                <w:color w:val="auto"/>
              </w:rPr>
              <w:t>(190)</w:t>
            </w:r>
          </w:p>
        </w:tc>
        <w:tc>
          <w:tcPr>
            <w:tcW w:w="120" w:type="dxa"/>
            <w:vAlign w:val="bottom"/>
          </w:tcPr>
          <w:p>
            <w:pPr>
              <w:spacing w:after="0"/>
              <w:rPr>
                <w:sz w:val="16"/>
                <w:szCs w:val="16"/>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8,930</w:t>
            </w:r>
          </w:p>
        </w:tc>
        <w:tc>
          <w:tcPr>
            <w:tcW w:w="0" w:type="dxa"/>
            <w:vAlign w:val="bottom"/>
          </w:tcPr>
          <w:p>
            <w:pPr>
              <w:spacing w:after="0"/>
              <w:rPr>
                <w:sz w:val="1"/>
                <w:szCs w:val="1"/>
                <w:color w:val="auto"/>
              </w:rPr>
            </w:pPr>
          </w:p>
        </w:tc>
      </w:tr>
      <w:tr>
        <w:trPr>
          <w:trHeight w:val="190"/>
        </w:trPr>
        <w:tc>
          <w:tcPr>
            <w:tcW w:w="3760" w:type="dxa"/>
            <w:vAlign w:val="bottom"/>
            <w:shd w:val="clear" w:color="auto" w:fill="CCEEFF"/>
          </w:tcPr>
          <w:p>
            <w:pPr>
              <w:ind w:left="240"/>
              <w:spacing w:after="0"/>
              <w:rPr>
                <w:sz w:val="20"/>
                <w:szCs w:val="20"/>
                <w:color w:val="auto"/>
              </w:rPr>
            </w:pPr>
            <w:r>
              <w:rPr>
                <w:rFonts w:ascii="Arial" w:cs="Arial" w:eastAsia="Arial" w:hAnsi="Arial"/>
                <w:sz w:val="14"/>
                <w:szCs w:val="14"/>
                <w:color w:val="auto"/>
              </w:rPr>
              <w:t>Net income</w:t>
            </w:r>
          </w:p>
        </w:tc>
        <w:tc>
          <w:tcPr>
            <w:tcW w:w="12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(434)</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(434)</w:t>
            </w:r>
          </w:p>
        </w:tc>
        <w:tc>
          <w:tcPr>
            <w:tcW w:w="0" w:type="dxa"/>
            <w:vAlign w:val="bottom"/>
          </w:tcPr>
          <w:p>
            <w:pPr>
              <w:spacing w:after="0"/>
              <w:rPr>
                <w:sz w:val="1"/>
                <w:szCs w:val="1"/>
                <w:color w:val="auto"/>
              </w:rPr>
            </w:pPr>
          </w:p>
        </w:tc>
      </w:tr>
      <w:tr>
        <w:trPr>
          <w:trHeight w:val="186"/>
        </w:trPr>
        <w:tc>
          <w:tcPr>
            <w:tcW w:w="3760" w:type="dxa"/>
            <w:vAlign w:val="bottom"/>
          </w:tcPr>
          <w:p>
            <w:pPr>
              <w:ind w:left="240"/>
              <w:spacing w:after="0"/>
              <w:rPr>
                <w:sz w:val="20"/>
                <w:szCs w:val="20"/>
                <w:color w:val="auto"/>
              </w:rPr>
            </w:pPr>
            <w:r>
              <w:rPr>
                <w:rFonts w:ascii="Arial" w:cs="Arial" w:eastAsia="Arial" w:hAnsi="Arial"/>
                <w:sz w:val="14"/>
                <w:szCs w:val="14"/>
                <w:color w:val="auto"/>
              </w:rPr>
              <w:t>Other comprehensive loss:</w:t>
            </w:r>
          </w:p>
        </w:tc>
        <w:tc>
          <w:tcPr>
            <w:tcW w:w="12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3760" w:type="dxa"/>
            <w:vAlign w:val="bottom"/>
            <w:shd w:val="clear" w:color="auto" w:fill="CCEEFF"/>
          </w:tcPr>
          <w:p>
            <w:pPr>
              <w:ind w:left="360"/>
              <w:spacing w:after="0"/>
              <w:rPr>
                <w:sz w:val="20"/>
                <w:szCs w:val="20"/>
                <w:color w:val="auto"/>
              </w:rPr>
            </w:pPr>
            <w:r>
              <w:rPr>
                <w:rFonts w:ascii="Arial" w:cs="Arial" w:eastAsia="Arial" w:hAnsi="Arial"/>
                <w:sz w:val="14"/>
                <w:szCs w:val="14"/>
                <w:color w:val="auto"/>
              </w:rPr>
              <w:t>Unrealized loss on available-for-sale securities, net</w:t>
            </w:r>
          </w:p>
        </w:tc>
        <w:tc>
          <w:tcPr>
            <w:tcW w:w="12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(245)</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(245)</w:t>
            </w:r>
          </w:p>
        </w:tc>
        <w:tc>
          <w:tcPr>
            <w:tcW w:w="0" w:type="dxa"/>
            <w:vAlign w:val="bottom"/>
          </w:tcPr>
          <w:p>
            <w:pPr>
              <w:spacing w:after="0"/>
              <w:rPr>
                <w:sz w:val="1"/>
                <w:szCs w:val="1"/>
                <w:color w:val="auto"/>
              </w:rPr>
            </w:pPr>
          </w:p>
        </w:tc>
      </w:tr>
      <w:tr>
        <w:trPr>
          <w:trHeight w:val="186"/>
        </w:trPr>
        <w:tc>
          <w:tcPr>
            <w:tcW w:w="3760" w:type="dxa"/>
            <w:vAlign w:val="bottom"/>
          </w:tcPr>
          <w:p>
            <w:pPr>
              <w:ind w:left="240"/>
              <w:spacing w:after="0"/>
              <w:rPr>
                <w:sz w:val="20"/>
                <w:szCs w:val="20"/>
                <w:color w:val="auto"/>
              </w:rPr>
            </w:pPr>
            <w:r>
              <w:rPr>
                <w:rFonts w:ascii="Arial" w:cs="Arial" w:eastAsia="Arial" w:hAnsi="Arial"/>
                <w:sz w:val="14"/>
                <w:szCs w:val="14"/>
                <w:color w:val="auto"/>
              </w:rPr>
              <w:t>Stock-based compensation, net</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9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4</w:t>
            </w: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4</w:t>
            </w:r>
          </w:p>
        </w:tc>
        <w:tc>
          <w:tcPr>
            <w:tcW w:w="0" w:type="dxa"/>
            <w:vAlign w:val="bottom"/>
          </w:tcPr>
          <w:p>
            <w:pPr>
              <w:spacing w:after="0"/>
              <w:rPr>
                <w:sz w:val="1"/>
                <w:szCs w:val="1"/>
                <w:color w:val="auto"/>
              </w:rPr>
            </w:pPr>
          </w:p>
        </w:tc>
      </w:tr>
      <w:tr>
        <w:trPr>
          <w:trHeight w:val="192"/>
        </w:trPr>
        <w:tc>
          <w:tcPr>
            <w:tcW w:w="3760" w:type="dxa"/>
            <w:vAlign w:val="bottom"/>
            <w:shd w:val="clear" w:color="auto" w:fill="CCEEFF"/>
          </w:tcPr>
          <w:p>
            <w:pPr>
              <w:ind w:left="240"/>
              <w:spacing w:after="0"/>
              <w:rPr>
                <w:sz w:val="20"/>
                <w:szCs w:val="20"/>
                <w:color w:val="auto"/>
              </w:rPr>
            </w:pPr>
            <w:r>
              <w:rPr>
                <w:rFonts w:ascii="Arial" w:cs="Arial" w:eastAsia="Arial" w:hAnsi="Arial"/>
                <w:sz w:val="14"/>
                <w:szCs w:val="14"/>
                <w:color w:val="auto"/>
              </w:rPr>
              <w:t>Issuance of common stock</w:t>
            </w:r>
          </w:p>
        </w:tc>
        <w:tc>
          <w:tcPr>
            <w:tcW w:w="12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4.1</w:t>
            </w: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w:t>
            </w: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w:t>
            </w:r>
          </w:p>
        </w:tc>
        <w:tc>
          <w:tcPr>
            <w:tcW w:w="0" w:type="dxa"/>
            <w:vAlign w:val="bottom"/>
          </w:tcPr>
          <w:p>
            <w:pPr>
              <w:spacing w:after="0"/>
              <w:rPr>
                <w:sz w:val="1"/>
                <w:szCs w:val="1"/>
                <w:color w:val="auto"/>
              </w:rPr>
            </w:pPr>
          </w:p>
        </w:tc>
      </w:tr>
      <w:tr>
        <w:trPr>
          <w:trHeight w:val="186"/>
        </w:trPr>
        <w:tc>
          <w:tcPr>
            <w:tcW w:w="3760" w:type="dxa"/>
            <w:vAlign w:val="bottom"/>
          </w:tcPr>
          <w:p>
            <w:pPr>
              <w:ind w:left="240"/>
              <w:spacing w:after="0"/>
              <w:rPr>
                <w:sz w:val="20"/>
                <w:szCs w:val="20"/>
                <w:color w:val="auto"/>
              </w:rPr>
            </w:pPr>
            <w:r>
              <w:rPr>
                <w:rFonts w:ascii="Arial" w:cs="Arial" w:eastAsia="Arial" w:hAnsi="Arial"/>
                <w:sz w:val="14"/>
                <w:szCs w:val="14"/>
                <w:color w:val="auto"/>
              </w:rPr>
              <w:t>Repurchase of common stock</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(4.7)</w:t>
            </w: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(51)</w:t>
            </w: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(51)</w:t>
            </w:r>
          </w:p>
        </w:tc>
        <w:tc>
          <w:tcPr>
            <w:tcW w:w="0" w:type="dxa"/>
            <w:vAlign w:val="bottom"/>
          </w:tcPr>
          <w:p>
            <w:pPr>
              <w:spacing w:after="0"/>
              <w:rPr>
                <w:sz w:val="1"/>
                <w:szCs w:val="1"/>
                <w:color w:val="auto"/>
              </w:rPr>
            </w:pPr>
          </w:p>
        </w:tc>
      </w:tr>
      <w:tr>
        <w:trPr>
          <w:trHeight w:val="192"/>
        </w:trPr>
        <w:tc>
          <w:tcPr>
            <w:tcW w:w="3760" w:type="dxa"/>
            <w:vAlign w:val="bottom"/>
            <w:shd w:val="clear" w:color="auto" w:fill="CCEEFF"/>
          </w:tcPr>
          <w:p>
            <w:pPr>
              <w:ind w:left="240"/>
              <w:spacing w:after="0"/>
              <w:rPr>
                <w:sz w:val="20"/>
                <w:szCs w:val="20"/>
                <w:color w:val="auto"/>
              </w:rPr>
            </w:pPr>
            <w:r>
              <w:rPr>
                <w:rFonts w:ascii="Arial" w:cs="Arial" w:eastAsia="Arial" w:hAnsi="Arial"/>
                <w:sz w:val="14"/>
                <w:szCs w:val="14"/>
                <w:color w:val="auto"/>
              </w:rPr>
              <w:t>Preferred dividends declared</w:t>
            </w:r>
          </w:p>
        </w:tc>
        <w:tc>
          <w:tcPr>
            <w:tcW w:w="12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0" w:type="dxa"/>
            <w:vAlign w:val="bottom"/>
          </w:tcPr>
          <w:p>
            <w:pPr>
              <w:spacing w:after="0"/>
              <w:rPr>
                <w:sz w:val="1"/>
                <w:szCs w:val="1"/>
                <w:color w:val="auto"/>
              </w:rPr>
            </w:pPr>
          </w:p>
        </w:tc>
      </w:tr>
      <w:tr>
        <w:trPr>
          <w:trHeight w:val="186"/>
        </w:trPr>
        <w:tc>
          <w:tcPr>
            <w:tcW w:w="3760" w:type="dxa"/>
            <w:vAlign w:val="bottom"/>
          </w:tcPr>
          <w:p>
            <w:pPr>
              <w:ind w:left="240"/>
              <w:spacing w:after="0"/>
              <w:rPr>
                <w:sz w:val="20"/>
                <w:szCs w:val="20"/>
                <w:color w:val="auto"/>
              </w:rPr>
            </w:pPr>
            <w:r>
              <w:rPr>
                <w:rFonts w:ascii="Arial" w:cs="Arial" w:eastAsia="Arial" w:hAnsi="Arial"/>
                <w:sz w:val="14"/>
                <w:szCs w:val="14"/>
                <w:color w:val="auto"/>
              </w:rPr>
              <w:t>Common dividends declared</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9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(189)</w:t>
            </w: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(189)</w:t>
            </w:r>
          </w:p>
        </w:tc>
        <w:tc>
          <w:tcPr>
            <w:tcW w:w="0" w:type="dxa"/>
            <w:vAlign w:val="bottom"/>
          </w:tcPr>
          <w:p>
            <w:pPr>
              <w:spacing w:after="0"/>
              <w:rPr>
                <w:sz w:val="1"/>
                <w:szCs w:val="1"/>
                <w:color w:val="auto"/>
              </w:rPr>
            </w:pPr>
          </w:p>
        </w:tc>
      </w:tr>
      <w:tr>
        <w:trPr>
          <w:trHeight w:val="211"/>
        </w:trPr>
        <w:tc>
          <w:tcPr>
            <w:tcW w:w="376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Balance, June 30, 2022</w:t>
            </w: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1,489</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90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522.7</w:t>
            </w: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13,707</w:t>
            </w: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(6,726)</w:t>
            </w: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(435)</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20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8,040</w:t>
            </w:r>
          </w:p>
        </w:tc>
        <w:tc>
          <w:tcPr>
            <w:tcW w:w="0" w:type="dxa"/>
            <w:vAlign w:val="bottom"/>
          </w:tcPr>
          <w:p>
            <w:pPr>
              <w:spacing w:after="0"/>
              <w:rPr>
                <w:sz w:val="1"/>
                <w:szCs w:val="1"/>
                <w:color w:val="auto"/>
              </w:rPr>
            </w:pPr>
          </w:p>
        </w:tc>
      </w:tr>
      <w:tr>
        <w:trPr>
          <w:trHeight w:val="20"/>
        </w:trPr>
        <w:tc>
          <w:tcPr>
            <w:tcW w:w="37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37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9"/>
        </w:trPr>
        <w:tc>
          <w:tcPr>
            <w:tcW w:w="376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Balance, December 31, 2020</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1,489</w:t>
            </w: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539.5</w:t>
            </w: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13,972</w:t>
            </w: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(5,106)</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719</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11,079</w:t>
            </w:r>
          </w:p>
        </w:tc>
        <w:tc>
          <w:tcPr>
            <w:tcW w:w="0" w:type="dxa"/>
            <w:vAlign w:val="bottom"/>
          </w:tcPr>
          <w:p>
            <w:pPr>
              <w:spacing w:after="0"/>
              <w:rPr>
                <w:sz w:val="1"/>
                <w:szCs w:val="1"/>
                <w:color w:val="auto"/>
              </w:rPr>
            </w:pPr>
          </w:p>
        </w:tc>
      </w:tr>
      <w:tr>
        <w:trPr>
          <w:trHeight w:val="186"/>
        </w:trPr>
        <w:tc>
          <w:tcPr>
            <w:tcW w:w="3760" w:type="dxa"/>
            <w:vAlign w:val="bottom"/>
          </w:tcPr>
          <w:p>
            <w:pPr>
              <w:ind w:left="240"/>
              <w:spacing w:after="0"/>
              <w:rPr>
                <w:sz w:val="20"/>
                <w:szCs w:val="20"/>
                <w:color w:val="auto"/>
              </w:rPr>
            </w:pPr>
            <w:r>
              <w:rPr>
                <w:rFonts w:ascii="Arial" w:cs="Arial" w:eastAsia="Arial" w:hAnsi="Arial"/>
                <w:sz w:val="14"/>
                <w:szCs w:val="14"/>
                <w:color w:val="auto"/>
              </w:rPr>
              <w:t>Net income</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9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564</w:t>
            </w: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564</w:t>
            </w:r>
          </w:p>
        </w:tc>
        <w:tc>
          <w:tcPr>
            <w:tcW w:w="0" w:type="dxa"/>
            <w:vAlign w:val="bottom"/>
          </w:tcPr>
          <w:p>
            <w:pPr>
              <w:spacing w:after="0"/>
              <w:rPr>
                <w:sz w:val="1"/>
                <w:szCs w:val="1"/>
                <w:color w:val="auto"/>
              </w:rPr>
            </w:pPr>
          </w:p>
        </w:tc>
      </w:tr>
      <w:tr>
        <w:trPr>
          <w:trHeight w:val="192"/>
        </w:trPr>
        <w:tc>
          <w:tcPr>
            <w:tcW w:w="3760" w:type="dxa"/>
            <w:vAlign w:val="bottom"/>
            <w:shd w:val="clear" w:color="auto" w:fill="CCEEFF"/>
          </w:tcPr>
          <w:p>
            <w:pPr>
              <w:ind w:left="240"/>
              <w:spacing w:after="0"/>
              <w:rPr>
                <w:sz w:val="20"/>
                <w:szCs w:val="20"/>
                <w:color w:val="auto"/>
              </w:rPr>
            </w:pPr>
            <w:r>
              <w:rPr>
                <w:rFonts w:ascii="Arial" w:cs="Arial" w:eastAsia="Arial" w:hAnsi="Arial"/>
                <w:sz w:val="14"/>
                <w:szCs w:val="14"/>
                <w:color w:val="auto"/>
              </w:rPr>
              <w:t>Other comprehensive loss:</w:t>
            </w: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3760" w:type="dxa"/>
            <w:vAlign w:val="bottom"/>
          </w:tcPr>
          <w:p>
            <w:pPr>
              <w:ind w:left="360"/>
              <w:spacing w:after="0"/>
              <w:rPr>
                <w:sz w:val="20"/>
                <w:szCs w:val="20"/>
                <w:color w:val="auto"/>
              </w:rPr>
            </w:pPr>
            <w:r>
              <w:rPr>
                <w:rFonts w:ascii="Arial" w:cs="Arial" w:eastAsia="Arial" w:hAnsi="Arial"/>
                <w:sz w:val="14"/>
                <w:szCs w:val="14"/>
                <w:color w:val="auto"/>
              </w:rPr>
              <w:t>Unrealized loss on available-for-sale securities, net</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9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100" w:type="dxa"/>
            <w:vAlign w:val="bottom"/>
          </w:tcPr>
          <w:p>
            <w:pPr>
              <w:jc w:val="right"/>
              <w:spacing w:after="0"/>
              <w:rPr>
                <w:sz w:val="20"/>
                <w:szCs w:val="20"/>
                <w:color w:val="auto"/>
              </w:rPr>
            </w:pPr>
            <w:r>
              <w:rPr>
                <w:rFonts w:ascii="Arial" w:cs="Arial" w:eastAsia="Arial" w:hAnsi="Arial"/>
                <w:sz w:val="14"/>
                <w:szCs w:val="14"/>
                <w:color w:val="auto"/>
              </w:rPr>
              <w:t>(314)</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(314)</w:t>
            </w:r>
          </w:p>
        </w:tc>
        <w:tc>
          <w:tcPr>
            <w:tcW w:w="0" w:type="dxa"/>
            <w:vAlign w:val="bottom"/>
          </w:tcPr>
          <w:p>
            <w:pPr>
              <w:spacing w:after="0"/>
              <w:rPr>
                <w:sz w:val="1"/>
                <w:szCs w:val="1"/>
                <w:color w:val="auto"/>
              </w:rPr>
            </w:pPr>
          </w:p>
        </w:tc>
      </w:tr>
      <w:tr>
        <w:trPr>
          <w:trHeight w:val="192"/>
        </w:trPr>
        <w:tc>
          <w:tcPr>
            <w:tcW w:w="3760" w:type="dxa"/>
            <w:vAlign w:val="bottom"/>
            <w:shd w:val="clear" w:color="auto" w:fill="CCEEFF"/>
          </w:tcPr>
          <w:p>
            <w:pPr>
              <w:ind w:left="240"/>
              <w:spacing w:after="0"/>
              <w:rPr>
                <w:sz w:val="20"/>
                <w:szCs w:val="20"/>
                <w:color w:val="auto"/>
              </w:rPr>
            </w:pPr>
            <w:r>
              <w:rPr>
                <w:rFonts w:ascii="Arial" w:cs="Arial" w:eastAsia="Arial" w:hAnsi="Arial"/>
                <w:sz w:val="14"/>
                <w:szCs w:val="14"/>
                <w:color w:val="auto"/>
              </w:rPr>
              <w:t>Stock-based compensation, net</w:t>
            </w:r>
          </w:p>
        </w:tc>
        <w:tc>
          <w:tcPr>
            <w:tcW w:w="12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0.4</w:t>
            </w: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w:t>
            </w: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w:t>
            </w:r>
          </w:p>
        </w:tc>
        <w:tc>
          <w:tcPr>
            <w:tcW w:w="0" w:type="dxa"/>
            <w:vAlign w:val="bottom"/>
          </w:tcPr>
          <w:p>
            <w:pPr>
              <w:spacing w:after="0"/>
              <w:rPr>
                <w:sz w:val="1"/>
                <w:szCs w:val="1"/>
                <w:color w:val="auto"/>
              </w:rPr>
            </w:pPr>
          </w:p>
        </w:tc>
      </w:tr>
      <w:tr>
        <w:trPr>
          <w:trHeight w:val="186"/>
        </w:trPr>
        <w:tc>
          <w:tcPr>
            <w:tcW w:w="3760" w:type="dxa"/>
            <w:vAlign w:val="bottom"/>
          </w:tcPr>
          <w:p>
            <w:pPr>
              <w:ind w:left="240"/>
              <w:spacing w:after="0"/>
              <w:rPr>
                <w:sz w:val="20"/>
                <w:szCs w:val="20"/>
                <w:color w:val="auto"/>
              </w:rPr>
            </w:pPr>
            <w:r>
              <w:rPr>
                <w:rFonts w:ascii="Arial" w:cs="Arial" w:eastAsia="Arial" w:hAnsi="Arial"/>
                <w:sz w:val="14"/>
                <w:szCs w:val="14"/>
                <w:color w:val="auto"/>
              </w:rPr>
              <w:t>Repurchase of common stock</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(15.0)</w:t>
            </w: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(239)</w:t>
            </w: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(239)</w:t>
            </w:r>
          </w:p>
        </w:tc>
        <w:tc>
          <w:tcPr>
            <w:tcW w:w="0" w:type="dxa"/>
            <w:vAlign w:val="bottom"/>
          </w:tcPr>
          <w:p>
            <w:pPr>
              <w:spacing w:after="0"/>
              <w:rPr>
                <w:sz w:val="1"/>
                <w:szCs w:val="1"/>
                <w:color w:val="auto"/>
              </w:rPr>
            </w:pPr>
          </w:p>
        </w:tc>
      </w:tr>
      <w:tr>
        <w:trPr>
          <w:trHeight w:val="192"/>
        </w:trPr>
        <w:tc>
          <w:tcPr>
            <w:tcW w:w="3760" w:type="dxa"/>
            <w:vAlign w:val="bottom"/>
            <w:shd w:val="clear" w:color="auto" w:fill="CCEEFF"/>
          </w:tcPr>
          <w:p>
            <w:pPr>
              <w:ind w:left="240"/>
              <w:spacing w:after="0"/>
              <w:rPr>
                <w:sz w:val="20"/>
                <w:szCs w:val="20"/>
                <w:color w:val="auto"/>
              </w:rPr>
            </w:pPr>
            <w:r>
              <w:rPr>
                <w:rFonts w:ascii="Arial" w:cs="Arial" w:eastAsia="Arial" w:hAnsi="Arial"/>
                <w:sz w:val="14"/>
                <w:szCs w:val="14"/>
                <w:color w:val="auto"/>
              </w:rPr>
              <w:t>Preferred dividends declared</w:t>
            </w:r>
          </w:p>
        </w:tc>
        <w:tc>
          <w:tcPr>
            <w:tcW w:w="12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w:t>
            </w:r>
          </w:p>
        </w:tc>
        <w:tc>
          <w:tcPr>
            <w:tcW w:w="0" w:type="dxa"/>
            <w:vAlign w:val="bottom"/>
          </w:tcPr>
          <w:p>
            <w:pPr>
              <w:spacing w:after="0"/>
              <w:rPr>
                <w:sz w:val="1"/>
                <w:szCs w:val="1"/>
                <w:color w:val="auto"/>
              </w:rPr>
            </w:pPr>
          </w:p>
        </w:tc>
      </w:tr>
      <w:tr>
        <w:trPr>
          <w:trHeight w:val="186"/>
        </w:trPr>
        <w:tc>
          <w:tcPr>
            <w:tcW w:w="3760" w:type="dxa"/>
            <w:vAlign w:val="bottom"/>
          </w:tcPr>
          <w:p>
            <w:pPr>
              <w:ind w:left="240"/>
              <w:spacing w:after="0"/>
              <w:rPr>
                <w:sz w:val="20"/>
                <w:szCs w:val="20"/>
                <w:color w:val="auto"/>
              </w:rPr>
            </w:pPr>
            <w:r>
              <w:rPr>
                <w:rFonts w:ascii="Arial" w:cs="Arial" w:eastAsia="Arial" w:hAnsi="Arial"/>
                <w:sz w:val="14"/>
                <w:szCs w:val="14"/>
                <w:color w:val="auto"/>
              </w:rPr>
              <w:t>Common dividends declared</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9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(380)</w:t>
            </w: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(380)</w:t>
            </w:r>
          </w:p>
        </w:tc>
        <w:tc>
          <w:tcPr>
            <w:tcW w:w="0" w:type="dxa"/>
            <w:vAlign w:val="bottom"/>
          </w:tcPr>
          <w:p>
            <w:pPr>
              <w:spacing w:after="0"/>
              <w:rPr>
                <w:sz w:val="1"/>
                <w:szCs w:val="1"/>
                <w:color w:val="auto"/>
              </w:rPr>
            </w:pPr>
          </w:p>
        </w:tc>
      </w:tr>
      <w:tr>
        <w:trPr>
          <w:trHeight w:val="211"/>
        </w:trPr>
        <w:tc>
          <w:tcPr>
            <w:tcW w:w="376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Balance, June 30, 2021</w:t>
            </w: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1,489</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90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524.9</w:t>
            </w: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13,741</w:t>
            </w: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(4,972)</w:t>
            </w: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405</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20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10,668</w:t>
            </w:r>
          </w:p>
        </w:tc>
        <w:tc>
          <w:tcPr>
            <w:tcW w:w="0" w:type="dxa"/>
            <w:vAlign w:val="bottom"/>
          </w:tcPr>
          <w:p>
            <w:pPr>
              <w:spacing w:after="0"/>
              <w:rPr>
                <w:sz w:val="1"/>
                <w:szCs w:val="1"/>
                <w:color w:val="auto"/>
              </w:rPr>
            </w:pPr>
          </w:p>
        </w:tc>
      </w:tr>
      <w:tr>
        <w:trPr>
          <w:trHeight w:val="20"/>
        </w:trPr>
        <w:tc>
          <w:tcPr>
            <w:tcW w:w="37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37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9"/>
        </w:trPr>
        <w:tc>
          <w:tcPr>
            <w:tcW w:w="376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Balance, December 31, 2021</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1,489</w:t>
            </w: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522.2</w:t>
            </w: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13,710</w:t>
            </w: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(5,214)</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301</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10,291</w:t>
            </w:r>
          </w:p>
        </w:tc>
        <w:tc>
          <w:tcPr>
            <w:tcW w:w="0" w:type="dxa"/>
            <w:vAlign w:val="bottom"/>
          </w:tcPr>
          <w:p>
            <w:pPr>
              <w:spacing w:after="0"/>
              <w:rPr>
                <w:sz w:val="1"/>
                <w:szCs w:val="1"/>
                <w:color w:val="auto"/>
              </w:rPr>
            </w:pPr>
          </w:p>
        </w:tc>
      </w:tr>
      <w:tr>
        <w:trPr>
          <w:trHeight w:val="186"/>
        </w:trPr>
        <w:tc>
          <w:tcPr>
            <w:tcW w:w="3760" w:type="dxa"/>
            <w:vAlign w:val="bottom"/>
          </w:tcPr>
          <w:p>
            <w:pPr>
              <w:ind w:left="240"/>
              <w:spacing w:after="0"/>
              <w:rPr>
                <w:sz w:val="20"/>
                <w:szCs w:val="20"/>
                <w:color w:val="auto"/>
              </w:rPr>
            </w:pPr>
            <w:r>
              <w:rPr>
                <w:rFonts w:ascii="Arial" w:cs="Arial" w:eastAsia="Arial" w:hAnsi="Arial"/>
                <w:sz w:val="14"/>
                <w:szCs w:val="14"/>
                <w:color w:val="auto"/>
              </w:rPr>
              <w:t>Net loss</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9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(1,085)</w:t>
            </w: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(1,085)</w:t>
            </w:r>
          </w:p>
        </w:tc>
        <w:tc>
          <w:tcPr>
            <w:tcW w:w="0" w:type="dxa"/>
            <w:vAlign w:val="bottom"/>
          </w:tcPr>
          <w:p>
            <w:pPr>
              <w:spacing w:after="0"/>
              <w:rPr>
                <w:sz w:val="1"/>
                <w:szCs w:val="1"/>
                <w:color w:val="auto"/>
              </w:rPr>
            </w:pPr>
          </w:p>
        </w:tc>
      </w:tr>
      <w:tr>
        <w:trPr>
          <w:trHeight w:val="192"/>
        </w:trPr>
        <w:tc>
          <w:tcPr>
            <w:tcW w:w="3760" w:type="dxa"/>
            <w:vAlign w:val="bottom"/>
            <w:shd w:val="clear" w:color="auto" w:fill="CCEEFF"/>
          </w:tcPr>
          <w:p>
            <w:pPr>
              <w:ind w:left="240"/>
              <w:spacing w:after="0"/>
              <w:rPr>
                <w:sz w:val="20"/>
                <w:szCs w:val="20"/>
                <w:color w:val="auto"/>
              </w:rPr>
            </w:pPr>
            <w:r>
              <w:rPr>
                <w:rFonts w:ascii="Arial" w:cs="Arial" w:eastAsia="Arial" w:hAnsi="Arial"/>
                <w:sz w:val="14"/>
                <w:szCs w:val="14"/>
                <w:color w:val="auto"/>
              </w:rPr>
              <w:t>Other comprehensive loss:</w:t>
            </w: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3760" w:type="dxa"/>
            <w:vAlign w:val="bottom"/>
          </w:tcPr>
          <w:p>
            <w:pPr>
              <w:ind w:left="360"/>
              <w:spacing w:after="0"/>
              <w:rPr>
                <w:sz w:val="20"/>
                <w:szCs w:val="20"/>
                <w:color w:val="auto"/>
              </w:rPr>
            </w:pPr>
            <w:r>
              <w:rPr>
                <w:rFonts w:ascii="Arial" w:cs="Arial" w:eastAsia="Arial" w:hAnsi="Arial"/>
                <w:sz w:val="14"/>
                <w:szCs w:val="14"/>
                <w:color w:val="auto"/>
              </w:rPr>
              <w:t>Unrealized loss on available-for-sale securities, net</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9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100" w:type="dxa"/>
            <w:vAlign w:val="bottom"/>
          </w:tcPr>
          <w:p>
            <w:pPr>
              <w:jc w:val="right"/>
              <w:spacing w:after="0"/>
              <w:rPr>
                <w:sz w:val="20"/>
                <w:szCs w:val="20"/>
                <w:color w:val="auto"/>
              </w:rPr>
            </w:pPr>
            <w:r>
              <w:rPr>
                <w:rFonts w:ascii="Arial" w:cs="Arial" w:eastAsia="Arial" w:hAnsi="Arial"/>
                <w:sz w:val="14"/>
                <w:szCs w:val="14"/>
                <w:color w:val="auto"/>
              </w:rPr>
              <w:t>(736)</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(736)</w:t>
            </w:r>
          </w:p>
        </w:tc>
        <w:tc>
          <w:tcPr>
            <w:tcW w:w="0" w:type="dxa"/>
            <w:vAlign w:val="bottom"/>
          </w:tcPr>
          <w:p>
            <w:pPr>
              <w:spacing w:after="0"/>
              <w:rPr>
                <w:sz w:val="1"/>
                <w:szCs w:val="1"/>
                <w:color w:val="auto"/>
              </w:rPr>
            </w:pPr>
          </w:p>
        </w:tc>
      </w:tr>
      <w:tr>
        <w:trPr>
          <w:trHeight w:val="192"/>
        </w:trPr>
        <w:tc>
          <w:tcPr>
            <w:tcW w:w="3760" w:type="dxa"/>
            <w:vAlign w:val="bottom"/>
            <w:shd w:val="clear" w:color="auto" w:fill="CCEEFF"/>
          </w:tcPr>
          <w:p>
            <w:pPr>
              <w:ind w:left="240"/>
              <w:spacing w:after="0"/>
              <w:rPr>
                <w:sz w:val="20"/>
                <w:szCs w:val="20"/>
                <w:color w:val="auto"/>
              </w:rPr>
            </w:pPr>
            <w:r>
              <w:rPr>
                <w:rFonts w:ascii="Arial" w:cs="Arial" w:eastAsia="Arial" w:hAnsi="Arial"/>
                <w:sz w:val="14"/>
                <w:szCs w:val="14"/>
                <w:color w:val="auto"/>
              </w:rPr>
              <w:t>Stock-based compensation, net</w:t>
            </w:r>
          </w:p>
        </w:tc>
        <w:tc>
          <w:tcPr>
            <w:tcW w:w="12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1.1</w:t>
            </w: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186"/>
        </w:trPr>
        <w:tc>
          <w:tcPr>
            <w:tcW w:w="3760" w:type="dxa"/>
            <w:vAlign w:val="bottom"/>
          </w:tcPr>
          <w:p>
            <w:pPr>
              <w:ind w:left="240"/>
              <w:spacing w:after="0"/>
              <w:rPr>
                <w:sz w:val="20"/>
                <w:szCs w:val="20"/>
                <w:color w:val="auto"/>
              </w:rPr>
            </w:pPr>
            <w:r>
              <w:rPr>
                <w:rFonts w:ascii="Arial" w:cs="Arial" w:eastAsia="Arial" w:hAnsi="Arial"/>
                <w:sz w:val="14"/>
                <w:szCs w:val="14"/>
                <w:color w:val="auto"/>
              </w:rPr>
              <w:t>Issuance of common stock</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4.1</w:t>
            </w: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50</w:t>
            </w: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50</w:t>
            </w:r>
          </w:p>
        </w:tc>
        <w:tc>
          <w:tcPr>
            <w:tcW w:w="0" w:type="dxa"/>
            <w:vAlign w:val="bottom"/>
          </w:tcPr>
          <w:p>
            <w:pPr>
              <w:spacing w:after="0"/>
              <w:rPr>
                <w:sz w:val="1"/>
                <w:szCs w:val="1"/>
                <w:color w:val="auto"/>
              </w:rPr>
            </w:pPr>
          </w:p>
        </w:tc>
      </w:tr>
      <w:tr>
        <w:trPr>
          <w:trHeight w:val="192"/>
        </w:trPr>
        <w:tc>
          <w:tcPr>
            <w:tcW w:w="3760" w:type="dxa"/>
            <w:vAlign w:val="bottom"/>
            <w:shd w:val="clear" w:color="auto" w:fill="CCEEFF"/>
          </w:tcPr>
          <w:p>
            <w:pPr>
              <w:ind w:left="240"/>
              <w:spacing w:after="0"/>
              <w:rPr>
                <w:sz w:val="20"/>
                <w:szCs w:val="20"/>
                <w:color w:val="auto"/>
              </w:rPr>
            </w:pPr>
            <w:r>
              <w:rPr>
                <w:rFonts w:ascii="Arial" w:cs="Arial" w:eastAsia="Arial" w:hAnsi="Arial"/>
                <w:sz w:val="14"/>
                <w:szCs w:val="14"/>
                <w:color w:val="auto"/>
              </w:rPr>
              <w:t>Repurchase of common stock</w:t>
            </w:r>
          </w:p>
        </w:tc>
        <w:tc>
          <w:tcPr>
            <w:tcW w:w="12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w:t>
            </w: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(51)</w:t>
            </w: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(51)</w:t>
            </w:r>
          </w:p>
        </w:tc>
        <w:tc>
          <w:tcPr>
            <w:tcW w:w="0" w:type="dxa"/>
            <w:vAlign w:val="bottom"/>
          </w:tcPr>
          <w:p>
            <w:pPr>
              <w:spacing w:after="0"/>
              <w:rPr>
                <w:sz w:val="1"/>
                <w:szCs w:val="1"/>
                <w:color w:val="auto"/>
              </w:rPr>
            </w:pPr>
          </w:p>
        </w:tc>
      </w:tr>
      <w:tr>
        <w:trPr>
          <w:trHeight w:val="186"/>
        </w:trPr>
        <w:tc>
          <w:tcPr>
            <w:tcW w:w="3760" w:type="dxa"/>
            <w:vAlign w:val="bottom"/>
          </w:tcPr>
          <w:p>
            <w:pPr>
              <w:ind w:left="240"/>
              <w:spacing w:after="0"/>
              <w:rPr>
                <w:sz w:val="20"/>
                <w:szCs w:val="20"/>
                <w:color w:val="auto"/>
              </w:rPr>
            </w:pPr>
            <w:r>
              <w:rPr>
                <w:rFonts w:ascii="Arial" w:cs="Arial" w:eastAsia="Arial" w:hAnsi="Arial"/>
                <w:sz w:val="14"/>
                <w:szCs w:val="14"/>
                <w:color w:val="auto"/>
              </w:rPr>
              <w:t>Preferred dividends declared</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9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(50)</w:t>
            </w: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(50)</w:t>
            </w:r>
          </w:p>
        </w:tc>
        <w:tc>
          <w:tcPr>
            <w:tcW w:w="0" w:type="dxa"/>
            <w:vAlign w:val="bottom"/>
          </w:tcPr>
          <w:p>
            <w:pPr>
              <w:spacing w:after="0"/>
              <w:rPr>
                <w:sz w:val="1"/>
                <w:szCs w:val="1"/>
                <w:color w:val="auto"/>
              </w:rPr>
            </w:pPr>
          </w:p>
        </w:tc>
      </w:tr>
      <w:tr>
        <w:trPr>
          <w:trHeight w:val="189"/>
        </w:trPr>
        <w:tc>
          <w:tcPr>
            <w:tcW w:w="3760" w:type="dxa"/>
            <w:vAlign w:val="bottom"/>
            <w:shd w:val="clear" w:color="auto" w:fill="CCEEFF"/>
          </w:tcPr>
          <w:p>
            <w:pPr>
              <w:ind w:left="240"/>
              <w:spacing w:after="0"/>
              <w:rPr>
                <w:sz w:val="20"/>
                <w:szCs w:val="20"/>
                <w:color w:val="auto"/>
              </w:rPr>
            </w:pPr>
            <w:r>
              <w:rPr>
                <w:rFonts w:ascii="Arial" w:cs="Arial" w:eastAsia="Arial" w:hAnsi="Arial"/>
                <w:sz w:val="14"/>
                <w:szCs w:val="14"/>
                <w:color w:val="auto"/>
              </w:rPr>
              <w:t>Common dividends declared</w:t>
            </w:r>
          </w:p>
        </w:tc>
        <w:tc>
          <w:tcPr>
            <w:tcW w:w="12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(377)</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(377)</w:t>
            </w:r>
          </w:p>
        </w:tc>
        <w:tc>
          <w:tcPr>
            <w:tcW w:w="0" w:type="dxa"/>
            <w:vAlign w:val="bottom"/>
          </w:tcPr>
          <w:p>
            <w:pPr>
              <w:spacing w:after="0"/>
              <w:rPr>
                <w:sz w:val="1"/>
                <w:szCs w:val="1"/>
                <w:color w:val="auto"/>
              </w:rPr>
            </w:pPr>
          </w:p>
        </w:tc>
      </w:tr>
      <w:tr>
        <w:trPr>
          <w:trHeight w:val="186"/>
        </w:trPr>
        <w:tc>
          <w:tcPr>
            <w:tcW w:w="3760" w:type="dxa"/>
            <w:vAlign w:val="bottom"/>
          </w:tcPr>
          <w:p>
            <w:pPr>
              <w:ind w:left="20"/>
              <w:spacing w:after="0"/>
              <w:rPr>
                <w:sz w:val="20"/>
                <w:szCs w:val="20"/>
                <w:color w:val="auto"/>
              </w:rPr>
            </w:pPr>
            <w:r>
              <w:rPr>
                <w:rFonts w:ascii="Arial" w:cs="Arial" w:eastAsia="Arial" w:hAnsi="Arial"/>
                <w:sz w:val="14"/>
                <w:szCs w:val="14"/>
                <w:b w:val="1"/>
                <w:bCs w:val="1"/>
                <w:color w:val="auto"/>
              </w:rPr>
              <w:t>Balance, June 30, 2022</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1,489</w:t>
            </w:r>
          </w:p>
        </w:tc>
        <w:tc>
          <w:tcPr>
            <w:tcW w:w="100" w:type="dxa"/>
            <w:vAlign w:val="bottom"/>
          </w:tcPr>
          <w:p>
            <w:pPr>
              <w:spacing w:after="0"/>
              <w:rPr>
                <w:sz w:val="16"/>
                <w:szCs w:val="16"/>
                <w:color w:val="auto"/>
              </w:rPr>
            </w:pPr>
          </w:p>
        </w:tc>
        <w:tc>
          <w:tcPr>
            <w:tcW w:w="90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522.7</w:t>
            </w:r>
          </w:p>
        </w:tc>
        <w:tc>
          <w:tcPr>
            <w:tcW w:w="80" w:type="dxa"/>
            <w:vAlign w:val="bottom"/>
          </w:tcPr>
          <w:p>
            <w:pPr>
              <w:spacing w:after="0"/>
              <w:rPr>
                <w:sz w:val="16"/>
                <w:szCs w:val="16"/>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5</w:t>
            </w:r>
          </w:p>
        </w:tc>
        <w:tc>
          <w:tcPr>
            <w:tcW w:w="100" w:type="dxa"/>
            <w:vAlign w:val="bottom"/>
          </w:tcPr>
          <w:p>
            <w:pPr>
              <w:spacing w:after="0"/>
              <w:rPr>
                <w:sz w:val="16"/>
                <w:szCs w:val="16"/>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13,707</w:t>
            </w:r>
          </w:p>
        </w:tc>
        <w:tc>
          <w:tcPr>
            <w:tcW w:w="80" w:type="dxa"/>
            <w:vAlign w:val="bottom"/>
          </w:tcPr>
          <w:p>
            <w:pPr>
              <w:spacing w:after="0"/>
              <w:rPr>
                <w:sz w:val="16"/>
                <w:szCs w:val="16"/>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(6,726)</w:t>
            </w:r>
          </w:p>
        </w:tc>
        <w:tc>
          <w:tcPr>
            <w:tcW w:w="80" w:type="dxa"/>
            <w:vAlign w:val="bottom"/>
          </w:tcPr>
          <w:p>
            <w:pPr>
              <w:spacing w:after="0"/>
              <w:rPr>
                <w:sz w:val="16"/>
                <w:szCs w:val="16"/>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(435)</w:t>
            </w:r>
          </w:p>
        </w:tc>
        <w:tc>
          <w:tcPr>
            <w:tcW w:w="120" w:type="dxa"/>
            <w:vAlign w:val="bottom"/>
          </w:tcPr>
          <w:p>
            <w:pPr>
              <w:spacing w:after="0"/>
              <w:rPr>
                <w:sz w:val="16"/>
                <w:szCs w:val="16"/>
                <w:color w:val="auto"/>
              </w:rPr>
            </w:pPr>
          </w:p>
        </w:tc>
        <w:tc>
          <w:tcPr>
            <w:tcW w:w="20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8,040</w:t>
            </w:r>
          </w:p>
        </w:tc>
        <w:tc>
          <w:tcPr>
            <w:tcW w:w="0" w:type="dxa"/>
            <w:vAlign w:val="bottom"/>
          </w:tcPr>
          <w:p>
            <w:pPr>
              <w:spacing w:after="0"/>
              <w:rPr>
                <w:sz w:val="1"/>
                <w:szCs w:val="1"/>
                <w:color w:val="auto"/>
              </w:rPr>
            </w:pPr>
          </w:p>
        </w:tc>
      </w:tr>
      <w:tr>
        <w:trPr>
          <w:trHeight w:val="20"/>
        </w:trPr>
        <w:tc>
          <w:tcPr>
            <w:tcW w:w="37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48" w:lineRule="exact"/>
        <w:rPr>
          <w:sz w:val="20"/>
          <w:szCs w:val="20"/>
          <w:color w:val="auto"/>
        </w:rPr>
      </w:pPr>
    </w:p>
    <w:p>
      <w:pPr>
        <w:jc w:val="center"/>
        <w:ind w:right="-279"/>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jc w:val="center"/>
        <w:ind w:right="-27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960"/>
          </w:cols>
          <w:pgMar w:left="320" w:top="891" w:right="61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AGNC INVESTMENT CORP.</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ind w:left="452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ind w:left="4500"/>
        <w:spacing w:after="0"/>
        <w:rPr>
          <w:sz w:val="20"/>
          <w:szCs w:val="20"/>
          <w:color w:val="auto"/>
        </w:rPr>
      </w:pPr>
      <w:r>
        <w:rPr>
          <w:rFonts w:ascii="Arial" w:cs="Arial" w:eastAsia="Arial" w:hAnsi="Arial"/>
          <w:sz w:val="18"/>
          <w:szCs w:val="18"/>
          <w:b w:val="1"/>
          <w:bCs w:val="1"/>
          <w:color w:val="auto"/>
        </w:rPr>
        <w:t>(in millions)</w:t>
      </w:r>
    </w:p>
    <w:p>
      <w:pPr>
        <w:spacing w:after="0" w:line="17" w:lineRule="exact"/>
        <w:rPr>
          <w:sz w:val="20"/>
          <w:szCs w:val="20"/>
          <w:color w:val="auto"/>
        </w:rPr>
      </w:pPr>
    </w:p>
    <w:p>
      <w:pPr>
        <w:jc w:val="center"/>
        <w:ind w:left="7460"/>
        <w:spacing w:after="0"/>
        <w:rPr>
          <w:sz w:val="20"/>
          <w:szCs w:val="20"/>
          <w:color w:val="auto"/>
        </w:rPr>
      </w:pPr>
      <w:r>
        <w:rPr>
          <w:rFonts w:ascii="Arial" w:cs="Arial" w:eastAsia="Arial" w:hAnsi="Arial"/>
          <w:sz w:val="14"/>
          <w:szCs w:val="14"/>
          <w:b w:val="1"/>
          <w:bCs w:val="1"/>
          <w:color w:val="auto"/>
        </w:rPr>
        <w:t>Six Months Ended</w:t>
      </w:r>
    </w:p>
    <w:p>
      <w:pPr>
        <w:jc w:val="center"/>
        <w:ind w:left="7460"/>
        <w:spacing w:after="0"/>
        <w:rPr>
          <w:sz w:val="20"/>
          <w:szCs w:val="20"/>
          <w:color w:val="auto"/>
        </w:rPr>
      </w:pPr>
      <w:r>
        <w:rPr>
          <w:rFonts w:ascii="Arial" w:cs="Arial" w:eastAsia="Arial" w:hAnsi="Arial"/>
          <w:sz w:val="14"/>
          <w:szCs w:val="14"/>
          <w:b w:val="1"/>
          <w:bCs w:val="1"/>
          <w:color w:val="auto"/>
        </w:rPr>
        <w:t>June 30,</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7480" w:type="dxa"/>
            <w:vAlign w:val="bottom"/>
            <w:tcBorders>
              <w:bottom w:val="single" w:sz="8" w:color="CCEEFF"/>
            </w:tcBorders>
          </w:tcPr>
          <w:p>
            <w:pPr>
              <w:spacing w:after="0"/>
              <w:rPr>
                <w:sz w:val="16"/>
                <w:szCs w:val="16"/>
                <w:color w:val="auto"/>
              </w:rPr>
            </w:pPr>
          </w:p>
        </w:tc>
        <w:tc>
          <w:tcPr>
            <w:tcW w:w="260" w:type="dxa"/>
            <w:vAlign w:val="bottom"/>
            <w:tcBorders>
              <w:top w:val="single" w:sz="8" w:color="auto"/>
              <w:bottom w:val="single" w:sz="8" w:color="auto"/>
            </w:tcBorders>
          </w:tcPr>
          <w:p>
            <w:pPr>
              <w:spacing w:after="0"/>
              <w:rPr>
                <w:sz w:val="16"/>
                <w:szCs w:val="16"/>
                <w:color w:val="auto"/>
              </w:rPr>
            </w:pPr>
          </w:p>
        </w:tc>
        <w:tc>
          <w:tcPr>
            <w:tcW w:w="920" w:type="dxa"/>
            <w:vAlign w:val="bottom"/>
            <w:tcBorders>
              <w:top w:val="single" w:sz="8" w:color="auto"/>
              <w:bottom w:val="single" w:sz="8" w:color="auto"/>
            </w:tcBorders>
          </w:tcPr>
          <w:p>
            <w:pPr>
              <w:jc w:val="right"/>
              <w:ind w:right="359"/>
              <w:spacing w:after="0"/>
              <w:rPr>
                <w:sz w:val="20"/>
                <w:szCs w:val="20"/>
                <w:color w:val="auto"/>
              </w:rPr>
            </w:pPr>
            <w:r>
              <w:rPr>
                <w:rFonts w:ascii="Arial" w:cs="Arial" w:eastAsia="Arial" w:hAnsi="Arial"/>
                <w:sz w:val="14"/>
                <w:szCs w:val="14"/>
                <w:b w:val="1"/>
                <w:bCs w:val="1"/>
                <w:color w:val="auto"/>
              </w:rPr>
              <w:t>2022</w:t>
            </w:r>
          </w:p>
        </w:tc>
        <w:tc>
          <w:tcPr>
            <w:tcW w:w="120" w:type="dxa"/>
            <w:vAlign w:val="bottom"/>
            <w:tcBorders>
              <w:top w:val="single" w:sz="8" w:color="auto"/>
              <w:bottom w:val="single" w:sz="8" w:color="CCEEFF"/>
            </w:tcBorders>
          </w:tcPr>
          <w:p>
            <w:pPr>
              <w:spacing w:after="0"/>
              <w:rPr>
                <w:sz w:val="16"/>
                <w:szCs w:val="16"/>
                <w:color w:val="auto"/>
              </w:rPr>
            </w:pPr>
          </w:p>
        </w:tc>
        <w:tc>
          <w:tcPr>
            <w:tcW w:w="240" w:type="dxa"/>
            <w:vAlign w:val="bottom"/>
            <w:tcBorders>
              <w:top w:val="single" w:sz="8" w:color="auto"/>
              <w:bottom w:val="single" w:sz="8" w:color="auto"/>
            </w:tcBorders>
          </w:tcPr>
          <w:p>
            <w:pPr>
              <w:spacing w:after="0"/>
              <w:rPr>
                <w:sz w:val="16"/>
                <w:szCs w:val="16"/>
                <w:color w:val="auto"/>
              </w:rPr>
            </w:pPr>
          </w:p>
        </w:tc>
        <w:tc>
          <w:tcPr>
            <w:tcW w:w="940" w:type="dxa"/>
            <w:vAlign w:val="bottom"/>
            <w:tcBorders>
              <w:top w:val="single" w:sz="8" w:color="auto"/>
              <w:bottom w:val="single" w:sz="8" w:color="auto"/>
            </w:tcBorders>
          </w:tcPr>
          <w:p>
            <w:pPr>
              <w:jc w:val="right"/>
              <w:ind w:right="359"/>
              <w:spacing w:after="0"/>
              <w:rPr>
                <w:sz w:val="20"/>
                <w:szCs w:val="20"/>
                <w:color w:val="auto"/>
              </w:rPr>
            </w:pPr>
            <w:r>
              <w:rPr>
                <w:rFonts w:ascii="Arial" w:cs="Arial" w:eastAsia="Arial" w:hAnsi="Arial"/>
                <w:sz w:val="14"/>
                <w:szCs w:val="14"/>
                <w:b w:val="1"/>
                <w:bCs w:val="1"/>
                <w:color w:val="auto"/>
              </w:rPr>
              <w:t>2021</w:t>
            </w:r>
          </w:p>
        </w:tc>
      </w:tr>
      <w:tr>
        <w:trPr>
          <w:trHeight w:val="197"/>
        </w:trPr>
        <w:tc>
          <w:tcPr>
            <w:tcW w:w="748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Operating activities:</w:t>
            </w:r>
          </w:p>
        </w:tc>
        <w:tc>
          <w:tcPr>
            <w:tcW w:w="26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r>
      <w:tr>
        <w:trPr>
          <w:trHeight w:val="213"/>
        </w:trPr>
        <w:tc>
          <w:tcPr>
            <w:tcW w:w="7480" w:type="dxa"/>
            <w:vAlign w:val="bottom"/>
          </w:tcPr>
          <w:p>
            <w:pPr>
              <w:ind w:left="20"/>
              <w:spacing w:after="0"/>
              <w:rPr>
                <w:sz w:val="20"/>
                <w:szCs w:val="20"/>
                <w:color w:val="auto"/>
              </w:rPr>
            </w:pPr>
            <w:r>
              <w:rPr>
                <w:rFonts w:ascii="Arial" w:cs="Arial" w:eastAsia="Arial" w:hAnsi="Arial"/>
                <w:sz w:val="16"/>
                <w:szCs w:val="16"/>
                <w:color w:val="auto"/>
              </w:rPr>
              <w:t>Net income (loss)</w:t>
            </w: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(1,085)</w:t>
            </w:r>
          </w:p>
        </w:tc>
        <w:tc>
          <w:tcPr>
            <w:tcW w:w="120" w:type="dxa"/>
            <w:vAlign w:val="bottom"/>
          </w:tcPr>
          <w:p>
            <w:pPr>
              <w:spacing w:after="0"/>
              <w:rPr>
                <w:sz w:val="18"/>
                <w:szCs w:val="18"/>
                <w:color w:val="auto"/>
              </w:rPr>
            </w:pP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spacing w:after="0"/>
              <w:rPr>
                <w:sz w:val="20"/>
                <w:szCs w:val="20"/>
                <w:color w:val="auto"/>
              </w:rPr>
            </w:pPr>
            <w:r>
              <w:rPr>
                <w:rFonts w:ascii="Arial" w:cs="Arial" w:eastAsia="Arial" w:hAnsi="Arial"/>
                <w:sz w:val="16"/>
                <w:szCs w:val="16"/>
                <w:color w:val="auto"/>
              </w:rPr>
              <w:t>564</w:t>
            </w:r>
          </w:p>
        </w:tc>
      </w:tr>
      <w:tr>
        <w:trPr>
          <w:trHeight w:val="219"/>
        </w:trPr>
        <w:tc>
          <w:tcPr>
            <w:tcW w:w="7480" w:type="dxa"/>
            <w:vAlign w:val="bottom"/>
            <w:shd w:val="clear" w:color="auto" w:fill="CCEEFF"/>
          </w:tcPr>
          <w:p>
            <w:pPr>
              <w:ind w:left="20"/>
              <w:spacing w:after="0"/>
              <w:rPr>
                <w:sz w:val="20"/>
                <w:szCs w:val="20"/>
                <w:color w:val="auto"/>
              </w:rPr>
            </w:pPr>
            <w:r>
              <w:rPr>
                <w:rFonts w:ascii="Arial" w:cs="Arial" w:eastAsia="Arial" w:hAnsi="Arial"/>
                <w:sz w:val="16"/>
                <w:szCs w:val="16"/>
                <w:color w:val="auto"/>
              </w:rPr>
              <w:t>Adjustments to reconcile net income (loss) to net cash provided by operating activities:</w:t>
            </w: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r>
      <w:tr>
        <w:trPr>
          <w:trHeight w:val="213"/>
        </w:trPr>
        <w:tc>
          <w:tcPr>
            <w:tcW w:w="7480" w:type="dxa"/>
            <w:vAlign w:val="bottom"/>
          </w:tcPr>
          <w:p>
            <w:pPr>
              <w:ind w:left="340"/>
              <w:spacing w:after="0"/>
              <w:rPr>
                <w:sz w:val="20"/>
                <w:szCs w:val="20"/>
                <w:color w:val="auto"/>
              </w:rPr>
            </w:pPr>
            <w:r>
              <w:rPr>
                <w:rFonts w:ascii="Arial" w:cs="Arial" w:eastAsia="Arial" w:hAnsi="Arial"/>
                <w:sz w:val="16"/>
                <w:szCs w:val="16"/>
                <w:color w:val="auto"/>
              </w:rPr>
              <w:t>Amortization of premiums and discounts on mortgage-backed securities, net</w:t>
            </w:r>
          </w:p>
        </w:tc>
        <w:tc>
          <w:tcPr>
            <w:tcW w:w="2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(78)</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128</w:t>
            </w:r>
          </w:p>
        </w:tc>
      </w:tr>
      <w:tr>
        <w:trPr>
          <w:trHeight w:val="219"/>
        </w:trPr>
        <w:tc>
          <w:tcPr>
            <w:tcW w:w="7480" w:type="dxa"/>
            <w:vAlign w:val="bottom"/>
            <w:shd w:val="clear" w:color="auto" w:fill="CCEEFF"/>
          </w:tcPr>
          <w:p>
            <w:pPr>
              <w:ind w:left="340"/>
              <w:spacing w:after="0"/>
              <w:rPr>
                <w:sz w:val="20"/>
                <w:szCs w:val="20"/>
                <w:color w:val="auto"/>
              </w:rPr>
            </w:pPr>
            <w:r>
              <w:rPr>
                <w:rFonts w:ascii="Arial" w:cs="Arial" w:eastAsia="Arial" w:hAnsi="Arial"/>
                <w:sz w:val="16"/>
                <w:szCs w:val="16"/>
                <w:color w:val="auto"/>
              </w:rPr>
              <w:t>Stock-based compensation, net</w:t>
            </w: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w:t>
            </w:r>
          </w:p>
        </w:tc>
      </w:tr>
      <w:tr>
        <w:trPr>
          <w:trHeight w:val="213"/>
        </w:trPr>
        <w:tc>
          <w:tcPr>
            <w:tcW w:w="7480" w:type="dxa"/>
            <w:vAlign w:val="bottom"/>
          </w:tcPr>
          <w:p>
            <w:pPr>
              <w:ind w:left="340"/>
              <w:spacing w:after="0"/>
              <w:rPr>
                <w:sz w:val="20"/>
                <w:szCs w:val="20"/>
                <w:color w:val="auto"/>
              </w:rPr>
            </w:pPr>
            <w:r>
              <w:rPr>
                <w:rFonts w:ascii="Arial" w:cs="Arial" w:eastAsia="Arial" w:hAnsi="Arial"/>
                <w:sz w:val="16"/>
                <w:szCs w:val="16"/>
                <w:color w:val="auto"/>
              </w:rPr>
              <w:t>(Gain) loss on sale of investment securities, net</w:t>
            </w:r>
          </w:p>
        </w:tc>
        <w:tc>
          <w:tcPr>
            <w:tcW w:w="2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1,288</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(12)</w:t>
            </w:r>
          </w:p>
        </w:tc>
      </w:tr>
      <w:tr>
        <w:trPr>
          <w:trHeight w:val="219"/>
        </w:trPr>
        <w:tc>
          <w:tcPr>
            <w:tcW w:w="7480" w:type="dxa"/>
            <w:vAlign w:val="bottom"/>
            <w:shd w:val="clear" w:color="auto" w:fill="CCEEFF"/>
          </w:tcPr>
          <w:p>
            <w:pPr>
              <w:ind w:left="340"/>
              <w:spacing w:after="0"/>
              <w:rPr>
                <w:sz w:val="20"/>
                <w:szCs w:val="20"/>
                <w:color w:val="auto"/>
              </w:rPr>
            </w:pPr>
            <w:r>
              <w:rPr>
                <w:rFonts w:ascii="Arial" w:cs="Arial" w:eastAsia="Arial" w:hAnsi="Arial"/>
                <w:sz w:val="16"/>
                <w:szCs w:val="16"/>
                <w:color w:val="auto"/>
              </w:rPr>
              <w:t>Unrealized loss on investment securities measured at fair value through net income, net</w:t>
            </w: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3,519</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983</w:t>
            </w:r>
          </w:p>
        </w:tc>
      </w:tr>
      <w:tr>
        <w:trPr>
          <w:trHeight w:val="213"/>
        </w:trPr>
        <w:tc>
          <w:tcPr>
            <w:tcW w:w="7480" w:type="dxa"/>
            <w:vAlign w:val="bottom"/>
          </w:tcPr>
          <w:p>
            <w:pPr>
              <w:ind w:left="340"/>
              <w:spacing w:after="0"/>
              <w:rPr>
                <w:sz w:val="20"/>
                <w:szCs w:val="20"/>
                <w:color w:val="auto"/>
              </w:rPr>
            </w:pPr>
            <w:r>
              <w:rPr>
                <w:rFonts w:ascii="Arial" w:cs="Arial" w:eastAsia="Arial" w:hAnsi="Arial"/>
                <w:sz w:val="16"/>
                <w:szCs w:val="16"/>
                <w:color w:val="auto"/>
              </w:rPr>
              <w:t>Gain on derivative instruments and other securities, net</w:t>
            </w:r>
          </w:p>
        </w:tc>
        <w:tc>
          <w:tcPr>
            <w:tcW w:w="2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(3,000)</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(821)</w:t>
            </w:r>
          </w:p>
        </w:tc>
      </w:tr>
      <w:tr>
        <w:trPr>
          <w:trHeight w:val="219"/>
        </w:trPr>
        <w:tc>
          <w:tcPr>
            <w:tcW w:w="7480" w:type="dxa"/>
            <w:vAlign w:val="bottom"/>
            <w:shd w:val="clear" w:color="auto" w:fill="CCEEFF"/>
          </w:tcPr>
          <w:p>
            <w:pPr>
              <w:ind w:left="340"/>
              <w:spacing w:after="0"/>
              <w:rPr>
                <w:sz w:val="20"/>
                <w:szCs w:val="20"/>
                <w:color w:val="auto"/>
              </w:rPr>
            </w:pPr>
            <w:r>
              <w:rPr>
                <w:rFonts w:ascii="Arial" w:cs="Arial" w:eastAsia="Arial" w:hAnsi="Arial"/>
                <w:sz w:val="16"/>
                <w:szCs w:val="16"/>
                <w:color w:val="auto"/>
              </w:rPr>
              <w:t>(Increase) decrease in other assets</w:t>
            </w: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(52)</w:t>
            </w:r>
          </w:p>
        </w:tc>
      </w:tr>
      <w:tr>
        <w:trPr>
          <w:trHeight w:val="213"/>
        </w:trPr>
        <w:tc>
          <w:tcPr>
            <w:tcW w:w="7480" w:type="dxa"/>
            <w:vAlign w:val="bottom"/>
            <w:tcBorders>
              <w:bottom w:val="single" w:sz="8" w:color="CCEEFF"/>
            </w:tcBorders>
          </w:tcPr>
          <w:p>
            <w:pPr>
              <w:ind w:left="340"/>
              <w:spacing w:after="0"/>
              <w:rPr>
                <w:sz w:val="20"/>
                <w:szCs w:val="20"/>
                <w:color w:val="auto"/>
              </w:rPr>
            </w:pPr>
            <w:r>
              <w:rPr>
                <w:rFonts w:ascii="Arial" w:cs="Arial" w:eastAsia="Arial" w:hAnsi="Arial"/>
                <w:sz w:val="16"/>
                <w:szCs w:val="16"/>
                <w:color w:val="auto"/>
              </w:rPr>
              <w:t>Increase (decrease) in accounts payable and other accrued liabilities</w:t>
            </w:r>
          </w:p>
        </w:tc>
        <w:tc>
          <w:tcPr>
            <w:tcW w:w="26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30</w:t>
            </w:r>
          </w:p>
        </w:tc>
        <w:tc>
          <w:tcPr>
            <w:tcW w:w="12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(27)</w:t>
            </w:r>
          </w:p>
        </w:tc>
      </w:tr>
      <w:tr>
        <w:trPr>
          <w:trHeight w:val="213"/>
        </w:trPr>
        <w:tc>
          <w:tcPr>
            <w:tcW w:w="7480" w:type="dxa"/>
            <w:vAlign w:val="bottom"/>
            <w:shd w:val="clear" w:color="auto" w:fill="CCEEFF"/>
          </w:tcPr>
          <w:p>
            <w:pPr>
              <w:ind w:left="20"/>
              <w:spacing w:after="0"/>
              <w:rPr>
                <w:sz w:val="20"/>
                <w:szCs w:val="20"/>
                <w:color w:val="auto"/>
              </w:rPr>
            </w:pPr>
            <w:r>
              <w:rPr>
                <w:rFonts w:ascii="Arial" w:cs="Arial" w:eastAsia="Arial" w:hAnsi="Arial"/>
                <w:sz w:val="16"/>
                <w:szCs w:val="16"/>
                <w:color w:val="auto"/>
              </w:rPr>
              <w:t>Net cash provided by operating activities</w:t>
            </w:r>
          </w:p>
        </w:tc>
        <w:tc>
          <w:tcPr>
            <w:tcW w:w="26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693</w:t>
            </w:r>
          </w:p>
        </w:tc>
        <w:tc>
          <w:tcPr>
            <w:tcW w:w="1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771</w:t>
            </w:r>
          </w:p>
        </w:tc>
      </w:tr>
      <w:tr>
        <w:trPr>
          <w:trHeight w:val="193"/>
        </w:trPr>
        <w:tc>
          <w:tcPr>
            <w:tcW w:w="7480" w:type="dxa"/>
            <w:vAlign w:val="bottom"/>
          </w:tcPr>
          <w:p>
            <w:pPr>
              <w:ind w:left="20"/>
              <w:spacing w:after="0"/>
              <w:rPr>
                <w:sz w:val="20"/>
                <w:szCs w:val="20"/>
                <w:color w:val="auto"/>
              </w:rPr>
            </w:pPr>
            <w:r>
              <w:rPr>
                <w:rFonts w:ascii="Arial" w:cs="Arial" w:eastAsia="Arial" w:hAnsi="Arial"/>
                <w:sz w:val="16"/>
                <w:szCs w:val="16"/>
                <w:b w:val="1"/>
                <w:bCs w:val="1"/>
                <w:color w:val="auto"/>
              </w:rPr>
              <w:t>Investing activities:</w:t>
            </w:r>
          </w:p>
        </w:tc>
        <w:tc>
          <w:tcPr>
            <w:tcW w:w="26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40" w:type="dxa"/>
            <w:vAlign w:val="bottom"/>
          </w:tcPr>
          <w:p>
            <w:pPr>
              <w:spacing w:after="0"/>
              <w:rPr>
                <w:sz w:val="16"/>
                <w:szCs w:val="16"/>
                <w:color w:val="auto"/>
              </w:rPr>
            </w:pPr>
          </w:p>
        </w:tc>
      </w:tr>
      <w:tr>
        <w:trPr>
          <w:trHeight w:val="219"/>
        </w:trPr>
        <w:tc>
          <w:tcPr>
            <w:tcW w:w="7480" w:type="dxa"/>
            <w:vAlign w:val="bottom"/>
            <w:shd w:val="clear" w:color="auto" w:fill="CCEEFF"/>
          </w:tcPr>
          <w:p>
            <w:pPr>
              <w:ind w:left="340"/>
              <w:spacing w:after="0"/>
              <w:rPr>
                <w:sz w:val="20"/>
                <w:szCs w:val="20"/>
                <w:color w:val="auto"/>
              </w:rPr>
            </w:pPr>
            <w:r>
              <w:rPr>
                <w:rFonts w:ascii="Arial" w:cs="Arial" w:eastAsia="Arial" w:hAnsi="Arial"/>
                <w:sz w:val="16"/>
                <w:szCs w:val="16"/>
                <w:color w:val="auto"/>
              </w:rPr>
              <w:t>Purchases of Agency mortgage-backed securities</w:t>
            </w: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(14,293)</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(23,954)</w:t>
            </w:r>
          </w:p>
        </w:tc>
      </w:tr>
      <w:tr>
        <w:trPr>
          <w:trHeight w:val="213"/>
        </w:trPr>
        <w:tc>
          <w:tcPr>
            <w:tcW w:w="7480" w:type="dxa"/>
            <w:vAlign w:val="bottom"/>
          </w:tcPr>
          <w:p>
            <w:pPr>
              <w:ind w:left="340"/>
              <w:spacing w:after="0"/>
              <w:rPr>
                <w:sz w:val="20"/>
                <w:szCs w:val="20"/>
                <w:color w:val="auto"/>
              </w:rPr>
            </w:pPr>
            <w:r>
              <w:rPr>
                <w:rFonts w:ascii="Arial" w:cs="Arial" w:eastAsia="Arial" w:hAnsi="Arial"/>
                <w:sz w:val="16"/>
                <w:szCs w:val="16"/>
                <w:color w:val="auto"/>
              </w:rPr>
              <w:t>Purchases of credit risk transfer and non-Agency securities</w:t>
            </w:r>
          </w:p>
        </w:tc>
        <w:tc>
          <w:tcPr>
            <w:tcW w:w="2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(761)</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(1,310)</w:t>
            </w:r>
          </w:p>
        </w:tc>
      </w:tr>
      <w:tr>
        <w:trPr>
          <w:trHeight w:val="219"/>
        </w:trPr>
        <w:tc>
          <w:tcPr>
            <w:tcW w:w="7480" w:type="dxa"/>
            <w:vAlign w:val="bottom"/>
            <w:shd w:val="clear" w:color="auto" w:fill="CCEEFF"/>
          </w:tcPr>
          <w:p>
            <w:pPr>
              <w:ind w:left="340"/>
              <w:spacing w:after="0"/>
              <w:rPr>
                <w:sz w:val="20"/>
                <w:szCs w:val="20"/>
                <w:color w:val="auto"/>
              </w:rPr>
            </w:pPr>
            <w:r>
              <w:rPr>
                <w:rFonts w:ascii="Arial" w:cs="Arial" w:eastAsia="Arial" w:hAnsi="Arial"/>
                <w:sz w:val="16"/>
                <w:szCs w:val="16"/>
                <w:color w:val="auto"/>
              </w:rPr>
              <w:t>Proceeds from sale of Agency mortgage-backed securities</w:t>
            </w: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12,218</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18,311</w:t>
            </w:r>
          </w:p>
        </w:tc>
      </w:tr>
      <w:tr>
        <w:trPr>
          <w:trHeight w:val="213"/>
        </w:trPr>
        <w:tc>
          <w:tcPr>
            <w:tcW w:w="7480" w:type="dxa"/>
            <w:vAlign w:val="bottom"/>
          </w:tcPr>
          <w:p>
            <w:pPr>
              <w:ind w:left="340"/>
              <w:spacing w:after="0"/>
              <w:rPr>
                <w:sz w:val="20"/>
                <w:szCs w:val="20"/>
                <w:color w:val="auto"/>
              </w:rPr>
            </w:pPr>
            <w:r>
              <w:rPr>
                <w:rFonts w:ascii="Arial" w:cs="Arial" w:eastAsia="Arial" w:hAnsi="Arial"/>
                <w:sz w:val="16"/>
                <w:szCs w:val="16"/>
                <w:color w:val="auto"/>
              </w:rPr>
              <w:t>Proceeds from sale of credit risk transfer and non-Agency securities</w:t>
            </w:r>
          </w:p>
        </w:tc>
        <w:tc>
          <w:tcPr>
            <w:tcW w:w="2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548</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931</w:t>
            </w:r>
          </w:p>
        </w:tc>
      </w:tr>
      <w:tr>
        <w:trPr>
          <w:trHeight w:val="219"/>
        </w:trPr>
        <w:tc>
          <w:tcPr>
            <w:tcW w:w="7480" w:type="dxa"/>
            <w:vAlign w:val="bottom"/>
            <w:shd w:val="clear" w:color="auto" w:fill="CCEEFF"/>
          </w:tcPr>
          <w:p>
            <w:pPr>
              <w:ind w:left="340"/>
              <w:spacing w:after="0"/>
              <w:rPr>
                <w:sz w:val="20"/>
                <w:szCs w:val="20"/>
                <w:color w:val="auto"/>
              </w:rPr>
            </w:pPr>
            <w:r>
              <w:rPr>
                <w:rFonts w:ascii="Arial" w:cs="Arial" w:eastAsia="Arial" w:hAnsi="Arial"/>
                <w:sz w:val="16"/>
                <w:szCs w:val="16"/>
                <w:color w:val="auto"/>
              </w:rPr>
              <w:t>Principal collections on Agency mortgage-backed securities</w:t>
            </w: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4,145</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8,791</w:t>
            </w:r>
          </w:p>
        </w:tc>
      </w:tr>
      <w:tr>
        <w:trPr>
          <w:trHeight w:val="213"/>
        </w:trPr>
        <w:tc>
          <w:tcPr>
            <w:tcW w:w="7480" w:type="dxa"/>
            <w:vAlign w:val="bottom"/>
          </w:tcPr>
          <w:p>
            <w:pPr>
              <w:ind w:left="340"/>
              <w:spacing w:after="0"/>
              <w:rPr>
                <w:sz w:val="20"/>
                <w:szCs w:val="20"/>
                <w:color w:val="auto"/>
              </w:rPr>
            </w:pPr>
            <w:r>
              <w:rPr>
                <w:rFonts w:ascii="Arial" w:cs="Arial" w:eastAsia="Arial" w:hAnsi="Arial"/>
                <w:sz w:val="16"/>
                <w:szCs w:val="16"/>
                <w:color w:val="auto"/>
              </w:rPr>
              <w:t>Principal collections on credit risk transfer and non-Agency securities</w:t>
            </w:r>
          </w:p>
        </w:tc>
        <w:tc>
          <w:tcPr>
            <w:tcW w:w="2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159</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36</w:t>
            </w:r>
          </w:p>
        </w:tc>
      </w:tr>
      <w:tr>
        <w:trPr>
          <w:trHeight w:val="219"/>
        </w:trPr>
        <w:tc>
          <w:tcPr>
            <w:tcW w:w="7480" w:type="dxa"/>
            <w:vAlign w:val="bottom"/>
            <w:shd w:val="clear" w:color="auto" w:fill="CCEEFF"/>
          </w:tcPr>
          <w:p>
            <w:pPr>
              <w:ind w:left="340"/>
              <w:spacing w:after="0"/>
              <w:rPr>
                <w:sz w:val="20"/>
                <w:szCs w:val="20"/>
                <w:color w:val="auto"/>
              </w:rPr>
            </w:pPr>
            <w:r>
              <w:rPr>
                <w:rFonts w:ascii="Arial" w:cs="Arial" w:eastAsia="Arial" w:hAnsi="Arial"/>
                <w:sz w:val="16"/>
                <w:szCs w:val="16"/>
                <w:color w:val="auto"/>
              </w:rPr>
              <w:t>Payments on U.S. Treasury securities</w:t>
            </w: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(12,773)</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(10,536)</w:t>
            </w:r>
          </w:p>
        </w:tc>
      </w:tr>
      <w:tr>
        <w:trPr>
          <w:trHeight w:val="213"/>
        </w:trPr>
        <w:tc>
          <w:tcPr>
            <w:tcW w:w="7480" w:type="dxa"/>
            <w:vAlign w:val="bottom"/>
          </w:tcPr>
          <w:p>
            <w:pPr>
              <w:ind w:left="340"/>
              <w:spacing w:after="0"/>
              <w:rPr>
                <w:sz w:val="20"/>
                <w:szCs w:val="20"/>
                <w:color w:val="auto"/>
              </w:rPr>
            </w:pPr>
            <w:r>
              <w:rPr>
                <w:rFonts w:ascii="Arial" w:cs="Arial" w:eastAsia="Arial" w:hAnsi="Arial"/>
                <w:sz w:val="16"/>
                <w:szCs w:val="16"/>
                <w:color w:val="auto"/>
              </w:rPr>
              <w:t>Proceeds from U.S. Treasury securities</w:t>
            </w:r>
          </w:p>
        </w:tc>
        <w:tc>
          <w:tcPr>
            <w:tcW w:w="2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11,151</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10,172</w:t>
            </w:r>
          </w:p>
        </w:tc>
      </w:tr>
      <w:tr>
        <w:trPr>
          <w:trHeight w:val="219"/>
        </w:trPr>
        <w:tc>
          <w:tcPr>
            <w:tcW w:w="7480" w:type="dxa"/>
            <w:vAlign w:val="bottom"/>
            <w:shd w:val="clear" w:color="auto" w:fill="CCEEFF"/>
          </w:tcPr>
          <w:p>
            <w:pPr>
              <w:ind w:left="340"/>
              <w:spacing w:after="0"/>
              <w:rPr>
                <w:sz w:val="20"/>
                <w:szCs w:val="20"/>
                <w:color w:val="auto"/>
              </w:rPr>
            </w:pPr>
            <w:r>
              <w:rPr>
                <w:rFonts w:ascii="Arial" w:cs="Arial" w:eastAsia="Arial" w:hAnsi="Arial"/>
                <w:sz w:val="16"/>
                <w:szCs w:val="16"/>
                <w:color w:val="auto"/>
              </w:rPr>
              <w:t>Net proceeds from (payments on) reverse repurchase agreements</w:t>
            </w: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2,055</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(233)</w:t>
            </w:r>
          </w:p>
        </w:tc>
      </w:tr>
      <w:tr>
        <w:trPr>
          <w:trHeight w:val="213"/>
        </w:trPr>
        <w:tc>
          <w:tcPr>
            <w:tcW w:w="7480" w:type="dxa"/>
            <w:vAlign w:val="bottom"/>
            <w:tcBorders>
              <w:bottom w:val="single" w:sz="8" w:color="CCEEFF"/>
            </w:tcBorders>
          </w:tcPr>
          <w:p>
            <w:pPr>
              <w:ind w:left="340"/>
              <w:spacing w:after="0"/>
              <w:rPr>
                <w:sz w:val="20"/>
                <w:szCs w:val="20"/>
                <w:color w:val="auto"/>
              </w:rPr>
            </w:pPr>
            <w:r>
              <w:rPr>
                <w:rFonts w:ascii="Arial" w:cs="Arial" w:eastAsia="Arial" w:hAnsi="Arial"/>
                <w:sz w:val="16"/>
                <w:szCs w:val="16"/>
                <w:color w:val="auto"/>
              </w:rPr>
              <w:t>Net proceeds from derivative instruments</w:t>
            </w:r>
          </w:p>
        </w:tc>
        <w:tc>
          <w:tcPr>
            <w:tcW w:w="26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2,242</w:t>
            </w:r>
          </w:p>
        </w:tc>
        <w:tc>
          <w:tcPr>
            <w:tcW w:w="12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593</w:t>
            </w:r>
          </w:p>
        </w:tc>
      </w:tr>
      <w:tr>
        <w:trPr>
          <w:trHeight w:val="213"/>
        </w:trPr>
        <w:tc>
          <w:tcPr>
            <w:tcW w:w="7480" w:type="dxa"/>
            <w:vAlign w:val="bottom"/>
            <w:shd w:val="clear" w:color="auto" w:fill="CCEEFF"/>
          </w:tcPr>
          <w:p>
            <w:pPr>
              <w:ind w:left="20"/>
              <w:spacing w:after="0"/>
              <w:rPr>
                <w:sz w:val="20"/>
                <w:szCs w:val="20"/>
                <w:color w:val="auto"/>
              </w:rPr>
            </w:pPr>
            <w:r>
              <w:rPr>
                <w:rFonts w:ascii="Arial" w:cs="Arial" w:eastAsia="Arial" w:hAnsi="Arial"/>
                <w:sz w:val="16"/>
                <w:szCs w:val="16"/>
                <w:color w:val="auto"/>
              </w:rPr>
              <w:t>Net cash provided by investing activities</w:t>
            </w:r>
          </w:p>
        </w:tc>
        <w:tc>
          <w:tcPr>
            <w:tcW w:w="26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4,691</w:t>
            </w:r>
          </w:p>
        </w:tc>
        <w:tc>
          <w:tcPr>
            <w:tcW w:w="1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2,801</w:t>
            </w:r>
          </w:p>
        </w:tc>
      </w:tr>
      <w:tr>
        <w:trPr>
          <w:trHeight w:val="193"/>
        </w:trPr>
        <w:tc>
          <w:tcPr>
            <w:tcW w:w="7480" w:type="dxa"/>
            <w:vAlign w:val="bottom"/>
          </w:tcPr>
          <w:p>
            <w:pPr>
              <w:ind w:left="20"/>
              <w:spacing w:after="0"/>
              <w:rPr>
                <w:sz w:val="20"/>
                <w:szCs w:val="20"/>
                <w:color w:val="auto"/>
              </w:rPr>
            </w:pPr>
            <w:r>
              <w:rPr>
                <w:rFonts w:ascii="Arial" w:cs="Arial" w:eastAsia="Arial" w:hAnsi="Arial"/>
                <w:sz w:val="16"/>
                <w:szCs w:val="16"/>
                <w:b w:val="1"/>
                <w:bCs w:val="1"/>
                <w:color w:val="auto"/>
              </w:rPr>
              <w:t>Financing activities:</w:t>
            </w:r>
          </w:p>
        </w:tc>
        <w:tc>
          <w:tcPr>
            <w:tcW w:w="26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40" w:type="dxa"/>
            <w:vAlign w:val="bottom"/>
          </w:tcPr>
          <w:p>
            <w:pPr>
              <w:spacing w:after="0"/>
              <w:rPr>
                <w:sz w:val="16"/>
                <w:szCs w:val="16"/>
                <w:color w:val="auto"/>
              </w:rPr>
            </w:pPr>
          </w:p>
        </w:tc>
      </w:tr>
      <w:tr>
        <w:trPr>
          <w:trHeight w:val="219"/>
        </w:trPr>
        <w:tc>
          <w:tcPr>
            <w:tcW w:w="7480" w:type="dxa"/>
            <w:vAlign w:val="bottom"/>
            <w:shd w:val="clear" w:color="auto" w:fill="CCEEFF"/>
          </w:tcPr>
          <w:p>
            <w:pPr>
              <w:ind w:left="340"/>
              <w:spacing w:after="0"/>
              <w:rPr>
                <w:sz w:val="20"/>
                <w:szCs w:val="20"/>
                <w:color w:val="auto"/>
              </w:rPr>
            </w:pPr>
            <w:r>
              <w:rPr>
                <w:rFonts w:ascii="Arial" w:cs="Arial" w:eastAsia="Arial" w:hAnsi="Arial"/>
                <w:sz w:val="16"/>
                <w:szCs w:val="16"/>
                <w:color w:val="auto"/>
              </w:rPr>
              <w:t>Proceeds from repurchase arrangements</w:t>
            </w: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1,129,132</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1,163,175</w:t>
            </w:r>
          </w:p>
        </w:tc>
      </w:tr>
      <w:tr>
        <w:trPr>
          <w:trHeight w:val="213"/>
        </w:trPr>
        <w:tc>
          <w:tcPr>
            <w:tcW w:w="7480" w:type="dxa"/>
            <w:vAlign w:val="bottom"/>
          </w:tcPr>
          <w:p>
            <w:pPr>
              <w:ind w:left="340"/>
              <w:spacing w:after="0"/>
              <w:rPr>
                <w:sz w:val="20"/>
                <w:szCs w:val="20"/>
                <w:color w:val="auto"/>
              </w:rPr>
            </w:pPr>
            <w:r>
              <w:rPr>
                <w:rFonts w:ascii="Arial" w:cs="Arial" w:eastAsia="Arial" w:hAnsi="Arial"/>
                <w:sz w:val="16"/>
                <w:szCs w:val="16"/>
                <w:color w:val="auto"/>
              </w:rPr>
              <w:t>Payments on repurchase agreements</w:t>
            </w:r>
          </w:p>
        </w:tc>
        <w:tc>
          <w:tcPr>
            <w:tcW w:w="2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(1,133,360)</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(1,166,804)</w:t>
            </w:r>
          </w:p>
        </w:tc>
      </w:tr>
      <w:tr>
        <w:trPr>
          <w:trHeight w:val="219"/>
        </w:trPr>
        <w:tc>
          <w:tcPr>
            <w:tcW w:w="7480" w:type="dxa"/>
            <w:vAlign w:val="bottom"/>
            <w:shd w:val="clear" w:color="auto" w:fill="CCEEFF"/>
          </w:tcPr>
          <w:p>
            <w:pPr>
              <w:ind w:left="340"/>
              <w:spacing w:after="0"/>
              <w:rPr>
                <w:sz w:val="20"/>
                <w:szCs w:val="20"/>
                <w:color w:val="auto"/>
              </w:rPr>
            </w:pPr>
            <w:r>
              <w:rPr>
                <w:rFonts w:ascii="Arial" w:cs="Arial" w:eastAsia="Arial" w:hAnsi="Arial"/>
                <w:sz w:val="16"/>
                <w:szCs w:val="16"/>
                <w:color w:val="auto"/>
              </w:rPr>
              <w:t>Payments on debt of consolidated variable interest entities</w:t>
            </w: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w:t>
            </w:r>
          </w:p>
        </w:tc>
      </w:tr>
      <w:tr>
        <w:trPr>
          <w:trHeight w:val="213"/>
        </w:trPr>
        <w:tc>
          <w:tcPr>
            <w:tcW w:w="7480" w:type="dxa"/>
            <w:vAlign w:val="bottom"/>
          </w:tcPr>
          <w:p>
            <w:pPr>
              <w:ind w:left="340"/>
              <w:spacing w:after="0"/>
              <w:rPr>
                <w:sz w:val="20"/>
                <w:szCs w:val="20"/>
                <w:color w:val="auto"/>
              </w:rPr>
            </w:pPr>
            <w:r>
              <w:rPr>
                <w:rFonts w:ascii="Arial" w:cs="Arial" w:eastAsia="Arial" w:hAnsi="Arial"/>
                <w:sz w:val="16"/>
                <w:szCs w:val="16"/>
                <w:color w:val="auto"/>
              </w:rPr>
              <w:t>Proceeds from common stock issuances</w:t>
            </w:r>
          </w:p>
        </w:tc>
        <w:tc>
          <w:tcPr>
            <w:tcW w:w="2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50</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9"/>
        </w:trPr>
        <w:tc>
          <w:tcPr>
            <w:tcW w:w="7480" w:type="dxa"/>
            <w:vAlign w:val="bottom"/>
            <w:shd w:val="clear" w:color="auto" w:fill="CCEEFF"/>
          </w:tcPr>
          <w:p>
            <w:pPr>
              <w:ind w:left="340"/>
              <w:spacing w:after="0"/>
              <w:rPr>
                <w:sz w:val="20"/>
                <w:szCs w:val="20"/>
                <w:color w:val="auto"/>
              </w:rPr>
            </w:pPr>
            <w:r>
              <w:rPr>
                <w:rFonts w:ascii="Arial" w:cs="Arial" w:eastAsia="Arial" w:hAnsi="Arial"/>
                <w:sz w:val="16"/>
                <w:szCs w:val="16"/>
                <w:color w:val="auto"/>
              </w:rPr>
              <w:t>Payments for common stock repurchases</w:t>
            </w: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(51)</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(239)</w:t>
            </w:r>
          </w:p>
        </w:tc>
      </w:tr>
      <w:tr>
        <w:trPr>
          <w:trHeight w:val="213"/>
        </w:trPr>
        <w:tc>
          <w:tcPr>
            <w:tcW w:w="7480" w:type="dxa"/>
            <w:vAlign w:val="bottom"/>
            <w:tcBorders>
              <w:bottom w:val="single" w:sz="8" w:color="CCEEFF"/>
            </w:tcBorders>
          </w:tcPr>
          <w:p>
            <w:pPr>
              <w:ind w:left="340"/>
              <w:spacing w:after="0"/>
              <w:rPr>
                <w:sz w:val="20"/>
                <w:szCs w:val="20"/>
                <w:color w:val="auto"/>
              </w:rPr>
            </w:pPr>
            <w:r>
              <w:rPr>
                <w:rFonts w:ascii="Arial" w:cs="Arial" w:eastAsia="Arial" w:hAnsi="Arial"/>
                <w:sz w:val="16"/>
                <w:szCs w:val="16"/>
                <w:color w:val="auto"/>
              </w:rPr>
              <w:t>Cash dividends paid</w:t>
            </w:r>
          </w:p>
        </w:tc>
        <w:tc>
          <w:tcPr>
            <w:tcW w:w="26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(427)</w:t>
            </w:r>
          </w:p>
        </w:tc>
        <w:tc>
          <w:tcPr>
            <w:tcW w:w="12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(432)</w:t>
            </w:r>
          </w:p>
        </w:tc>
      </w:tr>
      <w:tr>
        <w:trPr>
          <w:trHeight w:val="213"/>
        </w:trPr>
        <w:tc>
          <w:tcPr>
            <w:tcW w:w="7480" w:type="dxa"/>
            <w:vAlign w:val="bottom"/>
            <w:shd w:val="clear" w:color="auto" w:fill="CCEEFF"/>
          </w:tcPr>
          <w:p>
            <w:pPr>
              <w:ind w:left="20"/>
              <w:spacing w:after="0"/>
              <w:rPr>
                <w:sz w:val="20"/>
                <w:szCs w:val="20"/>
                <w:color w:val="auto"/>
              </w:rPr>
            </w:pPr>
            <w:r>
              <w:rPr>
                <w:rFonts w:ascii="Arial" w:cs="Arial" w:eastAsia="Arial" w:hAnsi="Arial"/>
                <w:sz w:val="16"/>
                <w:szCs w:val="16"/>
                <w:color w:val="auto"/>
              </w:rPr>
              <w:t>Net cash used in financing activities</w:t>
            </w:r>
          </w:p>
        </w:tc>
        <w:tc>
          <w:tcPr>
            <w:tcW w:w="26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(4,670)</w:t>
            </w:r>
          </w:p>
        </w:tc>
        <w:tc>
          <w:tcPr>
            <w:tcW w:w="1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(4,326)</w:t>
            </w:r>
          </w:p>
        </w:tc>
      </w:tr>
      <w:tr>
        <w:trPr>
          <w:trHeight w:val="206"/>
        </w:trPr>
        <w:tc>
          <w:tcPr>
            <w:tcW w:w="7480" w:type="dxa"/>
            <w:vAlign w:val="bottom"/>
          </w:tcPr>
          <w:p>
            <w:pPr>
              <w:ind w:left="20"/>
              <w:spacing w:after="0"/>
              <w:rPr>
                <w:sz w:val="20"/>
                <w:szCs w:val="20"/>
                <w:color w:val="auto"/>
              </w:rPr>
            </w:pPr>
            <w:r>
              <w:rPr>
                <w:rFonts w:ascii="Arial" w:cs="Arial" w:eastAsia="Arial" w:hAnsi="Arial"/>
                <w:sz w:val="16"/>
                <w:szCs w:val="16"/>
                <w:color w:val="auto"/>
              </w:rPr>
              <w:t>Net change in cash, cash equivalents and restricted cash</w:t>
            </w:r>
          </w:p>
        </w:tc>
        <w:tc>
          <w:tcPr>
            <w:tcW w:w="26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714</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(754)</w:t>
            </w:r>
          </w:p>
        </w:tc>
      </w:tr>
      <w:tr>
        <w:trPr>
          <w:trHeight w:val="216"/>
        </w:trPr>
        <w:tc>
          <w:tcPr>
            <w:tcW w:w="7480" w:type="dxa"/>
            <w:vAlign w:val="bottom"/>
            <w:shd w:val="clear" w:color="auto" w:fill="CCEEFF"/>
          </w:tcPr>
          <w:p>
            <w:pPr>
              <w:ind w:left="20"/>
              <w:spacing w:after="0"/>
              <w:rPr>
                <w:sz w:val="20"/>
                <w:szCs w:val="20"/>
                <w:color w:val="auto"/>
              </w:rPr>
            </w:pPr>
            <w:r>
              <w:rPr>
                <w:rFonts w:ascii="Arial" w:cs="Arial" w:eastAsia="Arial" w:hAnsi="Arial"/>
                <w:sz w:val="16"/>
                <w:szCs w:val="16"/>
                <w:color w:val="auto"/>
              </w:rPr>
              <w:t>Cash, cash equivalents and restricted cash at beginning of period</w:t>
            </w:r>
          </w:p>
        </w:tc>
        <w:tc>
          <w:tcPr>
            <w:tcW w:w="26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1,525</w:t>
            </w:r>
          </w:p>
        </w:tc>
        <w:tc>
          <w:tcPr>
            <w:tcW w:w="1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2,324</w:t>
            </w:r>
          </w:p>
        </w:tc>
      </w:tr>
      <w:tr>
        <w:trPr>
          <w:trHeight w:val="213"/>
        </w:trPr>
        <w:tc>
          <w:tcPr>
            <w:tcW w:w="7480" w:type="dxa"/>
            <w:vAlign w:val="bottom"/>
          </w:tcPr>
          <w:p>
            <w:pPr>
              <w:ind w:left="20"/>
              <w:spacing w:after="0"/>
              <w:rPr>
                <w:sz w:val="20"/>
                <w:szCs w:val="20"/>
                <w:color w:val="auto"/>
              </w:rPr>
            </w:pPr>
            <w:r>
              <w:rPr>
                <w:rFonts w:ascii="Arial" w:cs="Arial" w:eastAsia="Arial" w:hAnsi="Arial"/>
                <w:sz w:val="16"/>
                <w:szCs w:val="16"/>
                <w:color w:val="auto"/>
              </w:rPr>
              <w:t>Cash, cash equivalents and restricted cash at end of period</w:t>
            </w:r>
          </w:p>
        </w:tc>
        <w:tc>
          <w:tcPr>
            <w:tcW w:w="26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2,239</w:t>
            </w:r>
          </w:p>
        </w:tc>
        <w:tc>
          <w:tcPr>
            <w:tcW w:w="120" w:type="dxa"/>
            <w:vAlign w:val="bottom"/>
          </w:tcPr>
          <w:p>
            <w:pPr>
              <w:spacing w:after="0"/>
              <w:rPr>
                <w:sz w:val="18"/>
                <w:szCs w:val="18"/>
                <w:color w:val="auto"/>
              </w:rPr>
            </w:pPr>
          </w:p>
        </w:tc>
        <w:tc>
          <w:tcPr>
            <w:tcW w:w="24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1,570</w:t>
            </w:r>
          </w:p>
        </w:tc>
      </w:tr>
      <w:tr>
        <w:trPr>
          <w:trHeight w:val="20"/>
        </w:trPr>
        <w:tc>
          <w:tcPr>
            <w:tcW w:w="74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70485</wp:posOffset>
            </wp:positionV>
            <wp:extent cx="715772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9960"/>
          </w:cols>
          <w:pgMar w:left="960" w:top="891" w:right="97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t>AGNC INVESTMENT CORP.</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Organization</w:t>
      </w:r>
    </w:p>
    <w:p>
      <w:pPr>
        <w:spacing w:after="0" w:line="175" w:lineRule="exact"/>
        <w:rPr>
          <w:sz w:val="20"/>
          <w:szCs w:val="20"/>
          <w:color w:val="auto"/>
        </w:rPr>
      </w:pPr>
    </w:p>
    <w:p>
      <w:pPr>
        <w:jc w:val="both"/>
        <w:ind w:firstLine="405"/>
        <w:spacing w:after="0" w:line="263" w:lineRule="auto"/>
        <w:rPr>
          <w:sz w:val="20"/>
          <w:szCs w:val="20"/>
          <w:color w:val="auto"/>
        </w:rPr>
      </w:pPr>
      <w:r>
        <w:rPr>
          <w:rFonts w:ascii="Arial" w:cs="Arial" w:eastAsia="Arial" w:hAnsi="Arial"/>
          <w:sz w:val="18"/>
          <w:szCs w:val="18"/>
          <w:color w:val="auto"/>
        </w:rPr>
        <w:t>AGNC Investment Corp. (referred throughout this report as the "Company," "we," "us" and "our") was organized in Delaware on January 7, 2008 and commenced operations on May 20, 2008 following the completion of our initial public offering. Our common stock is traded on The Nasdaq Global Select Market under the symbol "AGNC."</w:t>
      </w:r>
    </w:p>
    <w:p>
      <w:pPr>
        <w:spacing w:after="0" w:line="130" w:lineRule="exact"/>
        <w:rPr>
          <w:sz w:val="20"/>
          <w:szCs w:val="20"/>
          <w:color w:val="auto"/>
        </w:rPr>
      </w:pPr>
    </w:p>
    <w:p>
      <w:pPr>
        <w:jc w:val="both"/>
        <w:ind w:firstLine="405"/>
        <w:spacing w:after="0" w:line="254" w:lineRule="auto"/>
        <w:rPr>
          <w:sz w:val="20"/>
          <w:szCs w:val="20"/>
          <w:color w:val="auto"/>
        </w:rPr>
      </w:pPr>
      <w:r>
        <w:rPr>
          <w:rFonts w:ascii="Arial" w:cs="Arial" w:eastAsia="Arial" w:hAnsi="Arial"/>
          <w:sz w:val="18"/>
          <w:szCs w:val="18"/>
          <w:color w:val="auto"/>
        </w:rPr>
        <w:t>We are a leading provider of private capital to the U.S. housing market, enhancing liquidity in the residential real estate mortgage markets and, in turn, facilitating home ownership in the U.S. We invest primarily in Agency residential mortgage-backed securities ("Agency RMBS") for which the principal and interest payments are guaranteed by a U.S. Government-sponsored enterprise ("GSE") or a U.S. Government agency. We also invest in other types of mortgage and mortgage-related securities, such as credit risk transfer ("CRT") securities and non-Agency residential and commercial mortgage-backed securities ("non-Agency RMBS" and "CMBS," respectively), where repayment of principal and interest is not guaranteed by a GSE or U.S. Government agency, and other assets related to the housing, mortgage or real estate markets. We fund our investments primarily through collateralized borrowings structured as repurchase agreements.</w:t>
      </w:r>
    </w:p>
    <w:p>
      <w:pPr>
        <w:spacing w:after="0" w:line="141" w:lineRule="exact"/>
        <w:rPr>
          <w:sz w:val="20"/>
          <w:szCs w:val="20"/>
          <w:color w:val="auto"/>
        </w:rPr>
      </w:pPr>
    </w:p>
    <w:p>
      <w:pPr>
        <w:jc w:val="both"/>
        <w:ind w:firstLine="445"/>
        <w:spacing w:after="0" w:line="301" w:lineRule="auto"/>
        <w:rPr>
          <w:sz w:val="20"/>
          <w:szCs w:val="20"/>
          <w:color w:val="auto"/>
        </w:rPr>
      </w:pPr>
      <w:r>
        <w:rPr>
          <w:rFonts w:ascii="Arial" w:cs="Arial" w:eastAsia="Arial" w:hAnsi="Arial"/>
          <w:sz w:val="16"/>
          <w:szCs w:val="16"/>
          <w:color w:val="auto"/>
        </w:rPr>
        <w:t>We operate to qualify to be taxed as a real estate investment trust ("REIT") under the Internal Revenue Code of 1986, as amended (the "Internal Revenue Code"). As a REIT, we are required to distribute annually 90% of our taxable income, and we will generally not be subject to U.S. federal or state corporate income tax to the extent that we distribute our annual taxable income to our stockholders on a timely basis. It is our intention to distribute 100% of our taxable income within the time limits prescribed by the Internal Revenue Code, which may extend into the subsequent tax year.</w:t>
      </w:r>
    </w:p>
    <w:p>
      <w:pPr>
        <w:spacing w:after="0" w:line="103" w:lineRule="exact"/>
        <w:rPr>
          <w:sz w:val="20"/>
          <w:szCs w:val="20"/>
          <w:color w:val="auto"/>
        </w:rPr>
      </w:pPr>
    </w:p>
    <w:p>
      <w:pPr>
        <w:jc w:val="both"/>
        <w:ind w:firstLine="445"/>
        <w:spacing w:after="0" w:line="263" w:lineRule="auto"/>
        <w:rPr>
          <w:sz w:val="20"/>
          <w:szCs w:val="20"/>
          <w:color w:val="auto"/>
        </w:rPr>
      </w:pPr>
      <w:r>
        <w:rPr>
          <w:rFonts w:ascii="Arial" w:cs="Arial" w:eastAsia="Arial" w:hAnsi="Arial"/>
          <w:sz w:val="18"/>
          <w:szCs w:val="18"/>
          <w:color w:val="auto"/>
        </w:rPr>
        <w:t>We are internally managed with the principal objective of providing our stockholders with favorable long-term returns on a risk-adjusted basis through attractive monthly dividends. We generate income from the interest earned on our investments, net of associated borrowing and hedging costs, and net realized gains and losses on our investment and hedging activities.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Summary of Significant Accounting Policies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Basis of Presentation</w:t>
      </w:r>
    </w:p>
    <w:p>
      <w:pPr>
        <w:spacing w:after="0" w:line="90" w:lineRule="exact"/>
        <w:rPr>
          <w:sz w:val="20"/>
          <w:szCs w:val="20"/>
          <w:color w:val="auto"/>
        </w:rPr>
      </w:pPr>
    </w:p>
    <w:p>
      <w:pPr>
        <w:jc w:val="both"/>
        <w:ind w:firstLine="445"/>
        <w:spacing w:after="0" w:line="273" w:lineRule="auto"/>
        <w:rPr>
          <w:sz w:val="20"/>
          <w:szCs w:val="20"/>
          <w:color w:val="auto"/>
        </w:rPr>
      </w:pPr>
      <w:r>
        <w:rPr>
          <w:rFonts w:ascii="Arial" w:cs="Arial" w:eastAsia="Arial" w:hAnsi="Arial"/>
          <w:sz w:val="17"/>
          <w:szCs w:val="17"/>
          <w:color w:val="auto"/>
        </w:rPr>
        <w:t>Our accompanying consolidated financial statements and related notes have been prepared in accordance with U.S. generally accepted accounting principles ("GAAP") for interim financial information and pursuant to the requirements for reporting on Form 10-Q and Article 10 of Regulation S-X. The accompanying consolidated financial statements and related notes are unaudited and include the accounts of all our wholly-owned subsidiaries and variable interest entities for which we are the primary beneficiary. Significant intercompany accounts and transactions have been eliminated. The accompanying consolidated financial statements and related notes should be read in conjunction with the audited consolidated financial statements included in our most recent Annual Report on Form 10-K for the fiscal year ended December 31, 2021.</w:t>
      </w:r>
    </w:p>
    <w:p>
      <w:pPr>
        <w:spacing w:after="0" w:line="56" w:lineRule="exact"/>
        <w:rPr>
          <w:sz w:val="20"/>
          <w:szCs w:val="20"/>
          <w:color w:val="auto"/>
        </w:rPr>
      </w:pPr>
    </w:p>
    <w:p>
      <w:pPr>
        <w:jc w:val="both"/>
        <w:ind w:firstLine="445"/>
        <w:spacing w:after="0" w:line="275" w:lineRule="auto"/>
        <w:rPr>
          <w:sz w:val="20"/>
          <w:szCs w:val="20"/>
          <w:color w:val="auto"/>
        </w:rPr>
      </w:pPr>
      <w:r>
        <w:rPr>
          <w:rFonts w:ascii="Arial" w:cs="Arial" w:eastAsia="Arial" w:hAnsi="Arial"/>
          <w:sz w:val="17"/>
          <w:szCs w:val="17"/>
          <w:color w:val="auto"/>
        </w:rPr>
        <w:t>The preparation of consolidated financial statements in conformity with GAAP requires management to make estimates and assumptions that affect the reported amounts of assets and liabilities and disclosure of contingent assets and liabilities at the date of the consolidated financial statements and the reported amounts of income and expenses during the reporting period. In the opinion of management, all adjustments, consisting solely of normal recurring accruals, necessary for the fair presentation of consolidated financial statements for the interim period have been included. The current period’s results of operations are not necessarily indicative of results that ultimately may be achieved for the year.</w:t>
      </w:r>
    </w:p>
    <w:p>
      <w:pPr>
        <w:spacing w:after="0" w:line="12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 Securities</w:t>
      </w:r>
    </w:p>
    <w:p>
      <w:pPr>
        <w:spacing w:after="0" w:line="171" w:lineRule="exact"/>
        <w:rPr>
          <w:sz w:val="20"/>
          <w:szCs w:val="20"/>
          <w:color w:val="auto"/>
        </w:rPr>
      </w:pPr>
    </w:p>
    <w:p>
      <w:pPr>
        <w:jc w:val="both"/>
        <w:ind w:firstLine="405"/>
        <w:spacing w:after="0" w:line="263" w:lineRule="auto"/>
        <w:rPr>
          <w:sz w:val="20"/>
          <w:szCs w:val="20"/>
          <w:color w:val="auto"/>
        </w:rPr>
      </w:pPr>
      <w:r>
        <w:rPr>
          <w:rFonts w:ascii="Arial" w:cs="Arial" w:eastAsia="Arial" w:hAnsi="Arial"/>
          <w:sz w:val="18"/>
          <w:szCs w:val="18"/>
          <w:color w:val="auto"/>
        </w:rPr>
        <w:t>Agency RMBS consist of residential mortgage pass-through securities and collateralized mortgage obligations ("CMOs") guaranteed by the Federal National Mortgage Association ("Fannie Mae"), Federal Home Loan Mortgage Corporation ("Freddie Mac," and together with Fannie Mae, the "GSEs") or the Government National Mortgage Association ("Ginnie Mae").</w:t>
      </w:r>
    </w:p>
    <w:p>
      <w:pPr>
        <w:spacing w:after="0" w:line="130"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CRT securities are risk sharing instruments issued by the GSEs, and similarly structured transactions issued by third-party market participants, that synthetically transfer a portion of the risk associated with credit losses within pools of conventional residential mortgage loans from the GSEs and/or third parties to private investors. Unlike Agency RMBS, full repayment of the original principal balance of CRT securities is not guaranteed by a GSE or U.S. Government agency; rather, "credit risk transfer" is achieved by writing down the outstanding principal balance of the CRT securities if credit losses on a related pool of loans exceed certain thresholds. By reducing the amount that they are obligated to repay to holders of CRT securities, the GSEs and/or other third parties offset credit losses on the related loans.</w:t>
      </w:r>
    </w:p>
    <w:p>
      <w:pPr>
        <w:spacing w:after="0" w:line="200" w:lineRule="exact"/>
        <w:rPr>
          <w:sz w:val="20"/>
          <w:szCs w:val="20"/>
          <w:color w:val="auto"/>
        </w:rPr>
      </w:pPr>
    </w:p>
    <w:p>
      <w:pPr>
        <w:spacing w:after="0" w:line="3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7" w:name="page8"/>
    <w:bookmarkEnd w:id="7"/>
    <w:p>
      <w:pPr>
        <w:jc w:val="both"/>
        <w:ind w:firstLine="405"/>
        <w:spacing w:after="0" w:line="311" w:lineRule="auto"/>
        <w:rPr>
          <w:sz w:val="20"/>
          <w:szCs w:val="20"/>
          <w:color w:val="auto"/>
        </w:rPr>
      </w:pPr>
      <w:r>
        <w:rPr>
          <w:rFonts w:ascii="Arial" w:cs="Arial" w:eastAsia="Arial" w:hAnsi="Arial"/>
          <w:sz w:val="16"/>
          <w:szCs w:val="16"/>
          <w:color w:val="auto"/>
        </w:rPr>
        <w:t>Non-Agency RMBS and CMBS (together, "Non-Agency MBS") are backed by residential and commercial mortgage loans, respectively, packaged and securitized by a private institution, such as a commercial bank. Non-Agency MBS typically benefit from credit enhancements derived from structural elements, such as subordination, over-collateralization or insurance, but nonetheless carry a higher level of credit exposure than Agency RMBS.</w:t>
      </w:r>
    </w:p>
    <w:p>
      <w:pPr>
        <w:spacing w:after="0" w:line="95" w:lineRule="exact"/>
        <w:rPr>
          <w:sz w:val="20"/>
          <w:szCs w:val="20"/>
          <w:color w:val="auto"/>
        </w:rPr>
      </w:pPr>
    </w:p>
    <w:p>
      <w:pPr>
        <w:jc w:val="both"/>
        <w:ind w:firstLine="445"/>
        <w:spacing w:after="0" w:line="287" w:lineRule="auto"/>
        <w:rPr>
          <w:sz w:val="20"/>
          <w:szCs w:val="20"/>
          <w:color w:val="auto"/>
        </w:rPr>
      </w:pPr>
      <w:r>
        <w:rPr>
          <w:rFonts w:ascii="Arial" w:cs="Arial" w:eastAsia="Arial" w:hAnsi="Arial"/>
          <w:sz w:val="16"/>
          <w:szCs w:val="16"/>
          <w:color w:val="auto"/>
        </w:rPr>
        <w:t xml:space="preserve">All of our securities are reported at fair value on our consolidated balance sheet. Accounting Standards Codification ("ASC") Topic 320, </w:t>
      </w:r>
      <w:r>
        <w:rPr>
          <w:rFonts w:ascii="Arial" w:cs="Arial" w:eastAsia="Arial" w:hAnsi="Arial"/>
          <w:sz w:val="16"/>
          <w:szCs w:val="16"/>
          <w:i w:val="1"/>
          <w:iCs w:val="1"/>
          <w:color w:val="auto"/>
        </w:rPr>
        <w:t>Investments</w:t>
      </w:r>
      <w:r>
        <w:rPr>
          <w:rFonts w:ascii="Arial" w:cs="Arial" w:eastAsia="Arial" w:hAnsi="Arial"/>
          <w:sz w:val="16"/>
          <w:szCs w:val="16"/>
          <w:color w:val="auto"/>
        </w:rPr>
        <w:t xml:space="preserve"> </w:t>
      </w:r>
      <w:r>
        <w:rPr>
          <w:rFonts w:ascii="Arial" w:cs="Arial" w:eastAsia="Arial" w:hAnsi="Arial"/>
          <w:sz w:val="16"/>
          <w:szCs w:val="16"/>
          <w:i w:val="1"/>
          <w:iCs w:val="1"/>
          <w:color w:val="auto"/>
        </w:rPr>
        <w:t>—Debt and Equity Securities</w:t>
      </w:r>
      <w:r>
        <w:rPr>
          <w:rFonts w:ascii="Arial" w:cs="Arial" w:eastAsia="Arial" w:hAnsi="Arial"/>
          <w:sz w:val="16"/>
          <w:szCs w:val="16"/>
          <w:color w:val="auto"/>
        </w:rPr>
        <w:t>, requires that at the time of purchase, we designate a security as held-to-maturity, available-for-sale or trading, depending on</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our ability and intent to hold such security to maturity. Alternatively, we may elect the fair value option of accounting for securities pursuant to ASC Topic 825, </w:t>
      </w:r>
      <w:r>
        <w:rPr>
          <w:rFonts w:ascii="Arial" w:cs="Arial" w:eastAsia="Arial" w:hAnsi="Arial"/>
          <w:sz w:val="16"/>
          <w:szCs w:val="16"/>
          <w:i w:val="1"/>
          <w:iCs w:val="1"/>
          <w:color w:val="auto"/>
        </w:rPr>
        <w:t>Financial Instruments</w:t>
      </w:r>
      <w:r>
        <w:rPr>
          <w:rFonts w:ascii="Arial" w:cs="Arial" w:eastAsia="Arial" w:hAnsi="Arial"/>
          <w:sz w:val="16"/>
          <w:szCs w:val="16"/>
          <w:color w:val="auto"/>
        </w:rPr>
        <w:t>. Prior to fiscal year 2017, we primarily designated our investment securities as available-for-sale. On January 1, 2017, we began electing the fair value option of accounting for all investment securities newly acquired after such date. Unrealized gains and losses on securities classified as available-for-sale are reported in accumulated other comprehensive income ("OCI"), whereas unrealized gains and losses on securities for which we elected the fair value option, or are classified as trading, are reported in net income through other gain (loss). Upon the sale of a security designated as available-for-sale, we determine the cost of the security and the amount of unrealized gain or loss to reclassify out of accumulated OCI into earnings based on the specific identification method. In our view, the election of the fair value option simplifies the accounting for investment securities and more appropriately reflects the results of our operations for a reporting period by presenting the fair value changes for these assets in a manner consistent with the presentation and timing of the fair value changes for our derivative instruments.</w:t>
      </w:r>
    </w:p>
    <w:p>
      <w:pPr>
        <w:spacing w:after="0" w:line="118" w:lineRule="exact"/>
        <w:rPr>
          <w:sz w:val="20"/>
          <w:szCs w:val="20"/>
          <w:color w:val="auto"/>
        </w:rPr>
      </w:pPr>
    </w:p>
    <w:p>
      <w:pPr>
        <w:jc w:val="both"/>
        <w:ind w:firstLine="445"/>
        <w:spacing w:after="0" w:line="296" w:lineRule="auto"/>
        <w:rPr>
          <w:sz w:val="20"/>
          <w:szCs w:val="20"/>
          <w:color w:val="auto"/>
        </w:rPr>
      </w:pPr>
      <w:r>
        <w:rPr>
          <w:rFonts w:ascii="Arial" w:cs="Arial" w:eastAsia="Arial" w:hAnsi="Arial"/>
          <w:sz w:val="16"/>
          <w:szCs w:val="16"/>
          <w:color w:val="auto"/>
        </w:rPr>
        <w:t>We generally recognize gains or losses through net income on available-for-sale securities only if the security is sold; however, if the fair value of a security declines below its amortized cost and we determine that it is more likely than not that we will incur a realized loss on the security when we sell the asset, we will recognize the difference between the amortized cost and the fair value in net income as a component of other gain (loss). Since all of our available-for-sale designated securities consist of Agency RMBS, we do not have an allowance for credit losses. We have not recognized impairment losses on our available-for-sale securities through net income for the periods presented in our consolidated financial statements.</w:t>
      </w:r>
    </w:p>
    <w:p>
      <w:pPr>
        <w:spacing w:after="0" w:line="10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Income</w:t>
      </w:r>
    </w:p>
    <w:p>
      <w:pPr>
        <w:spacing w:after="0" w:line="171" w:lineRule="exact"/>
        <w:rPr>
          <w:sz w:val="20"/>
          <w:szCs w:val="20"/>
          <w:color w:val="auto"/>
        </w:rPr>
      </w:pPr>
    </w:p>
    <w:p>
      <w:pPr>
        <w:jc w:val="both"/>
        <w:ind w:firstLine="445"/>
        <w:spacing w:after="0" w:line="259" w:lineRule="auto"/>
        <w:rPr>
          <w:sz w:val="20"/>
          <w:szCs w:val="20"/>
          <w:color w:val="auto"/>
        </w:rPr>
      </w:pPr>
      <w:r>
        <w:rPr>
          <w:rFonts w:ascii="Arial" w:cs="Arial" w:eastAsia="Arial" w:hAnsi="Arial"/>
          <w:sz w:val="18"/>
          <w:szCs w:val="18"/>
          <w:color w:val="auto"/>
        </w:rPr>
        <w:t xml:space="preserve">Interest income is accrued based on the outstanding principal amount of the investment securities and their contractual terms. Premiums or discounts associated with the purchase of Agency RMBS and non-Agency MBS of high credit quality are amortized or accreted into interest income, respectively, over the projected lives of the securities, including contractual payments and estimated prepayments, using the effective interest method in accordance with ASC Subtopic 310-20, </w:t>
      </w:r>
      <w:r>
        <w:rPr>
          <w:rFonts w:ascii="Arial" w:cs="Arial" w:eastAsia="Arial" w:hAnsi="Arial"/>
          <w:sz w:val="18"/>
          <w:szCs w:val="18"/>
          <w:i w:val="1"/>
          <w:iCs w:val="1"/>
          <w:color w:val="auto"/>
        </w:rPr>
        <w:t>Receivables—Nonrefundable Fees and Other Costs</w:t>
      </w:r>
      <w:r>
        <w:rPr>
          <w:rFonts w:ascii="Arial" w:cs="Arial" w:eastAsia="Arial" w:hAnsi="Arial"/>
          <w:sz w:val="18"/>
          <w:szCs w:val="18"/>
          <w:color w:val="auto"/>
        </w:rPr>
        <w:t>.</w:t>
      </w:r>
    </w:p>
    <w:p>
      <w:pPr>
        <w:spacing w:after="0" w:line="133" w:lineRule="exact"/>
        <w:rPr>
          <w:sz w:val="20"/>
          <w:szCs w:val="20"/>
          <w:color w:val="auto"/>
        </w:rPr>
      </w:pPr>
    </w:p>
    <w:p>
      <w:pPr>
        <w:jc w:val="both"/>
        <w:ind w:firstLine="445"/>
        <w:spacing w:after="0" w:line="288" w:lineRule="auto"/>
        <w:rPr>
          <w:sz w:val="20"/>
          <w:szCs w:val="20"/>
          <w:color w:val="auto"/>
        </w:rPr>
      </w:pPr>
      <w:r>
        <w:rPr>
          <w:rFonts w:ascii="Arial" w:cs="Arial" w:eastAsia="Arial" w:hAnsi="Arial"/>
          <w:sz w:val="16"/>
          <w:szCs w:val="16"/>
          <w:color w:val="auto"/>
        </w:rPr>
        <w:t>We estimate long-term prepayment speeds of our mortgage securities using a third-party service and market data. The third-party service provider estimates prepayment speeds using models that incorporate the forward yield curve, primary to secondary mortgage rate spreads, current mortgage rates, mortgage rates of the outstanding loans, age and size of the outstanding loans, loan-to-value ratios, interest rate volatility and other factors. We review the prepayment speeds estimated by the third-party service for reasonableness with consideration given to both historical prepayment speeds and current market conditions. If based on our assessment, we believe that the third-party model does not fully reflect our expectations of the current prepayment landscape, such as during periods of elevated market uncertainty or unique market conditions, we may make adjustments to the models. We review our actual and anticipated prepayment experience on at least a quarterly basis and effective yields are recalculated when differences arise between (i) our previous estimate of future prepayments and (ii) actual prepayments to date and our current estimate of future prepayments. We are required to record an adjustment in the current period to premium amortization / discount accretion for the cumulative effect of the difference in the effective yields as if the recalculated yield had been in place as of the security's acquisition date through the reporting date.</w:t>
      </w:r>
    </w:p>
    <w:p>
      <w:pPr>
        <w:spacing w:after="0" w:line="114" w:lineRule="exact"/>
        <w:rPr>
          <w:sz w:val="20"/>
          <w:szCs w:val="20"/>
          <w:color w:val="auto"/>
        </w:rPr>
      </w:pPr>
    </w:p>
    <w:p>
      <w:pPr>
        <w:jc w:val="both"/>
        <w:ind w:firstLine="445"/>
        <w:spacing w:after="0" w:line="254" w:lineRule="auto"/>
        <w:rPr>
          <w:sz w:val="20"/>
          <w:szCs w:val="20"/>
          <w:color w:val="auto"/>
        </w:rPr>
      </w:pPr>
      <w:r>
        <w:rPr>
          <w:rFonts w:ascii="Arial" w:cs="Arial" w:eastAsia="Arial" w:hAnsi="Arial"/>
          <w:sz w:val="18"/>
          <w:szCs w:val="18"/>
          <w:color w:val="auto"/>
        </w:rPr>
        <w:t>At the time we purchase CRT securities and non-Agency MBS that are not of high credit quality, we determine an effective yield based on our estimate of the timing and amount of future cash flows and our cost basis. Our initial cash flow estimates for these investments are based on our observations of current information and events and include assumptions related to interest rates, prepayment rates, collateral call provisions, and the impact of default and severity rates on the timing and amount of credit losses. On at least a quarterly basis, we review the estimated cash flows and make appropriate adjustments based on inputs and analysis received from external sources, internal models, and our judgment regarding such inputs and other factors. Any resulting changes in effective yield are recognized prospectively based on the current amortized cost of the investment adjusted for credit impairments, if any.</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Repurchase Agreements</w:t>
      </w:r>
    </w:p>
    <w:p>
      <w:pPr>
        <w:spacing w:after="0" w:line="171" w:lineRule="exact"/>
        <w:rPr>
          <w:sz w:val="20"/>
          <w:szCs w:val="20"/>
          <w:color w:val="auto"/>
        </w:rPr>
      </w:pPr>
    </w:p>
    <w:p>
      <w:pPr>
        <w:jc w:val="both"/>
        <w:ind w:firstLine="445"/>
        <w:spacing w:after="0" w:line="277" w:lineRule="auto"/>
        <w:rPr>
          <w:sz w:val="20"/>
          <w:szCs w:val="20"/>
          <w:color w:val="auto"/>
        </w:rPr>
      </w:pPr>
      <w:r>
        <w:rPr>
          <w:rFonts w:ascii="Arial" w:cs="Arial" w:eastAsia="Arial" w:hAnsi="Arial"/>
          <w:sz w:val="18"/>
          <w:szCs w:val="18"/>
          <w:color w:val="auto"/>
        </w:rPr>
        <w:t>We finance the acquisition of securities for our investment portfolio primarily through repurchase agreements with financial institutions. Repurchase arrangements involve the sale and a simultaneous agreement to repurchase the transferred</w:t>
      </w:r>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8" w:name="page9"/>
    <w:bookmarkEnd w:id="8"/>
    <w:p>
      <w:pPr>
        <w:jc w:val="both"/>
        <w:spacing w:after="0" w:line="259" w:lineRule="auto"/>
        <w:rPr>
          <w:sz w:val="20"/>
          <w:szCs w:val="20"/>
          <w:color w:val="auto"/>
        </w:rPr>
      </w:pPr>
      <w:r>
        <w:rPr>
          <w:rFonts w:ascii="Arial" w:cs="Arial" w:eastAsia="Arial" w:hAnsi="Arial"/>
          <w:sz w:val="18"/>
          <w:szCs w:val="18"/>
          <w:color w:val="auto"/>
        </w:rPr>
        <w:t xml:space="preserve">assets at a future date. We maintain a beneficial interest in the specific securities pledged during the term of each repurchase arrangement and we receive the related principal and interest payments. Pursuant to ASC Topic 860, </w:t>
      </w:r>
      <w:r>
        <w:rPr>
          <w:rFonts w:ascii="Arial" w:cs="Arial" w:eastAsia="Arial" w:hAnsi="Arial"/>
          <w:sz w:val="18"/>
          <w:szCs w:val="18"/>
          <w:i w:val="1"/>
          <w:iCs w:val="1"/>
          <w:color w:val="auto"/>
        </w:rPr>
        <w:t>Transfers and Servicing</w:t>
      </w:r>
      <w:r>
        <w:rPr>
          <w:rFonts w:ascii="Arial" w:cs="Arial" w:eastAsia="Arial" w:hAnsi="Arial"/>
          <w:sz w:val="18"/>
          <w:szCs w:val="18"/>
          <w:color w:val="auto"/>
        </w:rPr>
        <w:t>, we account for repurchase agreements as collateralized financing transactions, which are carried at their contractual amounts (cost), plus accrued interest. Our repurchase agreements typically have maturities of less than one year.</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Reverse Repurchase Agreements and Obligation to Return Securities Borrowed under Reverse Repurchase Agreements</w:t>
      </w:r>
    </w:p>
    <w:p>
      <w:pPr>
        <w:spacing w:after="0" w:line="171" w:lineRule="exact"/>
        <w:rPr>
          <w:sz w:val="20"/>
          <w:szCs w:val="20"/>
          <w:color w:val="auto"/>
        </w:rPr>
      </w:pPr>
    </w:p>
    <w:p>
      <w:pPr>
        <w:jc w:val="both"/>
        <w:ind w:firstLine="405"/>
        <w:spacing w:after="0" w:line="296" w:lineRule="auto"/>
        <w:rPr>
          <w:sz w:val="20"/>
          <w:szCs w:val="20"/>
          <w:color w:val="auto"/>
        </w:rPr>
      </w:pPr>
      <w:r>
        <w:rPr>
          <w:rFonts w:ascii="Arial" w:cs="Arial" w:eastAsia="Arial" w:hAnsi="Arial"/>
          <w:sz w:val="16"/>
          <w:szCs w:val="16"/>
          <w:color w:val="auto"/>
        </w:rPr>
        <w:t xml:space="preserve">We borrow securities to cover short sales of U.S. Treasury securities through reverse repurchase transactions under our master repurchase agreements (see </w:t>
      </w:r>
      <w:r>
        <w:rPr>
          <w:rFonts w:ascii="Arial" w:cs="Arial" w:eastAsia="Arial" w:hAnsi="Arial"/>
          <w:sz w:val="16"/>
          <w:szCs w:val="16"/>
          <w:i w:val="1"/>
          <w:iCs w:val="1"/>
          <w:color w:val="auto"/>
        </w:rPr>
        <w:t>Derivative Instruments</w:t>
      </w:r>
      <w:r>
        <w:rPr>
          <w:rFonts w:ascii="Arial" w:cs="Arial" w:eastAsia="Arial" w:hAnsi="Arial"/>
          <w:sz w:val="16"/>
          <w:szCs w:val="16"/>
          <w:color w:val="auto"/>
        </w:rPr>
        <w:t xml:space="preserve"> below). We account for these as securities borrowing transactions and recognize an obligation to return the borrowed securities at fair value on the balance sheet based on the value of the underlying borrowed securities as of the reporting date. We may also enter into reverse repurchase agreements to earn a yield on excess cash balances. The securities received as collateral in connection with our reverse repurchase agreements mitigate our credit risk exposure to counterparties. Our reverse repurchase agreements typically have maturities of 30 days or less.</w:t>
      </w:r>
    </w:p>
    <w:p>
      <w:pPr>
        <w:spacing w:after="0" w:line="10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 Instruments</w:t>
      </w:r>
    </w:p>
    <w:p>
      <w:pPr>
        <w:spacing w:after="0" w:line="171"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We use a variety of derivative instruments to hedge a portion of our exposure to market risks, including interest rate, prepayment, extension and liquidity risks. The objective of our risk management strategy is to reduce fluctuations in net book value over a range of interest rate scenarios. In particular, we attempt to mitigate the risk of the cost of our variable rate liabilities increasing during a period of rising interest rates. The primary instruments that we use are interest rate swaps, options to enter into interest rate swaps ("swaptions"), U.S. Treasury securities and U.S. Treasury futures contracts. We also use forward contracts in the Agency RMBS "to-be-announced" market, or TBA securities, to invest in and finance Agency securities and to periodically reduce our exposure to Agency RMBS.</w:t>
      </w:r>
    </w:p>
    <w:p>
      <w:pPr>
        <w:spacing w:after="0" w:line="138" w:lineRule="exact"/>
        <w:rPr>
          <w:sz w:val="20"/>
          <w:szCs w:val="20"/>
          <w:color w:val="auto"/>
        </w:rPr>
      </w:pPr>
    </w:p>
    <w:p>
      <w:pPr>
        <w:jc w:val="both"/>
        <w:ind w:firstLine="445"/>
        <w:spacing w:after="0" w:line="257" w:lineRule="auto"/>
        <w:rPr>
          <w:sz w:val="20"/>
          <w:szCs w:val="20"/>
          <w:color w:val="auto"/>
        </w:rPr>
      </w:pPr>
      <w:r>
        <w:rPr>
          <w:rFonts w:ascii="Arial" w:cs="Arial" w:eastAsia="Arial" w:hAnsi="Arial"/>
          <w:sz w:val="18"/>
          <w:szCs w:val="18"/>
          <w:color w:val="auto"/>
        </w:rPr>
        <w:t xml:space="preserve">We account for derivative instruments in accordance with ASC Topic 815, </w:t>
      </w:r>
      <w:r>
        <w:rPr>
          <w:rFonts w:ascii="Arial" w:cs="Arial" w:eastAsia="Arial" w:hAnsi="Arial"/>
          <w:sz w:val="18"/>
          <w:szCs w:val="18"/>
          <w:i w:val="1"/>
          <w:iCs w:val="1"/>
          <w:color w:val="auto"/>
        </w:rPr>
        <w:t>Derivatives and Hedging</w:t>
      </w:r>
      <w:r>
        <w:rPr>
          <w:rFonts w:ascii="Arial" w:cs="Arial" w:eastAsia="Arial" w:hAnsi="Arial"/>
          <w:sz w:val="18"/>
          <w:szCs w:val="18"/>
          <w:color w:val="auto"/>
        </w:rPr>
        <w:t xml:space="preserve"> ("ASC 815"). ASC 815 requires an entity to recognize all derivatives as either assets or liabilities in our accompanying consolidated balance sheets and to measure those instruments at fair value. None of our derivative instruments have been designated as hedging instruments for accounting purposes under the provisions of ASC 815, consequently changes in the fair value of our derivative instruments are reported in gain (loss) on derivative instruments and other securities, net in our consolidated statements of comprehensive income.</w:t>
      </w:r>
    </w:p>
    <w:p>
      <w:pPr>
        <w:spacing w:after="0" w:line="134" w:lineRule="exact"/>
        <w:rPr>
          <w:sz w:val="20"/>
          <w:szCs w:val="20"/>
          <w:color w:val="auto"/>
        </w:rPr>
      </w:pPr>
    </w:p>
    <w:p>
      <w:pPr>
        <w:jc w:val="both"/>
        <w:ind w:firstLine="405"/>
        <w:spacing w:after="0" w:line="254" w:lineRule="auto"/>
        <w:rPr>
          <w:sz w:val="20"/>
          <w:szCs w:val="20"/>
          <w:color w:val="auto"/>
        </w:rPr>
      </w:pPr>
      <w:r>
        <w:rPr>
          <w:rFonts w:ascii="Arial" w:cs="Arial" w:eastAsia="Arial" w:hAnsi="Arial"/>
          <w:sz w:val="18"/>
          <w:szCs w:val="18"/>
          <w:color w:val="auto"/>
        </w:rPr>
        <w:t>Our derivative agreements generally contain provisions that allow for netting or setting off derivative assets and liabilities with the counterparty; however, we report related assets and liabilities on a gross basis in our consolidated balance sheets. Derivative instruments in a gain position are reported as derivative assets at fair value and derivative instruments in a loss position are reported as derivative liabilities at fair value in our consolidated balance sheets. Changes in fair value of derivative instruments and periodic settlements related to our derivative instruments are recorded in gain (loss) on derivative instruments and other securities, net in our consolidated statements of comprehensive income. Cash receipts and payments related to derivative instruments are classified in our consolidated statements of cash flows according to the underlying nature or purpose of the derivative transaction, generally in the investing section.</w:t>
      </w:r>
    </w:p>
    <w:p>
      <w:pPr>
        <w:spacing w:after="0" w:line="141"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Interest rate swap agreements</w:t>
      </w:r>
    </w:p>
    <w:p>
      <w:pPr>
        <w:spacing w:after="0" w:line="171" w:lineRule="exact"/>
        <w:rPr>
          <w:sz w:val="20"/>
          <w:szCs w:val="20"/>
          <w:color w:val="auto"/>
        </w:rPr>
      </w:pPr>
    </w:p>
    <w:p>
      <w:pPr>
        <w:jc w:val="both"/>
        <w:ind w:firstLine="445"/>
        <w:spacing w:after="0" w:line="290" w:lineRule="auto"/>
        <w:rPr>
          <w:sz w:val="20"/>
          <w:szCs w:val="20"/>
          <w:color w:val="auto"/>
        </w:rPr>
      </w:pPr>
      <w:r>
        <w:rPr>
          <w:rFonts w:ascii="Arial" w:cs="Arial" w:eastAsia="Arial" w:hAnsi="Arial"/>
          <w:sz w:val="16"/>
          <w:szCs w:val="16"/>
          <w:color w:val="auto"/>
        </w:rPr>
        <w:t>We use interest rate swaps to economically hedge the variable cash flows associated with our borrowings made under repurchase agreements. Under our interest rate swap agreements, we typically pay a fixed rate and receive a floating rate ("payer swaps") based on a short-term benchmark rate, such as the Secured Overnight Financing Rate ("SOFR") and Overnight Index Swap Rate ("OIS"). Our interest rate swaps typically have terms from one to 10 years. Our interest rate swaps are centrally cleared through a registered commodities exchange. The clearing exchange requires that we post an "initial margin" amount determined by the exchange. The initial margin amount is intended to be set at a level sufficient to protect the exchange from the interest rate swap's maximum estimated single-day price movement and is subject to adjustment based on changes in market volatility and other factors. We also exchange daily settlements of "variation margin" based upon changes in fair value, as measured by the exchange. Pursuant to rules governing central clearing activities, we recognize variation margin settlements as a direct reduction of the carrying value of the interest rate swap asset or liability.</w:t>
      </w:r>
    </w:p>
    <w:p>
      <w:pPr>
        <w:spacing w:after="0" w:line="111"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Interest rate swaptions</w:t>
      </w:r>
    </w:p>
    <w:p>
      <w:pPr>
        <w:spacing w:after="0" w:line="171" w:lineRule="exact"/>
        <w:rPr>
          <w:sz w:val="20"/>
          <w:szCs w:val="20"/>
          <w:color w:val="auto"/>
        </w:rPr>
      </w:pPr>
    </w:p>
    <w:p>
      <w:pPr>
        <w:jc w:val="both"/>
        <w:ind w:firstLine="445"/>
        <w:spacing w:after="0" w:line="296" w:lineRule="auto"/>
        <w:rPr>
          <w:sz w:val="20"/>
          <w:szCs w:val="20"/>
          <w:color w:val="auto"/>
        </w:rPr>
      </w:pPr>
      <w:r>
        <w:rPr>
          <w:rFonts w:ascii="Arial" w:cs="Arial" w:eastAsia="Arial" w:hAnsi="Arial"/>
          <w:sz w:val="16"/>
          <w:szCs w:val="16"/>
          <w:color w:val="auto"/>
        </w:rPr>
        <w:t>We purchase interest rate swaptions to help mitigate the potential impact of larger, more rapid changes in interest rates on the performance of our investment portfolio. Interest rate swaptions provide us the option to enter into an interest rate swap agreement for a predetermined notional amount, stated term and pay and receive interest rates in the future. Our interest rate swaption agreements are not subject to central clearing. The difference between the premium paid and the fair value of the swaption is reported in gain (loss) on derivative instruments and other securities, net in our consolidated statements of comprehensive income. If a swaption expires unexercised, the realized loss on the swaption would be equal to the premium</w:t>
      </w:r>
    </w:p>
    <w:p>
      <w:pPr>
        <w:spacing w:after="0" w:line="200" w:lineRule="exact"/>
        <w:rPr>
          <w:sz w:val="20"/>
          <w:szCs w:val="20"/>
          <w:color w:val="auto"/>
        </w:rPr>
      </w:pPr>
    </w:p>
    <w:p>
      <w:pPr>
        <w:spacing w:after="0" w:line="2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9" w:name="page10"/>
    <w:bookmarkEnd w:id="9"/>
    <w:p>
      <w:pPr>
        <w:jc w:val="both"/>
        <w:spacing w:after="0" w:line="277" w:lineRule="auto"/>
        <w:rPr>
          <w:sz w:val="20"/>
          <w:szCs w:val="20"/>
          <w:color w:val="auto"/>
        </w:rPr>
      </w:pPr>
      <w:r>
        <w:rPr>
          <w:rFonts w:ascii="Arial" w:cs="Arial" w:eastAsia="Arial" w:hAnsi="Arial"/>
          <w:sz w:val="18"/>
          <w:szCs w:val="18"/>
          <w:color w:val="auto"/>
        </w:rPr>
        <w:t>paid. If we sell or exercise a swaption, the realized gain or loss on the swaption would be equal to the difference between the cash or the fair value of the underlying interest rate swap and the premium paid.</w:t>
      </w:r>
    </w:p>
    <w:p>
      <w:pPr>
        <w:spacing w:after="0" w:line="116"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TBA securities</w:t>
      </w:r>
    </w:p>
    <w:p>
      <w:pPr>
        <w:spacing w:after="0" w:line="171" w:lineRule="exact"/>
        <w:rPr>
          <w:sz w:val="20"/>
          <w:szCs w:val="20"/>
          <w:color w:val="auto"/>
        </w:rPr>
      </w:pPr>
    </w:p>
    <w:p>
      <w:pPr>
        <w:jc w:val="both"/>
        <w:ind w:firstLine="445"/>
        <w:spacing w:after="0" w:line="271" w:lineRule="auto"/>
        <w:rPr>
          <w:sz w:val="20"/>
          <w:szCs w:val="20"/>
          <w:color w:val="auto"/>
        </w:rPr>
      </w:pPr>
      <w:r>
        <w:rPr>
          <w:rFonts w:ascii="Arial" w:cs="Arial" w:eastAsia="Arial" w:hAnsi="Arial"/>
          <w:sz w:val="17"/>
          <w:szCs w:val="17"/>
          <w:color w:val="auto"/>
        </w:rPr>
        <w:t>A TBA security is a forward contract for the purchase or sale of Agency RMBS at a predetermined price, face amount, issuer, coupon and stated maturity on an agreed-upon future date. The specific Agency RMBS to be delivered into the contract are not known until shortly before the settlement date. We may choose, prior to settlement, to move the settlement of these securities out to a later date by entering into an offsetting TBA position, net settling the offsetting positions for cash, and simultaneously purchasing or selling a similar TBA contract for a later settlement date (together referred to as a "dollar roll transaction"). The Agency securities purchased or sold for a forward settlement date are typically priced at a discount to equivalent securities settling in the current month. This difference, or "price drop," is the economic equivalent of interest income on the underlying Agency securities, less an implied funding cost, over the forward settlement period (referred to as "dollar roll income"). Consequently, forward purchases of Agency securities and dollar roll transactions represent a form of off-balance sheet financing.</w:t>
      </w:r>
    </w:p>
    <w:p>
      <w:pPr>
        <w:spacing w:after="0" w:line="124" w:lineRule="exact"/>
        <w:rPr>
          <w:sz w:val="20"/>
          <w:szCs w:val="20"/>
          <w:color w:val="auto"/>
        </w:rPr>
      </w:pPr>
    </w:p>
    <w:p>
      <w:pPr>
        <w:jc w:val="both"/>
        <w:ind w:firstLine="445"/>
        <w:spacing w:after="0" w:line="263" w:lineRule="auto"/>
        <w:rPr>
          <w:sz w:val="20"/>
          <w:szCs w:val="20"/>
          <w:color w:val="auto"/>
        </w:rPr>
      </w:pPr>
      <w:r>
        <w:rPr>
          <w:rFonts w:ascii="Arial" w:cs="Arial" w:eastAsia="Arial" w:hAnsi="Arial"/>
          <w:sz w:val="18"/>
          <w:szCs w:val="18"/>
          <w:color w:val="auto"/>
        </w:rPr>
        <w:t>We account for TBA contracts as derivative instruments since either the TBA contracts do not settle in the shortest period of time possible or we cannot assert that it is probable at inception and throughout the term of the TBA contract that we will physically settle the contract on the settlement date. We account for TBA dollar roll transactions as a series of derivative transactions.</w:t>
      </w:r>
    </w:p>
    <w:p>
      <w:pPr>
        <w:spacing w:after="0" w:line="130"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U.S. Treasury securities</w:t>
      </w:r>
    </w:p>
    <w:p>
      <w:pPr>
        <w:spacing w:after="0" w:line="171" w:lineRule="exact"/>
        <w:rPr>
          <w:sz w:val="20"/>
          <w:szCs w:val="20"/>
          <w:color w:val="auto"/>
        </w:rPr>
      </w:pPr>
    </w:p>
    <w:p>
      <w:pPr>
        <w:jc w:val="both"/>
        <w:ind w:firstLine="445"/>
        <w:spacing w:after="0" w:line="255" w:lineRule="auto"/>
        <w:rPr>
          <w:sz w:val="20"/>
          <w:szCs w:val="20"/>
          <w:color w:val="auto"/>
        </w:rPr>
      </w:pPr>
      <w:r>
        <w:rPr>
          <w:rFonts w:ascii="Arial" w:cs="Arial" w:eastAsia="Arial" w:hAnsi="Arial"/>
          <w:sz w:val="18"/>
          <w:szCs w:val="18"/>
          <w:color w:val="auto"/>
        </w:rPr>
        <w:t>We use U.S. Treasury securities and U.S. Treasury futures contracts to mitigate the potential impact of changes in interest rates on the performance of our portfolio. We borrow U.S. Treasury securities under reverse repurchase agreements to cover short sales of U.S. Treasury securities. We account for these as securities borrowing transactions and recognize an obligation to return the borrowed securities at fair value on our accompanying consolidated balance sheets based on the value of the underlying U.S. Treasury security as of the reporting date. Gains and losses associated with U.S. Treasury securities and U.S. Treasury futures contracts are recognized in gain (loss) on derivative instruments and other securities, net in our consolidated statements of comprehensive income.</w:t>
      </w:r>
    </w:p>
    <w:p>
      <w:pPr>
        <w:spacing w:after="0" w:line="13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Fair Value Measurements</w:t>
      </w:r>
    </w:p>
    <w:p>
      <w:pPr>
        <w:spacing w:after="0" w:line="171" w:lineRule="exact"/>
        <w:rPr>
          <w:sz w:val="20"/>
          <w:szCs w:val="20"/>
          <w:color w:val="auto"/>
        </w:rPr>
      </w:pPr>
    </w:p>
    <w:p>
      <w:pPr>
        <w:jc w:val="both"/>
        <w:ind w:firstLine="445"/>
        <w:spacing w:after="0" w:line="279" w:lineRule="auto"/>
        <w:rPr>
          <w:sz w:val="20"/>
          <w:szCs w:val="20"/>
          <w:color w:val="auto"/>
        </w:rPr>
      </w:pPr>
      <w:r>
        <w:rPr>
          <w:rFonts w:ascii="Arial" w:cs="Arial" w:eastAsia="Arial" w:hAnsi="Arial"/>
          <w:sz w:val="17"/>
          <w:szCs w:val="17"/>
          <w:color w:val="auto"/>
        </w:rPr>
        <w:t>We determine the fair value of financial instruments based on our estimate of the price that would be received to sell the asset or paid to transfer the liability in an orderly transaction between market participants at the measurement date. We utilize a three-level valuation hierarchy for disclosure of fair value measurements based upon the transparency of inputs to the valuation of the instrument as of the measurement date. We categorize a financial instrument within the hierarchy based upon the lowest level of input that is significant to the fair value measurement.</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three levels of valuation hierarchy are defined as follows:</w:t>
      </w:r>
    </w:p>
    <w:p>
      <w:pPr>
        <w:spacing w:after="0" w:line="171" w:lineRule="exact"/>
        <w:rPr>
          <w:sz w:val="20"/>
          <w:szCs w:val="20"/>
          <w:color w:val="auto"/>
        </w:rPr>
      </w:pPr>
    </w:p>
    <w:p>
      <w:pPr>
        <w:ind w:left="660" w:hanging="328"/>
        <w:spacing w:after="0" w:line="277" w:lineRule="auto"/>
        <w:tabs>
          <w:tab w:leader="none" w:pos="655" w:val="left"/>
        </w:tabs>
        <w:numPr>
          <w:ilvl w:val="0"/>
          <w:numId w:val="1"/>
        </w:numPr>
        <w:rPr>
          <w:rFonts w:ascii="Arial" w:cs="Arial" w:eastAsia="Arial" w:hAnsi="Arial"/>
          <w:sz w:val="18"/>
          <w:szCs w:val="18"/>
          <w:color w:val="auto"/>
        </w:rPr>
      </w:pPr>
      <w:r>
        <w:rPr>
          <w:rFonts w:ascii="Arial" w:cs="Arial" w:eastAsia="Arial" w:hAnsi="Arial"/>
          <w:sz w:val="18"/>
          <w:szCs w:val="18"/>
          <w:color w:val="auto"/>
        </w:rPr>
        <w:t>Level 1 Inputs —Quoted prices (unadjusted) for identical unrestricted assets and liabilities in active markets that are accessible at the measurement date.</w:t>
      </w:r>
    </w:p>
    <w:p>
      <w:pPr>
        <w:spacing w:after="0" w:line="116" w:lineRule="exact"/>
        <w:rPr>
          <w:rFonts w:ascii="Arial" w:cs="Arial" w:eastAsia="Arial" w:hAnsi="Arial"/>
          <w:sz w:val="18"/>
          <w:szCs w:val="18"/>
          <w:color w:val="auto"/>
        </w:rPr>
      </w:pPr>
    </w:p>
    <w:p>
      <w:pPr>
        <w:ind w:left="660" w:hanging="328"/>
        <w:spacing w:after="0" w:line="308" w:lineRule="auto"/>
        <w:tabs>
          <w:tab w:leader="none" w:pos="655" w:val="left"/>
        </w:tabs>
        <w:numPr>
          <w:ilvl w:val="0"/>
          <w:numId w:val="1"/>
        </w:numPr>
        <w:rPr>
          <w:rFonts w:ascii="Arial" w:cs="Arial" w:eastAsia="Arial" w:hAnsi="Arial"/>
          <w:sz w:val="17"/>
          <w:szCs w:val="17"/>
          <w:color w:val="auto"/>
        </w:rPr>
      </w:pPr>
      <w:r>
        <w:rPr>
          <w:rFonts w:ascii="Arial" w:cs="Arial" w:eastAsia="Arial" w:hAnsi="Arial"/>
          <w:sz w:val="17"/>
          <w:szCs w:val="17"/>
          <w:color w:val="auto"/>
        </w:rPr>
        <w:t>Level 2 Inputs —Quoted prices for similar assets and liabilities in active markets; quoted prices for identical or similar instruments in markets that are not active; and model-derived valuations whose inputs are observable or whose significant value drivers are observable.</w:t>
      </w:r>
    </w:p>
    <w:p>
      <w:pPr>
        <w:spacing w:after="0" w:line="92" w:lineRule="exact"/>
        <w:rPr>
          <w:rFonts w:ascii="Arial" w:cs="Arial" w:eastAsia="Arial" w:hAnsi="Arial"/>
          <w:sz w:val="17"/>
          <w:szCs w:val="17"/>
          <w:color w:val="auto"/>
        </w:rPr>
      </w:pPr>
    </w:p>
    <w:p>
      <w:pPr>
        <w:ind w:left="660" w:hanging="328"/>
        <w:spacing w:after="0"/>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color w:val="auto"/>
        </w:rPr>
        <w:t>Level 3 Inputs —Instruments with primarily unobservable market data that cannot be corroborated.</w:t>
      </w:r>
    </w:p>
    <w:p>
      <w:pPr>
        <w:spacing w:after="0" w:line="171" w:lineRule="exact"/>
        <w:rPr>
          <w:sz w:val="20"/>
          <w:szCs w:val="20"/>
          <w:color w:val="auto"/>
        </w:rPr>
      </w:pPr>
    </w:p>
    <w:p>
      <w:pPr>
        <w:jc w:val="both"/>
        <w:ind w:firstLine="445"/>
        <w:spacing w:after="0" w:line="289" w:lineRule="auto"/>
        <w:rPr>
          <w:sz w:val="20"/>
          <w:szCs w:val="20"/>
          <w:color w:val="auto"/>
        </w:rPr>
      </w:pPr>
      <w:r>
        <w:rPr>
          <w:rFonts w:ascii="Arial" w:cs="Arial" w:eastAsia="Arial" w:hAnsi="Arial"/>
          <w:sz w:val="16"/>
          <w:szCs w:val="16"/>
          <w:color w:val="auto"/>
        </w:rPr>
        <w:t>The majority of our financial instruments are classified as Level 2 inputs. The availability of observable inputs can be affected by a wide variety of factors, including the type of instrument, whether the instrument is new and not yet established in the marketplace and other characteristics particular to the instrument. We typically obtain price estimates from multiple third-party pricing sources, such as pricing services and dealers, or, if applicable, the registered clearing exchange. We make inquiries of third-party pricing sources to understand the significant inputs and assumptions they used to determine their prices and that they are derived from orderly transactions, particularly during periods of elevated market turbulence and reduced market liquidity. We also review third-party price estimates and perform procedures to validate their reasonableness, including an analysis of the range of estimates for each position, comparison to recent trade activity for similar securities and for consistency with market conditions observed as of the measurement date. While we do not adjust prices we obtain from pricing sources, we will exclude prices for securities from our estimation of fair value if we determine based on our validation procedures and our market knowledge and expertise that the price is significantly different from what observable market data</w:t>
      </w:r>
    </w:p>
    <w:p>
      <w:pPr>
        <w:spacing w:after="0" w:line="200" w:lineRule="exact"/>
        <w:rPr>
          <w:sz w:val="20"/>
          <w:szCs w:val="20"/>
          <w:color w:val="auto"/>
        </w:rPr>
      </w:pPr>
    </w:p>
    <w:p>
      <w:pPr>
        <w:spacing w:after="0" w:line="3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10" w:name="page11"/>
    <w:bookmarkEnd w:id="10"/>
    <w:p>
      <w:pPr>
        <w:spacing w:after="0"/>
        <w:rPr>
          <w:sz w:val="20"/>
          <w:szCs w:val="20"/>
          <w:color w:val="auto"/>
        </w:rPr>
      </w:pPr>
      <w:r>
        <w:rPr>
          <w:rFonts w:ascii="Arial" w:cs="Arial" w:eastAsia="Arial" w:hAnsi="Arial"/>
          <w:sz w:val="18"/>
          <w:szCs w:val="18"/>
          <w:color w:val="auto"/>
        </w:rPr>
        <w:t>would indicate and we cannot obtain an understanding from the third-party source as to the significant inputs used to determine the price.</w:t>
      </w:r>
    </w:p>
    <w:p>
      <w:pPr>
        <w:spacing w:after="0" w:line="171" w:lineRule="exact"/>
        <w:rPr>
          <w:sz w:val="20"/>
          <w:szCs w:val="20"/>
          <w:color w:val="auto"/>
        </w:rPr>
      </w:pPr>
    </w:p>
    <w:p>
      <w:pPr>
        <w:jc w:val="both"/>
        <w:ind w:firstLine="445"/>
        <w:spacing w:after="0" w:line="259" w:lineRule="auto"/>
        <w:rPr>
          <w:sz w:val="20"/>
          <w:szCs w:val="20"/>
          <w:color w:val="auto"/>
        </w:rPr>
      </w:pPr>
      <w:r>
        <w:rPr>
          <w:rFonts w:ascii="Arial" w:cs="Arial" w:eastAsia="Arial" w:hAnsi="Arial"/>
          <w:sz w:val="18"/>
          <w:szCs w:val="18"/>
          <w:color w:val="auto"/>
        </w:rPr>
        <w:t>The following is a description of the valuation methodologies used for financial instruments measured at fair value on a recurring basis classified as Level 2 inputs. These instruments trade in active markets such that participants transact with sufficient frequency and volume to provide transparent pricing information on an ongoing basis. The liquidity of these markets and the similarity of our instruments to those actively traded enable our pricing sources and us to utilize the observed quoted prices as a basis for formulating fair value measurements.</w:t>
      </w:r>
    </w:p>
    <w:p>
      <w:pPr>
        <w:spacing w:after="0" w:line="133" w:lineRule="exact"/>
        <w:rPr>
          <w:sz w:val="20"/>
          <w:szCs w:val="20"/>
          <w:color w:val="auto"/>
        </w:rPr>
      </w:pPr>
    </w:p>
    <w:p>
      <w:pPr>
        <w:jc w:val="both"/>
        <w:ind w:firstLine="445"/>
        <w:spacing w:after="0" w:line="270" w:lineRule="auto"/>
        <w:rPr>
          <w:sz w:val="20"/>
          <w:szCs w:val="20"/>
          <w:color w:val="auto"/>
        </w:rPr>
      </w:pPr>
      <w:r>
        <w:rPr>
          <w:rFonts w:ascii="Arial" w:cs="Arial" w:eastAsia="Arial" w:hAnsi="Arial"/>
          <w:sz w:val="17"/>
          <w:szCs w:val="17"/>
          <w:i w:val="1"/>
          <w:iCs w:val="1"/>
          <w:color w:val="auto"/>
        </w:rPr>
        <w:t xml:space="preserve">Investment securities </w:t>
      </w:r>
      <w:r>
        <w:rPr>
          <w:rFonts w:ascii="Arial" w:cs="Arial" w:eastAsia="Arial" w:hAnsi="Arial"/>
          <w:sz w:val="17"/>
          <w:szCs w:val="17"/>
          <w:color w:val="auto"/>
        </w:rPr>
        <w:t>- are valued based on prices obtained from multiple third-party pricing sources. The pricing sources utilize various valuation</w:t>
      </w:r>
      <w:r>
        <w:rPr>
          <w:rFonts w:ascii="Arial" w:cs="Arial" w:eastAsia="Arial" w:hAnsi="Arial"/>
          <w:sz w:val="17"/>
          <w:szCs w:val="17"/>
          <w:i w:val="1"/>
          <w:iCs w:val="1"/>
          <w:color w:val="auto"/>
        </w:rPr>
        <w:t xml:space="preserve"> </w:t>
      </w:r>
      <w:r>
        <w:rPr>
          <w:rFonts w:ascii="Arial" w:cs="Arial" w:eastAsia="Arial" w:hAnsi="Arial"/>
          <w:sz w:val="17"/>
          <w:szCs w:val="17"/>
          <w:color w:val="auto"/>
        </w:rPr>
        <w:t>approaches, including market and income approaches. For Agency RMBS, the pricing sources primarily utilize a matrix pricing technique that interpolates the estimated fair value based on observed quoted prices for forward contracts in the Agency RMBS "to-be-announced" market ("TBA securities") of the same coupon, maturity and issuer, adjusted to reflect the specific characteristics of the pool of mortgages underlying the Agency security, such as maximum loan balance, loan vintage, loan-to-value ratio, geography and other characteristics as may be appropriate. For other investment securities, the pricing sources primarily utilize discounted cash flow model-derived pricing techniques to estimate the fair value. Such models incorporate market-based discount rate assumptions based on observable inputs such as recent trading activity, credit data, volatility statistics, benchmark interest rate curves, spread measurements to benchmark curves and other market data that are current as of the measurement date and may include certain unobservable inputs, such as assumptions of future levels of prepayment, defaults and loss severities.</w:t>
      </w:r>
    </w:p>
    <w:p>
      <w:pPr>
        <w:spacing w:after="0" w:line="127" w:lineRule="exact"/>
        <w:rPr>
          <w:sz w:val="20"/>
          <w:szCs w:val="20"/>
          <w:color w:val="auto"/>
        </w:rPr>
      </w:pPr>
    </w:p>
    <w:p>
      <w:pPr>
        <w:ind w:left="460"/>
        <w:spacing w:after="0"/>
        <w:rPr>
          <w:sz w:val="20"/>
          <w:szCs w:val="20"/>
          <w:color w:val="auto"/>
        </w:rPr>
      </w:pPr>
      <w:r>
        <w:rPr>
          <w:rFonts w:ascii="Arial" w:cs="Arial" w:eastAsia="Arial" w:hAnsi="Arial"/>
          <w:sz w:val="17"/>
          <w:szCs w:val="17"/>
          <w:i w:val="1"/>
          <w:iCs w:val="1"/>
          <w:color w:val="auto"/>
        </w:rPr>
        <w:t xml:space="preserve">TBA securities </w:t>
      </w:r>
      <w:r>
        <w:rPr>
          <w:rFonts w:ascii="Arial" w:cs="Arial" w:eastAsia="Arial" w:hAnsi="Arial"/>
          <w:sz w:val="17"/>
          <w:szCs w:val="17"/>
          <w:color w:val="auto"/>
        </w:rPr>
        <w:t>- are valued using prices obtained from third-party pricing sources based on pricing models that reference recent trading activity.</w:t>
      </w:r>
    </w:p>
    <w:p>
      <w:pPr>
        <w:spacing w:after="0" w:line="183" w:lineRule="exact"/>
        <w:rPr>
          <w:sz w:val="20"/>
          <w:szCs w:val="20"/>
          <w:color w:val="auto"/>
        </w:rPr>
      </w:pPr>
    </w:p>
    <w:p>
      <w:pPr>
        <w:jc w:val="both"/>
        <w:ind w:firstLine="445"/>
        <w:spacing w:after="0" w:line="277" w:lineRule="auto"/>
        <w:rPr>
          <w:sz w:val="20"/>
          <w:szCs w:val="20"/>
          <w:color w:val="auto"/>
        </w:rPr>
      </w:pPr>
      <w:r>
        <w:rPr>
          <w:rFonts w:ascii="Arial" w:cs="Arial" w:eastAsia="Arial" w:hAnsi="Arial"/>
          <w:sz w:val="18"/>
          <w:szCs w:val="18"/>
          <w:i w:val="1"/>
          <w:iCs w:val="1"/>
          <w:color w:val="auto"/>
        </w:rPr>
        <w:t xml:space="preserve">Interest rate swaps </w:t>
      </w:r>
      <w:r>
        <w:rPr>
          <w:rFonts w:ascii="Arial" w:cs="Arial" w:eastAsia="Arial" w:hAnsi="Arial"/>
          <w:sz w:val="18"/>
          <w:szCs w:val="18"/>
          <w:color w:val="auto"/>
        </w:rPr>
        <w:t>- are valued using the daily settlement price, or fair value, determined by the clearing exchange based on a pricing model that</w:t>
      </w:r>
      <w:r>
        <w:rPr>
          <w:rFonts w:ascii="Arial" w:cs="Arial" w:eastAsia="Arial" w:hAnsi="Arial"/>
          <w:sz w:val="18"/>
          <w:szCs w:val="18"/>
          <w:i w:val="1"/>
          <w:iCs w:val="1"/>
          <w:color w:val="auto"/>
        </w:rPr>
        <w:t xml:space="preserve"> </w:t>
      </w:r>
      <w:r>
        <w:rPr>
          <w:rFonts w:ascii="Arial" w:cs="Arial" w:eastAsia="Arial" w:hAnsi="Arial"/>
          <w:sz w:val="18"/>
          <w:szCs w:val="18"/>
          <w:color w:val="auto"/>
        </w:rPr>
        <w:t>references observable market inputs, including current benchmark rates and the forward yield curve.</w:t>
      </w:r>
    </w:p>
    <w:p>
      <w:pPr>
        <w:spacing w:after="0" w:line="116" w:lineRule="exact"/>
        <w:rPr>
          <w:sz w:val="20"/>
          <w:szCs w:val="20"/>
          <w:color w:val="auto"/>
        </w:rPr>
      </w:pPr>
    </w:p>
    <w:p>
      <w:pPr>
        <w:jc w:val="both"/>
        <w:ind w:firstLine="445"/>
        <w:spacing w:after="0" w:line="263" w:lineRule="auto"/>
        <w:rPr>
          <w:sz w:val="20"/>
          <w:szCs w:val="20"/>
          <w:color w:val="auto"/>
        </w:rPr>
      </w:pPr>
      <w:r>
        <w:rPr>
          <w:rFonts w:ascii="Arial" w:cs="Arial" w:eastAsia="Arial" w:hAnsi="Arial"/>
          <w:sz w:val="18"/>
          <w:szCs w:val="18"/>
          <w:i w:val="1"/>
          <w:iCs w:val="1"/>
          <w:color w:val="auto"/>
        </w:rPr>
        <w:t xml:space="preserve">Interest rate swaptions </w:t>
      </w:r>
      <w:r>
        <w:rPr>
          <w:rFonts w:ascii="Arial" w:cs="Arial" w:eastAsia="Arial" w:hAnsi="Arial"/>
          <w:sz w:val="18"/>
          <w:szCs w:val="18"/>
          <w:color w:val="auto"/>
        </w:rPr>
        <w:t>- are valued using prices obtained from the counterparty and other third-party pricing models. The pricing models are based</w:t>
      </w:r>
      <w:r>
        <w:rPr>
          <w:rFonts w:ascii="Arial" w:cs="Arial" w:eastAsia="Arial" w:hAnsi="Arial"/>
          <w:sz w:val="18"/>
          <w:szCs w:val="18"/>
          <w:i w:val="1"/>
          <w:iCs w:val="1"/>
          <w:color w:val="auto"/>
        </w:rPr>
        <w:t xml:space="preserve"> </w:t>
      </w:r>
      <w:r>
        <w:rPr>
          <w:rFonts w:ascii="Arial" w:cs="Arial" w:eastAsia="Arial" w:hAnsi="Arial"/>
          <w:sz w:val="18"/>
          <w:szCs w:val="18"/>
          <w:color w:val="auto"/>
        </w:rPr>
        <w:t>on the value of the future interest rate swap that we have the option to enter into as well as the remaining length of time that we have to exercise the option based on observable market inputs, adjusted for non-performance risk, if any.</w:t>
      </w:r>
    </w:p>
    <w:p>
      <w:pPr>
        <w:spacing w:after="0" w:line="13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U.S. Treasury securities and futures are valued based on quoted prices for identical instruments in active markets and are classified as Level 1 assets.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None of our financial instruments are classified as Level 3 inputs.</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Accounting Pronouncements</w:t>
      </w:r>
    </w:p>
    <w:p>
      <w:pPr>
        <w:spacing w:after="0" w:line="171" w:lineRule="exact"/>
        <w:rPr>
          <w:sz w:val="20"/>
          <w:szCs w:val="20"/>
          <w:color w:val="auto"/>
        </w:rPr>
      </w:pPr>
    </w:p>
    <w:p>
      <w:pPr>
        <w:jc w:val="both"/>
        <w:ind w:firstLine="445"/>
        <w:spacing w:after="0" w:line="263" w:lineRule="auto"/>
        <w:rPr>
          <w:sz w:val="20"/>
          <w:szCs w:val="20"/>
          <w:color w:val="auto"/>
        </w:rPr>
      </w:pPr>
      <w:r>
        <w:rPr>
          <w:rFonts w:ascii="Arial" w:cs="Arial" w:eastAsia="Arial" w:hAnsi="Arial"/>
          <w:sz w:val="18"/>
          <w:szCs w:val="18"/>
          <w:color w:val="auto"/>
        </w:rPr>
        <w:t>We consider the applicability and impact of all ASUs issued by the FASB. There are no unadopted ASUs that are expected to have a significant impact on our consolidated financial statements when adopted or other recently adopted ASUs that had a significant impact on our consolidated financial statements upon adoption.</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Investment Securities</w:t>
      </w:r>
    </w:p>
    <w:p>
      <w:pPr>
        <w:spacing w:after="0" w:line="175" w:lineRule="exact"/>
        <w:rPr>
          <w:sz w:val="20"/>
          <w:szCs w:val="20"/>
          <w:color w:val="auto"/>
        </w:rPr>
      </w:pPr>
    </w:p>
    <w:p>
      <w:pPr>
        <w:jc w:val="both"/>
        <w:ind w:firstLine="445"/>
        <w:spacing w:after="0" w:line="273" w:lineRule="auto"/>
        <w:rPr>
          <w:sz w:val="20"/>
          <w:szCs w:val="20"/>
          <w:color w:val="auto"/>
        </w:rPr>
      </w:pPr>
      <w:r>
        <w:rPr>
          <w:rFonts w:ascii="Arial" w:cs="Arial" w:eastAsia="Arial" w:hAnsi="Arial"/>
          <w:sz w:val="17"/>
          <w:szCs w:val="17"/>
          <w:color w:val="auto"/>
        </w:rPr>
        <w:t>As of June 30, 2022 and December 31, 2021, our investment portfolio consisted of: $45.4 billion and $54.4 billion investment securities, at fair value, respectively; $15.9 billion and $27.1 billion net TBA securities, at fair value, respectively; and, as of December 31, 2021, $0.4 billion forward settling non-Agency securities, at fair value. Our net TBA position and forward settling non-Agency securities are reported at their net carrying value totaling $(108) million and $(44) million as of June 30, 2022 and December 31, 2021, respectively, in derivative assets / (liabilities) on our accompanying consolidated balance sheets. The net carrying value of our TBA position and forward settling non-Agency securities represents the difference between the fair value of the underlying security and the cost basis or the forward price to be paid or received for the underlying security.</w:t>
      </w:r>
    </w:p>
    <w:p>
      <w:pPr>
        <w:spacing w:after="0" w:line="124"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As of June 30, 2022 and December 31, 2021, our investment securities had a net unamortized premium balance of $1.5 billion and $1.8 billion, respectively.</w:t>
      </w:r>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11" w:name="page12"/>
    <w:bookmarkEnd w:id="11"/>
    <w:p>
      <w:pPr>
        <w:ind w:firstLine="405"/>
        <w:spacing w:after="0" w:line="308" w:lineRule="auto"/>
        <w:rPr>
          <w:sz w:val="20"/>
          <w:szCs w:val="20"/>
          <w:color w:val="auto"/>
        </w:rPr>
      </w:pPr>
      <w:r>
        <w:rPr>
          <w:rFonts w:ascii="Arial" w:cs="Arial" w:eastAsia="Arial" w:hAnsi="Arial"/>
          <w:sz w:val="17"/>
          <w:szCs w:val="17"/>
          <w:color w:val="auto"/>
        </w:rPr>
        <w:t>The following tables summarize our investment securities as of June 30, 2022 and December 31, 2021, excluding TBA and forward settling securities, (dollars in millions). Details of our TBA and forward settling securities as of each of the respective dates are included in Note 5.</w:t>
      </w:r>
    </w:p>
    <w:p>
      <w:pPr>
        <w:spacing w:after="0" w:line="12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0" w:type="dxa"/>
            <w:vAlign w:val="bottom"/>
          </w:tcPr>
          <w:p>
            <w:pPr>
              <w:spacing w:after="0"/>
              <w:rPr>
                <w:sz w:val="16"/>
                <w:szCs w:val="16"/>
                <w:color w:val="auto"/>
              </w:rPr>
            </w:pPr>
          </w:p>
        </w:tc>
        <w:tc>
          <w:tcPr>
            <w:tcW w:w="36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780" w:type="dxa"/>
            <w:vAlign w:val="bottom"/>
            <w:tcBorders>
              <w:bottom w:val="single" w:sz="8" w:color="auto"/>
            </w:tcBorders>
            <w:gridSpan w:val="5"/>
          </w:tcPr>
          <w:p>
            <w:pPr>
              <w:jc w:val="right"/>
              <w:ind w:right="375"/>
              <w:spacing w:after="0"/>
              <w:rPr>
                <w:sz w:val="20"/>
                <w:szCs w:val="20"/>
                <w:color w:val="auto"/>
              </w:rPr>
            </w:pPr>
            <w:r>
              <w:rPr>
                <w:rFonts w:ascii="Arial" w:cs="Arial" w:eastAsia="Arial" w:hAnsi="Arial"/>
                <w:sz w:val="14"/>
                <w:szCs w:val="14"/>
                <w:b w:val="1"/>
                <w:bCs w:val="1"/>
                <w:color w:val="auto"/>
              </w:rPr>
              <w:t>June 30, 2022</w:t>
            </w: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6"/>
          </w:tcPr>
          <w:p>
            <w:pPr>
              <w:ind w:left="20"/>
              <w:spacing w:after="0"/>
              <w:rPr>
                <w:sz w:val="20"/>
                <w:szCs w:val="20"/>
                <w:color w:val="auto"/>
              </w:rPr>
            </w:pPr>
            <w:r>
              <w:rPr>
                <w:rFonts w:ascii="Arial" w:cs="Arial" w:eastAsia="Arial" w:hAnsi="Arial"/>
                <w:sz w:val="14"/>
                <w:szCs w:val="14"/>
                <w:b w:val="1"/>
                <w:bCs w:val="1"/>
                <w:color w:val="auto"/>
                <w:w w:val="95"/>
              </w:rPr>
              <w:t>December 31, 2021</w:t>
            </w:r>
          </w:p>
        </w:tc>
        <w:tc>
          <w:tcPr>
            <w:tcW w:w="700" w:type="dxa"/>
            <w:vAlign w:val="bottom"/>
            <w:tcBorders>
              <w:bottom w:val="single" w:sz="8" w:color="auto"/>
            </w:tcBorders>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74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Investment Securities</w:t>
            </w:r>
          </w:p>
        </w:tc>
        <w:tc>
          <w:tcPr>
            <w:tcW w:w="1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60" w:type="dxa"/>
            <w:vAlign w:val="bottom"/>
            <w:gridSpan w:val="3"/>
          </w:tcPr>
          <w:p>
            <w:pPr>
              <w:jc w:val="right"/>
              <w:ind w:right="320"/>
              <w:spacing w:after="0" w:line="135" w:lineRule="exact"/>
              <w:rPr>
                <w:sz w:val="20"/>
                <w:szCs w:val="20"/>
                <w:color w:val="auto"/>
              </w:rPr>
            </w:pPr>
            <w:r>
              <w:rPr>
                <w:rFonts w:ascii="Arial" w:cs="Arial" w:eastAsia="Arial" w:hAnsi="Arial"/>
                <w:sz w:val="14"/>
                <w:szCs w:val="14"/>
                <w:b w:val="1"/>
                <w:bCs w:val="1"/>
                <w:color w:val="auto"/>
              </w:rPr>
              <w:t>Amortized</w:t>
            </w: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80" w:type="dxa"/>
            <w:vAlign w:val="bottom"/>
            <w:gridSpan w:val="4"/>
            <w:vMerge w:val="restart"/>
          </w:tcPr>
          <w:p>
            <w:pPr>
              <w:jc w:val="right"/>
              <w:ind w:right="257"/>
              <w:spacing w:after="0"/>
              <w:rPr>
                <w:sz w:val="20"/>
                <w:szCs w:val="20"/>
                <w:color w:val="auto"/>
              </w:rPr>
            </w:pPr>
            <w:r>
              <w:rPr>
                <w:rFonts w:ascii="Arial" w:cs="Arial" w:eastAsia="Arial" w:hAnsi="Arial"/>
                <w:sz w:val="14"/>
                <w:szCs w:val="14"/>
                <w:b w:val="1"/>
                <w:bCs w:val="1"/>
                <w:color w:val="auto"/>
              </w:rPr>
              <w:t>Fair Value</w:t>
            </w:r>
          </w:p>
        </w:tc>
        <w:tc>
          <w:tcPr>
            <w:tcW w:w="160" w:type="dxa"/>
            <w:vAlign w:val="bottom"/>
          </w:tcPr>
          <w:p>
            <w:pPr>
              <w:spacing w:after="0"/>
              <w:rPr>
                <w:sz w:val="11"/>
                <w:szCs w:val="11"/>
                <w:color w:val="auto"/>
              </w:rPr>
            </w:pPr>
          </w:p>
        </w:tc>
        <w:tc>
          <w:tcPr>
            <w:tcW w:w="1240" w:type="dxa"/>
            <w:vAlign w:val="bottom"/>
            <w:gridSpan w:val="4"/>
          </w:tcPr>
          <w:p>
            <w:pPr>
              <w:jc w:val="right"/>
              <w:ind w:right="189"/>
              <w:spacing w:after="0" w:line="135" w:lineRule="exact"/>
              <w:rPr>
                <w:sz w:val="20"/>
                <w:szCs w:val="20"/>
                <w:color w:val="auto"/>
              </w:rPr>
            </w:pPr>
            <w:r>
              <w:rPr>
                <w:rFonts w:ascii="Arial" w:cs="Arial" w:eastAsia="Arial" w:hAnsi="Arial"/>
                <w:sz w:val="14"/>
                <w:szCs w:val="14"/>
                <w:b w:val="1"/>
                <w:bCs w:val="1"/>
                <w:color w:val="auto"/>
              </w:rPr>
              <w:t>Amortized</w:t>
            </w: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6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Fair Value</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8"/>
        </w:trPr>
        <w:tc>
          <w:tcPr>
            <w:tcW w:w="20" w:type="dxa"/>
            <w:vAlign w:val="bottom"/>
          </w:tcPr>
          <w:p>
            <w:pPr>
              <w:spacing w:after="0"/>
              <w:rPr>
                <w:sz w:val="16"/>
                <w:szCs w:val="16"/>
                <w:color w:val="auto"/>
              </w:rPr>
            </w:pPr>
          </w:p>
        </w:tc>
        <w:tc>
          <w:tcPr>
            <w:tcW w:w="3740" w:type="dxa"/>
            <w:vAlign w:val="bottom"/>
            <w:tcBorders>
              <w:bottom w:val="single" w:sz="8" w:color="auto"/>
            </w:tcBorders>
            <w:gridSpan w:val="2"/>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spacing w:after="0"/>
              <w:rPr>
                <w:sz w:val="16"/>
                <w:szCs w:val="16"/>
                <w:color w:val="auto"/>
              </w:rPr>
            </w:pPr>
          </w:p>
        </w:tc>
        <w:tc>
          <w:tcPr>
            <w:tcW w:w="16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gridSpan w:val="2"/>
          </w:tcPr>
          <w:p>
            <w:pPr>
              <w:jc w:val="right"/>
              <w:ind w:right="520"/>
              <w:spacing w:after="0"/>
              <w:rPr>
                <w:sz w:val="20"/>
                <w:szCs w:val="20"/>
                <w:color w:val="auto"/>
              </w:rPr>
            </w:pPr>
            <w:r>
              <w:rPr>
                <w:rFonts w:ascii="Arial" w:cs="Arial" w:eastAsia="Arial" w:hAnsi="Arial"/>
                <w:sz w:val="14"/>
                <w:szCs w:val="14"/>
                <w:b w:val="1"/>
                <w:bCs w:val="1"/>
                <w:color w:val="auto"/>
              </w:rPr>
              <w:t>Cost</w:t>
            </w:r>
          </w:p>
        </w:tc>
        <w:tc>
          <w:tcPr>
            <w:tcW w:w="2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1280" w:type="dxa"/>
            <w:vAlign w:val="bottom"/>
            <w:tcBorders>
              <w:bottom w:val="single" w:sz="8" w:color="auto"/>
            </w:tcBorders>
            <w:gridSpan w:val="4"/>
            <w:vMerge w:val="continue"/>
          </w:tcPr>
          <w:p>
            <w:pPr>
              <w:spacing w:after="0"/>
              <w:rPr>
                <w:sz w:val="16"/>
                <w:szCs w:val="16"/>
                <w:color w:val="auto"/>
              </w:rPr>
            </w:pPr>
          </w:p>
        </w:tc>
        <w:tc>
          <w:tcPr>
            <w:tcW w:w="160" w:type="dxa"/>
            <w:vAlign w:val="bottom"/>
            <w:tcBorders>
              <w:bottom w:val="single" w:sz="8" w:color="CCEEFF"/>
            </w:tcBorders>
          </w:tcPr>
          <w:p>
            <w:pPr>
              <w:spacing w:after="0"/>
              <w:rPr>
                <w:sz w:val="16"/>
                <w:szCs w:val="16"/>
                <w:color w:val="auto"/>
              </w:rPr>
            </w:pPr>
          </w:p>
        </w:tc>
        <w:tc>
          <w:tcPr>
            <w:tcW w:w="1240" w:type="dxa"/>
            <w:vAlign w:val="bottom"/>
            <w:tcBorders>
              <w:bottom w:val="single" w:sz="8" w:color="auto"/>
            </w:tcBorders>
            <w:gridSpan w:val="4"/>
          </w:tcPr>
          <w:p>
            <w:pPr>
              <w:jc w:val="right"/>
              <w:ind w:right="369"/>
              <w:spacing w:after="0"/>
              <w:rPr>
                <w:sz w:val="20"/>
                <w:szCs w:val="20"/>
                <w:color w:val="auto"/>
              </w:rPr>
            </w:pPr>
            <w:r>
              <w:rPr>
                <w:rFonts w:ascii="Arial" w:cs="Arial" w:eastAsia="Arial" w:hAnsi="Arial"/>
                <w:sz w:val="14"/>
                <w:szCs w:val="14"/>
                <w:b w:val="1"/>
                <w:bCs w:val="1"/>
                <w:color w:val="auto"/>
              </w:rPr>
              <w:t>Cost</w:t>
            </w:r>
          </w:p>
        </w:tc>
        <w:tc>
          <w:tcPr>
            <w:tcW w:w="6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4"/>
        </w:trPr>
        <w:tc>
          <w:tcPr>
            <w:tcW w:w="20" w:type="dxa"/>
            <w:vAlign w:val="bottom"/>
          </w:tcPr>
          <w:p>
            <w:pPr>
              <w:spacing w:after="0"/>
              <w:rPr>
                <w:sz w:val="15"/>
                <w:szCs w:val="15"/>
                <w:color w:val="auto"/>
              </w:rPr>
            </w:pPr>
          </w:p>
        </w:tc>
        <w:tc>
          <w:tcPr>
            <w:tcW w:w="37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Agency RMBS:</w:t>
            </w:r>
          </w:p>
        </w:tc>
        <w:tc>
          <w:tcPr>
            <w:tcW w:w="100" w:type="dxa"/>
            <w:vAlign w:val="bottom"/>
            <w:shd w:val="clear" w:color="auto" w:fill="CCEEFF"/>
          </w:tcPr>
          <w:p>
            <w:pPr>
              <w:spacing w:after="0"/>
              <w:rPr>
                <w:sz w:val="15"/>
                <w:szCs w:val="15"/>
                <w:color w:val="auto"/>
              </w:rPr>
            </w:pPr>
          </w:p>
        </w:tc>
        <w:tc>
          <w:tcPr>
            <w:tcW w:w="88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54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48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3740" w:type="dxa"/>
            <w:vAlign w:val="bottom"/>
            <w:gridSpan w:val="2"/>
          </w:tcPr>
          <w:p>
            <w:pPr>
              <w:ind w:left="140"/>
              <w:spacing w:after="0"/>
              <w:rPr>
                <w:sz w:val="20"/>
                <w:szCs w:val="20"/>
                <w:color w:val="auto"/>
              </w:rPr>
            </w:pPr>
            <w:r>
              <w:rPr>
                <w:rFonts w:ascii="Arial" w:cs="Arial" w:eastAsia="Arial" w:hAnsi="Arial"/>
                <w:sz w:val="14"/>
                <w:szCs w:val="14"/>
                <w:color w:val="auto"/>
              </w:rPr>
              <w:t>Fixed rate</w:t>
            </w:r>
          </w:p>
        </w:tc>
        <w:tc>
          <w:tcPr>
            <w:tcW w:w="1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8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4"/>
                <w:szCs w:val="14"/>
                <w:color w:val="auto"/>
              </w:rPr>
              <w:t>46,737</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0" w:type="dxa"/>
            <w:vAlign w:val="bottom"/>
          </w:tcPr>
          <w:p>
            <w:pPr>
              <w:jc w:val="right"/>
              <w:ind w:right="635"/>
              <w:spacing w:after="0"/>
              <w:rPr>
                <w:sz w:val="20"/>
                <w:szCs w:val="20"/>
                <w:color w:val="auto"/>
              </w:rPr>
            </w:pPr>
            <w:r>
              <w:rPr>
                <w:rFonts w:ascii="Arial" w:cs="Arial" w:eastAsia="Arial" w:hAnsi="Arial"/>
                <w:sz w:val="14"/>
                <w:szCs w:val="14"/>
                <w:color w:val="auto"/>
              </w:rPr>
              <w:t>$</w:t>
            </w:r>
          </w:p>
        </w:tc>
        <w:tc>
          <w:tcPr>
            <w:tcW w:w="480" w:type="dxa"/>
            <w:vAlign w:val="bottom"/>
            <w:gridSpan w:val="3"/>
          </w:tcPr>
          <w:p>
            <w:pPr>
              <w:jc w:val="right"/>
              <w:spacing w:after="0"/>
              <w:rPr>
                <w:sz w:val="20"/>
                <w:szCs w:val="20"/>
                <w:color w:val="auto"/>
              </w:rPr>
            </w:pPr>
            <w:r>
              <w:rPr>
                <w:rFonts w:ascii="Arial" w:cs="Arial" w:eastAsia="Arial" w:hAnsi="Arial"/>
                <w:sz w:val="14"/>
                <w:szCs w:val="14"/>
                <w:color w:val="auto"/>
                <w:w w:val="93"/>
              </w:rPr>
              <w:t>43,382</w:t>
            </w:r>
          </w:p>
        </w:tc>
        <w:tc>
          <w:tcPr>
            <w:tcW w:w="700" w:type="dxa"/>
            <w:vAlign w:val="bottom"/>
            <w:gridSpan w:val="2"/>
          </w:tcPr>
          <w:p>
            <w:pPr>
              <w:jc w:val="right"/>
              <w:ind w:right="375"/>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51,546</w:t>
            </w:r>
          </w:p>
        </w:tc>
        <w:tc>
          <w:tcPr>
            <w:tcW w:w="360" w:type="dxa"/>
            <w:vAlign w:val="bottom"/>
            <w:gridSpan w:val="3"/>
          </w:tcPr>
          <w:p>
            <w:pPr>
              <w:jc w:val="right"/>
              <w:ind w:right="28"/>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52,289</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374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Adjustable rate</w:t>
            </w:r>
          </w:p>
        </w:tc>
        <w:tc>
          <w:tcPr>
            <w:tcW w:w="10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36</w:t>
            </w: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48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36</w:t>
            </w:r>
          </w:p>
        </w:tc>
        <w:tc>
          <w:tcPr>
            <w:tcW w:w="160" w:type="dxa"/>
            <w:vAlign w:val="bottom"/>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w:t>
            </w:r>
          </w:p>
        </w:tc>
        <w:tc>
          <w:tcPr>
            <w:tcW w:w="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3740" w:type="dxa"/>
            <w:vAlign w:val="bottom"/>
            <w:gridSpan w:val="2"/>
          </w:tcPr>
          <w:p>
            <w:pPr>
              <w:ind w:left="140"/>
              <w:spacing w:after="0"/>
              <w:rPr>
                <w:sz w:val="20"/>
                <w:szCs w:val="20"/>
                <w:color w:val="auto"/>
              </w:rPr>
            </w:pPr>
            <w:r>
              <w:rPr>
                <w:rFonts w:ascii="Arial" w:cs="Arial" w:eastAsia="Arial" w:hAnsi="Arial"/>
                <w:sz w:val="14"/>
                <w:szCs w:val="14"/>
                <w:color w:val="auto"/>
              </w:rPr>
              <w:t>CMO</w:t>
            </w:r>
          </w:p>
        </w:tc>
        <w:tc>
          <w:tcPr>
            <w:tcW w:w="1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4"/>
                <w:szCs w:val="14"/>
                <w:color w:val="auto"/>
              </w:rPr>
              <w:t>153</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480" w:type="dxa"/>
            <w:vAlign w:val="bottom"/>
            <w:gridSpan w:val="3"/>
          </w:tcPr>
          <w:p>
            <w:pPr>
              <w:jc w:val="right"/>
              <w:spacing w:after="0"/>
              <w:rPr>
                <w:sz w:val="20"/>
                <w:szCs w:val="20"/>
                <w:color w:val="auto"/>
              </w:rPr>
            </w:pPr>
            <w:r>
              <w:rPr>
                <w:rFonts w:ascii="Arial" w:cs="Arial" w:eastAsia="Arial" w:hAnsi="Arial"/>
                <w:sz w:val="14"/>
                <w:szCs w:val="14"/>
                <w:color w:val="auto"/>
              </w:rPr>
              <w:t>151</w:t>
            </w:r>
          </w:p>
        </w:tc>
        <w:tc>
          <w:tcPr>
            <w:tcW w:w="1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182</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188</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374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Interest-only and principal-only strips</w:t>
            </w:r>
          </w:p>
        </w:tc>
        <w:tc>
          <w:tcPr>
            <w:tcW w:w="10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180" w:type="dxa"/>
            <w:vAlign w:val="bottom"/>
            <w:tcBorders>
              <w:bottom w:val="single" w:sz="8" w:color="auto"/>
            </w:tcBorders>
            <w:shd w:val="clear" w:color="auto" w:fill="CCEEFF"/>
          </w:tcPr>
          <w:p>
            <w:pPr>
              <w:spacing w:after="0"/>
              <w:rPr>
                <w:sz w:val="16"/>
                <w:szCs w:val="16"/>
                <w:color w:val="auto"/>
              </w:rPr>
            </w:pPr>
          </w:p>
        </w:tc>
        <w:tc>
          <w:tcPr>
            <w:tcW w:w="880" w:type="dxa"/>
            <w:vAlign w:val="bottom"/>
            <w:tcBorders>
              <w:bottom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59</w:t>
            </w: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0" w:type="dxa"/>
            <w:vAlign w:val="bottom"/>
            <w:tcBorders>
              <w:bottom w:val="single" w:sz="8" w:color="auto"/>
            </w:tcBorders>
            <w:shd w:val="clear" w:color="auto" w:fill="CCEEFF"/>
          </w:tcPr>
          <w:p>
            <w:pPr>
              <w:spacing w:after="0"/>
              <w:rPr>
                <w:sz w:val="16"/>
                <w:szCs w:val="16"/>
                <w:color w:val="auto"/>
              </w:rPr>
            </w:pPr>
          </w:p>
        </w:tc>
        <w:tc>
          <w:tcPr>
            <w:tcW w:w="48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4"/>
                <w:szCs w:val="14"/>
                <w:color w:val="auto"/>
              </w:rPr>
              <w:t>57</w:t>
            </w:r>
          </w:p>
        </w:tc>
        <w:tc>
          <w:tcPr>
            <w:tcW w:w="160" w:type="dxa"/>
            <w:vAlign w:val="bottom"/>
            <w:shd w:val="clear" w:color="auto" w:fill="CCEEFF"/>
          </w:tcPr>
          <w:p>
            <w:pPr>
              <w:spacing w:after="0"/>
              <w:rPr>
                <w:sz w:val="16"/>
                <w:szCs w:val="16"/>
                <w:color w:val="auto"/>
              </w:rPr>
            </w:pPr>
          </w:p>
        </w:tc>
        <w:tc>
          <w:tcPr>
            <w:tcW w:w="540" w:type="dxa"/>
            <w:vAlign w:val="bottom"/>
            <w:tcBorders>
              <w:bottom w:val="single" w:sz="8" w:color="auto"/>
            </w:tcBorders>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70</w:t>
            </w:r>
          </w:p>
        </w:tc>
        <w:tc>
          <w:tcPr>
            <w:tcW w:w="60" w:type="dxa"/>
            <w:vAlign w:val="bottom"/>
            <w:tcBorders>
              <w:bottom w:val="single" w:sz="8" w:color="auto"/>
            </w:tcBorders>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80" w:type="dxa"/>
            <w:vAlign w:val="bottom"/>
            <w:tcBorders>
              <w:bottom w:val="single" w:sz="8" w:color="auto"/>
            </w:tcBorders>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260" w:type="dxa"/>
            <w:vAlign w:val="bottom"/>
            <w:tcBorders>
              <w:bottom w:val="single" w:sz="8" w:color="auto"/>
            </w:tcBorders>
            <w:shd w:val="clear" w:color="auto" w:fill="CCEEFF"/>
          </w:tcPr>
          <w:p>
            <w:pPr>
              <w:spacing w:after="0"/>
              <w:rPr>
                <w:sz w:val="16"/>
                <w:szCs w:val="16"/>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80</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79"/>
        </w:trPr>
        <w:tc>
          <w:tcPr>
            <w:tcW w:w="20" w:type="dxa"/>
            <w:vAlign w:val="bottom"/>
          </w:tcPr>
          <w:p>
            <w:pPr>
              <w:spacing w:after="0"/>
              <w:rPr>
                <w:sz w:val="15"/>
                <w:szCs w:val="15"/>
                <w:color w:val="auto"/>
              </w:rPr>
            </w:pPr>
          </w:p>
        </w:tc>
        <w:tc>
          <w:tcPr>
            <w:tcW w:w="3740" w:type="dxa"/>
            <w:vAlign w:val="bottom"/>
            <w:gridSpan w:val="2"/>
          </w:tcPr>
          <w:p>
            <w:pPr>
              <w:ind w:left="20"/>
              <w:spacing w:after="0"/>
              <w:rPr>
                <w:sz w:val="20"/>
                <w:szCs w:val="20"/>
                <w:color w:val="auto"/>
              </w:rPr>
            </w:pPr>
            <w:r>
              <w:rPr>
                <w:rFonts w:ascii="Arial" w:cs="Arial" w:eastAsia="Arial" w:hAnsi="Arial"/>
                <w:sz w:val="14"/>
                <w:szCs w:val="14"/>
                <w:color w:val="auto"/>
              </w:rPr>
              <w:t>Total Agency RMBS</w:t>
            </w:r>
          </w:p>
        </w:tc>
        <w:tc>
          <w:tcPr>
            <w:tcW w:w="10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4"/>
                <w:szCs w:val="14"/>
                <w:color w:val="auto"/>
              </w:rPr>
              <w:t>46,985</w:t>
            </w: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480" w:type="dxa"/>
            <w:vAlign w:val="bottom"/>
            <w:gridSpan w:val="3"/>
          </w:tcPr>
          <w:p>
            <w:pPr>
              <w:jc w:val="right"/>
              <w:spacing w:after="0"/>
              <w:rPr>
                <w:sz w:val="20"/>
                <w:szCs w:val="20"/>
                <w:color w:val="auto"/>
              </w:rPr>
            </w:pPr>
            <w:r>
              <w:rPr>
                <w:rFonts w:ascii="Arial" w:cs="Arial" w:eastAsia="Arial" w:hAnsi="Arial"/>
                <w:sz w:val="14"/>
                <w:szCs w:val="14"/>
                <w:color w:val="auto"/>
                <w:w w:val="93"/>
              </w:rPr>
              <w:t>43,626</w:t>
            </w:r>
          </w:p>
        </w:tc>
        <w:tc>
          <w:tcPr>
            <w:tcW w:w="1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51,843</w:t>
            </w: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52,604</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37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Non-Agency RMBS</w:t>
            </w:r>
          </w:p>
        </w:tc>
        <w:tc>
          <w:tcPr>
            <w:tcW w:w="10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416</w:t>
            </w: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48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384</w:t>
            </w:r>
          </w:p>
        </w:tc>
        <w:tc>
          <w:tcPr>
            <w:tcW w:w="160" w:type="dxa"/>
            <w:vAlign w:val="bottom"/>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325</w:t>
            </w:r>
          </w:p>
        </w:tc>
        <w:tc>
          <w:tcPr>
            <w:tcW w:w="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329</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3740" w:type="dxa"/>
            <w:vAlign w:val="bottom"/>
            <w:gridSpan w:val="2"/>
          </w:tcPr>
          <w:p>
            <w:pPr>
              <w:ind w:left="20"/>
              <w:spacing w:after="0"/>
              <w:rPr>
                <w:sz w:val="20"/>
                <w:szCs w:val="20"/>
                <w:color w:val="auto"/>
              </w:rPr>
            </w:pPr>
            <w:r>
              <w:rPr>
                <w:rFonts w:ascii="Arial" w:cs="Arial" w:eastAsia="Arial" w:hAnsi="Arial"/>
                <w:sz w:val="14"/>
                <w:szCs w:val="14"/>
                <w:color w:val="auto"/>
              </w:rPr>
              <w:t>CMBS</w:t>
            </w:r>
          </w:p>
        </w:tc>
        <w:tc>
          <w:tcPr>
            <w:tcW w:w="1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4"/>
                <w:szCs w:val="14"/>
                <w:color w:val="auto"/>
              </w:rPr>
              <w:t>518</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480" w:type="dxa"/>
            <w:vAlign w:val="bottom"/>
            <w:gridSpan w:val="3"/>
          </w:tcPr>
          <w:p>
            <w:pPr>
              <w:jc w:val="right"/>
              <w:spacing w:after="0"/>
              <w:rPr>
                <w:sz w:val="20"/>
                <w:szCs w:val="20"/>
                <w:color w:val="auto"/>
              </w:rPr>
            </w:pPr>
            <w:r>
              <w:rPr>
                <w:rFonts w:ascii="Arial" w:cs="Arial" w:eastAsia="Arial" w:hAnsi="Arial"/>
                <w:sz w:val="14"/>
                <w:szCs w:val="14"/>
                <w:color w:val="auto"/>
              </w:rPr>
              <w:t>497</w:t>
            </w:r>
          </w:p>
        </w:tc>
        <w:tc>
          <w:tcPr>
            <w:tcW w:w="1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505</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514</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37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CRT securities</w:t>
            </w:r>
          </w:p>
        </w:tc>
        <w:tc>
          <w:tcPr>
            <w:tcW w:w="10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180" w:type="dxa"/>
            <w:vAlign w:val="bottom"/>
            <w:tcBorders>
              <w:bottom w:val="single" w:sz="8" w:color="auto"/>
            </w:tcBorders>
            <w:shd w:val="clear" w:color="auto" w:fill="CCEEFF"/>
          </w:tcPr>
          <w:p>
            <w:pPr>
              <w:spacing w:after="0"/>
              <w:rPr>
                <w:sz w:val="16"/>
                <w:szCs w:val="16"/>
                <w:color w:val="auto"/>
              </w:rPr>
            </w:pPr>
          </w:p>
        </w:tc>
        <w:tc>
          <w:tcPr>
            <w:tcW w:w="880" w:type="dxa"/>
            <w:vAlign w:val="bottom"/>
            <w:tcBorders>
              <w:bottom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943</w:t>
            </w: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0" w:type="dxa"/>
            <w:vAlign w:val="bottom"/>
            <w:tcBorders>
              <w:bottom w:val="single" w:sz="8" w:color="auto"/>
            </w:tcBorders>
            <w:shd w:val="clear" w:color="auto" w:fill="CCEEFF"/>
          </w:tcPr>
          <w:p>
            <w:pPr>
              <w:spacing w:after="0"/>
              <w:rPr>
                <w:sz w:val="16"/>
                <w:szCs w:val="16"/>
                <w:color w:val="auto"/>
              </w:rPr>
            </w:pPr>
          </w:p>
        </w:tc>
        <w:tc>
          <w:tcPr>
            <w:tcW w:w="48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4"/>
                <w:szCs w:val="14"/>
                <w:color w:val="auto"/>
              </w:rPr>
              <w:t>894</w:t>
            </w:r>
          </w:p>
        </w:tc>
        <w:tc>
          <w:tcPr>
            <w:tcW w:w="160" w:type="dxa"/>
            <w:vAlign w:val="bottom"/>
            <w:shd w:val="clear" w:color="auto" w:fill="CCEEFF"/>
          </w:tcPr>
          <w:p>
            <w:pPr>
              <w:spacing w:after="0"/>
              <w:rPr>
                <w:sz w:val="16"/>
                <w:szCs w:val="16"/>
                <w:color w:val="auto"/>
              </w:rPr>
            </w:pPr>
          </w:p>
        </w:tc>
        <w:tc>
          <w:tcPr>
            <w:tcW w:w="540" w:type="dxa"/>
            <w:vAlign w:val="bottom"/>
            <w:tcBorders>
              <w:bottom w:val="single" w:sz="8" w:color="auto"/>
            </w:tcBorders>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955</w:t>
            </w:r>
          </w:p>
        </w:tc>
        <w:tc>
          <w:tcPr>
            <w:tcW w:w="60" w:type="dxa"/>
            <w:vAlign w:val="bottom"/>
            <w:tcBorders>
              <w:bottom w:val="single" w:sz="8" w:color="auto"/>
            </w:tcBorders>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80" w:type="dxa"/>
            <w:vAlign w:val="bottom"/>
            <w:tcBorders>
              <w:bottom w:val="single" w:sz="8" w:color="auto"/>
            </w:tcBorders>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260" w:type="dxa"/>
            <w:vAlign w:val="bottom"/>
            <w:tcBorders>
              <w:bottom w:val="single" w:sz="8" w:color="auto"/>
            </w:tcBorders>
            <w:shd w:val="clear" w:color="auto" w:fill="CCEEFF"/>
          </w:tcPr>
          <w:p>
            <w:pPr>
              <w:spacing w:after="0"/>
              <w:rPr>
                <w:sz w:val="16"/>
                <w:szCs w:val="16"/>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974</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3740" w:type="dxa"/>
            <w:vAlign w:val="bottom"/>
            <w:gridSpan w:val="2"/>
          </w:tcPr>
          <w:p>
            <w:pPr>
              <w:ind w:left="20"/>
              <w:spacing w:after="0"/>
              <w:rPr>
                <w:sz w:val="20"/>
                <w:szCs w:val="20"/>
                <w:color w:val="auto"/>
              </w:rPr>
            </w:pPr>
            <w:r>
              <w:rPr>
                <w:rFonts w:ascii="Arial" w:cs="Arial" w:eastAsia="Arial" w:hAnsi="Arial"/>
                <w:sz w:val="14"/>
                <w:szCs w:val="14"/>
                <w:color w:val="auto"/>
              </w:rPr>
              <w:t>Total investment securities</w:t>
            </w:r>
          </w:p>
        </w:tc>
        <w:tc>
          <w:tcPr>
            <w:tcW w:w="10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0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4"/>
                <w:szCs w:val="14"/>
                <w:color w:val="auto"/>
              </w:rPr>
              <w:t>48,862</w:t>
            </w: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0" w:type="dxa"/>
            <w:vAlign w:val="bottom"/>
            <w:tcBorders>
              <w:bottom w:val="single" w:sz="8" w:color="auto"/>
            </w:tcBorders>
          </w:tcPr>
          <w:p>
            <w:pPr>
              <w:jc w:val="right"/>
              <w:ind w:right="635"/>
              <w:spacing w:after="0"/>
              <w:rPr>
                <w:sz w:val="20"/>
                <w:szCs w:val="20"/>
                <w:color w:val="auto"/>
              </w:rPr>
            </w:pPr>
            <w:r>
              <w:rPr>
                <w:rFonts w:ascii="Arial" w:cs="Arial" w:eastAsia="Arial" w:hAnsi="Arial"/>
                <w:sz w:val="14"/>
                <w:szCs w:val="14"/>
                <w:color w:val="auto"/>
              </w:rPr>
              <w:t>$</w:t>
            </w:r>
          </w:p>
        </w:tc>
        <w:tc>
          <w:tcPr>
            <w:tcW w:w="4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color w:val="auto"/>
                <w:w w:val="93"/>
              </w:rPr>
              <w:t>45,401</w:t>
            </w:r>
          </w:p>
        </w:tc>
        <w:tc>
          <w:tcPr>
            <w:tcW w:w="160" w:type="dxa"/>
            <w:vAlign w:val="bottom"/>
          </w:tcPr>
          <w:p>
            <w:pPr>
              <w:spacing w:after="0"/>
              <w:rPr>
                <w:sz w:val="15"/>
                <w:szCs w:val="15"/>
                <w:color w:val="auto"/>
              </w:rPr>
            </w:pPr>
          </w:p>
        </w:tc>
        <w:tc>
          <w:tcPr>
            <w:tcW w:w="540" w:type="dxa"/>
            <w:vAlign w:val="bottom"/>
            <w:tcBorders>
              <w:bottom w:val="single" w:sz="8" w:color="auto"/>
            </w:tcBorders>
          </w:tcPr>
          <w:p>
            <w:pPr>
              <w:jc w:val="right"/>
              <w:ind w:right="375"/>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53,628</w:t>
            </w:r>
          </w:p>
        </w:tc>
        <w:tc>
          <w:tcPr>
            <w:tcW w:w="60" w:type="dxa"/>
            <w:vAlign w:val="bottom"/>
            <w:tcBorders>
              <w:bottom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w w:val="76"/>
              </w:rPr>
              <w:t>$</w:t>
            </w:r>
          </w:p>
        </w:tc>
        <w:tc>
          <w:tcPr>
            <w:tcW w:w="140" w:type="dxa"/>
            <w:vAlign w:val="bottom"/>
            <w:tcBorders>
              <w:bottom w:val="single" w:sz="8" w:color="auto"/>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54,421</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36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00" w:type="dxa"/>
            <w:vAlign w:val="bottom"/>
            <w:tcBorders>
              <w:bottom w:val="single" w:sz="8" w:color="auto"/>
            </w:tcBorders>
            <w:gridSpan w:val="2"/>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312"/>
        </w:trPr>
        <w:tc>
          <w:tcPr>
            <w:tcW w:w="20" w:type="dxa"/>
            <w:vAlign w:val="bottom"/>
          </w:tcPr>
          <w:p>
            <w:pPr>
              <w:spacing w:after="0"/>
              <w:rPr>
                <w:sz w:val="24"/>
                <w:szCs w:val="24"/>
                <w:color w:val="auto"/>
              </w:rPr>
            </w:pPr>
          </w:p>
        </w:tc>
        <w:tc>
          <w:tcPr>
            <w:tcW w:w="36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280" w:type="dxa"/>
            <w:vAlign w:val="bottom"/>
            <w:tcBorders>
              <w:bottom w:val="single" w:sz="8" w:color="auto"/>
            </w:tcBorders>
            <w:gridSpan w:val="4"/>
          </w:tcPr>
          <w:p>
            <w:pPr>
              <w:jc w:val="right"/>
              <w:ind w:right="377"/>
              <w:spacing w:after="0"/>
              <w:rPr>
                <w:sz w:val="20"/>
                <w:szCs w:val="20"/>
                <w:color w:val="auto"/>
              </w:rPr>
            </w:pPr>
            <w:r>
              <w:rPr>
                <w:rFonts w:ascii="Arial" w:cs="Arial" w:eastAsia="Arial" w:hAnsi="Arial"/>
                <w:sz w:val="14"/>
                <w:szCs w:val="14"/>
                <w:b w:val="1"/>
                <w:bCs w:val="1"/>
                <w:color w:val="auto"/>
                <w:w w:val="90"/>
              </w:rPr>
              <w:t>June 30, 2022</w:t>
            </w:r>
          </w:p>
        </w:tc>
        <w:tc>
          <w:tcPr>
            <w:tcW w:w="16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36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gridSpan w:val="5"/>
          </w:tcPr>
          <w:p>
            <w:pPr>
              <w:ind w:left="20"/>
              <w:spacing w:after="0"/>
              <w:rPr>
                <w:sz w:val="20"/>
                <w:szCs w:val="20"/>
                <w:color w:val="auto"/>
              </w:rPr>
            </w:pPr>
            <w:r>
              <w:rPr>
                <w:rFonts w:ascii="Arial" w:cs="Arial" w:eastAsia="Arial" w:hAnsi="Arial"/>
                <w:sz w:val="14"/>
                <w:szCs w:val="14"/>
                <w:b w:val="1"/>
                <w:bCs w:val="1"/>
                <w:color w:val="auto"/>
              </w:rPr>
              <w:t>Agency RMBS</w:t>
            </w:r>
          </w:p>
        </w:tc>
        <w:tc>
          <w:tcPr>
            <w:tcW w:w="18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980" w:type="dxa"/>
            <w:vAlign w:val="bottom"/>
            <w:tcBorders>
              <w:bottom w:val="single" w:sz="8" w:color="auto"/>
            </w:tcBorders>
            <w:gridSpan w:val="6"/>
          </w:tcPr>
          <w:p>
            <w:pPr>
              <w:jc w:val="right"/>
              <w:ind w:right="575"/>
              <w:spacing w:after="0"/>
              <w:rPr>
                <w:sz w:val="20"/>
                <w:szCs w:val="20"/>
                <w:color w:val="auto"/>
              </w:rPr>
            </w:pPr>
            <w:r>
              <w:rPr>
                <w:rFonts w:ascii="Arial" w:cs="Arial" w:eastAsia="Arial" w:hAnsi="Arial"/>
                <w:sz w:val="14"/>
                <w:szCs w:val="14"/>
                <w:b w:val="1"/>
                <w:bCs w:val="1"/>
                <w:color w:val="auto"/>
              </w:rPr>
              <w:t>Non-Agency</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374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Investment Securities</w:t>
            </w:r>
          </w:p>
        </w:tc>
        <w:tc>
          <w:tcPr>
            <w:tcW w:w="100" w:type="dxa"/>
            <w:vAlign w:val="bottom"/>
          </w:tcPr>
          <w:p>
            <w:pPr>
              <w:spacing w:after="0"/>
              <w:rPr>
                <w:sz w:val="11"/>
                <w:szCs w:val="11"/>
                <w:color w:val="auto"/>
              </w:rPr>
            </w:pPr>
          </w:p>
        </w:tc>
        <w:tc>
          <w:tcPr>
            <w:tcW w:w="100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Fannie Mae</w:t>
            </w:r>
          </w:p>
        </w:tc>
        <w:tc>
          <w:tcPr>
            <w:tcW w:w="80" w:type="dxa"/>
            <w:vAlign w:val="bottom"/>
          </w:tcPr>
          <w:p>
            <w:pPr>
              <w:spacing w:after="0"/>
              <w:rPr>
                <w:sz w:val="11"/>
                <w:szCs w:val="11"/>
                <w:color w:val="auto"/>
              </w:rPr>
            </w:pPr>
          </w:p>
        </w:tc>
        <w:tc>
          <w:tcPr>
            <w:tcW w:w="980" w:type="dxa"/>
            <w:vAlign w:val="bottom"/>
            <w:gridSpan w:val="4"/>
            <w:vMerge w:val="restart"/>
          </w:tcPr>
          <w:p>
            <w:pPr>
              <w:spacing w:after="0"/>
              <w:rPr>
                <w:sz w:val="20"/>
                <w:szCs w:val="20"/>
                <w:color w:val="auto"/>
              </w:rPr>
            </w:pPr>
            <w:r>
              <w:rPr>
                <w:rFonts w:ascii="Arial" w:cs="Arial" w:eastAsia="Arial" w:hAnsi="Arial"/>
                <w:sz w:val="14"/>
                <w:szCs w:val="14"/>
                <w:b w:val="1"/>
                <w:bCs w:val="1"/>
                <w:color w:val="auto"/>
              </w:rPr>
              <w:t>Freddie Mac</w:t>
            </w:r>
          </w:p>
        </w:tc>
        <w:tc>
          <w:tcPr>
            <w:tcW w:w="180" w:type="dxa"/>
            <w:vAlign w:val="bottom"/>
          </w:tcPr>
          <w:p>
            <w:pPr>
              <w:spacing w:after="0"/>
              <w:rPr>
                <w:sz w:val="11"/>
                <w:szCs w:val="11"/>
                <w:color w:val="auto"/>
              </w:rPr>
            </w:pPr>
          </w:p>
        </w:tc>
        <w:tc>
          <w:tcPr>
            <w:tcW w:w="800" w:type="dxa"/>
            <w:vAlign w:val="bottom"/>
          </w:tcPr>
          <w:p>
            <w:pPr>
              <w:jc w:val="right"/>
              <w:ind w:right="213"/>
              <w:spacing w:after="0" w:line="130" w:lineRule="exact"/>
              <w:rPr>
                <w:sz w:val="20"/>
                <w:szCs w:val="20"/>
                <w:color w:val="auto"/>
              </w:rPr>
            </w:pPr>
            <w:r>
              <w:rPr>
                <w:rFonts w:ascii="Arial" w:cs="Arial" w:eastAsia="Arial" w:hAnsi="Arial"/>
                <w:sz w:val="14"/>
                <w:szCs w:val="14"/>
                <w:b w:val="1"/>
                <w:bCs w:val="1"/>
                <w:color w:val="auto"/>
              </w:rPr>
              <w:t>Ginnie</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0" w:type="dxa"/>
            <w:vAlign w:val="bottom"/>
            <w:vMerge w:val="restart"/>
          </w:tcPr>
          <w:p>
            <w:pPr>
              <w:jc w:val="right"/>
              <w:ind w:right="115"/>
              <w:spacing w:after="0"/>
              <w:rPr>
                <w:sz w:val="20"/>
                <w:szCs w:val="20"/>
                <w:color w:val="auto"/>
              </w:rPr>
            </w:pPr>
            <w:r>
              <w:rPr>
                <w:rFonts w:ascii="Arial" w:cs="Arial" w:eastAsia="Arial" w:hAnsi="Arial"/>
                <w:sz w:val="14"/>
                <w:szCs w:val="14"/>
                <w:b w:val="1"/>
                <w:bCs w:val="1"/>
                <w:color w:val="auto"/>
              </w:rPr>
              <w:t>RMBS</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2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CMBS</w:t>
            </w:r>
          </w:p>
        </w:tc>
        <w:tc>
          <w:tcPr>
            <w:tcW w:w="100" w:type="dxa"/>
            <w:vAlign w:val="bottom"/>
          </w:tcPr>
          <w:p>
            <w:pPr>
              <w:spacing w:after="0"/>
              <w:rPr>
                <w:sz w:val="11"/>
                <w:szCs w:val="11"/>
                <w:color w:val="auto"/>
              </w:rPr>
            </w:pPr>
          </w:p>
        </w:tc>
        <w:tc>
          <w:tcPr>
            <w:tcW w:w="980" w:type="dxa"/>
            <w:vAlign w:val="bottom"/>
            <w:gridSpan w:val="5"/>
            <w:vMerge w:val="restart"/>
          </w:tcPr>
          <w:p>
            <w:pPr>
              <w:ind w:left="220"/>
              <w:spacing w:after="0"/>
              <w:rPr>
                <w:sz w:val="20"/>
                <w:szCs w:val="20"/>
                <w:color w:val="auto"/>
              </w:rPr>
            </w:pPr>
            <w:r>
              <w:rPr>
                <w:rFonts w:ascii="Arial" w:cs="Arial" w:eastAsia="Arial" w:hAnsi="Arial"/>
                <w:sz w:val="14"/>
                <w:szCs w:val="14"/>
                <w:b w:val="1"/>
                <w:bCs w:val="1"/>
                <w:color w:val="auto"/>
              </w:rPr>
              <w:t>CRT</w:t>
            </w:r>
          </w:p>
        </w:tc>
        <w:tc>
          <w:tcPr>
            <w:tcW w:w="260" w:type="dxa"/>
            <w:vAlign w:val="bottom"/>
          </w:tcPr>
          <w:p>
            <w:pPr>
              <w:spacing w:after="0"/>
              <w:rPr>
                <w:sz w:val="11"/>
                <w:szCs w:val="11"/>
                <w:color w:val="auto"/>
              </w:rPr>
            </w:pPr>
          </w:p>
        </w:tc>
        <w:tc>
          <w:tcPr>
            <w:tcW w:w="700" w:type="dxa"/>
            <w:vAlign w:val="bottom"/>
            <w:vMerge w:val="restart"/>
          </w:tcPr>
          <w:p>
            <w:pPr>
              <w:jc w:val="right"/>
              <w:ind w:right="254"/>
              <w:spacing w:after="0"/>
              <w:rPr>
                <w:sz w:val="20"/>
                <w:szCs w:val="20"/>
                <w:color w:val="auto"/>
              </w:rPr>
            </w:pPr>
            <w:r>
              <w:rPr>
                <w:rFonts w:ascii="Arial" w:cs="Arial" w:eastAsia="Arial" w:hAnsi="Arial"/>
                <w:sz w:val="14"/>
                <w:szCs w:val="14"/>
                <w:b w:val="1"/>
                <w:bCs w:val="1"/>
                <w:color w:val="auto"/>
              </w:rPr>
              <w:t>Total</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8"/>
        </w:trPr>
        <w:tc>
          <w:tcPr>
            <w:tcW w:w="20" w:type="dxa"/>
            <w:vAlign w:val="bottom"/>
          </w:tcPr>
          <w:p>
            <w:pPr>
              <w:spacing w:after="0"/>
              <w:rPr>
                <w:sz w:val="16"/>
                <w:szCs w:val="16"/>
                <w:color w:val="auto"/>
              </w:rPr>
            </w:pPr>
          </w:p>
        </w:tc>
        <w:tc>
          <w:tcPr>
            <w:tcW w:w="374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1000" w:type="dxa"/>
            <w:vAlign w:val="bottom"/>
            <w:gridSpan w:val="2"/>
            <w:vMerge w:val="continue"/>
          </w:tcPr>
          <w:p>
            <w:pPr>
              <w:spacing w:after="0"/>
              <w:rPr>
                <w:sz w:val="16"/>
                <w:szCs w:val="16"/>
                <w:color w:val="auto"/>
              </w:rPr>
            </w:pPr>
          </w:p>
        </w:tc>
        <w:tc>
          <w:tcPr>
            <w:tcW w:w="80" w:type="dxa"/>
            <w:vAlign w:val="bottom"/>
          </w:tcPr>
          <w:p>
            <w:pPr>
              <w:spacing w:after="0"/>
              <w:rPr>
                <w:sz w:val="16"/>
                <w:szCs w:val="16"/>
                <w:color w:val="auto"/>
              </w:rPr>
            </w:pPr>
          </w:p>
        </w:tc>
        <w:tc>
          <w:tcPr>
            <w:tcW w:w="980" w:type="dxa"/>
            <w:vAlign w:val="bottom"/>
            <w:gridSpan w:val="4"/>
            <w:vMerge w:val="continue"/>
          </w:tcPr>
          <w:p>
            <w:pPr>
              <w:spacing w:after="0"/>
              <w:rPr>
                <w:sz w:val="16"/>
                <w:szCs w:val="16"/>
                <w:color w:val="auto"/>
              </w:rPr>
            </w:pPr>
          </w:p>
        </w:tc>
        <w:tc>
          <w:tcPr>
            <w:tcW w:w="180" w:type="dxa"/>
            <w:vAlign w:val="bottom"/>
          </w:tcPr>
          <w:p>
            <w:pPr>
              <w:spacing w:after="0"/>
              <w:rPr>
                <w:sz w:val="16"/>
                <w:szCs w:val="16"/>
                <w:color w:val="auto"/>
              </w:rPr>
            </w:pPr>
          </w:p>
        </w:tc>
        <w:tc>
          <w:tcPr>
            <w:tcW w:w="880" w:type="dxa"/>
            <w:vAlign w:val="bottom"/>
            <w:gridSpan w:val="2"/>
          </w:tcPr>
          <w:p>
            <w:pPr>
              <w:jc w:val="right"/>
              <w:ind w:right="440"/>
              <w:spacing w:after="0"/>
              <w:rPr>
                <w:sz w:val="20"/>
                <w:szCs w:val="20"/>
                <w:color w:val="auto"/>
              </w:rPr>
            </w:pPr>
            <w:r>
              <w:rPr>
                <w:rFonts w:ascii="Arial" w:cs="Arial" w:eastAsia="Arial" w:hAnsi="Arial"/>
                <w:sz w:val="14"/>
                <w:szCs w:val="14"/>
                <w:b w:val="1"/>
                <w:bCs w:val="1"/>
                <w:color w:val="auto"/>
              </w:rPr>
              <w:t>Mae</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820" w:type="dxa"/>
            <w:vAlign w:val="bottom"/>
            <w:gridSpan w:val="3"/>
            <w:vMerge w:val="continue"/>
          </w:tcPr>
          <w:p>
            <w:pPr>
              <w:spacing w:after="0"/>
              <w:rPr>
                <w:sz w:val="16"/>
                <w:szCs w:val="16"/>
                <w:color w:val="auto"/>
              </w:rPr>
            </w:pPr>
          </w:p>
        </w:tc>
        <w:tc>
          <w:tcPr>
            <w:tcW w:w="100" w:type="dxa"/>
            <w:vAlign w:val="bottom"/>
          </w:tcPr>
          <w:p>
            <w:pPr>
              <w:spacing w:after="0"/>
              <w:rPr>
                <w:sz w:val="16"/>
                <w:szCs w:val="16"/>
                <w:color w:val="auto"/>
              </w:rPr>
            </w:pPr>
          </w:p>
        </w:tc>
        <w:tc>
          <w:tcPr>
            <w:tcW w:w="980" w:type="dxa"/>
            <w:vAlign w:val="bottom"/>
            <w:gridSpan w:val="5"/>
            <w:vMerge w:val="continue"/>
          </w:tcPr>
          <w:p>
            <w:pPr>
              <w:spacing w:after="0"/>
              <w:rPr>
                <w:sz w:val="16"/>
                <w:szCs w:val="16"/>
                <w:color w:val="auto"/>
              </w:rPr>
            </w:pPr>
          </w:p>
        </w:tc>
        <w:tc>
          <w:tcPr>
            <w:tcW w:w="26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3"/>
        </w:trPr>
        <w:tc>
          <w:tcPr>
            <w:tcW w:w="20" w:type="dxa"/>
            <w:vAlign w:val="bottom"/>
            <w:tcBorders>
              <w:top w:val="single" w:sz="8" w:color="auto"/>
            </w:tcBorders>
          </w:tcPr>
          <w:p>
            <w:pPr>
              <w:spacing w:after="0"/>
              <w:rPr>
                <w:sz w:val="14"/>
                <w:szCs w:val="14"/>
                <w:color w:val="auto"/>
              </w:rPr>
            </w:pPr>
          </w:p>
        </w:tc>
        <w:tc>
          <w:tcPr>
            <w:tcW w:w="3640" w:type="dxa"/>
            <w:vAlign w:val="bottom"/>
            <w:tcBorders>
              <w:top w:val="single" w:sz="8" w:color="auto"/>
            </w:tcBorders>
          </w:tcPr>
          <w:p>
            <w:pPr>
              <w:spacing w:after="0"/>
              <w:rPr>
                <w:sz w:val="20"/>
                <w:szCs w:val="20"/>
                <w:color w:val="auto"/>
              </w:rPr>
            </w:pPr>
            <w:r>
              <w:rPr>
                <w:rFonts w:ascii="Arial" w:cs="Arial" w:eastAsia="Arial" w:hAnsi="Arial"/>
                <w:sz w:val="13"/>
                <w:szCs w:val="13"/>
                <w:color w:val="auto"/>
              </w:rPr>
              <w:t>Available-for-sale securities:</w:t>
            </w:r>
          </w:p>
        </w:tc>
        <w:tc>
          <w:tcPr>
            <w:tcW w:w="100" w:type="dxa"/>
            <w:vAlign w:val="bottom"/>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880" w:type="dxa"/>
            <w:vAlign w:val="bottom"/>
            <w:tcBorders>
              <w:top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580" w:type="dxa"/>
            <w:vAlign w:val="bottom"/>
            <w:tcBorders>
              <w:top w:val="single" w:sz="8" w:color="auto"/>
            </w:tcBorders>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800" w:type="dxa"/>
            <w:vAlign w:val="bottom"/>
            <w:tcBorders>
              <w:top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800" w:type="dxa"/>
            <w:vAlign w:val="bottom"/>
            <w:tcBorders>
              <w:top w:val="single" w:sz="8" w:color="auto"/>
            </w:tcBorders>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Borders>
              <w:top w:val="single" w:sz="8" w:color="auto"/>
            </w:tcBorders>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540" w:type="dxa"/>
            <w:vAlign w:val="bottom"/>
            <w:tcBorders>
              <w:top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480" w:type="dxa"/>
            <w:vAlign w:val="bottom"/>
            <w:tcBorders>
              <w:top w:val="single" w:sz="8" w:color="auto"/>
            </w:tcBorders>
          </w:tcPr>
          <w:p>
            <w:pPr>
              <w:spacing w:after="0"/>
              <w:rPr>
                <w:sz w:val="14"/>
                <w:szCs w:val="14"/>
                <w:color w:val="auto"/>
              </w:rPr>
            </w:pPr>
          </w:p>
        </w:tc>
        <w:tc>
          <w:tcPr>
            <w:tcW w:w="60" w:type="dxa"/>
            <w:vAlign w:val="bottom"/>
            <w:tcBorders>
              <w:top w:val="single" w:sz="8" w:color="auto"/>
            </w:tcBorders>
          </w:tcPr>
          <w:p>
            <w:pPr>
              <w:spacing w:after="0"/>
              <w:rPr>
                <w:sz w:val="14"/>
                <w:szCs w:val="14"/>
                <w:color w:val="auto"/>
              </w:rPr>
            </w:pPr>
          </w:p>
        </w:tc>
        <w:tc>
          <w:tcPr>
            <w:tcW w:w="120" w:type="dxa"/>
            <w:vAlign w:val="bottom"/>
            <w:tcBorders>
              <w:top w:val="single" w:sz="8" w:color="auto"/>
            </w:tcBorders>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260" w:type="dxa"/>
            <w:vAlign w:val="bottom"/>
            <w:tcBorders>
              <w:top w:val="single" w:sz="8" w:color="auto"/>
            </w:tcBorders>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20" w:type="dxa"/>
            <w:vAlign w:val="bottom"/>
            <w:tcBorders>
              <w:top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20" w:type="dxa"/>
            <w:vAlign w:val="bottom"/>
            <w:shd w:val="clear" w:color="auto" w:fill="CCEEFF"/>
          </w:tcPr>
          <w:p>
            <w:pPr>
              <w:spacing w:after="0"/>
              <w:rPr>
                <w:sz w:val="15"/>
                <w:szCs w:val="15"/>
                <w:color w:val="auto"/>
              </w:rPr>
            </w:pPr>
          </w:p>
        </w:tc>
        <w:tc>
          <w:tcPr>
            <w:tcW w:w="3740" w:type="dxa"/>
            <w:vAlign w:val="bottom"/>
            <w:gridSpan w:val="2"/>
            <w:shd w:val="clear" w:color="auto" w:fill="CCEEFF"/>
          </w:tcPr>
          <w:p>
            <w:pPr>
              <w:ind w:left="160"/>
              <w:spacing w:after="0"/>
              <w:rPr>
                <w:sz w:val="20"/>
                <w:szCs w:val="20"/>
                <w:color w:val="auto"/>
              </w:rPr>
            </w:pPr>
            <w:r>
              <w:rPr>
                <w:rFonts w:ascii="Arial" w:cs="Arial" w:eastAsia="Arial" w:hAnsi="Arial"/>
                <w:sz w:val="13"/>
                <w:szCs w:val="13"/>
                <w:color w:val="auto"/>
              </w:rPr>
              <w:t>Par value</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8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5,236</w:t>
            </w:r>
          </w:p>
        </w:tc>
        <w:tc>
          <w:tcPr>
            <w:tcW w:w="120" w:type="dxa"/>
            <w:vAlign w:val="bottom"/>
            <w:shd w:val="clear" w:color="auto" w:fill="CCEEFF"/>
          </w:tcPr>
          <w:p>
            <w:pPr>
              <w:spacing w:after="0"/>
              <w:rPr>
                <w:sz w:val="15"/>
                <w:szCs w:val="15"/>
                <w:color w:val="auto"/>
              </w:rPr>
            </w:pPr>
          </w:p>
        </w:tc>
        <w:tc>
          <w:tcPr>
            <w:tcW w:w="80" w:type="dxa"/>
            <w:vAlign w:val="bottom"/>
            <w:shd w:val="clear" w:color="auto" w:fill="CCEEFF"/>
          </w:tcPr>
          <w:p>
            <w:pPr>
              <w:ind w:left="20"/>
              <w:spacing w:after="0"/>
              <w:rPr>
                <w:sz w:val="20"/>
                <w:szCs w:val="20"/>
                <w:color w:val="auto"/>
              </w:rPr>
            </w:pPr>
            <w:r>
              <w:rPr>
                <w:rFonts w:ascii="Arial" w:cs="Arial" w:eastAsia="Arial" w:hAnsi="Arial"/>
                <w:sz w:val="10"/>
                <w:szCs w:val="10"/>
                <w:color w:val="auto"/>
                <w:w w:val="71"/>
              </w:rPr>
              <w:t>$</w:t>
            </w: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1,683</w:t>
            </w: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jc w:val="right"/>
              <w:ind w:right="34"/>
              <w:spacing w:after="0"/>
              <w:rPr>
                <w:sz w:val="20"/>
                <w:szCs w:val="20"/>
                <w:color w:val="auto"/>
              </w:rPr>
            </w:pPr>
            <w:r>
              <w:rPr>
                <w:rFonts w:ascii="Arial" w:cs="Arial" w:eastAsia="Arial" w:hAnsi="Arial"/>
                <w:sz w:val="13"/>
                <w:szCs w:val="13"/>
                <w:color w:val="auto"/>
                <w:w w:val="82"/>
              </w:rPr>
              <w:t>$</w:t>
            </w:r>
          </w:p>
        </w:tc>
        <w:tc>
          <w:tcPr>
            <w:tcW w:w="800" w:type="dxa"/>
            <w:vAlign w:val="bottom"/>
            <w:shd w:val="clear" w:color="auto" w:fill="CCEEFF"/>
          </w:tcPr>
          <w:p>
            <w:pPr>
              <w:jc w:val="right"/>
              <w:ind w:right="113"/>
              <w:spacing w:after="0"/>
              <w:rPr>
                <w:sz w:val="20"/>
                <w:szCs w:val="20"/>
                <w:color w:val="auto"/>
              </w:rPr>
            </w:pPr>
            <w:r>
              <w:rPr>
                <w:rFonts w:ascii="Arial" w:cs="Arial" w:eastAsia="Arial" w:hAnsi="Arial"/>
                <w:sz w:val="13"/>
                <w:szCs w:val="13"/>
                <w:color w:val="auto"/>
              </w:rPr>
              <w:t>1</w:t>
            </w:r>
          </w:p>
        </w:tc>
        <w:tc>
          <w:tcPr>
            <w:tcW w:w="80" w:type="dxa"/>
            <w:vAlign w:val="bottom"/>
            <w:shd w:val="clear" w:color="auto" w:fill="CCEEFF"/>
          </w:tcPr>
          <w:p>
            <w:pPr>
              <w:spacing w:after="0"/>
              <w:rPr>
                <w:sz w:val="15"/>
                <w:szCs w:val="15"/>
                <w:color w:val="auto"/>
              </w:rPr>
            </w:pP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800" w:type="dxa"/>
            <w:vAlign w:val="bottom"/>
            <w:shd w:val="clear" w:color="auto" w:fill="CCEEFF"/>
          </w:tcPr>
          <w:p>
            <w:pPr>
              <w:jc w:val="right"/>
              <w:ind w:right="15"/>
              <w:spacing w:after="0"/>
              <w:rPr>
                <w:sz w:val="20"/>
                <w:szCs w:val="20"/>
                <w:color w:val="auto"/>
              </w:rPr>
            </w:pPr>
            <w:r>
              <w:rPr>
                <w:rFonts w:ascii="Arial" w:cs="Arial" w:eastAsia="Arial" w:hAnsi="Arial"/>
                <w:sz w:val="13"/>
                <w:szCs w:val="13"/>
                <w:color w:val="auto"/>
              </w:rPr>
              <w:t>—</w:t>
            </w:r>
          </w:p>
        </w:tc>
        <w:tc>
          <w:tcPr>
            <w:tcW w:w="480" w:type="dxa"/>
            <w:vAlign w:val="bottom"/>
            <w:gridSpan w:val="3"/>
            <w:shd w:val="clear" w:color="auto" w:fill="CCEEFF"/>
          </w:tcPr>
          <w:p>
            <w:pPr>
              <w:jc w:val="right"/>
              <w:ind w:right="137"/>
              <w:spacing w:after="0"/>
              <w:rPr>
                <w:sz w:val="20"/>
                <w:szCs w:val="20"/>
                <w:color w:val="auto"/>
              </w:rPr>
            </w:pPr>
            <w:r>
              <w:rPr>
                <w:rFonts w:ascii="Arial" w:cs="Arial" w:eastAsia="Arial" w:hAnsi="Arial"/>
                <w:sz w:val="13"/>
                <w:szCs w:val="13"/>
                <w:color w:val="auto"/>
              </w:rPr>
              <w:t>$</w:t>
            </w:r>
          </w:p>
        </w:tc>
        <w:tc>
          <w:tcPr>
            <w:tcW w:w="160" w:type="dxa"/>
            <w:vAlign w:val="bottom"/>
            <w:shd w:val="clear" w:color="auto" w:fill="CCEEFF"/>
          </w:tcPr>
          <w:p>
            <w:pPr>
              <w:spacing w:after="0"/>
              <w:rPr>
                <w:sz w:val="15"/>
                <w:szCs w:val="15"/>
                <w:color w:val="auto"/>
              </w:rPr>
            </w:pPr>
          </w:p>
        </w:tc>
        <w:tc>
          <w:tcPr>
            <w:tcW w:w="660" w:type="dxa"/>
            <w:vAlign w:val="bottom"/>
            <w:gridSpan w:val="2"/>
            <w:shd w:val="clear" w:color="auto" w:fill="CCEEFF"/>
          </w:tcPr>
          <w:p>
            <w:pPr>
              <w:jc w:val="right"/>
              <w:ind w:right="28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48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440" w:type="dxa"/>
            <w:vAlign w:val="bottom"/>
            <w:gridSpan w:val="3"/>
            <w:shd w:val="clear" w:color="auto" w:fill="CCEEFF"/>
          </w:tcPr>
          <w:p>
            <w:pPr>
              <w:jc w:val="right"/>
              <w:ind w:right="300"/>
              <w:spacing w:after="0"/>
              <w:rPr>
                <w:sz w:val="20"/>
                <w:szCs w:val="20"/>
                <w:color w:val="auto"/>
              </w:rPr>
            </w:pPr>
            <w:r>
              <w:rPr>
                <w:rFonts w:ascii="Arial" w:cs="Arial" w:eastAsia="Arial" w:hAnsi="Arial"/>
                <w:sz w:val="13"/>
                <w:szCs w:val="13"/>
                <w:color w:val="auto"/>
                <w:w w:val="91"/>
              </w:rPr>
              <w:t>—</w:t>
            </w:r>
          </w:p>
        </w:tc>
        <w:tc>
          <w:tcPr>
            <w:tcW w:w="260" w:type="dxa"/>
            <w:vAlign w:val="bottom"/>
            <w:shd w:val="clear" w:color="auto" w:fill="CCEEFF"/>
          </w:tcPr>
          <w:p>
            <w:pPr>
              <w:ind w:left="20"/>
              <w:spacing w:after="0"/>
              <w:rPr>
                <w:sz w:val="20"/>
                <w:szCs w:val="20"/>
                <w:color w:val="auto"/>
              </w:rPr>
            </w:pPr>
            <w:r>
              <w:rPr>
                <w:rFonts w:ascii="Arial" w:cs="Arial" w:eastAsia="Arial" w:hAnsi="Arial"/>
                <w:sz w:val="13"/>
                <w:szCs w:val="13"/>
                <w:color w:val="auto"/>
              </w:rPr>
              <w:t>$</w:t>
            </w:r>
          </w:p>
        </w:tc>
        <w:tc>
          <w:tcPr>
            <w:tcW w:w="700" w:type="dxa"/>
            <w:vAlign w:val="bottom"/>
            <w:shd w:val="clear" w:color="auto" w:fill="CCEEFF"/>
          </w:tcPr>
          <w:p>
            <w:pPr>
              <w:jc w:val="right"/>
              <w:ind w:right="74"/>
              <w:spacing w:after="0"/>
              <w:rPr>
                <w:sz w:val="20"/>
                <w:szCs w:val="20"/>
                <w:color w:val="auto"/>
              </w:rPr>
            </w:pPr>
            <w:r>
              <w:rPr>
                <w:rFonts w:ascii="Arial" w:cs="Arial" w:eastAsia="Arial" w:hAnsi="Arial"/>
                <w:sz w:val="13"/>
                <w:szCs w:val="13"/>
                <w:color w:val="auto"/>
              </w:rPr>
              <w:t>6,920</w:t>
            </w:r>
          </w:p>
        </w:tc>
        <w:tc>
          <w:tcPr>
            <w:tcW w:w="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3740" w:type="dxa"/>
            <w:vAlign w:val="bottom"/>
            <w:gridSpan w:val="2"/>
          </w:tcPr>
          <w:p>
            <w:pPr>
              <w:ind w:left="160"/>
              <w:spacing w:after="0"/>
              <w:rPr>
                <w:sz w:val="20"/>
                <w:szCs w:val="20"/>
                <w:color w:val="auto"/>
              </w:rPr>
            </w:pPr>
            <w:r>
              <w:rPr>
                <w:rFonts w:ascii="Arial" w:cs="Arial" w:eastAsia="Arial" w:hAnsi="Arial"/>
                <w:sz w:val="13"/>
                <w:szCs w:val="13"/>
                <w:color w:val="auto"/>
              </w:rPr>
              <w:t>Unamortized discount</w:t>
            </w:r>
          </w:p>
        </w:tc>
        <w:tc>
          <w:tcPr>
            <w:tcW w:w="100" w:type="dxa"/>
            <w:vAlign w:val="bottom"/>
          </w:tcPr>
          <w:p>
            <w:pPr>
              <w:spacing w:after="0"/>
              <w:rPr>
                <w:sz w:val="14"/>
                <w:szCs w:val="14"/>
                <w:color w:val="auto"/>
              </w:rPr>
            </w:pPr>
          </w:p>
        </w:tc>
        <w:tc>
          <w:tcPr>
            <w:tcW w:w="880" w:type="dxa"/>
            <w:vAlign w:val="bottom"/>
          </w:tcPr>
          <w:p>
            <w:pPr>
              <w:jc w:val="right"/>
              <w:ind w:right="57"/>
              <w:spacing w:after="0"/>
              <w:rPr>
                <w:sz w:val="20"/>
                <w:szCs w:val="20"/>
                <w:color w:val="auto"/>
              </w:rPr>
            </w:pPr>
            <w:r>
              <w:rPr>
                <w:rFonts w:ascii="Arial" w:cs="Arial" w:eastAsia="Arial" w:hAnsi="Arial"/>
                <w:sz w:val="13"/>
                <w:szCs w:val="13"/>
                <w:color w:val="auto"/>
              </w:rPr>
              <w:t>(1)</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400" w:type="dxa"/>
            <w:vAlign w:val="bottom"/>
            <w:gridSpan w:val="3"/>
          </w:tcPr>
          <w:p>
            <w:pPr>
              <w:jc w:val="right"/>
              <w:ind w:right="280"/>
              <w:spacing w:after="0"/>
              <w:rPr>
                <w:sz w:val="20"/>
                <w:szCs w:val="20"/>
                <w:color w:val="auto"/>
              </w:rPr>
            </w:pPr>
            <w:r>
              <w:rPr>
                <w:rFonts w:ascii="Arial" w:cs="Arial" w:eastAsia="Arial" w:hAnsi="Arial"/>
                <w:sz w:val="13"/>
                <w:szCs w:val="13"/>
                <w:color w:val="auto"/>
                <w:w w:val="76"/>
              </w:rPr>
              <w:t>—</w:t>
            </w:r>
          </w:p>
        </w:tc>
        <w:tc>
          <w:tcPr>
            <w:tcW w:w="180" w:type="dxa"/>
            <w:vAlign w:val="bottom"/>
          </w:tcPr>
          <w:p>
            <w:pPr>
              <w:spacing w:after="0"/>
              <w:rPr>
                <w:sz w:val="14"/>
                <w:szCs w:val="14"/>
                <w:color w:val="auto"/>
              </w:rPr>
            </w:pPr>
          </w:p>
        </w:tc>
        <w:tc>
          <w:tcPr>
            <w:tcW w:w="880" w:type="dxa"/>
            <w:vAlign w:val="bottom"/>
            <w:gridSpan w:val="2"/>
          </w:tcPr>
          <w:p>
            <w:pPr>
              <w:jc w:val="right"/>
              <w:ind w:right="260"/>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tcPr>
          <w:p>
            <w:pPr>
              <w:jc w:val="right"/>
              <w:ind w:right="15"/>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60" w:type="dxa"/>
            <w:vAlign w:val="bottom"/>
            <w:gridSpan w:val="2"/>
          </w:tcPr>
          <w:p>
            <w:pPr>
              <w:jc w:val="right"/>
              <w:ind w:right="28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40" w:type="dxa"/>
            <w:vAlign w:val="bottom"/>
            <w:gridSpan w:val="3"/>
          </w:tcPr>
          <w:p>
            <w:pPr>
              <w:jc w:val="right"/>
              <w:ind w:right="300"/>
              <w:spacing w:after="0"/>
              <w:rPr>
                <w:sz w:val="20"/>
                <w:szCs w:val="20"/>
                <w:color w:val="auto"/>
              </w:rPr>
            </w:pPr>
            <w:r>
              <w:rPr>
                <w:rFonts w:ascii="Arial" w:cs="Arial" w:eastAsia="Arial" w:hAnsi="Arial"/>
                <w:sz w:val="13"/>
                <w:szCs w:val="13"/>
                <w:color w:val="auto"/>
                <w:w w:val="91"/>
              </w:rPr>
              <w:t>—</w:t>
            </w:r>
          </w:p>
        </w:tc>
        <w:tc>
          <w:tcPr>
            <w:tcW w:w="260" w:type="dxa"/>
            <w:vAlign w:val="bottom"/>
          </w:tcPr>
          <w:p>
            <w:pPr>
              <w:spacing w:after="0"/>
              <w:rPr>
                <w:sz w:val="14"/>
                <w:szCs w:val="14"/>
                <w:color w:val="auto"/>
              </w:rPr>
            </w:pPr>
          </w:p>
        </w:tc>
        <w:tc>
          <w:tcPr>
            <w:tcW w:w="700" w:type="dxa"/>
            <w:vAlign w:val="bottom"/>
          </w:tcPr>
          <w:p>
            <w:pPr>
              <w:jc w:val="right"/>
              <w:ind w:right="54"/>
              <w:spacing w:after="0"/>
              <w:rPr>
                <w:sz w:val="20"/>
                <w:szCs w:val="20"/>
                <w:color w:val="auto"/>
              </w:rPr>
            </w:pPr>
            <w:r>
              <w:rPr>
                <w:rFonts w:ascii="Arial" w:cs="Arial" w:eastAsia="Arial" w:hAnsi="Arial"/>
                <w:sz w:val="13"/>
                <w:szCs w:val="13"/>
                <w:color w:val="auto"/>
              </w:rPr>
              <w:t>(1)</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20" w:type="dxa"/>
            <w:vAlign w:val="bottom"/>
            <w:shd w:val="clear" w:color="auto" w:fill="CCEEFF"/>
          </w:tcPr>
          <w:p>
            <w:pPr>
              <w:spacing w:after="0"/>
              <w:rPr>
                <w:sz w:val="15"/>
                <w:szCs w:val="15"/>
                <w:color w:val="auto"/>
              </w:rPr>
            </w:pPr>
          </w:p>
        </w:tc>
        <w:tc>
          <w:tcPr>
            <w:tcW w:w="3740" w:type="dxa"/>
            <w:vAlign w:val="bottom"/>
            <w:gridSpan w:val="2"/>
            <w:shd w:val="clear" w:color="auto" w:fill="CCEEFF"/>
          </w:tcPr>
          <w:p>
            <w:pPr>
              <w:ind w:left="160"/>
              <w:spacing w:after="0"/>
              <w:rPr>
                <w:sz w:val="20"/>
                <w:szCs w:val="20"/>
                <w:color w:val="auto"/>
              </w:rPr>
            </w:pPr>
            <w:r>
              <w:rPr>
                <w:rFonts w:ascii="Arial" w:cs="Arial" w:eastAsia="Arial" w:hAnsi="Arial"/>
                <w:sz w:val="13"/>
                <w:szCs w:val="13"/>
                <w:color w:val="auto"/>
              </w:rPr>
              <w:t>Unamortized premium</w:t>
            </w:r>
          </w:p>
        </w:tc>
        <w:tc>
          <w:tcPr>
            <w:tcW w:w="100" w:type="dxa"/>
            <w:vAlign w:val="bottom"/>
            <w:shd w:val="clear" w:color="auto" w:fill="CCEEFF"/>
          </w:tcPr>
          <w:p>
            <w:pPr>
              <w:spacing w:after="0"/>
              <w:rPr>
                <w:sz w:val="15"/>
                <w:szCs w:val="15"/>
                <w:color w:val="auto"/>
              </w:rPr>
            </w:pPr>
          </w:p>
        </w:tc>
        <w:tc>
          <w:tcPr>
            <w:tcW w:w="88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306</w:t>
            </w:r>
          </w:p>
        </w:tc>
        <w:tc>
          <w:tcPr>
            <w:tcW w:w="1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102</w:t>
            </w: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8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00" w:type="dxa"/>
            <w:vAlign w:val="bottom"/>
            <w:shd w:val="clear" w:color="auto" w:fill="CCEEFF"/>
          </w:tcPr>
          <w:p>
            <w:pPr>
              <w:jc w:val="right"/>
              <w:ind w:right="15"/>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660" w:type="dxa"/>
            <w:vAlign w:val="bottom"/>
            <w:gridSpan w:val="2"/>
            <w:shd w:val="clear" w:color="auto" w:fill="CCEEFF"/>
          </w:tcPr>
          <w:p>
            <w:pPr>
              <w:jc w:val="right"/>
              <w:ind w:right="28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48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440" w:type="dxa"/>
            <w:vAlign w:val="bottom"/>
            <w:gridSpan w:val="3"/>
            <w:shd w:val="clear" w:color="auto" w:fill="CCEEFF"/>
          </w:tcPr>
          <w:p>
            <w:pPr>
              <w:jc w:val="right"/>
              <w:ind w:right="300"/>
              <w:spacing w:after="0"/>
              <w:rPr>
                <w:sz w:val="20"/>
                <w:szCs w:val="20"/>
                <w:color w:val="auto"/>
              </w:rPr>
            </w:pPr>
            <w:r>
              <w:rPr>
                <w:rFonts w:ascii="Arial" w:cs="Arial" w:eastAsia="Arial" w:hAnsi="Arial"/>
                <w:sz w:val="13"/>
                <w:szCs w:val="13"/>
                <w:color w:val="auto"/>
                <w:w w:val="91"/>
              </w:rPr>
              <w:t>—</w:t>
            </w:r>
          </w:p>
        </w:tc>
        <w:tc>
          <w:tcPr>
            <w:tcW w:w="260" w:type="dxa"/>
            <w:vAlign w:val="bottom"/>
            <w:shd w:val="clear" w:color="auto" w:fill="CCEEFF"/>
          </w:tcPr>
          <w:p>
            <w:pPr>
              <w:spacing w:after="0"/>
              <w:rPr>
                <w:sz w:val="15"/>
                <w:szCs w:val="15"/>
                <w:color w:val="auto"/>
              </w:rPr>
            </w:pPr>
          </w:p>
        </w:tc>
        <w:tc>
          <w:tcPr>
            <w:tcW w:w="700" w:type="dxa"/>
            <w:vAlign w:val="bottom"/>
            <w:shd w:val="clear" w:color="auto" w:fill="CCEEFF"/>
          </w:tcPr>
          <w:p>
            <w:pPr>
              <w:jc w:val="right"/>
              <w:ind w:right="74"/>
              <w:spacing w:after="0"/>
              <w:rPr>
                <w:sz w:val="20"/>
                <w:szCs w:val="20"/>
                <w:color w:val="auto"/>
              </w:rPr>
            </w:pPr>
            <w:r>
              <w:rPr>
                <w:rFonts w:ascii="Arial" w:cs="Arial" w:eastAsia="Arial" w:hAnsi="Arial"/>
                <w:sz w:val="13"/>
                <w:szCs w:val="13"/>
                <w:color w:val="auto"/>
              </w:rPr>
              <w:t>408</w:t>
            </w:r>
          </w:p>
        </w:tc>
        <w:tc>
          <w:tcPr>
            <w:tcW w:w="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740" w:type="dxa"/>
            <w:vAlign w:val="bottom"/>
            <w:gridSpan w:val="2"/>
          </w:tcPr>
          <w:p>
            <w:pPr>
              <w:ind w:left="160"/>
              <w:spacing w:after="0"/>
              <w:rPr>
                <w:sz w:val="20"/>
                <w:szCs w:val="20"/>
                <w:color w:val="auto"/>
              </w:rPr>
            </w:pPr>
            <w:r>
              <w:rPr>
                <w:rFonts w:ascii="Arial" w:cs="Arial" w:eastAsia="Arial" w:hAnsi="Arial"/>
                <w:sz w:val="13"/>
                <w:szCs w:val="13"/>
                <w:color w:val="auto"/>
              </w:rPr>
              <w:t>Amortized cost</w:t>
            </w:r>
          </w:p>
        </w:tc>
        <w:tc>
          <w:tcPr>
            <w:tcW w:w="100" w:type="dxa"/>
            <w:vAlign w:val="bottom"/>
            <w:tcBorders>
              <w:top w:val="single" w:sz="8" w:color="auto"/>
            </w:tcBorders>
          </w:tcPr>
          <w:p>
            <w:pPr>
              <w:spacing w:after="0"/>
              <w:rPr>
                <w:sz w:val="14"/>
                <w:szCs w:val="14"/>
                <w:color w:val="auto"/>
              </w:rPr>
            </w:pPr>
          </w:p>
        </w:tc>
        <w:tc>
          <w:tcPr>
            <w:tcW w:w="880" w:type="dxa"/>
            <w:vAlign w:val="bottom"/>
            <w:tcBorders>
              <w:top w:val="single" w:sz="8" w:color="auto"/>
            </w:tcBorders>
          </w:tcPr>
          <w:p>
            <w:pPr>
              <w:jc w:val="right"/>
              <w:ind w:right="97"/>
              <w:spacing w:after="0"/>
              <w:rPr>
                <w:sz w:val="20"/>
                <w:szCs w:val="20"/>
                <w:color w:val="auto"/>
              </w:rPr>
            </w:pPr>
            <w:r>
              <w:rPr>
                <w:rFonts w:ascii="Arial" w:cs="Arial" w:eastAsia="Arial" w:hAnsi="Arial"/>
                <w:sz w:val="13"/>
                <w:szCs w:val="13"/>
                <w:color w:val="auto"/>
              </w:rPr>
              <w:t>5,541</w:t>
            </w:r>
          </w:p>
        </w:tc>
        <w:tc>
          <w:tcPr>
            <w:tcW w:w="12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740" w:type="dxa"/>
            <w:vAlign w:val="bottom"/>
            <w:tcBorders>
              <w:top w:val="single" w:sz="8" w:color="auto"/>
            </w:tcBorders>
            <w:gridSpan w:val="2"/>
          </w:tcPr>
          <w:p>
            <w:pPr>
              <w:jc w:val="right"/>
              <w:spacing w:after="0"/>
              <w:rPr>
                <w:sz w:val="20"/>
                <w:szCs w:val="20"/>
                <w:color w:val="auto"/>
              </w:rPr>
            </w:pPr>
            <w:r>
              <w:rPr>
                <w:rFonts w:ascii="Arial" w:cs="Arial" w:eastAsia="Arial" w:hAnsi="Arial"/>
                <w:sz w:val="13"/>
                <w:szCs w:val="13"/>
                <w:color w:val="auto"/>
              </w:rPr>
              <w:t>1,785</w:t>
            </w:r>
          </w:p>
        </w:tc>
        <w:tc>
          <w:tcPr>
            <w:tcW w:w="14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800" w:type="dxa"/>
            <w:vAlign w:val="bottom"/>
            <w:tcBorders>
              <w:top w:val="single" w:sz="8" w:color="auto"/>
            </w:tcBorders>
          </w:tcPr>
          <w:p>
            <w:pPr>
              <w:jc w:val="right"/>
              <w:ind w:right="113"/>
              <w:spacing w:after="0"/>
              <w:rPr>
                <w:sz w:val="20"/>
                <w:szCs w:val="20"/>
                <w:color w:val="auto"/>
              </w:rPr>
            </w:pPr>
            <w:r>
              <w:rPr>
                <w:rFonts w:ascii="Arial" w:cs="Arial" w:eastAsia="Arial" w:hAnsi="Arial"/>
                <w:sz w:val="13"/>
                <w:szCs w:val="13"/>
                <w:color w:val="auto"/>
              </w:rPr>
              <w:t>1</w:t>
            </w: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800" w:type="dxa"/>
            <w:vAlign w:val="bottom"/>
            <w:tcBorders>
              <w:top w:val="single" w:sz="8" w:color="auto"/>
            </w:tcBorders>
          </w:tcPr>
          <w:p>
            <w:pPr>
              <w:jc w:val="right"/>
              <w:ind w:right="15"/>
              <w:spacing w:after="0"/>
              <w:rPr>
                <w:sz w:val="20"/>
                <w:szCs w:val="20"/>
                <w:color w:val="auto"/>
              </w:rPr>
            </w:pPr>
            <w:r>
              <w:rPr>
                <w:rFonts w:ascii="Arial" w:cs="Arial" w:eastAsia="Arial" w:hAnsi="Arial"/>
                <w:sz w:val="13"/>
                <w:szCs w:val="13"/>
                <w:color w:val="auto"/>
              </w:rPr>
              <w:t>—</w:t>
            </w:r>
          </w:p>
        </w:tc>
        <w:tc>
          <w:tcPr>
            <w:tcW w:w="10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Borders>
              <w:top w:val="single" w:sz="8" w:color="auto"/>
            </w:tcBorders>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540" w:type="dxa"/>
            <w:vAlign w:val="bottom"/>
            <w:tcBorders>
              <w:top w:val="single" w:sz="8" w:color="auto"/>
            </w:tcBorders>
          </w:tcPr>
          <w:p>
            <w:pPr>
              <w:jc w:val="right"/>
              <w:ind w:right="95"/>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480" w:type="dxa"/>
            <w:vAlign w:val="bottom"/>
            <w:tcBorders>
              <w:top w:val="single" w:sz="8" w:color="auto"/>
            </w:tcBorders>
          </w:tcPr>
          <w:p>
            <w:pPr>
              <w:spacing w:after="0"/>
              <w:rPr>
                <w:sz w:val="14"/>
                <w:szCs w:val="14"/>
                <w:color w:val="auto"/>
              </w:rPr>
            </w:pPr>
          </w:p>
        </w:tc>
        <w:tc>
          <w:tcPr>
            <w:tcW w:w="60" w:type="dxa"/>
            <w:vAlign w:val="bottom"/>
            <w:tcBorders>
              <w:top w:val="single" w:sz="8" w:color="auto"/>
            </w:tcBorders>
          </w:tcPr>
          <w:p>
            <w:pPr>
              <w:spacing w:after="0"/>
              <w:rPr>
                <w:sz w:val="14"/>
                <w:szCs w:val="14"/>
                <w:color w:val="auto"/>
              </w:rPr>
            </w:pPr>
          </w:p>
        </w:tc>
        <w:tc>
          <w:tcPr>
            <w:tcW w:w="300" w:type="dxa"/>
            <w:vAlign w:val="bottom"/>
            <w:tcBorders>
              <w:top w:val="single" w:sz="8" w:color="auto"/>
            </w:tcBorders>
            <w:gridSpan w:val="2"/>
          </w:tcPr>
          <w:p>
            <w:pPr>
              <w:jc w:val="right"/>
              <w:ind w:right="88"/>
              <w:spacing w:after="0"/>
              <w:rPr>
                <w:sz w:val="20"/>
                <w:szCs w:val="20"/>
                <w:color w:val="auto"/>
              </w:rPr>
            </w:pPr>
            <w:r>
              <w:rPr>
                <w:rFonts w:ascii="Arial" w:cs="Arial" w:eastAsia="Arial" w:hAnsi="Arial"/>
                <w:sz w:val="13"/>
                <w:szCs w:val="13"/>
                <w:color w:val="auto"/>
                <w:w w:val="91"/>
              </w:rPr>
              <w:t>—</w:t>
            </w:r>
          </w:p>
        </w:tc>
        <w:tc>
          <w:tcPr>
            <w:tcW w:w="140" w:type="dxa"/>
            <w:vAlign w:val="bottom"/>
          </w:tcPr>
          <w:p>
            <w:pPr>
              <w:spacing w:after="0"/>
              <w:rPr>
                <w:sz w:val="14"/>
                <w:szCs w:val="14"/>
                <w:color w:val="auto"/>
              </w:rPr>
            </w:pPr>
          </w:p>
        </w:tc>
        <w:tc>
          <w:tcPr>
            <w:tcW w:w="260" w:type="dxa"/>
            <w:vAlign w:val="bottom"/>
            <w:tcBorders>
              <w:top w:val="single" w:sz="8" w:color="auto"/>
            </w:tcBorders>
          </w:tcPr>
          <w:p>
            <w:pPr>
              <w:spacing w:after="0"/>
              <w:rPr>
                <w:sz w:val="14"/>
                <w:szCs w:val="14"/>
                <w:color w:val="auto"/>
              </w:rPr>
            </w:pPr>
          </w:p>
        </w:tc>
        <w:tc>
          <w:tcPr>
            <w:tcW w:w="700" w:type="dxa"/>
            <w:vAlign w:val="bottom"/>
            <w:tcBorders>
              <w:top w:val="single" w:sz="8" w:color="auto"/>
            </w:tcBorders>
          </w:tcPr>
          <w:p>
            <w:pPr>
              <w:jc w:val="right"/>
              <w:ind w:right="74"/>
              <w:spacing w:after="0"/>
              <w:rPr>
                <w:sz w:val="20"/>
                <w:szCs w:val="20"/>
                <w:color w:val="auto"/>
              </w:rPr>
            </w:pPr>
            <w:r>
              <w:rPr>
                <w:rFonts w:ascii="Arial" w:cs="Arial" w:eastAsia="Arial" w:hAnsi="Arial"/>
                <w:sz w:val="13"/>
                <w:szCs w:val="13"/>
                <w:color w:val="auto"/>
              </w:rPr>
              <w:t>7,327</w:t>
            </w:r>
          </w:p>
        </w:tc>
        <w:tc>
          <w:tcPr>
            <w:tcW w:w="20" w:type="dxa"/>
            <w:vAlign w:val="bottom"/>
            <w:tcBorders>
              <w:top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20" w:type="dxa"/>
            <w:vAlign w:val="bottom"/>
            <w:shd w:val="clear" w:color="auto" w:fill="CCEEFF"/>
          </w:tcPr>
          <w:p>
            <w:pPr>
              <w:spacing w:after="0"/>
              <w:rPr>
                <w:sz w:val="15"/>
                <w:szCs w:val="15"/>
                <w:color w:val="auto"/>
              </w:rPr>
            </w:pPr>
          </w:p>
        </w:tc>
        <w:tc>
          <w:tcPr>
            <w:tcW w:w="3740" w:type="dxa"/>
            <w:vAlign w:val="bottom"/>
            <w:gridSpan w:val="2"/>
            <w:shd w:val="clear" w:color="auto" w:fill="CCEEFF"/>
          </w:tcPr>
          <w:p>
            <w:pPr>
              <w:ind w:left="160"/>
              <w:spacing w:after="0"/>
              <w:rPr>
                <w:sz w:val="20"/>
                <w:szCs w:val="20"/>
                <w:color w:val="auto"/>
              </w:rPr>
            </w:pPr>
            <w:r>
              <w:rPr>
                <w:rFonts w:ascii="Arial" w:cs="Arial" w:eastAsia="Arial" w:hAnsi="Arial"/>
                <w:sz w:val="13"/>
                <w:szCs w:val="13"/>
                <w:color w:val="auto"/>
              </w:rPr>
              <w:t>Gross unrealized gains</w:t>
            </w:r>
          </w:p>
        </w:tc>
        <w:tc>
          <w:tcPr>
            <w:tcW w:w="100" w:type="dxa"/>
            <w:vAlign w:val="bottom"/>
            <w:shd w:val="clear" w:color="auto" w:fill="CCEEFF"/>
          </w:tcPr>
          <w:p>
            <w:pPr>
              <w:spacing w:after="0"/>
              <w:rPr>
                <w:sz w:val="15"/>
                <w:szCs w:val="15"/>
                <w:color w:val="auto"/>
              </w:rPr>
            </w:pPr>
          </w:p>
        </w:tc>
        <w:tc>
          <w:tcPr>
            <w:tcW w:w="88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1</w:t>
            </w:r>
          </w:p>
        </w:tc>
        <w:tc>
          <w:tcPr>
            <w:tcW w:w="1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1</w:t>
            </w: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8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00" w:type="dxa"/>
            <w:vAlign w:val="bottom"/>
            <w:shd w:val="clear" w:color="auto" w:fill="CCEEFF"/>
          </w:tcPr>
          <w:p>
            <w:pPr>
              <w:jc w:val="right"/>
              <w:ind w:right="15"/>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660" w:type="dxa"/>
            <w:vAlign w:val="bottom"/>
            <w:gridSpan w:val="2"/>
            <w:shd w:val="clear" w:color="auto" w:fill="CCEEFF"/>
          </w:tcPr>
          <w:p>
            <w:pPr>
              <w:jc w:val="right"/>
              <w:ind w:right="28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48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440" w:type="dxa"/>
            <w:vAlign w:val="bottom"/>
            <w:gridSpan w:val="3"/>
            <w:shd w:val="clear" w:color="auto" w:fill="CCEEFF"/>
          </w:tcPr>
          <w:p>
            <w:pPr>
              <w:jc w:val="right"/>
              <w:ind w:right="300"/>
              <w:spacing w:after="0"/>
              <w:rPr>
                <w:sz w:val="20"/>
                <w:szCs w:val="20"/>
                <w:color w:val="auto"/>
              </w:rPr>
            </w:pPr>
            <w:r>
              <w:rPr>
                <w:rFonts w:ascii="Arial" w:cs="Arial" w:eastAsia="Arial" w:hAnsi="Arial"/>
                <w:sz w:val="13"/>
                <w:szCs w:val="13"/>
                <w:color w:val="auto"/>
                <w:w w:val="91"/>
              </w:rPr>
              <w:t>—</w:t>
            </w:r>
          </w:p>
        </w:tc>
        <w:tc>
          <w:tcPr>
            <w:tcW w:w="260" w:type="dxa"/>
            <w:vAlign w:val="bottom"/>
            <w:shd w:val="clear" w:color="auto" w:fill="CCEEFF"/>
          </w:tcPr>
          <w:p>
            <w:pPr>
              <w:spacing w:after="0"/>
              <w:rPr>
                <w:sz w:val="15"/>
                <w:szCs w:val="15"/>
                <w:color w:val="auto"/>
              </w:rPr>
            </w:pPr>
          </w:p>
        </w:tc>
        <w:tc>
          <w:tcPr>
            <w:tcW w:w="700" w:type="dxa"/>
            <w:vAlign w:val="bottom"/>
            <w:shd w:val="clear" w:color="auto" w:fill="CCEEFF"/>
          </w:tcPr>
          <w:p>
            <w:pPr>
              <w:jc w:val="right"/>
              <w:ind w:right="74"/>
              <w:spacing w:after="0"/>
              <w:rPr>
                <w:sz w:val="20"/>
                <w:szCs w:val="20"/>
                <w:color w:val="auto"/>
              </w:rPr>
            </w:pPr>
            <w:r>
              <w:rPr>
                <w:rFonts w:ascii="Arial" w:cs="Arial" w:eastAsia="Arial" w:hAnsi="Arial"/>
                <w:sz w:val="13"/>
                <w:szCs w:val="13"/>
                <w:color w:val="auto"/>
              </w:rPr>
              <w:t>2</w:t>
            </w:r>
          </w:p>
        </w:tc>
        <w:tc>
          <w:tcPr>
            <w:tcW w:w="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3740" w:type="dxa"/>
            <w:vAlign w:val="bottom"/>
            <w:gridSpan w:val="2"/>
          </w:tcPr>
          <w:p>
            <w:pPr>
              <w:ind w:left="160"/>
              <w:spacing w:after="0"/>
              <w:rPr>
                <w:sz w:val="20"/>
                <w:szCs w:val="20"/>
                <w:color w:val="auto"/>
              </w:rPr>
            </w:pPr>
            <w:r>
              <w:rPr>
                <w:rFonts w:ascii="Arial" w:cs="Arial" w:eastAsia="Arial" w:hAnsi="Arial"/>
                <w:sz w:val="13"/>
                <w:szCs w:val="13"/>
                <w:color w:val="auto"/>
              </w:rPr>
              <w:t>Gross unrealized losses</w:t>
            </w:r>
          </w:p>
        </w:tc>
        <w:tc>
          <w:tcPr>
            <w:tcW w:w="100" w:type="dxa"/>
            <w:vAlign w:val="bottom"/>
          </w:tcPr>
          <w:p>
            <w:pPr>
              <w:spacing w:after="0"/>
              <w:rPr>
                <w:sz w:val="14"/>
                <w:szCs w:val="14"/>
                <w:color w:val="auto"/>
              </w:rPr>
            </w:pPr>
          </w:p>
        </w:tc>
        <w:tc>
          <w:tcPr>
            <w:tcW w:w="880" w:type="dxa"/>
            <w:vAlign w:val="bottom"/>
          </w:tcPr>
          <w:p>
            <w:pPr>
              <w:jc w:val="right"/>
              <w:ind w:right="57"/>
              <w:spacing w:after="0"/>
              <w:rPr>
                <w:sz w:val="20"/>
                <w:szCs w:val="20"/>
                <w:color w:val="auto"/>
              </w:rPr>
            </w:pPr>
            <w:r>
              <w:rPr>
                <w:rFonts w:ascii="Arial" w:cs="Arial" w:eastAsia="Arial" w:hAnsi="Arial"/>
                <w:sz w:val="13"/>
                <w:szCs w:val="13"/>
                <w:color w:val="auto"/>
              </w:rPr>
              <w:t>(324)</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gridSpan w:val="3"/>
          </w:tcPr>
          <w:p>
            <w:pPr>
              <w:jc w:val="right"/>
              <w:ind w:right="68"/>
              <w:spacing w:after="0"/>
              <w:rPr>
                <w:sz w:val="20"/>
                <w:szCs w:val="20"/>
                <w:color w:val="auto"/>
              </w:rPr>
            </w:pPr>
            <w:r>
              <w:rPr>
                <w:rFonts w:ascii="Arial" w:cs="Arial" w:eastAsia="Arial" w:hAnsi="Arial"/>
                <w:sz w:val="13"/>
                <w:szCs w:val="13"/>
                <w:color w:val="auto"/>
              </w:rPr>
              <w:t>(113)</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80" w:type="dxa"/>
            <w:vAlign w:val="bottom"/>
            <w:gridSpan w:val="2"/>
          </w:tcPr>
          <w:p>
            <w:pPr>
              <w:jc w:val="right"/>
              <w:ind w:right="260"/>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tcPr>
          <w:p>
            <w:pPr>
              <w:jc w:val="right"/>
              <w:ind w:right="15"/>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60" w:type="dxa"/>
            <w:vAlign w:val="bottom"/>
            <w:gridSpan w:val="2"/>
          </w:tcPr>
          <w:p>
            <w:pPr>
              <w:jc w:val="right"/>
              <w:ind w:right="28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40" w:type="dxa"/>
            <w:vAlign w:val="bottom"/>
            <w:gridSpan w:val="3"/>
          </w:tcPr>
          <w:p>
            <w:pPr>
              <w:jc w:val="right"/>
              <w:ind w:right="300"/>
              <w:spacing w:after="0"/>
              <w:rPr>
                <w:sz w:val="20"/>
                <w:szCs w:val="20"/>
                <w:color w:val="auto"/>
              </w:rPr>
            </w:pPr>
            <w:r>
              <w:rPr>
                <w:rFonts w:ascii="Arial" w:cs="Arial" w:eastAsia="Arial" w:hAnsi="Arial"/>
                <w:sz w:val="13"/>
                <w:szCs w:val="13"/>
                <w:color w:val="auto"/>
                <w:w w:val="91"/>
              </w:rPr>
              <w:t>—</w:t>
            </w:r>
          </w:p>
        </w:tc>
        <w:tc>
          <w:tcPr>
            <w:tcW w:w="260" w:type="dxa"/>
            <w:vAlign w:val="bottom"/>
          </w:tcPr>
          <w:p>
            <w:pPr>
              <w:spacing w:after="0"/>
              <w:rPr>
                <w:sz w:val="14"/>
                <w:szCs w:val="14"/>
                <w:color w:val="auto"/>
              </w:rPr>
            </w:pPr>
          </w:p>
        </w:tc>
        <w:tc>
          <w:tcPr>
            <w:tcW w:w="700" w:type="dxa"/>
            <w:vAlign w:val="bottom"/>
          </w:tcPr>
          <w:p>
            <w:pPr>
              <w:jc w:val="right"/>
              <w:ind w:right="54"/>
              <w:spacing w:after="0"/>
              <w:rPr>
                <w:sz w:val="20"/>
                <w:szCs w:val="20"/>
                <w:color w:val="auto"/>
              </w:rPr>
            </w:pPr>
            <w:r>
              <w:rPr>
                <w:rFonts w:ascii="Arial" w:cs="Arial" w:eastAsia="Arial" w:hAnsi="Arial"/>
                <w:sz w:val="13"/>
                <w:szCs w:val="13"/>
                <w:color w:val="auto"/>
              </w:rPr>
              <w:t>(437)</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20" w:type="dxa"/>
            <w:vAlign w:val="bottom"/>
            <w:tcBorders>
              <w:top w:val="single" w:sz="8" w:color="CCEEFF"/>
            </w:tcBorders>
            <w:shd w:val="clear" w:color="auto" w:fill="CCEEFF"/>
          </w:tcPr>
          <w:p>
            <w:pPr>
              <w:spacing w:after="0"/>
              <w:rPr>
                <w:sz w:val="15"/>
                <w:szCs w:val="15"/>
                <w:color w:val="auto"/>
              </w:rPr>
            </w:pPr>
          </w:p>
        </w:tc>
        <w:tc>
          <w:tcPr>
            <w:tcW w:w="374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3"/>
                <w:szCs w:val="13"/>
                <w:color w:val="auto"/>
              </w:rPr>
              <w:t>Total available-for-sale securities, at fair value</w:t>
            </w:r>
          </w:p>
        </w:tc>
        <w:tc>
          <w:tcPr>
            <w:tcW w:w="100" w:type="dxa"/>
            <w:vAlign w:val="bottom"/>
            <w:tcBorders>
              <w:top w:val="single" w:sz="8" w:color="auto"/>
              <w:bottom w:val="single" w:sz="8" w:color="auto"/>
            </w:tcBorders>
            <w:shd w:val="clear" w:color="auto" w:fill="CCEEFF"/>
          </w:tcPr>
          <w:p>
            <w:pPr>
              <w:spacing w:after="0"/>
              <w:rPr>
                <w:sz w:val="15"/>
                <w:szCs w:val="15"/>
                <w:color w:val="auto"/>
              </w:rPr>
            </w:pPr>
          </w:p>
        </w:tc>
        <w:tc>
          <w:tcPr>
            <w:tcW w:w="880" w:type="dxa"/>
            <w:vAlign w:val="bottom"/>
            <w:tcBorders>
              <w:top w:val="single" w:sz="8" w:color="auto"/>
              <w:bottom w:val="single" w:sz="8" w:color="auto"/>
            </w:tcBorders>
            <w:shd w:val="clear" w:color="auto" w:fill="CCEEFF"/>
          </w:tcPr>
          <w:p>
            <w:pPr>
              <w:jc w:val="right"/>
              <w:ind w:right="97"/>
              <w:spacing w:after="0"/>
              <w:rPr>
                <w:sz w:val="20"/>
                <w:szCs w:val="20"/>
                <w:color w:val="auto"/>
              </w:rPr>
            </w:pPr>
            <w:r>
              <w:rPr>
                <w:rFonts w:ascii="Arial" w:cs="Arial" w:eastAsia="Arial" w:hAnsi="Arial"/>
                <w:sz w:val="13"/>
                <w:szCs w:val="13"/>
                <w:color w:val="auto"/>
              </w:rPr>
              <w:t>5,218</w:t>
            </w:r>
          </w:p>
        </w:tc>
        <w:tc>
          <w:tcPr>
            <w:tcW w:w="1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bottom w:val="single" w:sz="8" w:color="auto"/>
            </w:tcBorders>
            <w:shd w:val="clear" w:color="auto" w:fill="CCEEFF"/>
          </w:tcPr>
          <w:p>
            <w:pPr>
              <w:spacing w:after="0"/>
              <w:rPr>
                <w:sz w:val="15"/>
                <w:szCs w:val="15"/>
                <w:color w:val="auto"/>
              </w:rPr>
            </w:pPr>
          </w:p>
        </w:tc>
        <w:tc>
          <w:tcPr>
            <w:tcW w:w="74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3"/>
                <w:szCs w:val="13"/>
                <w:color w:val="auto"/>
              </w:rPr>
              <w:t>1,673</w:t>
            </w:r>
          </w:p>
        </w:tc>
        <w:tc>
          <w:tcPr>
            <w:tcW w:w="140" w:type="dxa"/>
            <w:vAlign w:val="bottom"/>
            <w:tcBorders>
              <w:top w:val="single" w:sz="8" w:color="auto"/>
              <w:bottom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bottom w:val="single" w:sz="8" w:color="auto"/>
            </w:tcBorders>
            <w:shd w:val="clear" w:color="auto" w:fill="CCEEFF"/>
          </w:tcPr>
          <w:p>
            <w:pPr>
              <w:spacing w:after="0"/>
              <w:rPr>
                <w:sz w:val="15"/>
                <w:szCs w:val="15"/>
                <w:color w:val="auto"/>
              </w:rPr>
            </w:pPr>
          </w:p>
        </w:tc>
        <w:tc>
          <w:tcPr>
            <w:tcW w:w="800" w:type="dxa"/>
            <w:vAlign w:val="bottom"/>
            <w:tcBorders>
              <w:top w:val="single" w:sz="8" w:color="auto"/>
              <w:bottom w:val="single" w:sz="8" w:color="auto"/>
            </w:tcBorders>
            <w:shd w:val="clear" w:color="auto" w:fill="CCEEFF"/>
          </w:tcPr>
          <w:p>
            <w:pPr>
              <w:jc w:val="right"/>
              <w:ind w:right="113"/>
              <w:spacing w:after="0"/>
              <w:rPr>
                <w:sz w:val="20"/>
                <w:szCs w:val="20"/>
                <w:color w:val="auto"/>
              </w:rPr>
            </w:pPr>
            <w:r>
              <w:rPr>
                <w:rFonts w:ascii="Arial" w:cs="Arial" w:eastAsia="Arial" w:hAnsi="Arial"/>
                <w:sz w:val="13"/>
                <w:szCs w:val="13"/>
                <w:color w:val="auto"/>
              </w:rPr>
              <w:t>1</w:t>
            </w:r>
          </w:p>
        </w:tc>
        <w:tc>
          <w:tcPr>
            <w:tcW w:w="80" w:type="dxa"/>
            <w:vAlign w:val="bottom"/>
            <w:tcBorders>
              <w:top w:val="single" w:sz="8" w:color="CCEEFF"/>
            </w:tcBorders>
            <w:shd w:val="clear" w:color="auto" w:fill="CCEEFF"/>
          </w:tcPr>
          <w:p>
            <w:pPr>
              <w:spacing w:after="0"/>
              <w:rPr>
                <w:sz w:val="15"/>
                <w:szCs w:val="15"/>
                <w:color w:val="auto"/>
              </w:rPr>
            </w:pPr>
          </w:p>
        </w:tc>
        <w:tc>
          <w:tcPr>
            <w:tcW w:w="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bottom w:val="single" w:sz="8" w:color="auto"/>
            </w:tcBorders>
            <w:shd w:val="clear" w:color="auto" w:fill="CCEEFF"/>
          </w:tcPr>
          <w:p>
            <w:pPr>
              <w:spacing w:after="0"/>
              <w:rPr>
                <w:sz w:val="15"/>
                <w:szCs w:val="15"/>
                <w:color w:val="auto"/>
              </w:rPr>
            </w:pPr>
          </w:p>
        </w:tc>
        <w:tc>
          <w:tcPr>
            <w:tcW w:w="800" w:type="dxa"/>
            <w:vAlign w:val="bottom"/>
            <w:tcBorders>
              <w:top w:val="single" w:sz="8" w:color="auto"/>
              <w:bottom w:val="single" w:sz="8" w:color="auto"/>
            </w:tcBorders>
            <w:shd w:val="clear" w:color="auto" w:fill="CCEEFF"/>
          </w:tcPr>
          <w:p>
            <w:pPr>
              <w:jc w:val="right"/>
              <w:ind w:right="15"/>
              <w:spacing w:after="0"/>
              <w:rPr>
                <w:sz w:val="20"/>
                <w:szCs w:val="20"/>
                <w:color w:val="auto"/>
              </w:rPr>
            </w:pPr>
            <w:r>
              <w:rPr>
                <w:rFonts w:ascii="Arial" w:cs="Arial" w:eastAsia="Arial" w:hAnsi="Arial"/>
                <w:sz w:val="13"/>
                <w:szCs w:val="13"/>
                <w:color w:val="auto"/>
              </w:rPr>
              <w:t>—</w:t>
            </w:r>
          </w:p>
        </w:tc>
        <w:tc>
          <w:tcPr>
            <w:tcW w:w="100" w:type="dxa"/>
            <w:vAlign w:val="bottom"/>
            <w:tcBorders>
              <w:top w:val="single" w:sz="8" w:color="auto"/>
              <w:bottom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280" w:type="dxa"/>
            <w:vAlign w:val="bottom"/>
            <w:tcBorders>
              <w:top w:val="single" w:sz="8" w:color="auto"/>
              <w:bottom w:val="single" w:sz="8" w:color="auto"/>
            </w:tcBorders>
            <w:shd w:val="clear" w:color="auto" w:fill="CCEEFF"/>
          </w:tcPr>
          <w:p>
            <w:pPr>
              <w:spacing w:after="0"/>
              <w:rPr>
                <w:sz w:val="15"/>
                <w:szCs w:val="15"/>
                <w:color w:val="auto"/>
              </w:rPr>
            </w:pPr>
          </w:p>
        </w:tc>
        <w:tc>
          <w:tcPr>
            <w:tcW w:w="160" w:type="dxa"/>
            <w:vAlign w:val="bottom"/>
            <w:tcBorders>
              <w:top w:val="single" w:sz="8" w:color="auto"/>
              <w:bottom w:val="single" w:sz="8" w:color="auto"/>
            </w:tcBorders>
            <w:shd w:val="clear" w:color="auto" w:fill="CCEEFF"/>
          </w:tcPr>
          <w:p>
            <w:pPr>
              <w:spacing w:after="0"/>
              <w:rPr>
                <w:sz w:val="15"/>
                <w:szCs w:val="15"/>
                <w:color w:val="auto"/>
              </w:rPr>
            </w:pPr>
          </w:p>
        </w:tc>
        <w:tc>
          <w:tcPr>
            <w:tcW w:w="540" w:type="dxa"/>
            <w:vAlign w:val="bottom"/>
            <w:tcBorders>
              <w:top w:val="single" w:sz="8" w:color="auto"/>
              <w:bottom w:val="single" w:sz="8" w:color="auto"/>
            </w:tcBorders>
            <w:shd w:val="clear" w:color="auto" w:fill="CCEEFF"/>
          </w:tcPr>
          <w:p>
            <w:pPr>
              <w:jc w:val="right"/>
              <w:ind w:right="95"/>
              <w:spacing w:after="0"/>
              <w:rPr>
                <w:sz w:val="20"/>
                <w:szCs w:val="20"/>
                <w:color w:val="auto"/>
              </w:rPr>
            </w:pPr>
            <w:r>
              <w:rPr>
                <w:rFonts w:ascii="Arial" w:cs="Arial" w:eastAsia="Arial" w:hAnsi="Arial"/>
                <w:sz w:val="13"/>
                <w:szCs w:val="13"/>
                <w:color w:val="auto"/>
              </w:rPr>
              <w:t>—</w:t>
            </w:r>
          </w:p>
        </w:tc>
        <w:tc>
          <w:tcPr>
            <w:tcW w:w="12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bottom w:val="single" w:sz="8" w:color="auto"/>
            </w:tcBorders>
            <w:shd w:val="clear" w:color="auto" w:fill="CCEEFF"/>
          </w:tcPr>
          <w:p>
            <w:pPr>
              <w:spacing w:after="0"/>
              <w:rPr>
                <w:sz w:val="15"/>
                <w:szCs w:val="15"/>
                <w:color w:val="auto"/>
              </w:rPr>
            </w:pPr>
          </w:p>
        </w:tc>
        <w:tc>
          <w:tcPr>
            <w:tcW w:w="480" w:type="dxa"/>
            <w:vAlign w:val="bottom"/>
            <w:tcBorders>
              <w:top w:val="single" w:sz="8" w:color="auto"/>
              <w:bottom w:val="single" w:sz="8" w:color="auto"/>
            </w:tcBorders>
            <w:shd w:val="clear" w:color="auto" w:fill="CCEEFF"/>
          </w:tcPr>
          <w:p>
            <w:pPr>
              <w:spacing w:after="0"/>
              <w:rPr>
                <w:sz w:val="15"/>
                <w:szCs w:val="15"/>
                <w:color w:val="auto"/>
              </w:rPr>
            </w:pPr>
          </w:p>
        </w:tc>
        <w:tc>
          <w:tcPr>
            <w:tcW w:w="60" w:type="dxa"/>
            <w:vAlign w:val="bottom"/>
            <w:tcBorders>
              <w:top w:val="single" w:sz="8" w:color="auto"/>
              <w:bottom w:val="single" w:sz="8" w:color="auto"/>
            </w:tcBorders>
            <w:shd w:val="clear" w:color="auto" w:fill="CCEEFF"/>
          </w:tcPr>
          <w:p>
            <w:pPr>
              <w:spacing w:after="0"/>
              <w:rPr>
                <w:sz w:val="15"/>
                <w:szCs w:val="15"/>
                <w:color w:val="auto"/>
              </w:rPr>
            </w:pPr>
          </w:p>
        </w:tc>
        <w:tc>
          <w:tcPr>
            <w:tcW w:w="300" w:type="dxa"/>
            <w:vAlign w:val="bottom"/>
            <w:tcBorders>
              <w:top w:val="single" w:sz="8" w:color="auto"/>
              <w:bottom w:val="single" w:sz="8" w:color="auto"/>
            </w:tcBorders>
            <w:gridSpan w:val="2"/>
            <w:shd w:val="clear" w:color="auto" w:fill="CCEEFF"/>
          </w:tcPr>
          <w:p>
            <w:pPr>
              <w:jc w:val="right"/>
              <w:ind w:right="88"/>
              <w:spacing w:after="0"/>
              <w:rPr>
                <w:sz w:val="20"/>
                <w:szCs w:val="20"/>
                <w:color w:val="auto"/>
              </w:rPr>
            </w:pPr>
            <w:r>
              <w:rPr>
                <w:rFonts w:ascii="Arial" w:cs="Arial" w:eastAsia="Arial" w:hAnsi="Arial"/>
                <w:sz w:val="13"/>
                <w:szCs w:val="13"/>
                <w:color w:val="auto"/>
                <w:w w:val="91"/>
              </w:rPr>
              <w:t>—</w:t>
            </w:r>
          </w:p>
        </w:tc>
        <w:tc>
          <w:tcPr>
            <w:tcW w:w="140" w:type="dxa"/>
            <w:vAlign w:val="bottom"/>
            <w:tcBorders>
              <w:top w:val="single" w:sz="8" w:color="CCEEFF"/>
            </w:tcBorders>
            <w:shd w:val="clear" w:color="auto" w:fill="CCEEFF"/>
          </w:tcPr>
          <w:p>
            <w:pPr>
              <w:spacing w:after="0"/>
              <w:rPr>
                <w:sz w:val="15"/>
                <w:szCs w:val="15"/>
                <w:color w:val="auto"/>
              </w:rPr>
            </w:pPr>
          </w:p>
        </w:tc>
        <w:tc>
          <w:tcPr>
            <w:tcW w:w="260" w:type="dxa"/>
            <w:vAlign w:val="bottom"/>
            <w:tcBorders>
              <w:top w:val="single" w:sz="8" w:color="auto"/>
              <w:bottom w:val="single" w:sz="8" w:color="auto"/>
            </w:tcBorders>
            <w:shd w:val="clear" w:color="auto" w:fill="CCEEFF"/>
          </w:tcPr>
          <w:p>
            <w:pPr>
              <w:spacing w:after="0"/>
              <w:rPr>
                <w:sz w:val="15"/>
                <w:szCs w:val="15"/>
                <w:color w:val="auto"/>
              </w:rPr>
            </w:pPr>
          </w:p>
        </w:tc>
        <w:tc>
          <w:tcPr>
            <w:tcW w:w="700" w:type="dxa"/>
            <w:vAlign w:val="bottom"/>
            <w:tcBorders>
              <w:top w:val="single" w:sz="8" w:color="auto"/>
              <w:bottom w:val="single" w:sz="8" w:color="auto"/>
            </w:tcBorders>
            <w:shd w:val="clear" w:color="auto" w:fill="CCEEFF"/>
          </w:tcPr>
          <w:p>
            <w:pPr>
              <w:jc w:val="right"/>
              <w:ind w:right="74"/>
              <w:spacing w:after="0"/>
              <w:rPr>
                <w:sz w:val="20"/>
                <w:szCs w:val="20"/>
                <w:color w:val="auto"/>
              </w:rPr>
            </w:pPr>
            <w:r>
              <w:rPr>
                <w:rFonts w:ascii="Arial" w:cs="Arial" w:eastAsia="Arial" w:hAnsi="Arial"/>
                <w:sz w:val="13"/>
                <w:szCs w:val="13"/>
                <w:color w:val="auto"/>
              </w:rPr>
              <w:t>6,892</w:t>
            </w:r>
          </w:p>
        </w:tc>
        <w:tc>
          <w:tcPr>
            <w:tcW w:w="20" w:type="dxa"/>
            <w:vAlign w:val="bottom"/>
            <w:tcBorders>
              <w:top w:val="single" w:sz="8" w:color="auto"/>
              <w:bottom w:val="single" w:sz="8" w:color="auto"/>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740" w:type="dxa"/>
            <w:vAlign w:val="bottom"/>
            <w:gridSpan w:val="2"/>
          </w:tcPr>
          <w:p>
            <w:pPr>
              <w:spacing w:after="0" w:line="141" w:lineRule="exact"/>
              <w:rPr>
                <w:sz w:val="20"/>
                <w:szCs w:val="20"/>
                <w:color w:val="auto"/>
              </w:rPr>
            </w:pPr>
            <w:r>
              <w:rPr>
                <w:rFonts w:ascii="Arial" w:cs="Arial" w:eastAsia="Arial" w:hAnsi="Arial"/>
                <w:sz w:val="13"/>
                <w:szCs w:val="13"/>
                <w:color w:val="auto"/>
              </w:rPr>
              <w:t>Securities remeasured at fair value through earnings:</w:t>
            </w:r>
          </w:p>
        </w:tc>
        <w:tc>
          <w:tcPr>
            <w:tcW w:w="1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3"/>
        </w:trPr>
        <w:tc>
          <w:tcPr>
            <w:tcW w:w="20" w:type="dxa"/>
            <w:vAlign w:val="bottom"/>
            <w:shd w:val="clear" w:color="auto" w:fill="CCEEFF"/>
          </w:tcPr>
          <w:p>
            <w:pPr>
              <w:spacing w:after="0"/>
              <w:rPr>
                <w:sz w:val="15"/>
                <w:szCs w:val="15"/>
                <w:color w:val="auto"/>
              </w:rPr>
            </w:pPr>
          </w:p>
        </w:tc>
        <w:tc>
          <w:tcPr>
            <w:tcW w:w="3740" w:type="dxa"/>
            <w:vAlign w:val="bottom"/>
            <w:gridSpan w:val="2"/>
            <w:shd w:val="clear" w:color="auto" w:fill="CCEEFF"/>
          </w:tcPr>
          <w:p>
            <w:pPr>
              <w:ind w:left="160"/>
              <w:spacing w:after="0"/>
              <w:rPr>
                <w:sz w:val="20"/>
                <w:szCs w:val="20"/>
                <w:color w:val="auto"/>
              </w:rPr>
            </w:pPr>
            <w:r>
              <w:rPr>
                <w:rFonts w:ascii="Arial" w:cs="Arial" w:eastAsia="Arial" w:hAnsi="Arial"/>
                <w:sz w:val="13"/>
                <w:szCs w:val="13"/>
                <w:color w:val="auto"/>
              </w:rPr>
              <w:t>Par value</w:t>
            </w:r>
          </w:p>
        </w:tc>
        <w:tc>
          <w:tcPr>
            <w:tcW w:w="100" w:type="dxa"/>
            <w:vAlign w:val="bottom"/>
            <w:shd w:val="clear" w:color="auto" w:fill="CCEEFF"/>
          </w:tcPr>
          <w:p>
            <w:pPr>
              <w:spacing w:after="0"/>
              <w:rPr>
                <w:sz w:val="15"/>
                <w:szCs w:val="15"/>
                <w:color w:val="auto"/>
              </w:rPr>
            </w:pPr>
          </w:p>
        </w:tc>
        <w:tc>
          <w:tcPr>
            <w:tcW w:w="88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27,533</w:t>
            </w:r>
          </w:p>
        </w:tc>
        <w:tc>
          <w:tcPr>
            <w:tcW w:w="1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11,003</w:t>
            </w: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jc w:val="right"/>
              <w:ind w:right="113"/>
              <w:spacing w:after="0"/>
              <w:rPr>
                <w:sz w:val="20"/>
                <w:szCs w:val="20"/>
                <w:color w:val="auto"/>
              </w:rPr>
            </w:pPr>
            <w:r>
              <w:rPr>
                <w:rFonts w:ascii="Arial" w:cs="Arial" w:eastAsia="Arial" w:hAnsi="Arial"/>
                <w:sz w:val="13"/>
                <w:szCs w:val="13"/>
                <w:color w:val="auto"/>
              </w:rPr>
              <w:t>2</w:t>
            </w:r>
          </w:p>
        </w:tc>
        <w:tc>
          <w:tcPr>
            <w:tcW w:w="8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00" w:type="dxa"/>
            <w:vAlign w:val="bottom"/>
            <w:shd w:val="clear" w:color="auto" w:fill="CCEEFF"/>
          </w:tcPr>
          <w:p>
            <w:pPr>
              <w:jc w:val="right"/>
              <w:ind w:right="15"/>
              <w:spacing w:after="0"/>
              <w:rPr>
                <w:sz w:val="20"/>
                <w:szCs w:val="20"/>
                <w:color w:val="auto"/>
              </w:rPr>
            </w:pPr>
            <w:r>
              <w:rPr>
                <w:rFonts w:ascii="Arial" w:cs="Arial" w:eastAsia="Arial" w:hAnsi="Arial"/>
                <w:sz w:val="13"/>
                <w:szCs w:val="13"/>
                <w:color w:val="auto"/>
              </w:rPr>
              <w:t>432</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95"/>
              <w:spacing w:after="0"/>
              <w:rPr>
                <w:sz w:val="20"/>
                <w:szCs w:val="20"/>
                <w:color w:val="auto"/>
              </w:rPr>
            </w:pPr>
            <w:r>
              <w:rPr>
                <w:rFonts w:ascii="Arial" w:cs="Arial" w:eastAsia="Arial" w:hAnsi="Arial"/>
                <w:sz w:val="13"/>
                <w:szCs w:val="13"/>
                <w:color w:val="auto"/>
              </w:rPr>
              <w:t>521</w:t>
            </w: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480" w:type="dxa"/>
            <w:vAlign w:val="bottom"/>
            <w:shd w:val="clear" w:color="auto" w:fill="CCEEFF"/>
          </w:tcPr>
          <w:p>
            <w:pPr>
              <w:spacing w:after="0"/>
              <w:rPr>
                <w:sz w:val="15"/>
                <w:szCs w:val="15"/>
                <w:color w:val="auto"/>
              </w:rPr>
            </w:pPr>
          </w:p>
        </w:tc>
        <w:tc>
          <w:tcPr>
            <w:tcW w:w="360" w:type="dxa"/>
            <w:vAlign w:val="bottom"/>
            <w:gridSpan w:val="3"/>
            <w:shd w:val="clear" w:color="auto" w:fill="CCEEFF"/>
          </w:tcPr>
          <w:p>
            <w:pPr>
              <w:jc w:val="right"/>
              <w:ind w:right="88"/>
              <w:spacing w:after="0"/>
              <w:rPr>
                <w:sz w:val="20"/>
                <w:szCs w:val="20"/>
                <w:color w:val="auto"/>
              </w:rPr>
            </w:pPr>
            <w:r>
              <w:rPr>
                <w:rFonts w:ascii="Arial" w:cs="Arial" w:eastAsia="Arial" w:hAnsi="Arial"/>
                <w:sz w:val="13"/>
                <w:szCs w:val="13"/>
                <w:color w:val="auto"/>
                <w:w w:val="82"/>
              </w:rPr>
              <w:t>936</w:t>
            </w:r>
          </w:p>
        </w:tc>
        <w:tc>
          <w:tcPr>
            <w:tcW w:w="14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700" w:type="dxa"/>
            <w:vAlign w:val="bottom"/>
            <w:shd w:val="clear" w:color="auto" w:fill="CCEEFF"/>
          </w:tcPr>
          <w:p>
            <w:pPr>
              <w:jc w:val="right"/>
              <w:ind w:right="74"/>
              <w:spacing w:after="0"/>
              <w:rPr>
                <w:sz w:val="20"/>
                <w:szCs w:val="20"/>
                <w:color w:val="auto"/>
              </w:rPr>
            </w:pPr>
            <w:r>
              <w:rPr>
                <w:rFonts w:ascii="Arial" w:cs="Arial" w:eastAsia="Arial" w:hAnsi="Arial"/>
                <w:sz w:val="13"/>
                <w:szCs w:val="13"/>
                <w:color w:val="auto"/>
              </w:rPr>
              <w:t>40,427</w:t>
            </w:r>
          </w:p>
        </w:tc>
        <w:tc>
          <w:tcPr>
            <w:tcW w:w="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3740" w:type="dxa"/>
            <w:vAlign w:val="bottom"/>
            <w:gridSpan w:val="2"/>
          </w:tcPr>
          <w:p>
            <w:pPr>
              <w:ind w:left="160"/>
              <w:spacing w:after="0"/>
              <w:rPr>
                <w:sz w:val="20"/>
                <w:szCs w:val="20"/>
                <w:color w:val="auto"/>
              </w:rPr>
            </w:pPr>
            <w:r>
              <w:rPr>
                <w:rFonts w:ascii="Arial" w:cs="Arial" w:eastAsia="Arial" w:hAnsi="Arial"/>
                <w:sz w:val="13"/>
                <w:szCs w:val="13"/>
                <w:color w:val="auto"/>
              </w:rPr>
              <w:t>Unamortized discount</w:t>
            </w:r>
          </w:p>
        </w:tc>
        <w:tc>
          <w:tcPr>
            <w:tcW w:w="100" w:type="dxa"/>
            <w:vAlign w:val="bottom"/>
          </w:tcPr>
          <w:p>
            <w:pPr>
              <w:spacing w:after="0"/>
              <w:rPr>
                <w:sz w:val="14"/>
                <w:szCs w:val="14"/>
                <w:color w:val="auto"/>
              </w:rPr>
            </w:pPr>
          </w:p>
        </w:tc>
        <w:tc>
          <w:tcPr>
            <w:tcW w:w="880" w:type="dxa"/>
            <w:vAlign w:val="bottom"/>
          </w:tcPr>
          <w:p>
            <w:pPr>
              <w:jc w:val="right"/>
              <w:ind w:right="57"/>
              <w:spacing w:after="0"/>
              <w:rPr>
                <w:sz w:val="20"/>
                <w:szCs w:val="20"/>
                <w:color w:val="auto"/>
              </w:rPr>
            </w:pPr>
            <w:r>
              <w:rPr>
                <w:rFonts w:ascii="Arial" w:cs="Arial" w:eastAsia="Arial" w:hAnsi="Arial"/>
                <w:sz w:val="13"/>
                <w:szCs w:val="13"/>
                <w:color w:val="auto"/>
              </w:rPr>
              <w:t>(150)</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gridSpan w:val="3"/>
          </w:tcPr>
          <w:p>
            <w:pPr>
              <w:jc w:val="right"/>
              <w:ind w:right="68"/>
              <w:spacing w:after="0"/>
              <w:rPr>
                <w:sz w:val="20"/>
                <w:szCs w:val="20"/>
                <w:color w:val="auto"/>
              </w:rPr>
            </w:pPr>
            <w:r>
              <w:rPr>
                <w:rFonts w:ascii="Arial" w:cs="Arial" w:eastAsia="Arial" w:hAnsi="Arial"/>
                <w:sz w:val="13"/>
                <w:szCs w:val="13"/>
                <w:color w:val="auto"/>
              </w:rPr>
              <w:t>(25)</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80" w:type="dxa"/>
            <w:vAlign w:val="bottom"/>
            <w:gridSpan w:val="2"/>
          </w:tcPr>
          <w:p>
            <w:pPr>
              <w:jc w:val="right"/>
              <w:ind w:right="260"/>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(19)</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gridSpan w:val="2"/>
          </w:tcPr>
          <w:p>
            <w:pPr>
              <w:jc w:val="right"/>
              <w:ind w:right="55"/>
              <w:spacing w:after="0"/>
              <w:rPr>
                <w:sz w:val="20"/>
                <w:szCs w:val="20"/>
                <w:color w:val="auto"/>
              </w:rPr>
            </w:pPr>
            <w:r>
              <w:rPr>
                <w:rFonts w:ascii="Arial" w:cs="Arial" w:eastAsia="Arial" w:hAnsi="Arial"/>
                <w:sz w:val="13"/>
                <w:szCs w:val="13"/>
                <w:color w:val="auto"/>
              </w:rPr>
              <w:t>(7)</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60" w:type="dxa"/>
            <w:vAlign w:val="bottom"/>
            <w:gridSpan w:val="3"/>
          </w:tcPr>
          <w:p>
            <w:pPr>
              <w:jc w:val="right"/>
              <w:ind w:right="68"/>
              <w:spacing w:after="0"/>
              <w:rPr>
                <w:sz w:val="20"/>
                <w:szCs w:val="20"/>
                <w:color w:val="auto"/>
              </w:rPr>
            </w:pPr>
            <w:r>
              <w:rPr>
                <w:rFonts w:ascii="Arial" w:cs="Arial" w:eastAsia="Arial" w:hAnsi="Arial"/>
                <w:sz w:val="13"/>
                <w:szCs w:val="13"/>
                <w:color w:val="auto"/>
              </w:rPr>
              <w:t>(6)</w:t>
            </w:r>
          </w:p>
        </w:tc>
        <w:tc>
          <w:tcPr>
            <w:tcW w:w="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00" w:type="dxa"/>
            <w:vAlign w:val="bottom"/>
          </w:tcPr>
          <w:p>
            <w:pPr>
              <w:jc w:val="right"/>
              <w:ind w:right="54"/>
              <w:spacing w:after="0"/>
              <w:rPr>
                <w:sz w:val="20"/>
                <w:szCs w:val="20"/>
                <w:color w:val="auto"/>
              </w:rPr>
            </w:pPr>
            <w:r>
              <w:rPr>
                <w:rFonts w:ascii="Arial" w:cs="Arial" w:eastAsia="Arial" w:hAnsi="Arial"/>
                <w:sz w:val="13"/>
                <w:szCs w:val="13"/>
                <w:color w:val="auto"/>
              </w:rPr>
              <w:t>(207)</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20" w:type="dxa"/>
            <w:vAlign w:val="bottom"/>
            <w:shd w:val="clear" w:color="auto" w:fill="CCEEFF"/>
          </w:tcPr>
          <w:p>
            <w:pPr>
              <w:spacing w:after="0"/>
              <w:rPr>
                <w:sz w:val="15"/>
                <w:szCs w:val="15"/>
                <w:color w:val="auto"/>
              </w:rPr>
            </w:pPr>
          </w:p>
        </w:tc>
        <w:tc>
          <w:tcPr>
            <w:tcW w:w="3740" w:type="dxa"/>
            <w:vAlign w:val="bottom"/>
            <w:gridSpan w:val="2"/>
            <w:shd w:val="clear" w:color="auto" w:fill="CCEEFF"/>
          </w:tcPr>
          <w:p>
            <w:pPr>
              <w:ind w:left="160"/>
              <w:spacing w:after="0"/>
              <w:rPr>
                <w:sz w:val="20"/>
                <w:szCs w:val="20"/>
                <w:color w:val="auto"/>
              </w:rPr>
            </w:pPr>
            <w:r>
              <w:rPr>
                <w:rFonts w:ascii="Arial" w:cs="Arial" w:eastAsia="Arial" w:hAnsi="Arial"/>
                <w:sz w:val="13"/>
                <w:szCs w:val="13"/>
                <w:color w:val="auto"/>
              </w:rPr>
              <w:t>Unamortized premium</w:t>
            </w:r>
          </w:p>
        </w:tc>
        <w:tc>
          <w:tcPr>
            <w:tcW w:w="100" w:type="dxa"/>
            <w:vAlign w:val="bottom"/>
            <w:shd w:val="clear" w:color="auto" w:fill="CCEEFF"/>
          </w:tcPr>
          <w:p>
            <w:pPr>
              <w:spacing w:after="0"/>
              <w:rPr>
                <w:sz w:val="15"/>
                <w:szCs w:val="15"/>
                <w:color w:val="auto"/>
              </w:rPr>
            </w:pPr>
          </w:p>
        </w:tc>
        <w:tc>
          <w:tcPr>
            <w:tcW w:w="88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914</w:t>
            </w:r>
          </w:p>
        </w:tc>
        <w:tc>
          <w:tcPr>
            <w:tcW w:w="1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381</w:t>
            </w: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8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00" w:type="dxa"/>
            <w:vAlign w:val="bottom"/>
            <w:shd w:val="clear" w:color="auto" w:fill="CCEEFF"/>
          </w:tcPr>
          <w:p>
            <w:pPr>
              <w:jc w:val="right"/>
              <w:ind w:right="15"/>
              <w:spacing w:after="0"/>
              <w:rPr>
                <w:sz w:val="20"/>
                <w:szCs w:val="20"/>
                <w:color w:val="auto"/>
              </w:rPr>
            </w:pPr>
            <w:r>
              <w:rPr>
                <w:rFonts w:ascii="Arial" w:cs="Arial" w:eastAsia="Arial" w:hAnsi="Arial"/>
                <w:sz w:val="13"/>
                <w:szCs w:val="13"/>
                <w:color w:val="auto"/>
              </w:rPr>
              <w:t>3</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95"/>
              <w:spacing w:after="0"/>
              <w:rPr>
                <w:sz w:val="20"/>
                <w:szCs w:val="20"/>
                <w:color w:val="auto"/>
              </w:rPr>
            </w:pPr>
            <w:r>
              <w:rPr>
                <w:rFonts w:ascii="Arial" w:cs="Arial" w:eastAsia="Arial" w:hAnsi="Arial"/>
                <w:sz w:val="13"/>
                <w:szCs w:val="13"/>
                <w:color w:val="auto"/>
              </w:rPr>
              <w:t>4</w:t>
            </w: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480" w:type="dxa"/>
            <w:vAlign w:val="bottom"/>
            <w:shd w:val="clear" w:color="auto" w:fill="CCEEFF"/>
          </w:tcPr>
          <w:p>
            <w:pPr>
              <w:spacing w:after="0"/>
              <w:rPr>
                <w:sz w:val="15"/>
                <w:szCs w:val="15"/>
                <w:color w:val="auto"/>
              </w:rPr>
            </w:pPr>
          </w:p>
        </w:tc>
        <w:tc>
          <w:tcPr>
            <w:tcW w:w="360" w:type="dxa"/>
            <w:vAlign w:val="bottom"/>
            <w:gridSpan w:val="3"/>
            <w:shd w:val="clear" w:color="auto" w:fill="CCEEFF"/>
          </w:tcPr>
          <w:p>
            <w:pPr>
              <w:jc w:val="right"/>
              <w:ind w:right="88"/>
              <w:spacing w:after="0"/>
              <w:rPr>
                <w:sz w:val="20"/>
                <w:szCs w:val="20"/>
                <w:color w:val="auto"/>
              </w:rPr>
            </w:pPr>
            <w:r>
              <w:rPr>
                <w:rFonts w:ascii="Arial" w:cs="Arial" w:eastAsia="Arial" w:hAnsi="Arial"/>
                <w:sz w:val="13"/>
                <w:szCs w:val="13"/>
                <w:color w:val="auto"/>
              </w:rPr>
              <w:t>13</w:t>
            </w:r>
          </w:p>
        </w:tc>
        <w:tc>
          <w:tcPr>
            <w:tcW w:w="14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700" w:type="dxa"/>
            <w:vAlign w:val="bottom"/>
            <w:shd w:val="clear" w:color="auto" w:fill="CCEEFF"/>
          </w:tcPr>
          <w:p>
            <w:pPr>
              <w:jc w:val="right"/>
              <w:ind w:right="74"/>
              <w:spacing w:after="0"/>
              <w:rPr>
                <w:sz w:val="20"/>
                <w:szCs w:val="20"/>
                <w:color w:val="auto"/>
              </w:rPr>
            </w:pPr>
            <w:r>
              <w:rPr>
                <w:rFonts w:ascii="Arial" w:cs="Arial" w:eastAsia="Arial" w:hAnsi="Arial"/>
                <w:sz w:val="13"/>
                <w:szCs w:val="13"/>
                <w:color w:val="auto"/>
              </w:rPr>
              <w:t>1,315</w:t>
            </w:r>
          </w:p>
        </w:tc>
        <w:tc>
          <w:tcPr>
            <w:tcW w:w="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740" w:type="dxa"/>
            <w:vAlign w:val="bottom"/>
            <w:gridSpan w:val="2"/>
          </w:tcPr>
          <w:p>
            <w:pPr>
              <w:ind w:left="160"/>
              <w:spacing w:after="0"/>
              <w:rPr>
                <w:sz w:val="20"/>
                <w:szCs w:val="20"/>
                <w:color w:val="auto"/>
              </w:rPr>
            </w:pPr>
            <w:r>
              <w:rPr>
                <w:rFonts w:ascii="Arial" w:cs="Arial" w:eastAsia="Arial" w:hAnsi="Arial"/>
                <w:sz w:val="13"/>
                <w:szCs w:val="13"/>
                <w:color w:val="auto"/>
              </w:rPr>
              <w:t>Amortized cost</w:t>
            </w:r>
          </w:p>
        </w:tc>
        <w:tc>
          <w:tcPr>
            <w:tcW w:w="100" w:type="dxa"/>
            <w:vAlign w:val="bottom"/>
            <w:tcBorders>
              <w:top w:val="single" w:sz="8" w:color="auto"/>
            </w:tcBorders>
          </w:tcPr>
          <w:p>
            <w:pPr>
              <w:spacing w:after="0"/>
              <w:rPr>
                <w:sz w:val="14"/>
                <w:szCs w:val="14"/>
                <w:color w:val="auto"/>
              </w:rPr>
            </w:pPr>
          </w:p>
        </w:tc>
        <w:tc>
          <w:tcPr>
            <w:tcW w:w="880" w:type="dxa"/>
            <w:vAlign w:val="bottom"/>
            <w:tcBorders>
              <w:top w:val="single" w:sz="8" w:color="auto"/>
            </w:tcBorders>
          </w:tcPr>
          <w:p>
            <w:pPr>
              <w:jc w:val="right"/>
              <w:ind w:right="97"/>
              <w:spacing w:after="0"/>
              <w:rPr>
                <w:sz w:val="20"/>
                <w:szCs w:val="20"/>
                <w:color w:val="auto"/>
              </w:rPr>
            </w:pPr>
            <w:r>
              <w:rPr>
                <w:rFonts w:ascii="Arial" w:cs="Arial" w:eastAsia="Arial" w:hAnsi="Arial"/>
                <w:sz w:val="13"/>
                <w:szCs w:val="13"/>
                <w:color w:val="auto"/>
              </w:rPr>
              <w:t>28,297</w:t>
            </w:r>
          </w:p>
        </w:tc>
        <w:tc>
          <w:tcPr>
            <w:tcW w:w="12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740" w:type="dxa"/>
            <w:vAlign w:val="bottom"/>
            <w:tcBorders>
              <w:top w:val="single" w:sz="8" w:color="auto"/>
            </w:tcBorders>
            <w:gridSpan w:val="2"/>
          </w:tcPr>
          <w:p>
            <w:pPr>
              <w:jc w:val="right"/>
              <w:spacing w:after="0"/>
              <w:rPr>
                <w:sz w:val="20"/>
                <w:szCs w:val="20"/>
                <w:color w:val="auto"/>
              </w:rPr>
            </w:pPr>
            <w:r>
              <w:rPr>
                <w:rFonts w:ascii="Arial" w:cs="Arial" w:eastAsia="Arial" w:hAnsi="Arial"/>
                <w:sz w:val="13"/>
                <w:szCs w:val="13"/>
                <w:color w:val="auto"/>
              </w:rPr>
              <w:t>11,359</w:t>
            </w:r>
          </w:p>
        </w:tc>
        <w:tc>
          <w:tcPr>
            <w:tcW w:w="14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800" w:type="dxa"/>
            <w:vAlign w:val="bottom"/>
            <w:tcBorders>
              <w:top w:val="single" w:sz="8" w:color="auto"/>
            </w:tcBorders>
          </w:tcPr>
          <w:p>
            <w:pPr>
              <w:jc w:val="right"/>
              <w:ind w:right="113"/>
              <w:spacing w:after="0"/>
              <w:rPr>
                <w:sz w:val="20"/>
                <w:szCs w:val="20"/>
                <w:color w:val="auto"/>
              </w:rPr>
            </w:pPr>
            <w:r>
              <w:rPr>
                <w:rFonts w:ascii="Arial" w:cs="Arial" w:eastAsia="Arial" w:hAnsi="Arial"/>
                <w:sz w:val="13"/>
                <w:szCs w:val="13"/>
                <w:color w:val="auto"/>
              </w:rPr>
              <w:t>2</w:t>
            </w: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800" w:type="dxa"/>
            <w:vAlign w:val="bottom"/>
            <w:tcBorders>
              <w:top w:val="single" w:sz="8" w:color="auto"/>
            </w:tcBorders>
          </w:tcPr>
          <w:p>
            <w:pPr>
              <w:jc w:val="right"/>
              <w:ind w:right="15"/>
              <w:spacing w:after="0"/>
              <w:rPr>
                <w:sz w:val="20"/>
                <w:szCs w:val="20"/>
                <w:color w:val="auto"/>
              </w:rPr>
            </w:pPr>
            <w:r>
              <w:rPr>
                <w:rFonts w:ascii="Arial" w:cs="Arial" w:eastAsia="Arial" w:hAnsi="Arial"/>
                <w:sz w:val="13"/>
                <w:szCs w:val="13"/>
                <w:color w:val="auto"/>
              </w:rPr>
              <w:t>416</w:t>
            </w:r>
          </w:p>
        </w:tc>
        <w:tc>
          <w:tcPr>
            <w:tcW w:w="10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Borders>
              <w:top w:val="single" w:sz="8" w:color="auto"/>
            </w:tcBorders>
          </w:tcPr>
          <w:p>
            <w:pPr>
              <w:spacing w:after="0"/>
              <w:rPr>
                <w:sz w:val="14"/>
                <w:szCs w:val="14"/>
                <w:color w:val="auto"/>
              </w:rPr>
            </w:pPr>
          </w:p>
        </w:tc>
        <w:tc>
          <w:tcPr>
            <w:tcW w:w="700" w:type="dxa"/>
            <w:vAlign w:val="bottom"/>
            <w:tcBorders>
              <w:top w:val="single" w:sz="8" w:color="auto"/>
            </w:tcBorders>
            <w:gridSpan w:val="2"/>
          </w:tcPr>
          <w:p>
            <w:pPr>
              <w:jc w:val="right"/>
              <w:ind w:right="95"/>
              <w:spacing w:after="0"/>
              <w:rPr>
                <w:sz w:val="20"/>
                <w:szCs w:val="20"/>
                <w:color w:val="auto"/>
              </w:rPr>
            </w:pPr>
            <w:r>
              <w:rPr>
                <w:rFonts w:ascii="Arial" w:cs="Arial" w:eastAsia="Arial" w:hAnsi="Arial"/>
                <w:sz w:val="13"/>
                <w:szCs w:val="13"/>
                <w:color w:val="auto"/>
              </w:rPr>
              <w:t>518</w:t>
            </w:r>
          </w:p>
        </w:tc>
        <w:tc>
          <w:tcPr>
            <w:tcW w:w="120" w:type="dxa"/>
            <w:vAlign w:val="bottom"/>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480" w:type="dxa"/>
            <w:vAlign w:val="bottom"/>
            <w:tcBorders>
              <w:top w:val="single" w:sz="8" w:color="auto"/>
            </w:tcBorders>
          </w:tcPr>
          <w:p>
            <w:pPr>
              <w:spacing w:after="0"/>
              <w:rPr>
                <w:sz w:val="14"/>
                <w:szCs w:val="14"/>
                <w:color w:val="auto"/>
              </w:rPr>
            </w:pPr>
          </w:p>
        </w:tc>
        <w:tc>
          <w:tcPr>
            <w:tcW w:w="360" w:type="dxa"/>
            <w:vAlign w:val="bottom"/>
            <w:tcBorders>
              <w:top w:val="single" w:sz="8" w:color="auto"/>
            </w:tcBorders>
            <w:gridSpan w:val="3"/>
          </w:tcPr>
          <w:p>
            <w:pPr>
              <w:jc w:val="right"/>
              <w:ind w:right="88"/>
              <w:spacing w:after="0"/>
              <w:rPr>
                <w:sz w:val="20"/>
                <w:szCs w:val="20"/>
                <w:color w:val="auto"/>
              </w:rPr>
            </w:pPr>
            <w:r>
              <w:rPr>
                <w:rFonts w:ascii="Arial" w:cs="Arial" w:eastAsia="Arial" w:hAnsi="Arial"/>
                <w:sz w:val="13"/>
                <w:szCs w:val="13"/>
                <w:color w:val="auto"/>
                <w:w w:val="82"/>
              </w:rPr>
              <w:t>943</w:t>
            </w:r>
          </w:p>
        </w:tc>
        <w:tc>
          <w:tcPr>
            <w:tcW w:w="140" w:type="dxa"/>
            <w:vAlign w:val="bottom"/>
          </w:tcPr>
          <w:p>
            <w:pPr>
              <w:spacing w:after="0"/>
              <w:rPr>
                <w:sz w:val="14"/>
                <w:szCs w:val="14"/>
                <w:color w:val="auto"/>
              </w:rPr>
            </w:pPr>
          </w:p>
        </w:tc>
        <w:tc>
          <w:tcPr>
            <w:tcW w:w="260" w:type="dxa"/>
            <w:vAlign w:val="bottom"/>
            <w:tcBorders>
              <w:top w:val="single" w:sz="8" w:color="auto"/>
            </w:tcBorders>
          </w:tcPr>
          <w:p>
            <w:pPr>
              <w:spacing w:after="0"/>
              <w:rPr>
                <w:sz w:val="14"/>
                <w:szCs w:val="14"/>
                <w:color w:val="auto"/>
              </w:rPr>
            </w:pPr>
          </w:p>
        </w:tc>
        <w:tc>
          <w:tcPr>
            <w:tcW w:w="700" w:type="dxa"/>
            <w:vAlign w:val="bottom"/>
            <w:tcBorders>
              <w:top w:val="single" w:sz="8" w:color="auto"/>
            </w:tcBorders>
          </w:tcPr>
          <w:p>
            <w:pPr>
              <w:jc w:val="right"/>
              <w:ind w:right="74"/>
              <w:spacing w:after="0"/>
              <w:rPr>
                <w:sz w:val="20"/>
                <w:szCs w:val="20"/>
                <w:color w:val="auto"/>
              </w:rPr>
            </w:pPr>
            <w:r>
              <w:rPr>
                <w:rFonts w:ascii="Arial" w:cs="Arial" w:eastAsia="Arial" w:hAnsi="Arial"/>
                <w:sz w:val="13"/>
                <w:szCs w:val="13"/>
                <w:color w:val="auto"/>
              </w:rPr>
              <w:t>41,535</w:t>
            </w:r>
          </w:p>
        </w:tc>
        <w:tc>
          <w:tcPr>
            <w:tcW w:w="20" w:type="dxa"/>
            <w:vAlign w:val="bottom"/>
            <w:tcBorders>
              <w:top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20" w:type="dxa"/>
            <w:vAlign w:val="bottom"/>
            <w:shd w:val="clear" w:color="auto" w:fill="CCEEFF"/>
          </w:tcPr>
          <w:p>
            <w:pPr>
              <w:spacing w:after="0"/>
              <w:rPr>
                <w:sz w:val="15"/>
                <w:szCs w:val="15"/>
                <w:color w:val="auto"/>
              </w:rPr>
            </w:pPr>
          </w:p>
        </w:tc>
        <w:tc>
          <w:tcPr>
            <w:tcW w:w="3740" w:type="dxa"/>
            <w:vAlign w:val="bottom"/>
            <w:gridSpan w:val="2"/>
            <w:shd w:val="clear" w:color="auto" w:fill="CCEEFF"/>
          </w:tcPr>
          <w:p>
            <w:pPr>
              <w:ind w:left="160"/>
              <w:spacing w:after="0"/>
              <w:rPr>
                <w:sz w:val="20"/>
                <w:szCs w:val="20"/>
                <w:color w:val="auto"/>
              </w:rPr>
            </w:pPr>
            <w:r>
              <w:rPr>
                <w:rFonts w:ascii="Arial" w:cs="Arial" w:eastAsia="Arial" w:hAnsi="Arial"/>
                <w:sz w:val="13"/>
                <w:szCs w:val="13"/>
                <w:color w:val="auto"/>
              </w:rPr>
              <w:t>Gross unrealized gains</w:t>
            </w:r>
          </w:p>
        </w:tc>
        <w:tc>
          <w:tcPr>
            <w:tcW w:w="100" w:type="dxa"/>
            <w:vAlign w:val="bottom"/>
            <w:shd w:val="clear" w:color="auto" w:fill="CCEEFF"/>
          </w:tcPr>
          <w:p>
            <w:pPr>
              <w:spacing w:after="0"/>
              <w:rPr>
                <w:sz w:val="15"/>
                <w:szCs w:val="15"/>
                <w:color w:val="auto"/>
              </w:rPr>
            </w:pPr>
          </w:p>
        </w:tc>
        <w:tc>
          <w:tcPr>
            <w:tcW w:w="88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5</w:t>
            </w:r>
          </w:p>
        </w:tc>
        <w:tc>
          <w:tcPr>
            <w:tcW w:w="1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1</w:t>
            </w: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8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00" w:type="dxa"/>
            <w:vAlign w:val="bottom"/>
            <w:shd w:val="clear" w:color="auto" w:fill="CCEEFF"/>
          </w:tcPr>
          <w:p>
            <w:pPr>
              <w:jc w:val="right"/>
              <w:ind w:right="15"/>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660" w:type="dxa"/>
            <w:vAlign w:val="bottom"/>
            <w:gridSpan w:val="2"/>
            <w:shd w:val="clear" w:color="auto" w:fill="CCEEFF"/>
          </w:tcPr>
          <w:p>
            <w:pPr>
              <w:jc w:val="right"/>
              <w:ind w:right="28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480" w:type="dxa"/>
            <w:vAlign w:val="bottom"/>
            <w:shd w:val="clear" w:color="auto" w:fill="CCEEFF"/>
          </w:tcPr>
          <w:p>
            <w:pPr>
              <w:spacing w:after="0"/>
              <w:rPr>
                <w:sz w:val="15"/>
                <w:szCs w:val="15"/>
                <w:color w:val="auto"/>
              </w:rPr>
            </w:pPr>
          </w:p>
        </w:tc>
        <w:tc>
          <w:tcPr>
            <w:tcW w:w="360" w:type="dxa"/>
            <w:vAlign w:val="bottom"/>
            <w:gridSpan w:val="3"/>
            <w:shd w:val="clear" w:color="auto" w:fill="CCEEFF"/>
          </w:tcPr>
          <w:p>
            <w:pPr>
              <w:jc w:val="right"/>
              <w:ind w:right="88"/>
              <w:spacing w:after="0"/>
              <w:rPr>
                <w:sz w:val="20"/>
                <w:szCs w:val="20"/>
                <w:color w:val="auto"/>
              </w:rPr>
            </w:pPr>
            <w:r>
              <w:rPr>
                <w:rFonts w:ascii="Arial" w:cs="Arial" w:eastAsia="Arial" w:hAnsi="Arial"/>
                <w:sz w:val="13"/>
                <w:szCs w:val="13"/>
                <w:color w:val="auto"/>
              </w:rPr>
              <w:t>3</w:t>
            </w:r>
          </w:p>
        </w:tc>
        <w:tc>
          <w:tcPr>
            <w:tcW w:w="14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700" w:type="dxa"/>
            <w:vAlign w:val="bottom"/>
            <w:shd w:val="clear" w:color="auto" w:fill="CCEEFF"/>
          </w:tcPr>
          <w:p>
            <w:pPr>
              <w:jc w:val="right"/>
              <w:ind w:right="74"/>
              <w:spacing w:after="0"/>
              <w:rPr>
                <w:sz w:val="20"/>
                <w:szCs w:val="20"/>
                <w:color w:val="auto"/>
              </w:rPr>
            </w:pPr>
            <w:r>
              <w:rPr>
                <w:rFonts w:ascii="Arial" w:cs="Arial" w:eastAsia="Arial" w:hAnsi="Arial"/>
                <w:sz w:val="13"/>
                <w:szCs w:val="13"/>
                <w:color w:val="auto"/>
              </w:rPr>
              <w:t>10</w:t>
            </w:r>
          </w:p>
        </w:tc>
        <w:tc>
          <w:tcPr>
            <w:tcW w:w="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3740" w:type="dxa"/>
            <w:vAlign w:val="bottom"/>
            <w:gridSpan w:val="2"/>
          </w:tcPr>
          <w:p>
            <w:pPr>
              <w:ind w:left="160"/>
              <w:spacing w:after="0"/>
              <w:rPr>
                <w:sz w:val="20"/>
                <w:szCs w:val="20"/>
                <w:color w:val="auto"/>
              </w:rPr>
            </w:pPr>
            <w:r>
              <w:rPr>
                <w:rFonts w:ascii="Arial" w:cs="Arial" w:eastAsia="Arial" w:hAnsi="Arial"/>
                <w:sz w:val="13"/>
                <w:szCs w:val="13"/>
                <w:color w:val="auto"/>
              </w:rPr>
              <w:t>Gross unrealized losses</w:t>
            </w:r>
          </w:p>
        </w:tc>
        <w:tc>
          <w:tcPr>
            <w:tcW w:w="100" w:type="dxa"/>
            <w:vAlign w:val="bottom"/>
          </w:tcPr>
          <w:p>
            <w:pPr>
              <w:spacing w:after="0"/>
              <w:rPr>
                <w:sz w:val="14"/>
                <w:szCs w:val="14"/>
                <w:color w:val="auto"/>
              </w:rPr>
            </w:pPr>
          </w:p>
        </w:tc>
        <w:tc>
          <w:tcPr>
            <w:tcW w:w="880" w:type="dxa"/>
            <w:vAlign w:val="bottom"/>
          </w:tcPr>
          <w:p>
            <w:pPr>
              <w:jc w:val="right"/>
              <w:ind w:right="57"/>
              <w:spacing w:after="0"/>
              <w:rPr>
                <w:sz w:val="20"/>
                <w:szCs w:val="20"/>
                <w:color w:val="auto"/>
              </w:rPr>
            </w:pPr>
            <w:r>
              <w:rPr>
                <w:rFonts w:ascii="Arial" w:cs="Arial" w:eastAsia="Arial" w:hAnsi="Arial"/>
                <w:sz w:val="13"/>
                <w:szCs w:val="13"/>
                <w:color w:val="auto"/>
              </w:rPr>
              <w:t>(2,106)</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gridSpan w:val="3"/>
          </w:tcPr>
          <w:p>
            <w:pPr>
              <w:jc w:val="right"/>
              <w:ind w:right="68"/>
              <w:spacing w:after="0"/>
              <w:rPr>
                <w:sz w:val="20"/>
                <w:szCs w:val="20"/>
                <w:color w:val="auto"/>
              </w:rPr>
            </w:pPr>
            <w:r>
              <w:rPr>
                <w:rFonts w:ascii="Arial" w:cs="Arial" w:eastAsia="Arial" w:hAnsi="Arial"/>
                <w:sz w:val="13"/>
                <w:szCs w:val="13"/>
                <w:color w:val="auto"/>
              </w:rPr>
              <w:t>(824)</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80" w:type="dxa"/>
            <w:vAlign w:val="bottom"/>
            <w:gridSpan w:val="2"/>
          </w:tcPr>
          <w:p>
            <w:pPr>
              <w:jc w:val="right"/>
              <w:ind w:right="260"/>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(33)</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gridSpan w:val="2"/>
          </w:tcPr>
          <w:p>
            <w:pPr>
              <w:jc w:val="right"/>
              <w:ind w:right="55"/>
              <w:spacing w:after="0"/>
              <w:rPr>
                <w:sz w:val="20"/>
                <w:szCs w:val="20"/>
                <w:color w:val="auto"/>
              </w:rPr>
            </w:pPr>
            <w:r>
              <w:rPr>
                <w:rFonts w:ascii="Arial" w:cs="Arial" w:eastAsia="Arial" w:hAnsi="Arial"/>
                <w:sz w:val="13"/>
                <w:szCs w:val="13"/>
                <w:color w:val="auto"/>
              </w:rPr>
              <w:t>(21)</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60" w:type="dxa"/>
            <w:vAlign w:val="bottom"/>
            <w:gridSpan w:val="3"/>
          </w:tcPr>
          <w:p>
            <w:pPr>
              <w:jc w:val="right"/>
              <w:ind w:right="68"/>
              <w:spacing w:after="0"/>
              <w:rPr>
                <w:sz w:val="20"/>
                <w:szCs w:val="20"/>
                <w:color w:val="auto"/>
              </w:rPr>
            </w:pPr>
            <w:r>
              <w:rPr>
                <w:rFonts w:ascii="Arial" w:cs="Arial" w:eastAsia="Arial" w:hAnsi="Arial"/>
                <w:sz w:val="13"/>
                <w:szCs w:val="13"/>
                <w:color w:val="auto"/>
                <w:w w:val="86"/>
              </w:rPr>
              <w:t>(52)</w:t>
            </w:r>
          </w:p>
        </w:tc>
        <w:tc>
          <w:tcPr>
            <w:tcW w:w="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00" w:type="dxa"/>
            <w:vAlign w:val="bottom"/>
          </w:tcPr>
          <w:p>
            <w:pPr>
              <w:jc w:val="right"/>
              <w:ind w:right="54"/>
              <w:spacing w:after="0"/>
              <w:rPr>
                <w:sz w:val="20"/>
                <w:szCs w:val="20"/>
                <w:color w:val="auto"/>
              </w:rPr>
            </w:pPr>
            <w:r>
              <w:rPr>
                <w:rFonts w:ascii="Arial" w:cs="Arial" w:eastAsia="Arial" w:hAnsi="Arial"/>
                <w:sz w:val="13"/>
                <w:szCs w:val="13"/>
                <w:color w:val="auto"/>
              </w:rPr>
              <w:t>(3,036)</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20" w:type="dxa"/>
            <w:vAlign w:val="bottom"/>
            <w:tcBorders>
              <w:top w:val="single" w:sz="8" w:color="CCEEFF"/>
            </w:tcBorders>
            <w:shd w:val="clear" w:color="auto" w:fill="CCEEFF"/>
          </w:tcPr>
          <w:p>
            <w:pPr>
              <w:spacing w:after="0"/>
              <w:rPr>
                <w:sz w:val="15"/>
                <w:szCs w:val="15"/>
                <w:color w:val="auto"/>
              </w:rPr>
            </w:pPr>
          </w:p>
        </w:tc>
        <w:tc>
          <w:tcPr>
            <w:tcW w:w="374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3"/>
                <w:szCs w:val="13"/>
                <w:color w:val="auto"/>
              </w:rPr>
              <w:t>Total securities remeasured at fair value through earnings</w:t>
            </w:r>
          </w:p>
        </w:tc>
        <w:tc>
          <w:tcPr>
            <w:tcW w:w="100" w:type="dxa"/>
            <w:vAlign w:val="bottom"/>
            <w:tcBorders>
              <w:top w:val="single" w:sz="8" w:color="auto"/>
              <w:bottom w:val="single" w:sz="8" w:color="auto"/>
            </w:tcBorders>
            <w:shd w:val="clear" w:color="auto" w:fill="CCEEFF"/>
          </w:tcPr>
          <w:p>
            <w:pPr>
              <w:spacing w:after="0"/>
              <w:rPr>
                <w:sz w:val="15"/>
                <w:szCs w:val="15"/>
                <w:color w:val="auto"/>
              </w:rPr>
            </w:pPr>
          </w:p>
        </w:tc>
        <w:tc>
          <w:tcPr>
            <w:tcW w:w="880" w:type="dxa"/>
            <w:vAlign w:val="bottom"/>
            <w:tcBorders>
              <w:top w:val="single" w:sz="8" w:color="auto"/>
              <w:bottom w:val="single" w:sz="8" w:color="auto"/>
            </w:tcBorders>
            <w:shd w:val="clear" w:color="auto" w:fill="CCEEFF"/>
          </w:tcPr>
          <w:p>
            <w:pPr>
              <w:jc w:val="right"/>
              <w:ind w:right="97"/>
              <w:spacing w:after="0"/>
              <w:rPr>
                <w:sz w:val="20"/>
                <w:szCs w:val="20"/>
                <w:color w:val="auto"/>
              </w:rPr>
            </w:pPr>
            <w:r>
              <w:rPr>
                <w:rFonts w:ascii="Arial" w:cs="Arial" w:eastAsia="Arial" w:hAnsi="Arial"/>
                <w:sz w:val="13"/>
                <w:szCs w:val="13"/>
                <w:color w:val="auto"/>
              </w:rPr>
              <w:t>26,196</w:t>
            </w:r>
          </w:p>
        </w:tc>
        <w:tc>
          <w:tcPr>
            <w:tcW w:w="1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bottom w:val="single" w:sz="8" w:color="auto"/>
            </w:tcBorders>
            <w:shd w:val="clear" w:color="auto" w:fill="CCEEFF"/>
          </w:tcPr>
          <w:p>
            <w:pPr>
              <w:spacing w:after="0"/>
              <w:rPr>
                <w:sz w:val="15"/>
                <w:szCs w:val="15"/>
                <w:color w:val="auto"/>
              </w:rPr>
            </w:pPr>
          </w:p>
        </w:tc>
        <w:tc>
          <w:tcPr>
            <w:tcW w:w="74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3"/>
                <w:szCs w:val="13"/>
                <w:color w:val="auto"/>
              </w:rPr>
              <w:t>10,536</w:t>
            </w:r>
          </w:p>
        </w:tc>
        <w:tc>
          <w:tcPr>
            <w:tcW w:w="140" w:type="dxa"/>
            <w:vAlign w:val="bottom"/>
            <w:tcBorders>
              <w:top w:val="single" w:sz="8" w:color="auto"/>
              <w:bottom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bottom w:val="single" w:sz="8" w:color="auto"/>
            </w:tcBorders>
            <w:shd w:val="clear" w:color="auto" w:fill="CCEEFF"/>
          </w:tcPr>
          <w:p>
            <w:pPr>
              <w:spacing w:after="0"/>
              <w:rPr>
                <w:sz w:val="15"/>
                <w:szCs w:val="15"/>
                <w:color w:val="auto"/>
              </w:rPr>
            </w:pPr>
          </w:p>
        </w:tc>
        <w:tc>
          <w:tcPr>
            <w:tcW w:w="800" w:type="dxa"/>
            <w:vAlign w:val="bottom"/>
            <w:tcBorders>
              <w:top w:val="single" w:sz="8" w:color="auto"/>
              <w:bottom w:val="single" w:sz="8" w:color="auto"/>
            </w:tcBorders>
            <w:shd w:val="clear" w:color="auto" w:fill="CCEEFF"/>
          </w:tcPr>
          <w:p>
            <w:pPr>
              <w:jc w:val="right"/>
              <w:ind w:right="113"/>
              <w:spacing w:after="0"/>
              <w:rPr>
                <w:sz w:val="20"/>
                <w:szCs w:val="20"/>
                <w:color w:val="auto"/>
              </w:rPr>
            </w:pPr>
            <w:r>
              <w:rPr>
                <w:rFonts w:ascii="Arial" w:cs="Arial" w:eastAsia="Arial" w:hAnsi="Arial"/>
                <w:sz w:val="13"/>
                <w:szCs w:val="13"/>
                <w:color w:val="auto"/>
              </w:rPr>
              <w:t>2</w:t>
            </w:r>
          </w:p>
        </w:tc>
        <w:tc>
          <w:tcPr>
            <w:tcW w:w="80" w:type="dxa"/>
            <w:vAlign w:val="bottom"/>
            <w:tcBorders>
              <w:top w:val="single" w:sz="8" w:color="CCEEFF"/>
            </w:tcBorders>
            <w:shd w:val="clear" w:color="auto" w:fill="CCEEFF"/>
          </w:tcPr>
          <w:p>
            <w:pPr>
              <w:spacing w:after="0"/>
              <w:rPr>
                <w:sz w:val="15"/>
                <w:szCs w:val="15"/>
                <w:color w:val="auto"/>
              </w:rPr>
            </w:pPr>
          </w:p>
        </w:tc>
        <w:tc>
          <w:tcPr>
            <w:tcW w:w="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bottom w:val="single" w:sz="8" w:color="auto"/>
            </w:tcBorders>
            <w:shd w:val="clear" w:color="auto" w:fill="CCEEFF"/>
          </w:tcPr>
          <w:p>
            <w:pPr>
              <w:spacing w:after="0"/>
              <w:rPr>
                <w:sz w:val="15"/>
                <w:szCs w:val="15"/>
                <w:color w:val="auto"/>
              </w:rPr>
            </w:pPr>
          </w:p>
        </w:tc>
        <w:tc>
          <w:tcPr>
            <w:tcW w:w="800" w:type="dxa"/>
            <w:vAlign w:val="bottom"/>
            <w:tcBorders>
              <w:top w:val="single" w:sz="8" w:color="auto"/>
              <w:bottom w:val="single" w:sz="8" w:color="auto"/>
            </w:tcBorders>
            <w:shd w:val="clear" w:color="auto" w:fill="CCEEFF"/>
          </w:tcPr>
          <w:p>
            <w:pPr>
              <w:jc w:val="right"/>
              <w:ind w:right="15"/>
              <w:spacing w:after="0"/>
              <w:rPr>
                <w:sz w:val="20"/>
                <w:szCs w:val="20"/>
                <w:color w:val="auto"/>
              </w:rPr>
            </w:pPr>
            <w:r>
              <w:rPr>
                <w:rFonts w:ascii="Arial" w:cs="Arial" w:eastAsia="Arial" w:hAnsi="Arial"/>
                <w:sz w:val="13"/>
                <w:szCs w:val="13"/>
                <w:color w:val="auto"/>
              </w:rPr>
              <w:t>384</w:t>
            </w:r>
          </w:p>
        </w:tc>
        <w:tc>
          <w:tcPr>
            <w:tcW w:w="100" w:type="dxa"/>
            <w:vAlign w:val="bottom"/>
            <w:tcBorders>
              <w:top w:val="single" w:sz="8" w:color="auto"/>
              <w:bottom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280" w:type="dxa"/>
            <w:vAlign w:val="bottom"/>
            <w:tcBorders>
              <w:top w:val="single" w:sz="8" w:color="auto"/>
              <w:bottom w:val="single" w:sz="8" w:color="auto"/>
            </w:tcBorders>
            <w:shd w:val="clear" w:color="auto" w:fill="CCEEFF"/>
          </w:tcPr>
          <w:p>
            <w:pPr>
              <w:spacing w:after="0"/>
              <w:rPr>
                <w:sz w:val="15"/>
                <w:szCs w:val="15"/>
                <w:color w:val="auto"/>
              </w:rPr>
            </w:pPr>
          </w:p>
        </w:tc>
        <w:tc>
          <w:tcPr>
            <w:tcW w:w="700" w:type="dxa"/>
            <w:vAlign w:val="bottom"/>
            <w:tcBorders>
              <w:top w:val="single" w:sz="8" w:color="auto"/>
              <w:bottom w:val="single" w:sz="8" w:color="auto"/>
            </w:tcBorders>
            <w:gridSpan w:val="2"/>
            <w:shd w:val="clear" w:color="auto" w:fill="CCEEFF"/>
          </w:tcPr>
          <w:p>
            <w:pPr>
              <w:jc w:val="right"/>
              <w:ind w:right="95"/>
              <w:spacing w:after="0"/>
              <w:rPr>
                <w:sz w:val="20"/>
                <w:szCs w:val="20"/>
                <w:color w:val="auto"/>
              </w:rPr>
            </w:pPr>
            <w:r>
              <w:rPr>
                <w:rFonts w:ascii="Arial" w:cs="Arial" w:eastAsia="Arial" w:hAnsi="Arial"/>
                <w:sz w:val="13"/>
                <w:szCs w:val="13"/>
                <w:color w:val="auto"/>
              </w:rPr>
              <w:t>497</w:t>
            </w:r>
          </w:p>
        </w:tc>
        <w:tc>
          <w:tcPr>
            <w:tcW w:w="12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bottom w:val="single" w:sz="8" w:color="auto"/>
            </w:tcBorders>
            <w:shd w:val="clear" w:color="auto" w:fill="CCEEFF"/>
          </w:tcPr>
          <w:p>
            <w:pPr>
              <w:spacing w:after="0"/>
              <w:rPr>
                <w:sz w:val="15"/>
                <w:szCs w:val="15"/>
                <w:color w:val="auto"/>
              </w:rPr>
            </w:pPr>
          </w:p>
        </w:tc>
        <w:tc>
          <w:tcPr>
            <w:tcW w:w="480" w:type="dxa"/>
            <w:vAlign w:val="bottom"/>
            <w:tcBorders>
              <w:top w:val="single" w:sz="8" w:color="auto"/>
              <w:bottom w:val="single" w:sz="8" w:color="auto"/>
            </w:tcBorders>
            <w:shd w:val="clear" w:color="auto" w:fill="CCEEFF"/>
          </w:tcPr>
          <w:p>
            <w:pPr>
              <w:spacing w:after="0"/>
              <w:rPr>
                <w:sz w:val="15"/>
                <w:szCs w:val="15"/>
                <w:color w:val="auto"/>
              </w:rPr>
            </w:pPr>
          </w:p>
        </w:tc>
        <w:tc>
          <w:tcPr>
            <w:tcW w:w="360" w:type="dxa"/>
            <w:vAlign w:val="bottom"/>
            <w:tcBorders>
              <w:top w:val="single" w:sz="8" w:color="auto"/>
              <w:bottom w:val="single" w:sz="8" w:color="auto"/>
            </w:tcBorders>
            <w:gridSpan w:val="3"/>
            <w:shd w:val="clear" w:color="auto" w:fill="CCEEFF"/>
          </w:tcPr>
          <w:p>
            <w:pPr>
              <w:jc w:val="right"/>
              <w:ind w:right="88"/>
              <w:spacing w:after="0"/>
              <w:rPr>
                <w:sz w:val="20"/>
                <w:szCs w:val="20"/>
                <w:color w:val="auto"/>
              </w:rPr>
            </w:pPr>
            <w:r>
              <w:rPr>
                <w:rFonts w:ascii="Arial" w:cs="Arial" w:eastAsia="Arial" w:hAnsi="Arial"/>
                <w:sz w:val="13"/>
                <w:szCs w:val="13"/>
                <w:color w:val="auto"/>
                <w:w w:val="82"/>
              </w:rPr>
              <w:t>894</w:t>
            </w:r>
          </w:p>
        </w:tc>
        <w:tc>
          <w:tcPr>
            <w:tcW w:w="140" w:type="dxa"/>
            <w:vAlign w:val="bottom"/>
            <w:tcBorders>
              <w:top w:val="single" w:sz="8" w:color="CCEEFF"/>
            </w:tcBorders>
            <w:shd w:val="clear" w:color="auto" w:fill="CCEEFF"/>
          </w:tcPr>
          <w:p>
            <w:pPr>
              <w:spacing w:after="0"/>
              <w:rPr>
                <w:sz w:val="15"/>
                <w:szCs w:val="15"/>
                <w:color w:val="auto"/>
              </w:rPr>
            </w:pPr>
          </w:p>
        </w:tc>
        <w:tc>
          <w:tcPr>
            <w:tcW w:w="260" w:type="dxa"/>
            <w:vAlign w:val="bottom"/>
            <w:tcBorders>
              <w:top w:val="single" w:sz="8" w:color="auto"/>
              <w:bottom w:val="single" w:sz="8" w:color="auto"/>
            </w:tcBorders>
            <w:shd w:val="clear" w:color="auto" w:fill="CCEEFF"/>
          </w:tcPr>
          <w:p>
            <w:pPr>
              <w:spacing w:after="0"/>
              <w:rPr>
                <w:sz w:val="15"/>
                <w:szCs w:val="15"/>
                <w:color w:val="auto"/>
              </w:rPr>
            </w:pPr>
          </w:p>
        </w:tc>
        <w:tc>
          <w:tcPr>
            <w:tcW w:w="700" w:type="dxa"/>
            <w:vAlign w:val="bottom"/>
            <w:tcBorders>
              <w:top w:val="single" w:sz="8" w:color="auto"/>
              <w:bottom w:val="single" w:sz="8" w:color="auto"/>
            </w:tcBorders>
            <w:shd w:val="clear" w:color="auto" w:fill="CCEEFF"/>
          </w:tcPr>
          <w:p>
            <w:pPr>
              <w:jc w:val="right"/>
              <w:ind w:right="74"/>
              <w:spacing w:after="0"/>
              <w:rPr>
                <w:sz w:val="20"/>
                <w:szCs w:val="20"/>
                <w:color w:val="auto"/>
              </w:rPr>
            </w:pPr>
            <w:r>
              <w:rPr>
                <w:rFonts w:ascii="Arial" w:cs="Arial" w:eastAsia="Arial" w:hAnsi="Arial"/>
                <w:sz w:val="13"/>
                <w:szCs w:val="13"/>
                <w:color w:val="auto"/>
              </w:rPr>
              <w:t>38,509</w:t>
            </w:r>
          </w:p>
        </w:tc>
        <w:tc>
          <w:tcPr>
            <w:tcW w:w="20" w:type="dxa"/>
            <w:vAlign w:val="bottom"/>
            <w:tcBorders>
              <w:top w:val="single" w:sz="8" w:color="auto"/>
              <w:bottom w:val="single" w:sz="8" w:color="auto"/>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3740" w:type="dxa"/>
            <w:vAlign w:val="bottom"/>
            <w:gridSpan w:val="2"/>
          </w:tcPr>
          <w:p>
            <w:pPr>
              <w:spacing w:after="0"/>
              <w:rPr>
                <w:sz w:val="20"/>
                <w:szCs w:val="20"/>
                <w:color w:val="auto"/>
              </w:rPr>
            </w:pPr>
            <w:r>
              <w:rPr>
                <w:rFonts w:ascii="Arial" w:cs="Arial" w:eastAsia="Arial" w:hAnsi="Arial"/>
                <w:sz w:val="13"/>
                <w:szCs w:val="13"/>
                <w:color w:val="auto"/>
              </w:rPr>
              <w:t>Total securities, at fair value</w:t>
            </w: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880" w:type="dxa"/>
            <w:vAlign w:val="bottom"/>
            <w:tcBorders>
              <w:bottom w:val="single" w:sz="8" w:color="auto"/>
            </w:tcBorders>
          </w:tcPr>
          <w:p>
            <w:pPr>
              <w:jc w:val="right"/>
              <w:ind w:right="97"/>
              <w:spacing w:after="0"/>
              <w:rPr>
                <w:sz w:val="20"/>
                <w:szCs w:val="20"/>
                <w:color w:val="auto"/>
              </w:rPr>
            </w:pPr>
            <w:r>
              <w:rPr>
                <w:rFonts w:ascii="Arial" w:cs="Arial" w:eastAsia="Arial" w:hAnsi="Arial"/>
                <w:sz w:val="13"/>
                <w:szCs w:val="13"/>
                <w:color w:val="auto"/>
              </w:rPr>
              <w:t>31,414</w:t>
            </w:r>
          </w:p>
        </w:tc>
        <w:tc>
          <w:tcPr>
            <w:tcW w:w="120" w:type="dxa"/>
            <w:vAlign w:val="bottom"/>
          </w:tcPr>
          <w:p>
            <w:pPr>
              <w:spacing w:after="0"/>
              <w:rPr>
                <w:sz w:val="14"/>
                <w:szCs w:val="14"/>
                <w:color w:val="auto"/>
              </w:rPr>
            </w:pPr>
          </w:p>
        </w:tc>
        <w:tc>
          <w:tcPr>
            <w:tcW w:w="80" w:type="dxa"/>
            <w:vAlign w:val="bottom"/>
            <w:tcBorders>
              <w:bottom w:val="single" w:sz="8" w:color="auto"/>
            </w:tcBorders>
          </w:tcPr>
          <w:p>
            <w:pPr>
              <w:ind w:left="20"/>
              <w:spacing w:after="0"/>
              <w:rPr>
                <w:sz w:val="20"/>
                <w:szCs w:val="20"/>
                <w:color w:val="auto"/>
              </w:rPr>
            </w:pPr>
            <w:r>
              <w:rPr>
                <w:rFonts w:ascii="Arial" w:cs="Arial" w:eastAsia="Arial" w:hAnsi="Arial"/>
                <w:sz w:val="10"/>
                <w:szCs w:val="10"/>
                <w:color w:val="auto"/>
                <w:w w:val="71"/>
              </w:rPr>
              <w:t>$</w:t>
            </w:r>
          </w:p>
        </w:tc>
        <w:tc>
          <w:tcPr>
            <w:tcW w:w="740" w:type="dxa"/>
            <w:vAlign w:val="bottom"/>
            <w:tcBorders>
              <w:bottom w:val="single" w:sz="8" w:color="auto"/>
            </w:tcBorders>
            <w:gridSpan w:val="2"/>
          </w:tcPr>
          <w:p>
            <w:pPr>
              <w:jc w:val="right"/>
              <w:spacing w:after="0"/>
              <w:rPr>
                <w:sz w:val="20"/>
                <w:szCs w:val="20"/>
                <w:color w:val="auto"/>
              </w:rPr>
            </w:pPr>
            <w:r>
              <w:rPr>
                <w:rFonts w:ascii="Arial" w:cs="Arial" w:eastAsia="Arial" w:hAnsi="Arial"/>
                <w:sz w:val="13"/>
                <w:szCs w:val="13"/>
                <w:color w:val="auto"/>
              </w:rPr>
              <w:t>12,209</w:t>
            </w:r>
          </w:p>
        </w:tc>
        <w:tc>
          <w:tcPr>
            <w:tcW w:w="1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Borders>
              <w:bottom w:val="single" w:sz="8" w:color="auto"/>
            </w:tcBorders>
          </w:tcPr>
          <w:p>
            <w:pPr>
              <w:jc w:val="right"/>
              <w:ind w:right="34"/>
              <w:spacing w:after="0"/>
              <w:rPr>
                <w:sz w:val="20"/>
                <w:szCs w:val="20"/>
                <w:color w:val="auto"/>
              </w:rPr>
            </w:pPr>
            <w:r>
              <w:rPr>
                <w:rFonts w:ascii="Arial" w:cs="Arial" w:eastAsia="Arial" w:hAnsi="Arial"/>
                <w:sz w:val="13"/>
                <w:szCs w:val="13"/>
                <w:color w:val="auto"/>
                <w:w w:val="82"/>
              </w:rPr>
              <w:t>$</w:t>
            </w:r>
          </w:p>
        </w:tc>
        <w:tc>
          <w:tcPr>
            <w:tcW w:w="800" w:type="dxa"/>
            <w:vAlign w:val="bottom"/>
            <w:tcBorders>
              <w:bottom w:val="single" w:sz="8" w:color="auto"/>
            </w:tcBorders>
          </w:tcPr>
          <w:p>
            <w:pPr>
              <w:jc w:val="right"/>
              <w:ind w:right="113"/>
              <w:spacing w:after="0"/>
              <w:rPr>
                <w:sz w:val="20"/>
                <w:szCs w:val="20"/>
                <w:color w:val="auto"/>
              </w:rPr>
            </w:pPr>
            <w:r>
              <w:rPr>
                <w:rFonts w:ascii="Arial" w:cs="Arial" w:eastAsia="Arial" w:hAnsi="Arial"/>
                <w:sz w:val="13"/>
                <w:szCs w:val="13"/>
                <w:color w:val="auto"/>
              </w:rPr>
              <w:t>3</w:t>
            </w: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800" w:type="dxa"/>
            <w:vAlign w:val="bottom"/>
            <w:tcBorders>
              <w:bottom w:val="single" w:sz="8" w:color="auto"/>
            </w:tcBorders>
          </w:tcPr>
          <w:p>
            <w:pPr>
              <w:jc w:val="right"/>
              <w:ind w:right="15"/>
              <w:spacing w:after="0"/>
              <w:rPr>
                <w:sz w:val="20"/>
                <w:szCs w:val="20"/>
                <w:color w:val="auto"/>
              </w:rPr>
            </w:pPr>
            <w:r>
              <w:rPr>
                <w:rFonts w:ascii="Arial" w:cs="Arial" w:eastAsia="Arial" w:hAnsi="Arial"/>
                <w:sz w:val="13"/>
                <w:szCs w:val="13"/>
                <w:color w:val="auto"/>
              </w:rPr>
              <w:t>384</w:t>
            </w:r>
          </w:p>
        </w:tc>
        <w:tc>
          <w:tcPr>
            <w:tcW w:w="1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w w:val="82"/>
              </w:rPr>
              <w:t>$</w:t>
            </w:r>
          </w:p>
        </w:tc>
        <w:tc>
          <w:tcPr>
            <w:tcW w:w="700" w:type="dxa"/>
            <w:vAlign w:val="bottom"/>
            <w:tcBorders>
              <w:bottom w:val="single" w:sz="8" w:color="auto"/>
            </w:tcBorders>
            <w:gridSpan w:val="2"/>
          </w:tcPr>
          <w:p>
            <w:pPr>
              <w:jc w:val="right"/>
              <w:ind w:right="95"/>
              <w:spacing w:after="0"/>
              <w:rPr>
                <w:sz w:val="20"/>
                <w:szCs w:val="20"/>
                <w:color w:val="auto"/>
              </w:rPr>
            </w:pPr>
            <w:r>
              <w:rPr>
                <w:rFonts w:ascii="Arial" w:cs="Arial" w:eastAsia="Arial" w:hAnsi="Arial"/>
                <w:sz w:val="13"/>
                <w:szCs w:val="13"/>
                <w:color w:val="auto"/>
              </w:rPr>
              <w:t>497</w:t>
            </w:r>
          </w:p>
        </w:tc>
        <w:tc>
          <w:tcPr>
            <w:tcW w:w="120" w:type="dxa"/>
            <w:vAlign w:val="bottom"/>
          </w:tcPr>
          <w:p>
            <w:pPr>
              <w:spacing w:after="0"/>
              <w:rPr>
                <w:sz w:val="14"/>
                <w:szCs w:val="14"/>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48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gridSpan w:val="3"/>
          </w:tcPr>
          <w:p>
            <w:pPr>
              <w:jc w:val="right"/>
              <w:ind w:right="88"/>
              <w:spacing w:after="0"/>
              <w:rPr>
                <w:sz w:val="20"/>
                <w:szCs w:val="20"/>
                <w:color w:val="auto"/>
              </w:rPr>
            </w:pPr>
            <w:r>
              <w:rPr>
                <w:rFonts w:ascii="Arial" w:cs="Arial" w:eastAsia="Arial" w:hAnsi="Arial"/>
                <w:sz w:val="13"/>
                <w:szCs w:val="13"/>
                <w:color w:val="auto"/>
                <w:w w:val="82"/>
              </w:rPr>
              <w:t>894</w:t>
            </w:r>
          </w:p>
        </w:tc>
        <w:tc>
          <w:tcPr>
            <w:tcW w:w="140" w:type="dxa"/>
            <w:vAlign w:val="bottom"/>
          </w:tcPr>
          <w:p>
            <w:pPr>
              <w:spacing w:after="0"/>
              <w:rPr>
                <w:sz w:val="14"/>
                <w:szCs w:val="14"/>
                <w:color w:val="auto"/>
              </w:rPr>
            </w:pPr>
          </w:p>
        </w:tc>
        <w:tc>
          <w:tcPr>
            <w:tcW w:w="260" w:type="dxa"/>
            <w:vAlign w:val="bottom"/>
            <w:tcBorders>
              <w:bottom w:val="single" w:sz="8" w:color="auto"/>
            </w:tcBorders>
          </w:tcPr>
          <w:p>
            <w:pPr>
              <w:ind w:left="20"/>
              <w:spacing w:after="0"/>
              <w:rPr>
                <w:sz w:val="20"/>
                <w:szCs w:val="20"/>
                <w:color w:val="auto"/>
              </w:rPr>
            </w:pPr>
            <w:r>
              <w:rPr>
                <w:rFonts w:ascii="Arial" w:cs="Arial" w:eastAsia="Arial" w:hAnsi="Arial"/>
                <w:sz w:val="13"/>
                <w:szCs w:val="13"/>
                <w:color w:val="auto"/>
              </w:rPr>
              <w:t>$</w:t>
            </w:r>
          </w:p>
        </w:tc>
        <w:tc>
          <w:tcPr>
            <w:tcW w:w="700" w:type="dxa"/>
            <w:vAlign w:val="bottom"/>
            <w:tcBorders>
              <w:bottom w:val="single" w:sz="8" w:color="auto"/>
            </w:tcBorders>
          </w:tcPr>
          <w:p>
            <w:pPr>
              <w:jc w:val="right"/>
              <w:ind w:right="74"/>
              <w:spacing w:after="0"/>
              <w:rPr>
                <w:sz w:val="20"/>
                <w:szCs w:val="20"/>
                <w:color w:val="auto"/>
              </w:rPr>
            </w:pPr>
            <w:r>
              <w:rPr>
                <w:rFonts w:ascii="Arial" w:cs="Arial" w:eastAsia="Arial" w:hAnsi="Arial"/>
                <w:sz w:val="13"/>
                <w:szCs w:val="13"/>
                <w:color w:val="auto"/>
              </w:rPr>
              <w:t>45,401</w:t>
            </w:r>
          </w:p>
        </w:tc>
        <w:tc>
          <w:tcPr>
            <w:tcW w:w="2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Borders>
              <w:bottom w:val="single" w:sz="8" w:color="CCEEFF"/>
            </w:tcBorders>
          </w:tcPr>
          <w:p>
            <w:pPr>
              <w:spacing w:after="0" w:line="20" w:lineRule="exact"/>
              <w:rPr>
                <w:sz w:val="1"/>
                <w:szCs w:val="1"/>
                <w:color w:val="auto"/>
              </w:rPr>
            </w:pPr>
          </w:p>
        </w:tc>
        <w:tc>
          <w:tcPr>
            <w:tcW w:w="36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0"/>
        </w:trPr>
        <w:tc>
          <w:tcPr>
            <w:tcW w:w="20" w:type="dxa"/>
            <w:vAlign w:val="bottom"/>
            <w:shd w:val="clear" w:color="auto" w:fill="CCEEFF"/>
          </w:tcPr>
          <w:p>
            <w:pPr>
              <w:spacing w:after="0"/>
              <w:rPr>
                <w:sz w:val="14"/>
                <w:szCs w:val="14"/>
                <w:color w:val="auto"/>
              </w:rPr>
            </w:pPr>
          </w:p>
        </w:tc>
        <w:tc>
          <w:tcPr>
            <w:tcW w:w="3740" w:type="dxa"/>
            <w:vAlign w:val="bottom"/>
            <w:gridSpan w:val="2"/>
            <w:shd w:val="clear" w:color="auto" w:fill="CCEEFF"/>
          </w:tcPr>
          <w:p>
            <w:pPr>
              <w:spacing w:after="0"/>
              <w:rPr>
                <w:sz w:val="20"/>
                <w:szCs w:val="20"/>
                <w:color w:val="auto"/>
              </w:rPr>
            </w:pPr>
            <w:r>
              <w:rPr>
                <w:rFonts w:ascii="Arial" w:cs="Arial" w:eastAsia="Arial" w:hAnsi="Arial"/>
                <w:sz w:val="13"/>
                <w:szCs w:val="13"/>
                <w:color w:val="auto"/>
              </w:rPr>
              <w:t>Weighted average coupon as of June 30, 2022</w:t>
            </w:r>
          </w:p>
        </w:tc>
        <w:tc>
          <w:tcPr>
            <w:tcW w:w="100" w:type="dxa"/>
            <w:vAlign w:val="bottom"/>
            <w:shd w:val="clear" w:color="auto" w:fill="CCEEFF"/>
          </w:tcPr>
          <w:p>
            <w:pPr>
              <w:spacing w:after="0"/>
              <w:rPr>
                <w:sz w:val="14"/>
                <w:szCs w:val="14"/>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3.28 %</w:t>
            </w:r>
          </w:p>
        </w:tc>
        <w:tc>
          <w:tcPr>
            <w:tcW w:w="1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80" w:type="dxa"/>
            <w:vAlign w:val="bottom"/>
            <w:gridSpan w:val="3"/>
            <w:shd w:val="clear" w:color="auto" w:fill="CCEEFF"/>
          </w:tcPr>
          <w:p>
            <w:pPr>
              <w:jc w:val="right"/>
              <w:spacing w:after="0"/>
              <w:rPr>
                <w:sz w:val="20"/>
                <w:szCs w:val="20"/>
                <w:color w:val="auto"/>
              </w:rPr>
            </w:pPr>
            <w:r>
              <w:rPr>
                <w:rFonts w:ascii="Arial" w:cs="Arial" w:eastAsia="Arial" w:hAnsi="Arial"/>
                <w:sz w:val="13"/>
                <w:szCs w:val="13"/>
                <w:color w:val="auto"/>
              </w:rPr>
              <w:t>3.33 %</w:t>
            </w: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4.70 %</w:t>
            </w:r>
          </w:p>
        </w:tc>
        <w:tc>
          <w:tcPr>
            <w:tcW w:w="8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3.35 %</w:t>
            </w:r>
          </w:p>
        </w:tc>
        <w:tc>
          <w:tcPr>
            <w:tcW w:w="10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4.02 %</w:t>
            </w: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gridSpan w:val="4"/>
            <w:shd w:val="clear" w:color="auto" w:fill="CCEEFF"/>
          </w:tcPr>
          <w:p>
            <w:pPr>
              <w:jc w:val="right"/>
              <w:spacing w:after="0"/>
              <w:rPr>
                <w:sz w:val="20"/>
                <w:szCs w:val="20"/>
                <w:color w:val="auto"/>
              </w:rPr>
            </w:pPr>
            <w:r>
              <w:rPr>
                <w:rFonts w:ascii="Arial" w:cs="Arial" w:eastAsia="Arial" w:hAnsi="Arial"/>
                <w:sz w:val="13"/>
                <w:szCs w:val="13"/>
                <w:color w:val="auto"/>
              </w:rPr>
              <w:t>5.44 %</w:t>
            </w:r>
          </w:p>
        </w:tc>
        <w:tc>
          <w:tcPr>
            <w:tcW w:w="14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3.35 %</w:t>
            </w:r>
          </w:p>
        </w:tc>
        <w:tc>
          <w:tcPr>
            <w:tcW w:w="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14"/>
        </w:trPr>
        <w:tc>
          <w:tcPr>
            <w:tcW w:w="20" w:type="dxa"/>
            <w:vAlign w:val="bottom"/>
          </w:tcPr>
          <w:p>
            <w:pPr>
              <w:spacing w:after="0"/>
              <w:rPr>
                <w:sz w:val="18"/>
                <w:szCs w:val="18"/>
                <w:color w:val="auto"/>
              </w:rPr>
            </w:pPr>
          </w:p>
        </w:tc>
        <w:tc>
          <w:tcPr>
            <w:tcW w:w="3740" w:type="dxa"/>
            <w:vAlign w:val="bottom"/>
            <w:gridSpan w:val="2"/>
          </w:tcPr>
          <w:p>
            <w:pPr>
              <w:spacing w:after="0"/>
              <w:rPr>
                <w:sz w:val="20"/>
                <w:szCs w:val="20"/>
                <w:color w:val="auto"/>
              </w:rPr>
            </w:pPr>
            <w:r>
              <w:rPr>
                <w:rFonts w:ascii="Arial" w:cs="Arial" w:eastAsia="Arial" w:hAnsi="Arial"/>
                <w:sz w:val="13"/>
                <w:szCs w:val="13"/>
                <w:color w:val="auto"/>
              </w:rPr>
              <w:t xml:space="preserve">Weighted average yield as of June 30, 2022 </w:t>
            </w:r>
            <w:r>
              <w:rPr>
                <w:rFonts w:ascii="Arial" w:cs="Arial" w:eastAsia="Arial" w:hAnsi="Arial"/>
                <w:sz w:val="16"/>
                <w:szCs w:val="16"/>
                <w:color w:val="auto"/>
                <w:vertAlign w:val="superscript"/>
              </w:rPr>
              <w:t>1</w:t>
            </w:r>
          </w:p>
        </w:tc>
        <w:tc>
          <w:tcPr>
            <w:tcW w:w="1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3"/>
                <w:szCs w:val="13"/>
                <w:color w:val="auto"/>
              </w:rPr>
              <w:t>2.75 %</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gridSpan w:val="3"/>
          </w:tcPr>
          <w:p>
            <w:pPr>
              <w:jc w:val="right"/>
              <w:spacing w:after="0"/>
              <w:rPr>
                <w:sz w:val="20"/>
                <w:szCs w:val="20"/>
                <w:color w:val="auto"/>
              </w:rPr>
            </w:pPr>
            <w:r>
              <w:rPr>
                <w:rFonts w:ascii="Arial" w:cs="Arial" w:eastAsia="Arial" w:hAnsi="Arial"/>
                <w:sz w:val="13"/>
                <w:szCs w:val="13"/>
                <w:color w:val="auto"/>
              </w:rPr>
              <w:t>2.76 %</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2.56 %</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00" w:type="dxa"/>
            <w:vAlign w:val="bottom"/>
            <w:gridSpan w:val="2"/>
          </w:tcPr>
          <w:p>
            <w:pPr>
              <w:jc w:val="right"/>
              <w:spacing w:after="0"/>
              <w:rPr>
                <w:sz w:val="20"/>
                <w:szCs w:val="20"/>
                <w:color w:val="auto"/>
              </w:rPr>
            </w:pPr>
            <w:r>
              <w:rPr>
                <w:rFonts w:ascii="Arial" w:cs="Arial" w:eastAsia="Arial" w:hAnsi="Arial"/>
                <w:sz w:val="13"/>
                <w:szCs w:val="13"/>
                <w:color w:val="auto"/>
              </w:rPr>
              <w:t>3.70 %</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00" w:type="dxa"/>
            <w:vAlign w:val="bottom"/>
            <w:gridSpan w:val="2"/>
          </w:tcPr>
          <w:p>
            <w:pPr>
              <w:jc w:val="right"/>
              <w:spacing w:after="0"/>
              <w:rPr>
                <w:sz w:val="20"/>
                <w:szCs w:val="20"/>
                <w:color w:val="auto"/>
              </w:rPr>
            </w:pPr>
            <w:r>
              <w:rPr>
                <w:rFonts w:ascii="Arial" w:cs="Arial" w:eastAsia="Arial" w:hAnsi="Arial"/>
                <w:sz w:val="13"/>
                <w:szCs w:val="13"/>
                <w:color w:val="auto"/>
              </w:rPr>
              <w:t>5.28 %</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4"/>
          </w:tcPr>
          <w:p>
            <w:pPr>
              <w:jc w:val="right"/>
              <w:spacing w:after="0"/>
              <w:rPr>
                <w:sz w:val="20"/>
                <w:szCs w:val="20"/>
                <w:color w:val="auto"/>
              </w:rPr>
            </w:pPr>
            <w:r>
              <w:rPr>
                <w:rFonts w:ascii="Arial" w:cs="Arial" w:eastAsia="Arial" w:hAnsi="Arial"/>
                <w:sz w:val="13"/>
                <w:szCs w:val="13"/>
                <w:color w:val="auto"/>
              </w:rPr>
              <w:t>6.39 %</w:t>
            </w: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2.85 %</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57" w:lineRule="exact"/>
        <w:rPr>
          <w:sz w:val="20"/>
          <w:szCs w:val="20"/>
          <w:color w:val="auto"/>
        </w:rPr>
      </w:pPr>
    </w:p>
    <w:p>
      <w:pPr>
        <w:ind w:left="40"/>
        <w:spacing w:after="0"/>
        <w:rPr>
          <w:sz w:val="20"/>
          <w:szCs w:val="20"/>
          <w:color w:val="auto"/>
        </w:rPr>
      </w:pPr>
      <w:r>
        <w:rPr>
          <w:rFonts w:ascii="Arial" w:cs="Arial" w:eastAsia="Arial" w:hAnsi="Arial"/>
          <w:sz w:val="11"/>
          <w:szCs w:val="11"/>
          <w:color w:val="auto"/>
        </w:rPr>
        <w:t>________________________________</w:t>
      </w:r>
    </w:p>
    <w:p>
      <w:pPr>
        <w:ind w:left="660" w:hanging="328"/>
        <w:spacing w:after="0"/>
        <w:tabs>
          <w:tab w:leader="none" w:pos="660" w:val="left"/>
        </w:tabs>
        <w:numPr>
          <w:ilvl w:val="0"/>
          <w:numId w:val="2"/>
        </w:numPr>
        <w:rPr>
          <w:rFonts w:ascii="Arial" w:cs="Arial" w:eastAsia="Arial" w:hAnsi="Arial"/>
          <w:sz w:val="14"/>
          <w:szCs w:val="14"/>
          <w:color w:val="auto"/>
        </w:rPr>
      </w:pPr>
      <w:r>
        <w:rPr>
          <w:rFonts w:ascii="Arial" w:cs="Arial" w:eastAsia="Arial" w:hAnsi="Arial"/>
          <w:sz w:val="14"/>
          <w:szCs w:val="14"/>
          <w:color w:val="auto"/>
        </w:rPr>
        <w:t>Incorporates a weighted average future constant prepayment rate assumption of 7.2% based on forward rates as of June 30, 2022.</w:t>
      </w:r>
    </w:p>
    <w:p>
      <w:pPr>
        <w:spacing w:after="0" w:line="200" w:lineRule="exact"/>
        <w:rPr>
          <w:sz w:val="20"/>
          <w:szCs w:val="20"/>
          <w:color w:val="auto"/>
        </w:rPr>
      </w:pPr>
    </w:p>
    <w:p>
      <w:pPr>
        <w:spacing w:after="0" w:line="3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12" w:name="page13"/>
    <w:bookmarkEnd w:id="12"/>
    <w:tbl>
      <w:tblPr>
        <w:tblLayout w:type="fixed"/>
        <w:tblInd w:w="340" w:type="dxa"/>
        <w:tblCellMar>
          <w:top w:w="0" w:type="dxa"/>
          <w:left w:w="0" w:type="dxa"/>
          <w:bottom w:w="0" w:type="dxa"/>
          <w:right w:w="0" w:type="dxa"/>
        </w:tblCellMar>
      </w:tblPr>
      <w:tr>
        <w:trPr>
          <w:trHeight w:val="192"/>
        </w:trPr>
        <w:tc>
          <w:tcPr>
            <w:tcW w:w="34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gridSpan w:val="6"/>
          </w:tcPr>
          <w:p>
            <w:pPr>
              <w:jc w:val="center"/>
              <w:spacing w:after="0"/>
              <w:rPr>
                <w:sz w:val="20"/>
                <w:szCs w:val="20"/>
                <w:color w:val="auto"/>
              </w:rPr>
            </w:pPr>
            <w:r>
              <w:rPr>
                <w:rFonts w:ascii="Arial" w:cs="Arial" w:eastAsia="Arial" w:hAnsi="Arial"/>
                <w:sz w:val="14"/>
                <w:szCs w:val="14"/>
                <w:b w:val="1"/>
                <w:bCs w:val="1"/>
                <w:color w:val="auto"/>
                <w:w w:val="91"/>
              </w:rPr>
              <w:t>December 31, 2021</w:t>
            </w:r>
          </w:p>
        </w:tc>
        <w:tc>
          <w:tcPr>
            <w:tcW w:w="14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34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4"/>
              </w:rPr>
              <w:t>Agency RMBS</w:t>
            </w:r>
          </w:p>
        </w:tc>
        <w:tc>
          <w:tcPr>
            <w:tcW w:w="16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800" w:type="dxa"/>
            <w:vAlign w:val="bottom"/>
            <w:tcBorders>
              <w:bottom w:val="single" w:sz="8" w:color="auto"/>
            </w:tcBorders>
            <w:gridSpan w:val="5"/>
          </w:tcPr>
          <w:p>
            <w:pPr>
              <w:jc w:val="right"/>
              <w:ind w:right="537"/>
              <w:spacing w:after="0"/>
              <w:rPr>
                <w:sz w:val="20"/>
                <w:szCs w:val="20"/>
                <w:color w:val="auto"/>
              </w:rPr>
            </w:pPr>
            <w:r>
              <w:rPr>
                <w:rFonts w:ascii="Arial" w:cs="Arial" w:eastAsia="Arial" w:hAnsi="Arial"/>
                <w:sz w:val="14"/>
                <w:szCs w:val="14"/>
                <w:b w:val="1"/>
                <w:bCs w:val="1"/>
                <w:color w:val="auto"/>
              </w:rPr>
              <w:t>Non-Agency</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0"/>
        </w:trPr>
        <w:tc>
          <w:tcPr>
            <w:tcW w:w="352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Investment Securities</w:t>
            </w:r>
          </w:p>
        </w:tc>
        <w:tc>
          <w:tcPr>
            <w:tcW w:w="160" w:type="dxa"/>
            <w:vAlign w:val="bottom"/>
          </w:tcPr>
          <w:p>
            <w:pPr>
              <w:spacing w:after="0"/>
              <w:rPr>
                <w:sz w:val="11"/>
                <w:szCs w:val="11"/>
                <w:color w:val="auto"/>
              </w:rPr>
            </w:pPr>
          </w:p>
        </w:tc>
        <w:tc>
          <w:tcPr>
            <w:tcW w:w="760" w:type="dxa"/>
            <w:vAlign w:val="bottom"/>
          </w:tcPr>
          <w:p>
            <w:pPr>
              <w:jc w:val="right"/>
              <w:ind w:right="196"/>
              <w:spacing w:after="0" w:line="130" w:lineRule="exact"/>
              <w:rPr>
                <w:sz w:val="20"/>
                <w:szCs w:val="20"/>
                <w:color w:val="auto"/>
              </w:rPr>
            </w:pPr>
            <w:r>
              <w:rPr>
                <w:rFonts w:ascii="Arial" w:cs="Arial" w:eastAsia="Arial" w:hAnsi="Arial"/>
                <w:sz w:val="14"/>
                <w:szCs w:val="14"/>
                <w:b w:val="1"/>
                <w:bCs w:val="1"/>
                <w:color w:val="auto"/>
              </w:rPr>
              <w:t>Fannie</w:t>
            </w:r>
          </w:p>
        </w:tc>
        <w:tc>
          <w:tcPr>
            <w:tcW w:w="120" w:type="dxa"/>
            <w:vAlign w:val="bottom"/>
          </w:tcPr>
          <w:p>
            <w:pPr>
              <w:spacing w:after="0"/>
              <w:rPr>
                <w:sz w:val="11"/>
                <w:szCs w:val="11"/>
                <w:color w:val="auto"/>
              </w:rPr>
            </w:pPr>
          </w:p>
        </w:tc>
        <w:tc>
          <w:tcPr>
            <w:tcW w:w="1000" w:type="dxa"/>
            <w:vAlign w:val="bottom"/>
            <w:gridSpan w:val="3"/>
            <w:vMerge w:val="restart"/>
          </w:tcPr>
          <w:p>
            <w:pPr>
              <w:jc w:val="center"/>
              <w:ind w:right="100"/>
              <w:spacing w:after="0"/>
              <w:rPr>
                <w:sz w:val="20"/>
                <w:szCs w:val="20"/>
                <w:color w:val="auto"/>
              </w:rPr>
            </w:pPr>
            <w:r>
              <w:rPr>
                <w:rFonts w:ascii="Arial" w:cs="Arial" w:eastAsia="Arial" w:hAnsi="Arial"/>
                <w:sz w:val="14"/>
                <w:szCs w:val="14"/>
                <w:b w:val="1"/>
                <w:bCs w:val="1"/>
                <w:color w:val="auto"/>
                <w:w w:val="95"/>
              </w:rPr>
              <w:t>Freddie Mac</w:t>
            </w:r>
          </w:p>
        </w:tc>
        <w:tc>
          <w:tcPr>
            <w:tcW w:w="160" w:type="dxa"/>
            <w:vAlign w:val="bottom"/>
          </w:tcPr>
          <w:p>
            <w:pPr>
              <w:spacing w:after="0"/>
              <w:rPr>
                <w:sz w:val="11"/>
                <w:szCs w:val="11"/>
                <w:color w:val="auto"/>
              </w:rPr>
            </w:pPr>
          </w:p>
        </w:tc>
        <w:tc>
          <w:tcPr>
            <w:tcW w:w="740" w:type="dxa"/>
            <w:vAlign w:val="bottom"/>
          </w:tcPr>
          <w:p>
            <w:pPr>
              <w:jc w:val="right"/>
              <w:ind w:right="176"/>
              <w:spacing w:after="0" w:line="130" w:lineRule="exact"/>
              <w:rPr>
                <w:sz w:val="20"/>
                <w:szCs w:val="20"/>
                <w:color w:val="auto"/>
              </w:rPr>
            </w:pPr>
            <w:r>
              <w:rPr>
                <w:rFonts w:ascii="Arial" w:cs="Arial" w:eastAsia="Arial" w:hAnsi="Arial"/>
                <w:sz w:val="14"/>
                <w:szCs w:val="14"/>
                <w:b w:val="1"/>
                <w:bCs w:val="1"/>
                <w:color w:val="auto"/>
              </w:rPr>
              <w:t>Ginnie</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80" w:type="dxa"/>
            <w:vAlign w:val="bottom"/>
            <w:gridSpan w:val="3"/>
            <w:vMerge w:val="restart"/>
          </w:tcPr>
          <w:p>
            <w:pPr>
              <w:jc w:val="center"/>
              <w:ind w:right="300"/>
              <w:spacing w:after="0"/>
              <w:rPr>
                <w:sz w:val="20"/>
                <w:szCs w:val="20"/>
                <w:color w:val="auto"/>
              </w:rPr>
            </w:pPr>
            <w:r>
              <w:rPr>
                <w:rFonts w:ascii="Arial" w:cs="Arial" w:eastAsia="Arial" w:hAnsi="Arial"/>
                <w:sz w:val="14"/>
                <w:szCs w:val="14"/>
                <w:b w:val="1"/>
                <w:bCs w:val="1"/>
                <w:color w:val="auto"/>
              </w:rPr>
              <w:t>RMBS</w:t>
            </w:r>
          </w:p>
        </w:tc>
        <w:tc>
          <w:tcPr>
            <w:tcW w:w="140" w:type="dxa"/>
            <w:vAlign w:val="bottom"/>
          </w:tcPr>
          <w:p>
            <w:pPr>
              <w:spacing w:after="0"/>
              <w:rPr>
                <w:sz w:val="11"/>
                <w:szCs w:val="11"/>
                <w:color w:val="auto"/>
              </w:rPr>
            </w:pPr>
          </w:p>
        </w:tc>
        <w:tc>
          <w:tcPr>
            <w:tcW w:w="88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CMBS</w:t>
            </w:r>
          </w:p>
        </w:tc>
        <w:tc>
          <w:tcPr>
            <w:tcW w:w="180" w:type="dxa"/>
            <w:vAlign w:val="bottom"/>
          </w:tcPr>
          <w:p>
            <w:pPr>
              <w:spacing w:after="0"/>
              <w:rPr>
                <w:sz w:val="11"/>
                <w:szCs w:val="11"/>
                <w:color w:val="auto"/>
              </w:rPr>
            </w:pPr>
          </w:p>
        </w:tc>
        <w:tc>
          <w:tcPr>
            <w:tcW w:w="820" w:type="dxa"/>
            <w:vAlign w:val="bottom"/>
            <w:gridSpan w:val="2"/>
            <w:vMerge w:val="restart"/>
          </w:tcPr>
          <w:p>
            <w:pPr>
              <w:ind w:left="120"/>
              <w:spacing w:after="0"/>
              <w:rPr>
                <w:sz w:val="20"/>
                <w:szCs w:val="20"/>
                <w:color w:val="auto"/>
              </w:rPr>
            </w:pPr>
            <w:r>
              <w:rPr>
                <w:rFonts w:ascii="Arial" w:cs="Arial" w:eastAsia="Arial" w:hAnsi="Arial"/>
                <w:sz w:val="14"/>
                <w:szCs w:val="14"/>
                <w:b w:val="1"/>
                <w:bCs w:val="1"/>
                <w:color w:val="auto"/>
              </w:rPr>
              <w:t>CRT</w:t>
            </w:r>
          </w:p>
        </w:tc>
        <w:tc>
          <w:tcPr>
            <w:tcW w:w="180" w:type="dxa"/>
            <w:vAlign w:val="bottom"/>
          </w:tcPr>
          <w:p>
            <w:pPr>
              <w:spacing w:after="0"/>
              <w:rPr>
                <w:sz w:val="11"/>
                <w:szCs w:val="11"/>
                <w:color w:val="auto"/>
              </w:rPr>
            </w:pPr>
          </w:p>
        </w:tc>
        <w:tc>
          <w:tcPr>
            <w:tcW w:w="740" w:type="dxa"/>
            <w:vAlign w:val="bottom"/>
            <w:vMerge w:val="restart"/>
          </w:tcPr>
          <w:p>
            <w:pPr>
              <w:jc w:val="right"/>
              <w:ind w:right="237"/>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88"/>
        </w:trPr>
        <w:tc>
          <w:tcPr>
            <w:tcW w:w="3520" w:type="dxa"/>
            <w:vAlign w:val="bottom"/>
            <w:gridSpan w:val="2"/>
            <w:vMerge w:val="continue"/>
          </w:tcPr>
          <w:p>
            <w:pPr>
              <w:spacing w:after="0"/>
              <w:rPr>
                <w:sz w:val="16"/>
                <w:szCs w:val="16"/>
                <w:color w:val="auto"/>
              </w:rPr>
            </w:pPr>
          </w:p>
        </w:tc>
        <w:tc>
          <w:tcPr>
            <w:tcW w:w="160" w:type="dxa"/>
            <w:vAlign w:val="bottom"/>
          </w:tcPr>
          <w:p>
            <w:pPr>
              <w:spacing w:after="0"/>
              <w:rPr>
                <w:sz w:val="16"/>
                <w:szCs w:val="16"/>
                <w:color w:val="auto"/>
              </w:rPr>
            </w:pPr>
          </w:p>
        </w:tc>
        <w:tc>
          <w:tcPr>
            <w:tcW w:w="760" w:type="dxa"/>
            <w:vAlign w:val="bottom"/>
          </w:tcPr>
          <w:p>
            <w:pPr>
              <w:jc w:val="right"/>
              <w:ind w:right="256"/>
              <w:spacing w:after="0"/>
              <w:rPr>
                <w:sz w:val="20"/>
                <w:szCs w:val="20"/>
                <w:color w:val="auto"/>
              </w:rPr>
            </w:pPr>
            <w:r>
              <w:rPr>
                <w:rFonts w:ascii="Arial" w:cs="Arial" w:eastAsia="Arial" w:hAnsi="Arial"/>
                <w:sz w:val="14"/>
                <w:szCs w:val="14"/>
                <w:b w:val="1"/>
                <w:bCs w:val="1"/>
                <w:color w:val="auto"/>
              </w:rPr>
              <w:t>Mae</w:t>
            </w:r>
          </w:p>
        </w:tc>
        <w:tc>
          <w:tcPr>
            <w:tcW w:w="120" w:type="dxa"/>
            <w:vAlign w:val="bottom"/>
          </w:tcPr>
          <w:p>
            <w:pPr>
              <w:spacing w:after="0"/>
              <w:rPr>
                <w:sz w:val="16"/>
                <w:szCs w:val="16"/>
                <w:color w:val="auto"/>
              </w:rPr>
            </w:pPr>
          </w:p>
        </w:tc>
        <w:tc>
          <w:tcPr>
            <w:tcW w:w="1000" w:type="dxa"/>
            <w:vAlign w:val="bottom"/>
            <w:gridSpan w:val="3"/>
            <w:vMerge w:val="continue"/>
          </w:tcPr>
          <w:p>
            <w:pPr>
              <w:spacing w:after="0"/>
              <w:rPr>
                <w:sz w:val="16"/>
                <w:szCs w:val="16"/>
                <w:color w:val="auto"/>
              </w:rPr>
            </w:pPr>
          </w:p>
        </w:tc>
        <w:tc>
          <w:tcPr>
            <w:tcW w:w="160" w:type="dxa"/>
            <w:vAlign w:val="bottom"/>
          </w:tcPr>
          <w:p>
            <w:pPr>
              <w:spacing w:after="0"/>
              <w:rPr>
                <w:sz w:val="16"/>
                <w:szCs w:val="16"/>
                <w:color w:val="auto"/>
              </w:rPr>
            </w:pPr>
          </w:p>
        </w:tc>
        <w:tc>
          <w:tcPr>
            <w:tcW w:w="740" w:type="dxa"/>
            <w:vAlign w:val="bottom"/>
          </w:tcPr>
          <w:p>
            <w:pPr>
              <w:jc w:val="right"/>
              <w:ind w:right="236"/>
              <w:spacing w:after="0"/>
              <w:rPr>
                <w:sz w:val="20"/>
                <w:szCs w:val="20"/>
                <w:color w:val="auto"/>
              </w:rPr>
            </w:pPr>
            <w:r>
              <w:rPr>
                <w:rFonts w:ascii="Arial" w:cs="Arial" w:eastAsia="Arial" w:hAnsi="Arial"/>
                <w:sz w:val="14"/>
                <w:szCs w:val="14"/>
                <w:b w:val="1"/>
                <w:bCs w:val="1"/>
                <w:color w:val="auto"/>
              </w:rPr>
              <w:t>Mae</w:t>
            </w: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80" w:type="dxa"/>
            <w:vAlign w:val="bottom"/>
            <w:gridSpan w:val="3"/>
            <w:vMerge w:val="continue"/>
          </w:tcPr>
          <w:p>
            <w:pPr>
              <w:spacing w:after="0"/>
              <w:rPr>
                <w:sz w:val="16"/>
                <w:szCs w:val="16"/>
                <w:color w:val="auto"/>
              </w:rPr>
            </w:pPr>
          </w:p>
        </w:tc>
        <w:tc>
          <w:tcPr>
            <w:tcW w:w="140" w:type="dxa"/>
            <w:vAlign w:val="bottom"/>
          </w:tcPr>
          <w:p>
            <w:pPr>
              <w:spacing w:after="0"/>
              <w:rPr>
                <w:sz w:val="16"/>
                <w:szCs w:val="16"/>
                <w:color w:val="auto"/>
              </w:rPr>
            </w:pPr>
          </w:p>
        </w:tc>
        <w:tc>
          <w:tcPr>
            <w:tcW w:w="88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74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63"/>
        </w:trPr>
        <w:tc>
          <w:tcPr>
            <w:tcW w:w="3420" w:type="dxa"/>
            <w:vAlign w:val="bottom"/>
            <w:tcBorders>
              <w:top w:val="single" w:sz="8" w:color="auto"/>
            </w:tcBorders>
          </w:tcPr>
          <w:p>
            <w:pPr>
              <w:ind w:left="20"/>
              <w:spacing w:after="0"/>
              <w:rPr>
                <w:sz w:val="20"/>
                <w:szCs w:val="20"/>
                <w:color w:val="auto"/>
              </w:rPr>
            </w:pPr>
            <w:r>
              <w:rPr>
                <w:rFonts w:ascii="Arial" w:cs="Arial" w:eastAsia="Arial" w:hAnsi="Arial"/>
                <w:sz w:val="13"/>
                <w:szCs w:val="13"/>
                <w:color w:val="auto"/>
              </w:rPr>
              <w:t>Available-for-sale securities:</w:t>
            </w:r>
          </w:p>
        </w:tc>
        <w:tc>
          <w:tcPr>
            <w:tcW w:w="100" w:type="dxa"/>
            <w:vAlign w:val="bottom"/>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760" w:type="dxa"/>
            <w:vAlign w:val="bottom"/>
            <w:tcBorders>
              <w:top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240" w:type="dxa"/>
            <w:vAlign w:val="bottom"/>
            <w:tcBorders>
              <w:top w:val="single" w:sz="8" w:color="auto"/>
            </w:tcBorders>
          </w:tcPr>
          <w:p>
            <w:pPr>
              <w:spacing w:after="0"/>
              <w:rPr>
                <w:sz w:val="14"/>
                <w:szCs w:val="14"/>
                <w:color w:val="auto"/>
              </w:rPr>
            </w:pPr>
          </w:p>
        </w:tc>
        <w:tc>
          <w:tcPr>
            <w:tcW w:w="66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740" w:type="dxa"/>
            <w:vAlign w:val="bottom"/>
            <w:tcBorders>
              <w:top w:val="single" w:sz="8" w:color="auto"/>
            </w:tcBorders>
          </w:tcPr>
          <w:p>
            <w:pPr>
              <w:spacing w:after="0"/>
              <w:rPr>
                <w:sz w:val="14"/>
                <w:szCs w:val="14"/>
                <w:color w:val="auto"/>
              </w:rPr>
            </w:pPr>
          </w:p>
        </w:tc>
        <w:tc>
          <w:tcPr>
            <w:tcW w:w="20" w:type="dxa"/>
            <w:vAlign w:val="bottom"/>
            <w:tcBorders>
              <w:top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76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Borders>
              <w:top w:val="single" w:sz="8" w:color="auto"/>
            </w:tcBorders>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78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740" w:type="dxa"/>
            <w:vAlign w:val="bottom"/>
            <w:tcBorders>
              <w:top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352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Par value</w:t>
            </w:r>
          </w:p>
        </w:tc>
        <w:tc>
          <w:tcPr>
            <w:tcW w:w="1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760" w:type="dxa"/>
            <w:vAlign w:val="bottom"/>
            <w:shd w:val="clear" w:color="auto" w:fill="CCEEFF"/>
          </w:tcPr>
          <w:p>
            <w:pPr>
              <w:jc w:val="right"/>
              <w:ind w:right="96"/>
              <w:spacing w:after="0"/>
              <w:rPr>
                <w:sz w:val="20"/>
                <w:szCs w:val="20"/>
                <w:color w:val="auto"/>
              </w:rPr>
            </w:pPr>
            <w:r>
              <w:rPr>
                <w:rFonts w:ascii="Arial" w:cs="Arial" w:eastAsia="Arial" w:hAnsi="Arial"/>
                <w:sz w:val="13"/>
                <w:szCs w:val="13"/>
                <w:color w:val="auto"/>
              </w:rPr>
              <w:t>6,345</w:t>
            </w:r>
          </w:p>
        </w:tc>
        <w:tc>
          <w:tcPr>
            <w:tcW w:w="360" w:type="dxa"/>
            <w:vAlign w:val="bottom"/>
            <w:gridSpan w:val="2"/>
            <w:shd w:val="clear" w:color="auto" w:fill="CCEEFF"/>
          </w:tcPr>
          <w:p>
            <w:pPr>
              <w:jc w:val="right"/>
              <w:ind w:right="93"/>
              <w:spacing w:after="0"/>
              <w:rPr>
                <w:sz w:val="20"/>
                <w:szCs w:val="20"/>
                <w:color w:val="auto"/>
              </w:rPr>
            </w:pPr>
            <w:r>
              <w:rPr>
                <w:rFonts w:ascii="Arial" w:cs="Arial" w:eastAsia="Arial" w:hAnsi="Arial"/>
                <w:sz w:val="13"/>
                <w:szCs w:val="13"/>
                <w:color w:val="auto"/>
              </w:rPr>
              <w:t>$</w:t>
            </w:r>
          </w:p>
        </w:tc>
        <w:tc>
          <w:tcPr>
            <w:tcW w:w="66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2,111</w:t>
            </w: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jc w:val="right"/>
              <w:ind w:right="17"/>
              <w:spacing w:after="0"/>
              <w:rPr>
                <w:sz w:val="20"/>
                <w:szCs w:val="20"/>
                <w:color w:val="auto"/>
              </w:rPr>
            </w:pPr>
            <w:r>
              <w:rPr>
                <w:rFonts w:ascii="Arial" w:cs="Arial" w:eastAsia="Arial" w:hAnsi="Arial"/>
                <w:sz w:val="13"/>
                <w:szCs w:val="13"/>
                <w:color w:val="auto"/>
                <w:w w:val="82"/>
              </w:rPr>
              <w:t>$</w:t>
            </w: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2</w:t>
            </w:r>
          </w:p>
        </w:tc>
        <w:tc>
          <w:tcPr>
            <w:tcW w:w="300" w:type="dxa"/>
            <w:vAlign w:val="bottom"/>
            <w:gridSpan w:val="3"/>
            <w:shd w:val="clear" w:color="auto" w:fill="CCEEFF"/>
          </w:tcPr>
          <w:p>
            <w:pPr>
              <w:jc w:val="right"/>
              <w:ind w:right="17"/>
              <w:spacing w:after="0"/>
              <w:rPr>
                <w:sz w:val="20"/>
                <w:szCs w:val="20"/>
                <w:color w:val="auto"/>
              </w:rPr>
            </w:pPr>
            <w:r>
              <w:rPr>
                <w:rFonts w:ascii="Arial" w:cs="Arial" w:eastAsia="Arial" w:hAnsi="Arial"/>
                <w:sz w:val="13"/>
                <w:szCs w:val="13"/>
                <w:color w:val="auto"/>
              </w:rPr>
              <w:t>$</w:t>
            </w:r>
          </w:p>
        </w:tc>
        <w:tc>
          <w:tcPr>
            <w:tcW w:w="880" w:type="dxa"/>
            <w:vAlign w:val="bottom"/>
            <w:gridSpan w:val="3"/>
            <w:shd w:val="clear" w:color="auto" w:fill="CCEEFF"/>
          </w:tcPr>
          <w:p>
            <w:pPr>
              <w:jc w:val="right"/>
              <w:ind w:right="30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jc w:val="right"/>
              <w:ind w:right="28"/>
              <w:spacing w:after="0"/>
              <w:rPr>
                <w:sz w:val="20"/>
                <w:szCs w:val="20"/>
                <w:color w:val="auto"/>
              </w:rPr>
            </w:pPr>
            <w:r>
              <w:rPr>
                <w:rFonts w:ascii="Arial" w:cs="Arial" w:eastAsia="Arial" w:hAnsi="Arial"/>
                <w:sz w:val="10"/>
                <w:szCs w:val="10"/>
                <w:color w:val="auto"/>
                <w:w w:val="71"/>
              </w:rPr>
              <w:t>$</w:t>
            </w: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w w:val="82"/>
              </w:rPr>
              <w:t>$</w:t>
            </w:r>
          </w:p>
        </w:tc>
        <w:tc>
          <w:tcPr>
            <w:tcW w:w="820" w:type="dxa"/>
            <w:vAlign w:val="bottom"/>
            <w:gridSpan w:val="2"/>
            <w:shd w:val="clear" w:color="auto" w:fill="CCEEFF"/>
          </w:tcPr>
          <w:p>
            <w:pPr>
              <w:jc w:val="right"/>
              <w:ind w:right="28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w w:val="82"/>
              </w:rPr>
              <w:t>$</w:t>
            </w:r>
          </w:p>
        </w:tc>
        <w:tc>
          <w:tcPr>
            <w:tcW w:w="74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8,458</w:t>
            </w:r>
          </w:p>
        </w:tc>
        <w:tc>
          <w:tcPr>
            <w:tcW w:w="0" w:type="dxa"/>
            <w:vAlign w:val="bottom"/>
          </w:tcPr>
          <w:p>
            <w:pPr>
              <w:spacing w:after="0"/>
              <w:rPr>
                <w:sz w:val="1"/>
                <w:szCs w:val="1"/>
                <w:color w:val="auto"/>
              </w:rPr>
            </w:pPr>
          </w:p>
        </w:tc>
      </w:tr>
      <w:tr>
        <w:trPr>
          <w:trHeight w:val="168"/>
        </w:trPr>
        <w:tc>
          <w:tcPr>
            <w:tcW w:w="3520" w:type="dxa"/>
            <w:vAlign w:val="bottom"/>
            <w:gridSpan w:val="2"/>
          </w:tcPr>
          <w:p>
            <w:pPr>
              <w:ind w:left="180"/>
              <w:spacing w:after="0"/>
              <w:rPr>
                <w:sz w:val="20"/>
                <w:szCs w:val="20"/>
                <w:color w:val="auto"/>
              </w:rPr>
            </w:pPr>
            <w:r>
              <w:rPr>
                <w:rFonts w:ascii="Arial" w:cs="Arial" w:eastAsia="Arial" w:hAnsi="Arial"/>
                <w:sz w:val="13"/>
                <w:szCs w:val="13"/>
                <w:color w:val="auto"/>
              </w:rPr>
              <w:t>Unamortized discount</w:t>
            </w:r>
          </w:p>
        </w:tc>
        <w:tc>
          <w:tcPr>
            <w:tcW w:w="160" w:type="dxa"/>
            <w:vAlign w:val="bottom"/>
          </w:tcPr>
          <w:p>
            <w:pPr>
              <w:spacing w:after="0"/>
              <w:rPr>
                <w:sz w:val="14"/>
                <w:szCs w:val="14"/>
                <w:color w:val="auto"/>
              </w:rPr>
            </w:pPr>
          </w:p>
        </w:tc>
        <w:tc>
          <w:tcPr>
            <w:tcW w:w="760" w:type="dxa"/>
            <w:vAlign w:val="bottom"/>
          </w:tcPr>
          <w:p>
            <w:pPr>
              <w:jc w:val="right"/>
              <w:ind w:right="56"/>
              <w:spacing w:after="0"/>
              <w:rPr>
                <w:sz w:val="20"/>
                <w:szCs w:val="20"/>
                <w:color w:val="auto"/>
              </w:rPr>
            </w:pPr>
            <w:r>
              <w:rPr>
                <w:rFonts w:ascii="Arial" w:cs="Arial" w:eastAsia="Arial" w:hAnsi="Arial"/>
                <w:sz w:val="13"/>
                <w:szCs w:val="13"/>
                <w:color w:val="auto"/>
              </w:rPr>
              <w:t>(3)</w:t>
            </w: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60" w:type="dxa"/>
            <w:vAlign w:val="bottom"/>
          </w:tcPr>
          <w:p>
            <w:pPr>
              <w:jc w:val="right"/>
              <w:ind w:right="77"/>
              <w:spacing w:after="0"/>
              <w:rPr>
                <w:sz w:val="20"/>
                <w:szCs w:val="20"/>
                <w:color w:val="auto"/>
              </w:rPr>
            </w:pPr>
            <w:r>
              <w:rPr>
                <w:rFonts w:ascii="Arial" w:cs="Arial" w:eastAsia="Arial" w:hAnsi="Arial"/>
                <w:sz w:val="13"/>
                <w:szCs w:val="13"/>
                <w:color w:val="auto"/>
              </w:rPr>
              <w:t>(1)</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40" w:type="dxa"/>
            <w:vAlign w:val="bottom"/>
          </w:tcPr>
          <w:p>
            <w:pPr>
              <w:jc w:val="right"/>
              <w:ind w:right="76"/>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80" w:type="dxa"/>
            <w:vAlign w:val="bottom"/>
            <w:gridSpan w:val="3"/>
          </w:tcPr>
          <w:p>
            <w:pPr>
              <w:jc w:val="right"/>
              <w:ind w:right="30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4"/>
                <w:szCs w:val="14"/>
                <w:color w:val="auto"/>
              </w:rPr>
            </w:pPr>
          </w:p>
        </w:tc>
        <w:tc>
          <w:tcPr>
            <w:tcW w:w="880" w:type="dxa"/>
            <w:vAlign w:val="bottom"/>
            <w:gridSpan w:val="2"/>
          </w:tcPr>
          <w:p>
            <w:pPr>
              <w:jc w:val="right"/>
              <w:ind w:right="280"/>
              <w:spacing w:after="0"/>
              <w:rPr>
                <w:sz w:val="20"/>
                <w:szCs w:val="20"/>
                <w:color w:val="auto"/>
              </w:rPr>
            </w:pPr>
            <w:r>
              <w:rPr>
                <w:rFonts w:ascii="Arial" w:cs="Arial" w:eastAsia="Arial" w:hAnsi="Arial"/>
                <w:sz w:val="13"/>
                <w:szCs w:val="13"/>
                <w:color w:val="auto"/>
              </w:rPr>
              <w:t>—</w:t>
            </w:r>
          </w:p>
        </w:tc>
        <w:tc>
          <w:tcPr>
            <w:tcW w:w="180" w:type="dxa"/>
            <w:vAlign w:val="bottom"/>
          </w:tcPr>
          <w:p>
            <w:pPr>
              <w:spacing w:after="0"/>
              <w:rPr>
                <w:sz w:val="14"/>
                <w:szCs w:val="14"/>
                <w:color w:val="auto"/>
              </w:rPr>
            </w:pPr>
          </w:p>
        </w:tc>
        <w:tc>
          <w:tcPr>
            <w:tcW w:w="820" w:type="dxa"/>
            <w:vAlign w:val="bottom"/>
            <w:gridSpan w:val="2"/>
          </w:tcPr>
          <w:p>
            <w:pPr>
              <w:jc w:val="right"/>
              <w:ind w:right="280"/>
              <w:spacing w:after="0"/>
              <w:rPr>
                <w:sz w:val="20"/>
                <w:szCs w:val="20"/>
                <w:color w:val="auto"/>
              </w:rPr>
            </w:pPr>
            <w:r>
              <w:rPr>
                <w:rFonts w:ascii="Arial" w:cs="Arial" w:eastAsia="Arial" w:hAnsi="Arial"/>
                <w:sz w:val="13"/>
                <w:szCs w:val="13"/>
                <w:color w:val="auto"/>
              </w:rPr>
              <w:t>—</w:t>
            </w:r>
          </w:p>
        </w:tc>
        <w:tc>
          <w:tcPr>
            <w:tcW w:w="180" w:type="dxa"/>
            <w:vAlign w:val="bottom"/>
          </w:tcPr>
          <w:p>
            <w:pPr>
              <w:spacing w:after="0"/>
              <w:rPr>
                <w:sz w:val="14"/>
                <w:szCs w:val="14"/>
                <w:color w:val="auto"/>
              </w:rPr>
            </w:pPr>
          </w:p>
        </w:tc>
        <w:tc>
          <w:tcPr>
            <w:tcW w:w="740" w:type="dxa"/>
            <w:vAlign w:val="bottom"/>
          </w:tcPr>
          <w:p>
            <w:pPr>
              <w:jc w:val="right"/>
              <w:ind w:right="77"/>
              <w:spacing w:after="0"/>
              <w:rPr>
                <w:sz w:val="20"/>
                <w:szCs w:val="20"/>
                <w:color w:val="auto"/>
              </w:rPr>
            </w:pPr>
            <w:r>
              <w:rPr>
                <w:rFonts w:ascii="Arial" w:cs="Arial" w:eastAsia="Arial" w:hAnsi="Arial"/>
                <w:sz w:val="13"/>
                <w:szCs w:val="13"/>
                <w:color w:val="auto"/>
              </w:rPr>
              <w:t>(4)</w:t>
            </w:r>
          </w:p>
        </w:tc>
        <w:tc>
          <w:tcPr>
            <w:tcW w:w="0" w:type="dxa"/>
            <w:vAlign w:val="bottom"/>
          </w:tcPr>
          <w:p>
            <w:pPr>
              <w:spacing w:after="0"/>
              <w:rPr>
                <w:sz w:val="1"/>
                <w:szCs w:val="1"/>
                <w:color w:val="auto"/>
              </w:rPr>
            </w:pPr>
          </w:p>
        </w:tc>
      </w:tr>
      <w:tr>
        <w:trPr>
          <w:trHeight w:val="183"/>
        </w:trPr>
        <w:tc>
          <w:tcPr>
            <w:tcW w:w="352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Unamortized premium</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right"/>
              <w:ind w:right="96"/>
              <w:spacing w:after="0"/>
              <w:rPr>
                <w:sz w:val="20"/>
                <w:szCs w:val="20"/>
                <w:color w:val="auto"/>
              </w:rPr>
            </w:pPr>
            <w:r>
              <w:rPr>
                <w:rFonts w:ascii="Arial" w:cs="Arial" w:eastAsia="Arial" w:hAnsi="Arial"/>
                <w:sz w:val="13"/>
                <w:szCs w:val="13"/>
                <w:color w:val="auto"/>
              </w:rPr>
              <w:t>299</w:t>
            </w:r>
          </w:p>
        </w:tc>
        <w:tc>
          <w:tcPr>
            <w:tcW w:w="1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66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105</w:t>
            </w: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w:t>
            </w:r>
          </w:p>
        </w:tc>
        <w:tc>
          <w:tcPr>
            <w:tcW w:w="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880" w:type="dxa"/>
            <w:vAlign w:val="bottom"/>
            <w:gridSpan w:val="3"/>
            <w:shd w:val="clear" w:color="auto" w:fill="CCEEFF"/>
          </w:tcPr>
          <w:p>
            <w:pPr>
              <w:jc w:val="right"/>
              <w:ind w:right="30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5"/>
                <w:szCs w:val="15"/>
                <w:color w:val="auto"/>
              </w:rPr>
            </w:pP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spacing w:after="0"/>
              <w:rPr>
                <w:sz w:val="15"/>
                <w:szCs w:val="15"/>
                <w:color w:val="auto"/>
              </w:rPr>
            </w:pPr>
          </w:p>
        </w:tc>
        <w:tc>
          <w:tcPr>
            <w:tcW w:w="820" w:type="dxa"/>
            <w:vAlign w:val="bottom"/>
            <w:gridSpan w:val="2"/>
            <w:shd w:val="clear" w:color="auto" w:fill="CCEEFF"/>
          </w:tcPr>
          <w:p>
            <w:pPr>
              <w:jc w:val="right"/>
              <w:ind w:right="28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spacing w:after="0"/>
              <w:rPr>
                <w:sz w:val="15"/>
                <w:szCs w:val="15"/>
                <w:color w:val="auto"/>
              </w:rPr>
            </w:pPr>
          </w:p>
        </w:tc>
        <w:tc>
          <w:tcPr>
            <w:tcW w:w="74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404</w:t>
            </w:r>
          </w:p>
        </w:tc>
        <w:tc>
          <w:tcPr>
            <w:tcW w:w="0" w:type="dxa"/>
            <w:vAlign w:val="bottom"/>
          </w:tcPr>
          <w:p>
            <w:pPr>
              <w:spacing w:after="0"/>
              <w:rPr>
                <w:sz w:val="1"/>
                <w:szCs w:val="1"/>
                <w:color w:val="auto"/>
              </w:rPr>
            </w:pPr>
          </w:p>
        </w:tc>
      </w:tr>
      <w:tr>
        <w:trPr>
          <w:trHeight w:val="161"/>
        </w:trPr>
        <w:tc>
          <w:tcPr>
            <w:tcW w:w="3520" w:type="dxa"/>
            <w:vAlign w:val="bottom"/>
            <w:gridSpan w:val="2"/>
          </w:tcPr>
          <w:p>
            <w:pPr>
              <w:ind w:left="220"/>
              <w:spacing w:after="0"/>
              <w:rPr>
                <w:sz w:val="20"/>
                <w:szCs w:val="20"/>
                <w:color w:val="auto"/>
              </w:rPr>
            </w:pPr>
            <w:r>
              <w:rPr>
                <w:rFonts w:ascii="Arial" w:cs="Arial" w:eastAsia="Arial" w:hAnsi="Arial"/>
                <w:sz w:val="13"/>
                <w:szCs w:val="13"/>
                <w:color w:val="auto"/>
              </w:rPr>
              <w:t>Amortized cost</w:t>
            </w:r>
          </w:p>
        </w:tc>
        <w:tc>
          <w:tcPr>
            <w:tcW w:w="160" w:type="dxa"/>
            <w:vAlign w:val="bottom"/>
            <w:tcBorders>
              <w:top w:val="single" w:sz="8" w:color="auto"/>
            </w:tcBorders>
          </w:tcPr>
          <w:p>
            <w:pPr>
              <w:spacing w:after="0"/>
              <w:rPr>
                <w:sz w:val="14"/>
                <w:szCs w:val="14"/>
                <w:color w:val="auto"/>
              </w:rPr>
            </w:pPr>
          </w:p>
        </w:tc>
        <w:tc>
          <w:tcPr>
            <w:tcW w:w="760" w:type="dxa"/>
            <w:vAlign w:val="bottom"/>
            <w:tcBorders>
              <w:top w:val="single" w:sz="8" w:color="auto"/>
            </w:tcBorders>
          </w:tcPr>
          <w:p>
            <w:pPr>
              <w:jc w:val="right"/>
              <w:ind w:right="96"/>
              <w:spacing w:after="0"/>
              <w:rPr>
                <w:sz w:val="20"/>
                <w:szCs w:val="20"/>
                <w:color w:val="auto"/>
              </w:rPr>
            </w:pPr>
            <w:r>
              <w:rPr>
                <w:rFonts w:ascii="Arial" w:cs="Arial" w:eastAsia="Arial" w:hAnsi="Arial"/>
                <w:sz w:val="13"/>
                <w:szCs w:val="13"/>
                <w:color w:val="auto"/>
              </w:rPr>
              <w:t>6,641</w:t>
            </w:r>
          </w:p>
        </w:tc>
        <w:tc>
          <w:tcPr>
            <w:tcW w:w="120" w:type="dxa"/>
            <w:vAlign w:val="bottom"/>
          </w:tcPr>
          <w:p>
            <w:pPr>
              <w:spacing w:after="0"/>
              <w:rPr>
                <w:sz w:val="14"/>
                <w:szCs w:val="14"/>
                <w:color w:val="auto"/>
              </w:rPr>
            </w:pPr>
          </w:p>
        </w:tc>
        <w:tc>
          <w:tcPr>
            <w:tcW w:w="240" w:type="dxa"/>
            <w:vAlign w:val="bottom"/>
            <w:tcBorders>
              <w:top w:val="single" w:sz="8" w:color="auto"/>
            </w:tcBorders>
          </w:tcPr>
          <w:p>
            <w:pPr>
              <w:spacing w:after="0"/>
              <w:rPr>
                <w:sz w:val="14"/>
                <w:szCs w:val="14"/>
                <w:color w:val="auto"/>
              </w:rPr>
            </w:pPr>
          </w:p>
        </w:tc>
        <w:tc>
          <w:tcPr>
            <w:tcW w:w="660" w:type="dxa"/>
            <w:vAlign w:val="bottom"/>
            <w:tcBorders>
              <w:top w:val="single" w:sz="8" w:color="auto"/>
            </w:tcBorders>
          </w:tcPr>
          <w:p>
            <w:pPr>
              <w:jc w:val="right"/>
              <w:ind w:right="97"/>
              <w:spacing w:after="0"/>
              <w:rPr>
                <w:sz w:val="20"/>
                <w:szCs w:val="20"/>
                <w:color w:val="auto"/>
              </w:rPr>
            </w:pPr>
            <w:r>
              <w:rPr>
                <w:rFonts w:ascii="Arial" w:cs="Arial" w:eastAsia="Arial" w:hAnsi="Arial"/>
                <w:sz w:val="13"/>
                <w:szCs w:val="13"/>
                <w:color w:val="auto"/>
              </w:rPr>
              <w:t>2,215</w:t>
            </w:r>
          </w:p>
        </w:tc>
        <w:tc>
          <w:tcPr>
            <w:tcW w:w="100" w:type="dxa"/>
            <w:vAlign w:val="bottom"/>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740" w:type="dxa"/>
            <w:vAlign w:val="bottom"/>
            <w:tcBorders>
              <w:top w:val="single" w:sz="8" w:color="auto"/>
            </w:tcBorders>
          </w:tcPr>
          <w:p>
            <w:pPr>
              <w:jc w:val="right"/>
              <w:ind w:right="76"/>
              <w:spacing w:after="0"/>
              <w:rPr>
                <w:sz w:val="20"/>
                <w:szCs w:val="20"/>
                <w:color w:val="auto"/>
              </w:rPr>
            </w:pPr>
            <w:r>
              <w:rPr>
                <w:rFonts w:ascii="Arial" w:cs="Arial" w:eastAsia="Arial" w:hAnsi="Arial"/>
                <w:sz w:val="13"/>
                <w:szCs w:val="13"/>
                <w:color w:val="auto"/>
              </w:rPr>
              <w:t>2</w:t>
            </w:r>
          </w:p>
        </w:tc>
        <w:tc>
          <w:tcPr>
            <w:tcW w:w="20" w:type="dxa"/>
            <w:vAlign w:val="bottom"/>
            <w:tcBorders>
              <w:top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760" w:type="dxa"/>
            <w:vAlign w:val="bottom"/>
            <w:tcBorders>
              <w:top w:val="single" w:sz="8" w:color="auto"/>
            </w:tcBorders>
          </w:tcPr>
          <w:p>
            <w:pPr>
              <w:jc w:val="right"/>
              <w:ind w:right="11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20" w:type="dxa"/>
            <w:vAlign w:val="bottom"/>
            <w:tcBorders>
              <w:top w:val="single" w:sz="8" w:color="auto"/>
            </w:tcBorders>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780" w:type="dxa"/>
            <w:vAlign w:val="bottom"/>
            <w:tcBorders>
              <w:top w:val="single" w:sz="8" w:color="auto"/>
            </w:tcBorders>
          </w:tcPr>
          <w:p>
            <w:pPr>
              <w:jc w:val="right"/>
              <w:ind w:right="117"/>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700" w:type="dxa"/>
            <w:vAlign w:val="bottom"/>
            <w:tcBorders>
              <w:top w:val="single" w:sz="8" w:color="auto"/>
            </w:tcBorders>
          </w:tcPr>
          <w:p>
            <w:pPr>
              <w:jc w:val="right"/>
              <w:ind w:right="97"/>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740" w:type="dxa"/>
            <w:vAlign w:val="bottom"/>
            <w:tcBorders>
              <w:top w:val="single" w:sz="8" w:color="auto"/>
            </w:tcBorders>
          </w:tcPr>
          <w:p>
            <w:pPr>
              <w:jc w:val="right"/>
              <w:ind w:right="117"/>
              <w:spacing w:after="0"/>
              <w:rPr>
                <w:sz w:val="20"/>
                <w:szCs w:val="20"/>
                <w:color w:val="auto"/>
              </w:rPr>
            </w:pPr>
            <w:r>
              <w:rPr>
                <w:rFonts w:ascii="Arial" w:cs="Arial" w:eastAsia="Arial" w:hAnsi="Arial"/>
                <w:sz w:val="13"/>
                <w:szCs w:val="13"/>
                <w:color w:val="auto"/>
              </w:rPr>
              <w:t>8,858</w:t>
            </w:r>
          </w:p>
        </w:tc>
        <w:tc>
          <w:tcPr>
            <w:tcW w:w="0" w:type="dxa"/>
            <w:vAlign w:val="bottom"/>
          </w:tcPr>
          <w:p>
            <w:pPr>
              <w:spacing w:after="0"/>
              <w:rPr>
                <w:sz w:val="1"/>
                <w:szCs w:val="1"/>
                <w:color w:val="auto"/>
              </w:rPr>
            </w:pPr>
          </w:p>
        </w:tc>
      </w:tr>
      <w:tr>
        <w:trPr>
          <w:trHeight w:val="183"/>
        </w:trPr>
        <w:tc>
          <w:tcPr>
            <w:tcW w:w="352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Gross unrealized gains</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right"/>
              <w:ind w:right="96"/>
              <w:spacing w:after="0"/>
              <w:rPr>
                <w:sz w:val="20"/>
                <w:szCs w:val="20"/>
                <w:color w:val="auto"/>
              </w:rPr>
            </w:pPr>
            <w:r>
              <w:rPr>
                <w:rFonts w:ascii="Arial" w:cs="Arial" w:eastAsia="Arial" w:hAnsi="Arial"/>
                <w:sz w:val="13"/>
                <w:szCs w:val="13"/>
                <w:color w:val="auto"/>
              </w:rPr>
              <w:t>234</w:t>
            </w:r>
          </w:p>
        </w:tc>
        <w:tc>
          <w:tcPr>
            <w:tcW w:w="1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66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67</w:t>
            </w: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w:t>
            </w:r>
          </w:p>
        </w:tc>
        <w:tc>
          <w:tcPr>
            <w:tcW w:w="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880" w:type="dxa"/>
            <w:vAlign w:val="bottom"/>
            <w:gridSpan w:val="3"/>
            <w:shd w:val="clear" w:color="auto" w:fill="CCEEFF"/>
          </w:tcPr>
          <w:p>
            <w:pPr>
              <w:jc w:val="right"/>
              <w:ind w:right="30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5"/>
                <w:szCs w:val="15"/>
                <w:color w:val="auto"/>
              </w:rPr>
            </w:pP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spacing w:after="0"/>
              <w:rPr>
                <w:sz w:val="15"/>
                <w:szCs w:val="15"/>
                <w:color w:val="auto"/>
              </w:rPr>
            </w:pPr>
          </w:p>
        </w:tc>
        <w:tc>
          <w:tcPr>
            <w:tcW w:w="820" w:type="dxa"/>
            <w:vAlign w:val="bottom"/>
            <w:gridSpan w:val="2"/>
            <w:shd w:val="clear" w:color="auto" w:fill="CCEEFF"/>
          </w:tcPr>
          <w:p>
            <w:pPr>
              <w:jc w:val="right"/>
              <w:ind w:right="28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spacing w:after="0"/>
              <w:rPr>
                <w:sz w:val="15"/>
                <w:szCs w:val="15"/>
                <w:color w:val="auto"/>
              </w:rPr>
            </w:pPr>
          </w:p>
        </w:tc>
        <w:tc>
          <w:tcPr>
            <w:tcW w:w="74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301</w:t>
            </w:r>
          </w:p>
        </w:tc>
        <w:tc>
          <w:tcPr>
            <w:tcW w:w="0" w:type="dxa"/>
            <w:vAlign w:val="bottom"/>
          </w:tcPr>
          <w:p>
            <w:pPr>
              <w:spacing w:after="0"/>
              <w:rPr>
                <w:sz w:val="1"/>
                <w:szCs w:val="1"/>
                <w:color w:val="auto"/>
              </w:rPr>
            </w:pPr>
          </w:p>
        </w:tc>
      </w:tr>
      <w:tr>
        <w:trPr>
          <w:trHeight w:val="169"/>
        </w:trPr>
        <w:tc>
          <w:tcPr>
            <w:tcW w:w="3520" w:type="dxa"/>
            <w:vAlign w:val="bottom"/>
            <w:gridSpan w:val="2"/>
          </w:tcPr>
          <w:p>
            <w:pPr>
              <w:ind w:left="180"/>
              <w:spacing w:after="0"/>
              <w:rPr>
                <w:sz w:val="20"/>
                <w:szCs w:val="20"/>
                <w:color w:val="auto"/>
              </w:rPr>
            </w:pPr>
            <w:r>
              <w:rPr>
                <w:rFonts w:ascii="Arial" w:cs="Arial" w:eastAsia="Arial" w:hAnsi="Arial"/>
                <w:sz w:val="13"/>
                <w:szCs w:val="13"/>
                <w:color w:val="auto"/>
              </w:rPr>
              <w:t>Gross unrealized losses</w:t>
            </w:r>
          </w:p>
        </w:tc>
        <w:tc>
          <w:tcPr>
            <w:tcW w:w="160" w:type="dxa"/>
            <w:vAlign w:val="bottom"/>
          </w:tcPr>
          <w:p>
            <w:pPr>
              <w:spacing w:after="0"/>
              <w:rPr>
                <w:sz w:val="14"/>
                <w:szCs w:val="14"/>
                <w:color w:val="auto"/>
              </w:rPr>
            </w:pPr>
          </w:p>
        </w:tc>
        <w:tc>
          <w:tcPr>
            <w:tcW w:w="760" w:type="dxa"/>
            <w:vAlign w:val="bottom"/>
          </w:tcPr>
          <w:p>
            <w:pPr>
              <w:jc w:val="right"/>
              <w:ind w:right="96"/>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60" w:type="dxa"/>
            <w:vAlign w:val="bottom"/>
            <w:gridSpan w:val="2"/>
          </w:tcPr>
          <w:p>
            <w:pPr>
              <w:jc w:val="right"/>
              <w:ind w:right="26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4"/>
                <w:szCs w:val="14"/>
                <w:color w:val="auto"/>
              </w:rPr>
            </w:pPr>
          </w:p>
        </w:tc>
        <w:tc>
          <w:tcPr>
            <w:tcW w:w="740" w:type="dxa"/>
            <w:vAlign w:val="bottom"/>
          </w:tcPr>
          <w:p>
            <w:pPr>
              <w:jc w:val="right"/>
              <w:ind w:right="76"/>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80" w:type="dxa"/>
            <w:vAlign w:val="bottom"/>
            <w:gridSpan w:val="3"/>
          </w:tcPr>
          <w:p>
            <w:pPr>
              <w:jc w:val="right"/>
              <w:ind w:right="30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4"/>
                <w:szCs w:val="14"/>
                <w:color w:val="auto"/>
              </w:rPr>
            </w:pPr>
          </w:p>
        </w:tc>
        <w:tc>
          <w:tcPr>
            <w:tcW w:w="880" w:type="dxa"/>
            <w:vAlign w:val="bottom"/>
            <w:gridSpan w:val="2"/>
          </w:tcPr>
          <w:p>
            <w:pPr>
              <w:jc w:val="right"/>
              <w:ind w:right="280"/>
              <w:spacing w:after="0"/>
              <w:rPr>
                <w:sz w:val="20"/>
                <w:szCs w:val="20"/>
                <w:color w:val="auto"/>
              </w:rPr>
            </w:pPr>
            <w:r>
              <w:rPr>
                <w:rFonts w:ascii="Arial" w:cs="Arial" w:eastAsia="Arial" w:hAnsi="Arial"/>
                <w:sz w:val="13"/>
                <w:szCs w:val="13"/>
                <w:color w:val="auto"/>
              </w:rPr>
              <w:t>—</w:t>
            </w:r>
          </w:p>
        </w:tc>
        <w:tc>
          <w:tcPr>
            <w:tcW w:w="180" w:type="dxa"/>
            <w:vAlign w:val="bottom"/>
          </w:tcPr>
          <w:p>
            <w:pPr>
              <w:spacing w:after="0"/>
              <w:rPr>
                <w:sz w:val="14"/>
                <w:szCs w:val="14"/>
                <w:color w:val="auto"/>
              </w:rPr>
            </w:pPr>
          </w:p>
        </w:tc>
        <w:tc>
          <w:tcPr>
            <w:tcW w:w="820" w:type="dxa"/>
            <w:vAlign w:val="bottom"/>
            <w:gridSpan w:val="2"/>
          </w:tcPr>
          <w:p>
            <w:pPr>
              <w:jc w:val="right"/>
              <w:ind w:right="280"/>
              <w:spacing w:after="0"/>
              <w:rPr>
                <w:sz w:val="20"/>
                <w:szCs w:val="20"/>
                <w:color w:val="auto"/>
              </w:rPr>
            </w:pPr>
            <w:r>
              <w:rPr>
                <w:rFonts w:ascii="Arial" w:cs="Arial" w:eastAsia="Arial" w:hAnsi="Arial"/>
                <w:sz w:val="13"/>
                <w:szCs w:val="13"/>
                <w:color w:val="auto"/>
              </w:rPr>
              <w:t>—</w:t>
            </w:r>
          </w:p>
        </w:tc>
        <w:tc>
          <w:tcPr>
            <w:tcW w:w="180" w:type="dxa"/>
            <w:vAlign w:val="bottom"/>
          </w:tcPr>
          <w:p>
            <w:pPr>
              <w:spacing w:after="0"/>
              <w:rPr>
                <w:sz w:val="14"/>
                <w:szCs w:val="14"/>
                <w:color w:val="auto"/>
              </w:rPr>
            </w:pPr>
          </w:p>
        </w:tc>
        <w:tc>
          <w:tcPr>
            <w:tcW w:w="740" w:type="dxa"/>
            <w:vAlign w:val="bottom"/>
          </w:tcPr>
          <w:p>
            <w:pPr>
              <w:jc w:val="right"/>
              <w:ind w:right="117"/>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75"/>
        </w:trPr>
        <w:tc>
          <w:tcPr>
            <w:tcW w:w="3520" w:type="dxa"/>
            <w:vAlign w:val="bottom"/>
            <w:tcBorders>
              <w:top w:val="single" w:sz="8" w:color="CCEEFF"/>
            </w:tcBorders>
            <w:gridSpan w:val="2"/>
            <w:shd w:val="clear" w:color="auto" w:fill="CCEEFF"/>
          </w:tcPr>
          <w:p>
            <w:pPr>
              <w:ind w:left="20"/>
              <w:spacing w:after="0"/>
              <w:rPr>
                <w:sz w:val="20"/>
                <w:szCs w:val="20"/>
                <w:color w:val="auto"/>
              </w:rPr>
            </w:pPr>
            <w:r>
              <w:rPr>
                <w:rFonts w:ascii="Arial" w:cs="Arial" w:eastAsia="Arial" w:hAnsi="Arial"/>
                <w:sz w:val="13"/>
                <w:szCs w:val="13"/>
                <w:color w:val="auto"/>
              </w:rPr>
              <w:t>Total available-for-sale securities, at fair value</w:t>
            </w:r>
          </w:p>
        </w:tc>
        <w:tc>
          <w:tcPr>
            <w:tcW w:w="160" w:type="dxa"/>
            <w:vAlign w:val="bottom"/>
            <w:tcBorders>
              <w:top w:val="single" w:sz="8" w:color="auto"/>
              <w:bottom w:val="single" w:sz="8" w:color="auto"/>
            </w:tcBorders>
            <w:shd w:val="clear" w:color="auto" w:fill="CCEEFF"/>
          </w:tcPr>
          <w:p>
            <w:pPr>
              <w:spacing w:after="0"/>
              <w:rPr>
                <w:sz w:val="15"/>
                <w:szCs w:val="15"/>
                <w:color w:val="auto"/>
              </w:rPr>
            </w:pPr>
          </w:p>
        </w:tc>
        <w:tc>
          <w:tcPr>
            <w:tcW w:w="760" w:type="dxa"/>
            <w:vAlign w:val="bottom"/>
            <w:tcBorders>
              <w:top w:val="single" w:sz="8" w:color="auto"/>
              <w:bottom w:val="single" w:sz="8" w:color="auto"/>
            </w:tcBorders>
            <w:shd w:val="clear" w:color="auto" w:fill="CCEEFF"/>
          </w:tcPr>
          <w:p>
            <w:pPr>
              <w:jc w:val="right"/>
              <w:ind w:right="96"/>
              <w:spacing w:after="0"/>
              <w:rPr>
                <w:sz w:val="20"/>
                <w:szCs w:val="20"/>
                <w:color w:val="auto"/>
              </w:rPr>
            </w:pPr>
            <w:r>
              <w:rPr>
                <w:rFonts w:ascii="Arial" w:cs="Arial" w:eastAsia="Arial" w:hAnsi="Arial"/>
                <w:sz w:val="13"/>
                <w:szCs w:val="13"/>
                <w:color w:val="auto"/>
              </w:rPr>
              <w:t>6,875</w:t>
            </w:r>
          </w:p>
        </w:tc>
        <w:tc>
          <w:tcPr>
            <w:tcW w:w="120" w:type="dxa"/>
            <w:vAlign w:val="bottom"/>
            <w:tcBorders>
              <w:top w:val="single" w:sz="8" w:color="CCEEFF"/>
            </w:tcBorders>
            <w:shd w:val="clear" w:color="auto" w:fill="CCEEFF"/>
          </w:tcPr>
          <w:p>
            <w:pPr>
              <w:spacing w:after="0"/>
              <w:rPr>
                <w:sz w:val="15"/>
                <w:szCs w:val="15"/>
                <w:color w:val="auto"/>
              </w:rPr>
            </w:pPr>
          </w:p>
        </w:tc>
        <w:tc>
          <w:tcPr>
            <w:tcW w:w="240" w:type="dxa"/>
            <w:vAlign w:val="bottom"/>
            <w:tcBorders>
              <w:top w:val="single" w:sz="8" w:color="auto"/>
              <w:bottom w:val="single" w:sz="8" w:color="auto"/>
            </w:tcBorders>
            <w:shd w:val="clear" w:color="auto" w:fill="CCEEFF"/>
          </w:tcPr>
          <w:p>
            <w:pPr>
              <w:spacing w:after="0"/>
              <w:rPr>
                <w:sz w:val="15"/>
                <w:szCs w:val="15"/>
                <w:color w:val="auto"/>
              </w:rPr>
            </w:pPr>
          </w:p>
        </w:tc>
        <w:tc>
          <w:tcPr>
            <w:tcW w:w="660" w:type="dxa"/>
            <w:vAlign w:val="bottom"/>
            <w:tcBorders>
              <w:top w:val="single" w:sz="8" w:color="auto"/>
              <w:bottom w:val="single" w:sz="8" w:color="auto"/>
            </w:tcBorders>
            <w:shd w:val="clear" w:color="auto" w:fill="CCEEFF"/>
          </w:tcPr>
          <w:p>
            <w:pPr>
              <w:jc w:val="right"/>
              <w:ind w:right="97"/>
              <w:spacing w:after="0"/>
              <w:rPr>
                <w:sz w:val="20"/>
                <w:szCs w:val="20"/>
                <w:color w:val="auto"/>
              </w:rPr>
            </w:pPr>
            <w:r>
              <w:rPr>
                <w:rFonts w:ascii="Arial" w:cs="Arial" w:eastAsia="Arial" w:hAnsi="Arial"/>
                <w:sz w:val="13"/>
                <w:szCs w:val="13"/>
                <w:color w:val="auto"/>
              </w:rPr>
              <w:t>2,282</w:t>
            </w:r>
          </w:p>
        </w:tc>
        <w:tc>
          <w:tcPr>
            <w:tcW w:w="100" w:type="dxa"/>
            <w:vAlign w:val="bottom"/>
            <w:tcBorders>
              <w:top w:val="single" w:sz="8" w:color="CCEEFF"/>
            </w:tcBorders>
            <w:shd w:val="clear" w:color="auto" w:fill="CCEEFF"/>
          </w:tcPr>
          <w:p>
            <w:pPr>
              <w:spacing w:after="0"/>
              <w:rPr>
                <w:sz w:val="15"/>
                <w:szCs w:val="15"/>
                <w:color w:val="auto"/>
              </w:rPr>
            </w:pPr>
          </w:p>
        </w:tc>
        <w:tc>
          <w:tcPr>
            <w:tcW w:w="160" w:type="dxa"/>
            <w:vAlign w:val="bottom"/>
            <w:tcBorders>
              <w:top w:val="single" w:sz="8" w:color="auto"/>
              <w:bottom w:val="single" w:sz="8" w:color="auto"/>
            </w:tcBorders>
            <w:shd w:val="clear" w:color="auto" w:fill="CCEEFF"/>
          </w:tcPr>
          <w:p>
            <w:pPr>
              <w:spacing w:after="0"/>
              <w:rPr>
                <w:sz w:val="15"/>
                <w:szCs w:val="15"/>
                <w:color w:val="auto"/>
              </w:rPr>
            </w:pPr>
          </w:p>
        </w:tc>
        <w:tc>
          <w:tcPr>
            <w:tcW w:w="740" w:type="dxa"/>
            <w:vAlign w:val="bottom"/>
            <w:tcBorders>
              <w:top w:val="single" w:sz="8" w:color="auto"/>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2</w:t>
            </w:r>
          </w:p>
        </w:tc>
        <w:tc>
          <w:tcPr>
            <w:tcW w:w="20" w:type="dxa"/>
            <w:vAlign w:val="bottom"/>
            <w:tcBorders>
              <w:top w:val="single" w:sz="8" w:color="auto"/>
              <w:bottom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160" w:type="dxa"/>
            <w:vAlign w:val="bottom"/>
            <w:tcBorders>
              <w:top w:val="single" w:sz="8" w:color="auto"/>
              <w:bottom w:val="single" w:sz="8" w:color="auto"/>
            </w:tcBorders>
            <w:shd w:val="clear" w:color="auto" w:fill="CCEEFF"/>
          </w:tcPr>
          <w:p>
            <w:pPr>
              <w:spacing w:after="0"/>
              <w:rPr>
                <w:sz w:val="15"/>
                <w:szCs w:val="15"/>
                <w:color w:val="auto"/>
              </w:rPr>
            </w:pPr>
          </w:p>
        </w:tc>
        <w:tc>
          <w:tcPr>
            <w:tcW w:w="760" w:type="dxa"/>
            <w:vAlign w:val="bottom"/>
            <w:tcBorders>
              <w:top w:val="single" w:sz="8" w:color="auto"/>
              <w:bottom w:val="single" w:sz="8" w:color="auto"/>
            </w:tcBorders>
            <w:shd w:val="clear" w:color="auto" w:fill="CCEEFF"/>
          </w:tcPr>
          <w:p>
            <w:pPr>
              <w:jc w:val="right"/>
              <w:ind w:right="116"/>
              <w:spacing w:after="0"/>
              <w:rPr>
                <w:sz w:val="20"/>
                <w:szCs w:val="20"/>
                <w:color w:val="auto"/>
              </w:rPr>
            </w:pPr>
            <w:r>
              <w:rPr>
                <w:rFonts w:ascii="Arial" w:cs="Arial" w:eastAsia="Arial" w:hAnsi="Arial"/>
                <w:sz w:val="13"/>
                <w:szCs w:val="13"/>
                <w:color w:val="auto"/>
              </w:rPr>
              <w:t>—</w:t>
            </w:r>
          </w:p>
        </w:tc>
        <w:tc>
          <w:tcPr>
            <w:tcW w:w="100" w:type="dxa"/>
            <w:vAlign w:val="bottom"/>
            <w:tcBorders>
              <w:top w:val="single" w:sz="8" w:color="CCEEFF"/>
            </w:tcBorders>
            <w:shd w:val="clear" w:color="auto" w:fill="CCEEFF"/>
          </w:tcPr>
          <w:p>
            <w:pPr>
              <w:spacing w:after="0"/>
              <w:rPr>
                <w:sz w:val="15"/>
                <w:szCs w:val="15"/>
                <w:color w:val="auto"/>
              </w:rPr>
            </w:pPr>
          </w:p>
        </w:tc>
        <w:tc>
          <w:tcPr>
            <w:tcW w:w="20" w:type="dxa"/>
            <w:vAlign w:val="bottom"/>
            <w:tcBorders>
              <w:top w:val="single" w:sz="8" w:color="auto"/>
              <w:bottom w:val="single" w:sz="8" w:color="auto"/>
            </w:tcBorders>
            <w:shd w:val="clear" w:color="auto" w:fill="CCEEFF"/>
          </w:tcPr>
          <w:p>
            <w:pPr>
              <w:spacing w:after="0"/>
              <w:rPr>
                <w:sz w:val="15"/>
                <w:szCs w:val="15"/>
                <w:color w:val="auto"/>
              </w:rPr>
            </w:pPr>
          </w:p>
        </w:tc>
        <w:tc>
          <w:tcPr>
            <w:tcW w:w="140" w:type="dxa"/>
            <w:vAlign w:val="bottom"/>
            <w:tcBorders>
              <w:top w:val="single" w:sz="8" w:color="auto"/>
              <w:bottom w:val="single" w:sz="8" w:color="auto"/>
            </w:tcBorders>
            <w:shd w:val="clear" w:color="auto" w:fill="CCEEFF"/>
          </w:tcPr>
          <w:p>
            <w:pPr>
              <w:spacing w:after="0"/>
              <w:rPr>
                <w:sz w:val="15"/>
                <w:szCs w:val="15"/>
                <w:color w:val="auto"/>
              </w:rPr>
            </w:pPr>
          </w:p>
        </w:tc>
        <w:tc>
          <w:tcPr>
            <w:tcW w:w="780" w:type="dxa"/>
            <w:vAlign w:val="bottom"/>
            <w:tcBorders>
              <w:top w:val="single" w:sz="8" w:color="auto"/>
              <w:bottom w:val="single" w:sz="8" w:color="auto"/>
            </w:tcBorders>
            <w:shd w:val="clear" w:color="auto" w:fill="CCEEFF"/>
          </w:tcPr>
          <w:p>
            <w:pPr>
              <w:jc w:val="right"/>
              <w:ind w:right="117"/>
              <w:spacing w:after="0"/>
              <w:rPr>
                <w:sz w:val="20"/>
                <w:szCs w:val="20"/>
                <w:color w:val="auto"/>
              </w:rPr>
            </w:pPr>
            <w:r>
              <w:rPr>
                <w:rFonts w:ascii="Arial" w:cs="Arial" w:eastAsia="Arial" w:hAnsi="Arial"/>
                <w:sz w:val="13"/>
                <w:szCs w:val="13"/>
                <w:color w:val="auto"/>
              </w:rPr>
              <w:t>—</w:t>
            </w:r>
          </w:p>
        </w:tc>
        <w:tc>
          <w:tcPr>
            <w:tcW w:w="10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bottom w:val="single" w:sz="8" w:color="auto"/>
            </w:tcBorders>
            <w:shd w:val="clear" w:color="auto" w:fill="CCEEFF"/>
          </w:tcPr>
          <w:p>
            <w:pPr>
              <w:spacing w:after="0"/>
              <w:rPr>
                <w:sz w:val="15"/>
                <w:szCs w:val="15"/>
                <w:color w:val="auto"/>
              </w:rPr>
            </w:pPr>
          </w:p>
        </w:tc>
        <w:tc>
          <w:tcPr>
            <w:tcW w:w="700" w:type="dxa"/>
            <w:vAlign w:val="bottom"/>
            <w:tcBorders>
              <w:top w:val="single" w:sz="8" w:color="auto"/>
              <w:bottom w:val="single" w:sz="8" w:color="auto"/>
            </w:tcBorders>
            <w:shd w:val="clear" w:color="auto" w:fill="CCEEFF"/>
          </w:tcPr>
          <w:p>
            <w:pPr>
              <w:jc w:val="right"/>
              <w:ind w:right="97"/>
              <w:spacing w:after="0"/>
              <w:rPr>
                <w:sz w:val="20"/>
                <w:szCs w:val="20"/>
                <w:color w:val="auto"/>
              </w:rPr>
            </w:pPr>
            <w:r>
              <w:rPr>
                <w:rFonts w:ascii="Arial" w:cs="Arial" w:eastAsia="Arial" w:hAnsi="Arial"/>
                <w:sz w:val="13"/>
                <w:szCs w:val="13"/>
                <w:color w:val="auto"/>
              </w:rPr>
              <w:t>—</w:t>
            </w:r>
          </w:p>
        </w:tc>
        <w:tc>
          <w:tcPr>
            <w:tcW w:w="12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bottom w:val="single" w:sz="8" w:color="auto"/>
            </w:tcBorders>
            <w:shd w:val="clear" w:color="auto" w:fill="CCEEFF"/>
          </w:tcPr>
          <w:p>
            <w:pPr>
              <w:spacing w:after="0"/>
              <w:rPr>
                <w:sz w:val="15"/>
                <w:szCs w:val="15"/>
                <w:color w:val="auto"/>
              </w:rPr>
            </w:pPr>
          </w:p>
        </w:tc>
        <w:tc>
          <w:tcPr>
            <w:tcW w:w="740" w:type="dxa"/>
            <w:vAlign w:val="bottom"/>
            <w:tcBorders>
              <w:top w:val="single" w:sz="8" w:color="auto"/>
              <w:bottom w:val="single" w:sz="8" w:color="auto"/>
            </w:tcBorders>
            <w:shd w:val="clear" w:color="auto" w:fill="CCEEFF"/>
          </w:tcPr>
          <w:p>
            <w:pPr>
              <w:jc w:val="right"/>
              <w:ind w:right="117"/>
              <w:spacing w:after="0"/>
              <w:rPr>
                <w:sz w:val="20"/>
                <w:szCs w:val="20"/>
                <w:color w:val="auto"/>
              </w:rPr>
            </w:pPr>
            <w:r>
              <w:rPr>
                <w:rFonts w:ascii="Arial" w:cs="Arial" w:eastAsia="Arial" w:hAnsi="Arial"/>
                <w:sz w:val="13"/>
                <w:szCs w:val="13"/>
                <w:color w:val="auto"/>
              </w:rPr>
              <w:t>9,159</w:t>
            </w:r>
          </w:p>
        </w:tc>
        <w:tc>
          <w:tcPr>
            <w:tcW w:w="0" w:type="dxa"/>
            <w:vAlign w:val="bottom"/>
          </w:tcPr>
          <w:p>
            <w:pPr>
              <w:spacing w:after="0"/>
              <w:rPr>
                <w:sz w:val="1"/>
                <w:szCs w:val="1"/>
                <w:color w:val="auto"/>
              </w:rPr>
            </w:pPr>
          </w:p>
        </w:tc>
      </w:tr>
      <w:tr>
        <w:trPr>
          <w:trHeight w:val="148"/>
        </w:trPr>
        <w:tc>
          <w:tcPr>
            <w:tcW w:w="3520" w:type="dxa"/>
            <w:vAlign w:val="bottom"/>
            <w:gridSpan w:val="2"/>
          </w:tcPr>
          <w:p>
            <w:pPr>
              <w:ind w:left="20"/>
              <w:spacing w:after="0" w:line="141" w:lineRule="exact"/>
              <w:rPr>
                <w:sz w:val="20"/>
                <w:szCs w:val="20"/>
                <w:color w:val="auto"/>
              </w:rPr>
            </w:pPr>
            <w:r>
              <w:rPr>
                <w:rFonts w:ascii="Arial" w:cs="Arial" w:eastAsia="Arial" w:hAnsi="Arial"/>
                <w:sz w:val="13"/>
                <w:szCs w:val="13"/>
                <w:color w:val="auto"/>
              </w:rPr>
              <w:t>Securities remeasured at fair value through earnings:</w:t>
            </w:r>
          </w:p>
        </w:tc>
        <w:tc>
          <w:tcPr>
            <w:tcW w:w="1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3"/>
        </w:trPr>
        <w:tc>
          <w:tcPr>
            <w:tcW w:w="3520" w:type="dxa"/>
            <w:vAlign w:val="bottom"/>
            <w:gridSpan w:val="2"/>
            <w:shd w:val="clear" w:color="auto" w:fill="CCEEFF"/>
          </w:tcPr>
          <w:p>
            <w:pPr>
              <w:ind w:left="220"/>
              <w:spacing w:after="0"/>
              <w:rPr>
                <w:sz w:val="20"/>
                <w:szCs w:val="20"/>
                <w:color w:val="auto"/>
              </w:rPr>
            </w:pPr>
            <w:r>
              <w:rPr>
                <w:rFonts w:ascii="Arial" w:cs="Arial" w:eastAsia="Arial" w:hAnsi="Arial"/>
                <w:sz w:val="13"/>
                <w:szCs w:val="13"/>
                <w:color w:val="auto"/>
              </w:rPr>
              <w:t>Par value</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right"/>
              <w:ind w:right="96"/>
              <w:spacing w:after="0"/>
              <w:rPr>
                <w:sz w:val="20"/>
                <w:szCs w:val="20"/>
                <w:color w:val="auto"/>
              </w:rPr>
            </w:pPr>
            <w:r>
              <w:rPr>
                <w:rFonts w:ascii="Arial" w:cs="Arial" w:eastAsia="Arial" w:hAnsi="Arial"/>
                <w:sz w:val="13"/>
                <w:szCs w:val="13"/>
                <w:color w:val="auto"/>
              </w:rPr>
              <w:t>27,952</w:t>
            </w:r>
          </w:p>
        </w:tc>
        <w:tc>
          <w:tcPr>
            <w:tcW w:w="1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66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13,680</w:t>
            </w: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3</w:t>
            </w:r>
          </w:p>
        </w:tc>
        <w:tc>
          <w:tcPr>
            <w:tcW w:w="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right"/>
              <w:ind w:right="116"/>
              <w:spacing w:after="0"/>
              <w:rPr>
                <w:sz w:val="20"/>
                <w:szCs w:val="20"/>
                <w:color w:val="auto"/>
              </w:rPr>
            </w:pPr>
            <w:r>
              <w:rPr>
                <w:rFonts w:ascii="Arial" w:cs="Arial" w:eastAsia="Arial" w:hAnsi="Arial"/>
                <w:sz w:val="13"/>
                <w:szCs w:val="13"/>
                <w:color w:val="auto"/>
              </w:rPr>
              <w:t>327</w:t>
            </w:r>
          </w:p>
        </w:tc>
        <w:tc>
          <w:tcPr>
            <w:tcW w:w="10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78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508</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70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950</w:t>
            </w:r>
          </w:p>
        </w:tc>
        <w:tc>
          <w:tcPr>
            <w:tcW w:w="12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74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43,420</w:t>
            </w:r>
          </w:p>
        </w:tc>
        <w:tc>
          <w:tcPr>
            <w:tcW w:w="0" w:type="dxa"/>
            <w:vAlign w:val="bottom"/>
          </w:tcPr>
          <w:p>
            <w:pPr>
              <w:spacing w:after="0"/>
              <w:rPr>
                <w:sz w:val="1"/>
                <w:szCs w:val="1"/>
                <w:color w:val="auto"/>
              </w:rPr>
            </w:pPr>
          </w:p>
        </w:tc>
      </w:tr>
      <w:tr>
        <w:trPr>
          <w:trHeight w:val="168"/>
        </w:trPr>
        <w:tc>
          <w:tcPr>
            <w:tcW w:w="3520" w:type="dxa"/>
            <w:vAlign w:val="bottom"/>
            <w:gridSpan w:val="2"/>
          </w:tcPr>
          <w:p>
            <w:pPr>
              <w:ind w:left="220"/>
              <w:spacing w:after="0"/>
              <w:rPr>
                <w:sz w:val="20"/>
                <w:szCs w:val="20"/>
                <w:color w:val="auto"/>
              </w:rPr>
            </w:pPr>
            <w:r>
              <w:rPr>
                <w:rFonts w:ascii="Arial" w:cs="Arial" w:eastAsia="Arial" w:hAnsi="Arial"/>
                <w:sz w:val="13"/>
                <w:szCs w:val="13"/>
                <w:color w:val="auto"/>
              </w:rPr>
              <w:t>Unamortized discount</w:t>
            </w:r>
          </w:p>
        </w:tc>
        <w:tc>
          <w:tcPr>
            <w:tcW w:w="160" w:type="dxa"/>
            <w:vAlign w:val="bottom"/>
          </w:tcPr>
          <w:p>
            <w:pPr>
              <w:spacing w:after="0"/>
              <w:rPr>
                <w:sz w:val="14"/>
                <w:szCs w:val="14"/>
                <w:color w:val="auto"/>
              </w:rPr>
            </w:pPr>
          </w:p>
        </w:tc>
        <w:tc>
          <w:tcPr>
            <w:tcW w:w="760" w:type="dxa"/>
            <w:vAlign w:val="bottom"/>
          </w:tcPr>
          <w:p>
            <w:pPr>
              <w:jc w:val="right"/>
              <w:ind w:right="56"/>
              <w:spacing w:after="0"/>
              <w:rPr>
                <w:sz w:val="20"/>
                <w:szCs w:val="20"/>
                <w:color w:val="auto"/>
              </w:rPr>
            </w:pPr>
            <w:r>
              <w:rPr>
                <w:rFonts w:ascii="Arial" w:cs="Arial" w:eastAsia="Arial" w:hAnsi="Arial"/>
                <w:sz w:val="13"/>
                <w:szCs w:val="13"/>
                <w:color w:val="auto"/>
              </w:rPr>
              <w:t>(14)</w:t>
            </w: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60" w:type="dxa"/>
            <w:vAlign w:val="bottom"/>
          </w:tcPr>
          <w:p>
            <w:pPr>
              <w:jc w:val="right"/>
              <w:ind w:right="77"/>
              <w:spacing w:after="0"/>
              <w:rPr>
                <w:sz w:val="20"/>
                <w:szCs w:val="20"/>
                <w:color w:val="auto"/>
              </w:rPr>
            </w:pPr>
            <w:r>
              <w:rPr>
                <w:rFonts w:ascii="Arial" w:cs="Arial" w:eastAsia="Arial" w:hAnsi="Arial"/>
                <w:sz w:val="13"/>
                <w:szCs w:val="13"/>
                <w:color w:val="auto"/>
              </w:rPr>
              <w:t>(4)</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40" w:type="dxa"/>
            <w:vAlign w:val="bottom"/>
          </w:tcPr>
          <w:p>
            <w:pPr>
              <w:jc w:val="right"/>
              <w:ind w:right="76"/>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tcPr>
          <w:p>
            <w:pPr>
              <w:jc w:val="right"/>
              <w:ind w:right="76"/>
              <w:spacing w:after="0"/>
              <w:rPr>
                <w:sz w:val="20"/>
                <w:szCs w:val="20"/>
                <w:color w:val="auto"/>
              </w:rPr>
            </w:pPr>
            <w:r>
              <w:rPr>
                <w:rFonts w:ascii="Arial" w:cs="Arial" w:eastAsia="Arial" w:hAnsi="Arial"/>
                <w:sz w:val="13"/>
                <w:szCs w:val="13"/>
                <w:color w:val="auto"/>
              </w:rPr>
              <w:t>(6)</w:t>
            </w: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80" w:type="dxa"/>
            <w:vAlign w:val="bottom"/>
          </w:tcPr>
          <w:p>
            <w:pPr>
              <w:jc w:val="right"/>
              <w:ind w:right="77"/>
              <w:spacing w:after="0"/>
              <w:rPr>
                <w:sz w:val="20"/>
                <w:szCs w:val="20"/>
                <w:color w:val="auto"/>
              </w:rPr>
            </w:pPr>
            <w:r>
              <w:rPr>
                <w:rFonts w:ascii="Arial" w:cs="Arial" w:eastAsia="Arial" w:hAnsi="Arial"/>
                <w:sz w:val="13"/>
                <w:szCs w:val="13"/>
                <w:color w:val="auto"/>
              </w:rPr>
              <w:t>(6)</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00" w:type="dxa"/>
            <w:vAlign w:val="bottom"/>
          </w:tcPr>
          <w:p>
            <w:pPr>
              <w:jc w:val="right"/>
              <w:ind w:right="57"/>
              <w:spacing w:after="0"/>
              <w:rPr>
                <w:sz w:val="20"/>
                <w:szCs w:val="20"/>
                <w:color w:val="auto"/>
              </w:rPr>
            </w:pPr>
            <w:r>
              <w:rPr>
                <w:rFonts w:ascii="Arial" w:cs="Arial" w:eastAsia="Arial" w:hAnsi="Arial"/>
                <w:sz w:val="13"/>
                <w:szCs w:val="13"/>
                <w:color w:val="auto"/>
              </w:rPr>
              <w:t>(7)</w:t>
            </w: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40" w:type="dxa"/>
            <w:vAlign w:val="bottom"/>
          </w:tcPr>
          <w:p>
            <w:pPr>
              <w:jc w:val="right"/>
              <w:ind w:right="77"/>
              <w:spacing w:after="0"/>
              <w:rPr>
                <w:sz w:val="20"/>
                <w:szCs w:val="20"/>
                <w:color w:val="auto"/>
              </w:rPr>
            </w:pPr>
            <w:r>
              <w:rPr>
                <w:rFonts w:ascii="Arial" w:cs="Arial" w:eastAsia="Arial" w:hAnsi="Arial"/>
                <w:sz w:val="13"/>
                <w:szCs w:val="13"/>
                <w:color w:val="auto"/>
              </w:rPr>
              <w:t>(37)</w:t>
            </w:r>
          </w:p>
        </w:tc>
        <w:tc>
          <w:tcPr>
            <w:tcW w:w="0" w:type="dxa"/>
            <w:vAlign w:val="bottom"/>
          </w:tcPr>
          <w:p>
            <w:pPr>
              <w:spacing w:after="0"/>
              <w:rPr>
                <w:sz w:val="1"/>
                <w:szCs w:val="1"/>
                <w:color w:val="auto"/>
              </w:rPr>
            </w:pPr>
          </w:p>
        </w:tc>
      </w:tr>
      <w:tr>
        <w:trPr>
          <w:trHeight w:val="183"/>
        </w:trPr>
        <w:tc>
          <w:tcPr>
            <w:tcW w:w="3520" w:type="dxa"/>
            <w:vAlign w:val="bottom"/>
            <w:gridSpan w:val="2"/>
            <w:shd w:val="clear" w:color="auto" w:fill="CCEEFF"/>
          </w:tcPr>
          <w:p>
            <w:pPr>
              <w:ind w:left="220"/>
              <w:spacing w:after="0"/>
              <w:rPr>
                <w:sz w:val="20"/>
                <w:szCs w:val="20"/>
                <w:color w:val="auto"/>
              </w:rPr>
            </w:pPr>
            <w:r>
              <w:rPr>
                <w:rFonts w:ascii="Arial" w:cs="Arial" w:eastAsia="Arial" w:hAnsi="Arial"/>
                <w:sz w:val="13"/>
                <w:szCs w:val="13"/>
                <w:color w:val="auto"/>
              </w:rPr>
              <w:t>Unamortized premium</w:t>
            </w:r>
          </w:p>
        </w:tc>
        <w:tc>
          <w:tcPr>
            <w:tcW w:w="160" w:type="dxa"/>
            <w:vAlign w:val="bottom"/>
            <w:tcBorders>
              <w:bottom w:val="single" w:sz="8" w:color="auto"/>
            </w:tcBorders>
            <w:shd w:val="clear" w:color="auto" w:fill="CCEEFF"/>
          </w:tcPr>
          <w:p>
            <w:pPr>
              <w:spacing w:after="0"/>
              <w:rPr>
                <w:sz w:val="15"/>
                <w:szCs w:val="15"/>
                <w:color w:val="auto"/>
              </w:rPr>
            </w:pPr>
          </w:p>
        </w:tc>
        <w:tc>
          <w:tcPr>
            <w:tcW w:w="760" w:type="dxa"/>
            <w:vAlign w:val="bottom"/>
            <w:tcBorders>
              <w:bottom w:val="single" w:sz="8" w:color="auto"/>
            </w:tcBorders>
            <w:shd w:val="clear" w:color="auto" w:fill="CCEEFF"/>
          </w:tcPr>
          <w:p>
            <w:pPr>
              <w:jc w:val="right"/>
              <w:ind w:right="96"/>
              <w:spacing w:after="0"/>
              <w:rPr>
                <w:sz w:val="20"/>
                <w:szCs w:val="20"/>
                <w:color w:val="auto"/>
              </w:rPr>
            </w:pPr>
            <w:r>
              <w:rPr>
                <w:rFonts w:ascii="Arial" w:cs="Arial" w:eastAsia="Arial" w:hAnsi="Arial"/>
                <w:sz w:val="13"/>
                <w:szCs w:val="13"/>
                <w:color w:val="auto"/>
              </w:rPr>
              <w:t>924</w:t>
            </w:r>
          </w:p>
        </w:tc>
        <w:tc>
          <w:tcPr>
            <w:tcW w:w="120" w:type="dxa"/>
            <w:vAlign w:val="bottom"/>
            <w:shd w:val="clear" w:color="auto" w:fill="CCEEFF"/>
          </w:tcPr>
          <w:p>
            <w:pPr>
              <w:spacing w:after="0"/>
              <w:rPr>
                <w:sz w:val="15"/>
                <w:szCs w:val="15"/>
                <w:color w:val="auto"/>
              </w:rPr>
            </w:pPr>
          </w:p>
        </w:tc>
        <w:tc>
          <w:tcPr>
            <w:tcW w:w="240" w:type="dxa"/>
            <w:vAlign w:val="bottom"/>
            <w:tcBorders>
              <w:bottom w:val="single" w:sz="8" w:color="auto"/>
            </w:tcBorders>
            <w:shd w:val="clear" w:color="auto" w:fill="CCEEFF"/>
          </w:tcPr>
          <w:p>
            <w:pPr>
              <w:spacing w:after="0"/>
              <w:rPr>
                <w:sz w:val="15"/>
                <w:szCs w:val="15"/>
                <w:color w:val="auto"/>
              </w:rPr>
            </w:pPr>
          </w:p>
        </w:tc>
        <w:tc>
          <w:tcPr>
            <w:tcW w:w="660" w:type="dxa"/>
            <w:vAlign w:val="bottom"/>
            <w:tcBorders>
              <w:bottom w:val="single" w:sz="8" w:color="auto"/>
            </w:tcBorders>
            <w:shd w:val="clear" w:color="auto" w:fill="CCEEFF"/>
          </w:tcPr>
          <w:p>
            <w:pPr>
              <w:jc w:val="right"/>
              <w:ind w:right="97"/>
              <w:spacing w:after="0"/>
              <w:rPr>
                <w:sz w:val="20"/>
                <w:szCs w:val="20"/>
                <w:color w:val="auto"/>
              </w:rPr>
            </w:pPr>
            <w:r>
              <w:rPr>
                <w:rFonts w:ascii="Arial" w:cs="Arial" w:eastAsia="Arial" w:hAnsi="Arial"/>
                <w:sz w:val="13"/>
                <w:szCs w:val="13"/>
                <w:color w:val="auto"/>
              </w:rPr>
              <w:t>444</w:t>
            </w:r>
          </w:p>
        </w:tc>
        <w:tc>
          <w:tcPr>
            <w:tcW w:w="100" w:type="dxa"/>
            <w:vAlign w:val="bottom"/>
            <w:shd w:val="clear" w:color="auto" w:fill="CCEEFF"/>
          </w:tcPr>
          <w:p>
            <w:pPr>
              <w:spacing w:after="0"/>
              <w:rPr>
                <w:sz w:val="15"/>
                <w:szCs w:val="15"/>
                <w:color w:val="auto"/>
              </w:rPr>
            </w:pPr>
          </w:p>
        </w:tc>
        <w:tc>
          <w:tcPr>
            <w:tcW w:w="160" w:type="dxa"/>
            <w:vAlign w:val="bottom"/>
            <w:tcBorders>
              <w:bottom w:val="single" w:sz="8" w:color="auto"/>
            </w:tcBorders>
            <w:shd w:val="clear" w:color="auto" w:fill="CCEEFF"/>
          </w:tcPr>
          <w:p>
            <w:pPr>
              <w:spacing w:after="0"/>
              <w:rPr>
                <w:sz w:val="15"/>
                <w:szCs w:val="15"/>
                <w:color w:val="auto"/>
              </w:rPr>
            </w:pPr>
          </w:p>
        </w:tc>
        <w:tc>
          <w:tcPr>
            <w:tcW w:w="74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w:t>
            </w:r>
          </w:p>
        </w:tc>
        <w:tc>
          <w:tcPr>
            <w:tcW w:w="20" w:type="dxa"/>
            <w:vAlign w:val="bottom"/>
            <w:tcBorders>
              <w:bottom w:val="single" w:sz="8" w:color="auto"/>
            </w:tcBorders>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60" w:type="dxa"/>
            <w:vAlign w:val="bottom"/>
            <w:tcBorders>
              <w:bottom w:val="single" w:sz="8" w:color="auto"/>
            </w:tcBorders>
            <w:shd w:val="clear" w:color="auto" w:fill="CCEEFF"/>
          </w:tcPr>
          <w:p>
            <w:pPr>
              <w:spacing w:after="0"/>
              <w:rPr>
                <w:sz w:val="15"/>
                <w:szCs w:val="15"/>
                <w:color w:val="auto"/>
              </w:rPr>
            </w:pPr>
          </w:p>
        </w:tc>
        <w:tc>
          <w:tcPr>
            <w:tcW w:w="760" w:type="dxa"/>
            <w:vAlign w:val="bottom"/>
            <w:tcBorders>
              <w:bottom w:val="single" w:sz="8" w:color="auto"/>
            </w:tcBorders>
            <w:shd w:val="clear" w:color="auto" w:fill="CCEEFF"/>
          </w:tcPr>
          <w:p>
            <w:pPr>
              <w:jc w:val="right"/>
              <w:ind w:right="116"/>
              <w:spacing w:after="0"/>
              <w:rPr>
                <w:sz w:val="20"/>
                <w:szCs w:val="20"/>
                <w:color w:val="auto"/>
              </w:rPr>
            </w:pPr>
            <w:r>
              <w:rPr>
                <w:rFonts w:ascii="Arial" w:cs="Arial" w:eastAsia="Arial" w:hAnsi="Arial"/>
                <w:sz w:val="13"/>
                <w:szCs w:val="13"/>
                <w:color w:val="auto"/>
              </w:rPr>
              <w:t>4</w:t>
            </w:r>
          </w:p>
        </w:tc>
        <w:tc>
          <w:tcPr>
            <w:tcW w:w="100" w:type="dxa"/>
            <w:vAlign w:val="bottom"/>
            <w:shd w:val="clear" w:color="auto" w:fill="CCEEFF"/>
          </w:tcPr>
          <w:p>
            <w:pPr>
              <w:spacing w:after="0"/>
              <w:rPr>
                <w:sz w:val="15"/>
                <w:szCs w:val="15"/>
                <w:color w:val="auto"/>
              </w:rPr>
            </w:pPr>
          </w:p>
        </w:tc>
        <w:tc>
          <w:tcPr>
            <w:tcW w:w="20" w:type="dxa"/>
            <w:vAlign w:val="bottom"/>
            <w:tcBorders>
              <w:bottom w:val="single" w:sz="8" w:color="auto"/>
            </w:tcBorders>
            <w:shd w:val="clear" w:color="auto" w:fill="CCEEFF"/>
          </w:tcPr>
          <w:p>
            <w:pPr>
              <w:spacing w:after="0"/>
              <w:rPr>
                <w:sz w:val="15"/>
                <w:szCs w:val="15"/>
                <w:color w:val="auto"/>
              </w:rPr>
            </w:pPr>
          </w:p>
        </w:tc>
        <w:tc>
          <w:tcPr>
            <w:tcW w:w="140" w:type="dxa"/>
            <w:vAlign w:val="bottom"/>
            <w:tcBorders>
              <w:bottom w:val="single" w:sz="8" w:color="auto"/>
            </w:tcBorders>
            <w:shd w:val="clear" w:color="auto" w:fill="CCEEFF"/>
          </w:tcPr>
          <w:p>
            <w:pPr>
              <w:spacing w:after="0"/>
              <w:rPr>
                <w:sz w:val="15"/>
                <w:szCs w:val="15"/>
                <w:color w:val="auto"/>
              </w:rPr>
            </w:pPr>
          </w:p>
        </w:tc>
        <w:tc>
          <w:tcPr>
            <w:tcW w:w="780" w:type="dxa"/>
            <w:vAlign w:val="bottom"/>
            <w:tcBorders>
              <w:bottom w:val="single" w:sz="8" w:color="auto"/>
            </w:tcBorders>
            <w:shd w:val="clear" w:color="auto" w:fill="CCEEFF"/>
          </w:tcPr>
          <w:p>
            <w:pPr>
              <w:jc w:val="right"/>
              <w:ind w:right="117"/>
              <w:spacing w:after="0"/>
              <w:rPr>
                <w:sz w:val="20"/>
                <w:szCs w:val="20"/>
                <w:color w:val="auto"/>
              </w:rPr>
            </w:pPr>
            <w:r>
              <w:rPr>
                <w:rFonts w:ascii="Arial" w:cs="Arial" w:eastAsia="Arial" w:hAnsi="Arial"/>
                <w:sz w:val="13"/>
                <w:szCs w:val="13"/>
                <w:color w:val="auto"/>
              </w:rPr>
              <w:t>3</w:t>
            </w:r>
          </w:p>
        </w:tc>
        <w:tc>
          <w:tcPr>
            <w:tcW w:w="100" w:type="dxa"/>
            <w:vAlign w:val="bottom"/>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spacing w:after="0"/>
              <w:rPr>
                <w:sz w:val="15"/>
                <w:szCs w:val="15"/>
                <w:color w:val="auto"/>
              </w:rPr>
            </w:pPr>
          </w:p>
        </w:tc>
        <w:tc>
          <w:tcPr>
            <w:tcW w:w="700" w:type="dxa"/>
            <w:vAlign w:val="bottom"/>
            <w:tcBorders>
              <w:bottom w:val="single" w:sz="8" w:color="auto"/>
            </w:tcBorders>
            <w:shd w:val="clear" w:color="auto" w:fill="CCEEFF"/>
          </w:tcPr>
          <w:p>
            <w:pPr>
              <w:jc w:val="right"/>
              <w:ind w:right="97"/>
              <w:spacing w:after="0"/>
              <w:rPr>
                <w:sz w:val="20"/>
                <w:szCs w:val="20"/>
                <w:color w:val="auto"/>
              </w:rPr>
            </w:pPr>
            <w:r>
              <w:rPr>
                <w:rFonts w:ascii="Arial" w:cs="Arial" w:eastAsia="Arial" w:hAnsi="Arial"/>
                <w:sz w:val="13"/>
                <w:szCs w:val="13"/>
                <w:color w:val="auto"/>
              </w:rPr>
              <w:t>12</w:t>
            </w:r>
          </w:p>
        </w:tc>
        <w:tc>
          <w:tcPr>
            <w:tcW w:w="120" w:type="dxa"/>
            <w:vAlign w:val="bottom"/>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spacing w:after="0"/>
              <w:rPr>
                <w:sz w:val="15"/>
                <w:szCs w:val="15"/>
                <w:color w:val="auto"/>
              </w:rPr>
            </w:pPr>
          </w:p>
        </w:tc>
        <w:tc>
          <w:tcPr>
            <w:tcW w:w="740" w:type="dxa"/>
            <w:vAlign w:val="bottom"/>
            <w:tcBorders>
              <w:bottom w:val="single" w:sz="8" w:color="auto"/>
            </w:tcBorders>
            <w:shd w:val="clear" w:color="auto" w:fill="CCEEFF"/>
          </w:tcPr>
          <w:p>
            <w:pPr>
              <w:jc w:val="right"/>
              <w:ind w:right="117"/>
              <w:spacing w:after="0"/>
              <w:rPr>
                <w:sz w:val="20"/>
                <w:szCs w:val="20"/>
                <w:color w:val="auto"/>
              </w:rPr>
            </w:pPr>
            <w:r>
              <w:rPr>
                <w:rFonts w:ascii="Arial" w:cs="Arial" w:eastAsia="Arial" w:hAnsi="Arial"/>
                <w:sz w:val="13"/>
                <w:szCs w:val="13"/>
                <w:color w:val="auto"/>
              </w:rPr>
              <w:t>1,387</w:t>
            </w:r>
          </w:p>
        </w:tc>
        <w:tc>
          <w:tcPr>
            <w:tcW w:w="0" w:type="dxa"/>
            <w:vAlign w:val="bottom"/>
          </w:tcPr>
          <w:p>
            <w:pPr>
              <w:spacing w:after="0"/>
              <w:rPr>
                <w:sz w:val="1"/>
                <w:szCs w:val="1"/>
                <w:color w:val="auto"/>
              </w:rPr>
            </w:pPr>
          </w:p>
        </w:tc>
      </w:tr>
      <w:tr>
        <w:trPr>
          <w:trHeight w:val="161"/>
        </w:trPr>
        <w:tc>
          <w:tcPr>
            <w:tcW w:w="3520" w:type="dxa"/>
            <w:vAlign w:val="bottom"/>
            <w:gridSpan w:val="2"/>
          </w:tcPr>
          <w:p>
            <w:pPr>
              <w:ind w:left="220"/>
              <w:spacing w:after="0"/>
              <w:rPr>
                <w:sz w:val="20"/>
                <w:szCs w:val="20"/>
                <w:color w:val="auto"/>
              </w:rPr>
            </w:pPr>
            <w:r>
              <w:rPr>
                <w:rFonts w:ascii="Arial" w:cs="Arial" w:eastAsia="Arial" w:hAnsi="Arial"/>
                <w:sz w:val="13"/>
                <w:szCs w:val="13"/>
                <w:color w:val="auto"/>
              </w:rPr>
              <w:t>Amortized cost</w:t>
            </w:r>
          </w:p>
        </w:tc>
        <w:tc>
          <w:tcPr>
            <w:tcW w:w="160" w:type="dxa"/>
            <w:vAlign w:val="bottom"/>
          </w:tcPr>
          <w:p>
            <w:pPr>
              <w:spacing w:after="0"/>
              <w:rPr>
                <w:sz w:val="14"/>
                <w:szCs w:val="14"/>
                <w:color w:val="auto"/>
              </w:rPr>
            </w:pPr>
          </w:p>
        </w:tc>
        <w:tc>
          <w:tcPr>
            <w:tcW w:w="760" w:type="dxa"/>
            <w:vAlign w:val="bottom"/>
          </w:tcPr>
          <w:p>
            <w:pPr>
              <w:jc w:val="right"/>
              <w:ind w:right="96"/>
              <w:spacing w:after="0"/>
              <w:rPr>
                <w:sz w:val="20"/>
                <w:szCs w:val="20"/>
                <w:color w:val="auto"/>
              </w:rPr>
            </w:pPr>
            <w:r>
              <w:rPr>
                <w:rFonts w:ascii="Arial" w:cs="Arial" w:eastAsia="Arial" w:hAnsi="Arial"/>
                <w:sz w:val="13"/>
                <w:szCs w:val="13"/>
                <w:color w:val="auto"/>
              </w:rPr>
              <w:t>28,862</w:t>
            </w: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60" w:type="dxa"/>
            <w:vAlign w:val="bottom"/>
          </w:tcPr>
          <w:p>
            <w:pPr>
              <w:jc w:val="right"/>
              <w:ind w:right="97"/>
              <w:spacing w:after="0"/>
              <w:rPr>
                <w:sz w:val="20"/>
                <w:szCs w:val="20"/>
                <w:color w:val="auto"/>
              </w:rPr>
            </w:pPr>
            <w:r>
              <w:rPr>
                <w:rFonts w:ascii="Arial" w:cs="Arial" w:eastAsia="Arial" w:hAnsi="Arial"/>
                <w:sz w:val="13"/>
                <w:szCs w:val="13"/>
                <w:color w:val="auto"/>
              </w:rPr>
              <w:t>14,120</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40" w:type="dxa"/>
            <w:vAlign w:val="bottom"/>
          </w:tcPr>
          <w:p>
            <w:pPr>
              <w:jc w:val="right"/>
              <w:ind w:right="76"/>
              <w:spacing w:after="0"/>
              <w:rPr>
                <w:sz w:val="20"/>
                <w:szCs w:val="20"/>
                <w:color w:val="auto"/>
              </w:rPr>
            </w:pPr>
            <w:r>
              <w:rPr>
                <w:rFonts w:ascii="Arial" w:cs="Arial" w:eastAsia="Arial" w:hAnsi="Arial"/>
                <w:sz w:val="13"/>
                <w:szCs w:val="13"/>
                <w:color w:val="auto"/>
              </w:rPr>
              <w:t>3</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tcPr>
          <w:p>
            <w:pPr>
              <w:jc w:val="right"/>
              <w:ind w:right="116"/>
              <w:spacing w:after="0"/>
              <w:rPr>
                <w:sz w:val="20"/>
                <w:szCs w:val="20"/>
                <w:color w:val="auto"/>
              </w:rPr>
            </w:pPr>
            <w:r>
              <w:rPr>
                <w:rFonts w:ascii="Arial" w:cs="Arial" w:eastAsia="Arial" w:hAnsi="Arial"/>
                <w:sz w:val="13"/>
                <w:szCs w:val="13"/>
                <w:color w:val="auto"/>
              </w:rPr>
              <w:t>325</w:t>
            </w: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80" w:type="dxa"/>
            <w:vAlign w:val="bottom"/>
          </w:tcPr>
          <w:p>
            <w:pPr>
              <w:jc w:val="right"/>
              <w:ind w:right="117"/>
              <w:spacing w:after="0"/>
              <w:rPr>
                <w:sz w:val="20"/>
                <w:szCs w:val="20"/>
                <w:color w:val="auto"/>
              </w:rPr>
            </w:pPr>
            <w:r>
              <w:rPr>
                <w:rFonts w:ascii="Arial" w:cs="Arial" w:eastAsia="Arial" w:hAnsi="Arial"/>
                <w:sz w:val="13"/>
                <w:szCs w:val="13"/>
                <w:color w:val="auto"/>
              </w:rPr>
              <w:t>505</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00" w:type="dxa"/>
            <w:vAlign w:val="bottom"/>
          </w:tcPr>
          <w:p>
            <w:pPr>
              <w:jc w:val="right"/>
              <w:ind w:right="97"/>
              <w:spacing w:after="0"/>
              <w:rPr>
                <w:sz w:val="20"/>
                <w:szCs w:val="20"/>
                <w:color w:val="auto"/>
              </w:rPr>
            </w:pPr>
            <w:r>
              <w:rPr>
                <w:rFonts w:ascii="Arial" w:cs="Arial" w:eastAsia="Arial" w:hAnsi="Arial"/>
                <w:sz w:val="13"/>
                <w:szCs w:val="13"/>
                <w:color w:val="auto"/>
              </w:rPr>
              <w:t>955</w:t>
            </w: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40" w:type="dxa"/>
            <w:vAlign w:val="bottom"/>
          </w:tcPr>
          <w:p>
            <w:pPr>
              <w:jc w:val="right"/>
              <w:ind w:right="117"/>
              <w:spacing w:after="0"/>
              <w:rPr>
                <w:sz w:val="20"/>
                <w:szCs w:val="20"/>
                <w:color w:val="auto"/>
              </w:rPr>
            </w:pPr>
            <w:r>
              <w:rPr>
                <w:rFonts w:ascii="Arial" w:cs="Arial" w:eastAsia="Arial" w:hAnsi="Arial"/>
                <w:sz w:val="13"/>
                <w:szCs w:val="13"/>
                <w:color w:val="auto"/>
              </w:rPr>
              <w:t>44,770</w:t>
            </w:r>
          </w:p>
        </w:tc>
        <w:tc>
          <w:tcPr>
            <w:tcW w:w="0" w:type="dxa"/>
            <w:vAlign w:val="bottom"/>
          </w:tcPr>
          <w:p>
            <w:pPr>
              <w:spacing w:after="0"/>
              <w:rPr>
                <w:sz w:val="1"/>
                <w:szCs w:val="1"/>
                <w:color w:val="auto"/>
              </w:rPr>
            </w:pPr>
          </w:p>
        </w:tc>
      </w:tr>
      <w:tr>
        <w:trPr>
          <w:trHeight w:val="183"/>
        </w:trPr>
        <w:tc>
          <w:tcPr>
            <w:tcW w:w="3520" w:type="dxa"/>
            <w:vAlign w:val="bottom"/>
            <w:gridSpan w:val="2"/>
            <w:shd w:val="clear" w:color="auto" w:fill="CCEEFF"/>
          </w:tcPr>
          <w:p>
            <w:pPr>
              <w:ind w:left="220"/>
              <w:spacing w:after="0"/>
              <w:rPr>
                <w:sz w:val="20"/>
                <w:szCs w:val="20"/>
                <w:color w:val="auto"/>
              </w:rPr>
            </w:pPr>
            <w:r>
              <w:rPr>
                <w:rFonts w:ascii="Arial" w:cs="Arial" w:eastAsia="Arial" w:hAnsi="Arial"/>
                <w:sz w:val="13"/>
                <w:szCs w:val="13"/>
                <w:color w:val="auto"/>
              </w:rPr>
              <w:t>Gross unrealized gains</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right"/>
              <w:ind w:right="96"/>
              <w:spacing w:after="0"/>
              <w:rPr>
                <w:sz w:val="20"/>
                <w:szCs w:val="20"/>
                <w:color w:val="auto"/>
              </w:rPr>
            </w:pPr>
            <w:r>
              <w:rPr>
                <w:rFonts w:ascii="Arial" w:cs="Arial" w:eastAsia="Arial" w:hAnsi="Arial"/>
                <w:sz w:val="13"/>
                <w:szCs w:val="13"/>
                <w:color w:val="auto"/>
              </w:rPr>
              <w:t>517</w:t>
            </w:r>
          </w:p>
        </w:tc>
        <w:tc>
          <w:tcPr>
            <w:tcW w:w="1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66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213</w:t>
            </w: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740" w:type="dxa"/>
            <w:vAlign w:val="bottom"/>
            <w:shd w:val="clear" w:color="auto" w:fill="CCEEFF"/>
          </w:tcPr>
          <w:p>
            <w:pPr>
              <w:jc w:val="right"/>
              <w:ind w:right="76"/>
              <w:spacing w:after="0"/>
              <w:rPr>
                <w:sz w:val="20"/>
                <w:szCs w:val="20"/>
                <w:color w:val="auto"/>
              </w:rPr>
            </w:pPr>
            <w:r>
              <w:rPr>
                <w:rFonts w:ascii="Arial" w:cs="Arial" w:eastAsia="Arial" w:hAnsi="Arial"/>
                <w:sz w:val="13"/>
                <w:szCs w:val="13"/>
                <w:color w:val="auto"/>
              </w:rPr>
              <w:t>—</w:t>
            </w:r>
          </w:p>
        </w:tc>
        <w:tc>
          <w:tcPr>
            <w:tcW w:w="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right"/>
              <w:ind w:right="116"/>
              <w:spacing w:after="0"/>
              <w:rPr>
                <w:sz w:val="20"/>
                <w:szCs w:val="20"/>
                <w:color w:val="auto"/>
              </w:rPr>
            </w:pPr>
            <w:r>
              <w:rPr>
                <w:rFonts w:ascii="Arial" w:cs="Arial" w:eastAsia="Arial" w:hAnsi="Arial"/>
                <w:sz w:val="13"/>
                <w:szCs w:val="13"/>
                <w:color w:val="auto"/>
              </w:rPr>
              <w:t>6</w:t>
            </w:r>
          </w:p>
        </w:tc>
        <w:tc>
          <w:tcPr>
            <w:tcW w:w="10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78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11</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70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21</w:t>
            </w:r>
          </w:p>
        </w:tc>
        <w:tc>
          <w:tcPr>
            <w:tcW w:w="12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74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768</w:t>
            </w:r>
          </w:p>
        </w:tc>
        <w:tc>
          <w:tcPr>
            <w:tcW w:w="0" w:type="dxa"/>
            <w:vAlign w:val="bottom"/>
          </w:tcPr>
          <w:p>
            <w:pPr>
              <w:spacing w:after="0"/>
              <w:rPr>
                <w:sz w:val="1"/>
                <w:szCs w:val="1"/>
                <w:color w:val="auto"/>
              </w:rPr>
            </w:pPr>
          </w:p>
        </w:tc>
      </w:tr>
      <w:tr>
        <w:trPr>
          <w:trHeight w:val="169"/>
        </w:trPr>
        <w:tc>
          <w:tcPr>
            <w:tcW w:w="3520" w:type="dxa"/>
            <w:vAlign w:val="bottom"/>
            <w:tcBorders>
              <w:bottom w:val="single" w:sz="8" w:color="CCEEFF"/>
            </w:tcBorders>
            <w:gridSpan w:val="2"/>
          </w:tcPr>
          <w:p>
            <w:pPr>
              <w:ind w:left="220"/>
              <w:spacing w:after="0"/>
              <w:rPr>
                <w:sz w:val="20"/>
                <w:szCs w:val="20"/>
                <w:color w:val="auto"/>
              </w:rPr>
            </w:pPr>
            <w:r>
              <w:rPr>
                <w:rFonts w:ascii="Arial" w:cs="Arial" w:eastAsia="Arial" w:hAnsi="Arial"/>
                <w:sz w:val="13"/>
                <w:szCs w:val="13"/>
                <w:color w:val="auto"/>
              </w:rPr>
              <w:t>Gross unrealized losses</w:t>
            </w:r>
          </w:p>
        </w:tc>
        <w:tc>
          <w:tcPr>
            <w:tcW w:w="16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56"/>
              <w:spacing w:after="0"/>
              <w:rPr>
                <w:sz w:val="20"/>
                <w:szCs w:val="20"/>
                <w:color w:val="auto"/>
              </w:rPr>
            </w:pPr>
            <w:r>
              <w:rPr>
                <w:rFonts w:ascii="Arial" w:cs="Arial" w:eastAsia="Arial" w:hAnsi="Arial"/>
                <w:sz w:val="13"/>
                <w:szCs w:val="13"/>
                <w:color w:val="auto"/>
              </w:rPr>
              <w:t>(181)</w:t>
            </w:r>
          </w:p>
        </w:tc>
        <w:tc>
          <w:tcPr>
            <w:tcW w:w="120" w:type="dxa"/>
            <w:vAlign w:val="bottom"/>
            <w:tcBorders>
              <w:bottom w:val="single" w:sz="8" w:color="CCEEFF"/>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ind w:right="77"/>
              <w:spacing w:after="0"/>
              <w:rPr>
                <w:sz w:val="20"/>
                <w:szCs w:val="20"/>
                <w:color w:val="auto"/>
              </w:rPr>
            </w:pPr>
            <w:r>
              <w:rPr>
                <w:rFonts w:ascii="Arial" w:cs="Arial" w:eastAsia="Arial" w:hAnsi="Arial"/>
                <w:sz w:val="13"/>
                <w:szCs w:val="13"/>
                <w:color w:val="auto"/>
              </w:rPr>
              <w:t>(89)</w:t>
            </w:r>
          </w:p>
        </w:tc>
        <w:tc>
          <w:tcPr>
            <w:tcW w:w="10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76"/>
              <w:spacing w:after="0"/>
              <w:rPr>
                <w:sz w:val="20"/>
                <w:szCs w:val="20"/>
                <w:color w:val="auto"/>
              </w:rPr>
            </w:pPr>
            <w:r>
              <w:rPr>
                <w:rFonts w:ascii="Arial" w:cs="Arial" w:eastAsia="Arial" w:hAnsi="Arial"/>
                <w:sz w:val="13"/>
                <w:szCs w:val="13"/>
                <w:color w:val="auto"/>
              </w:rPr>
              <w:t>—</w:t>
            </w:r>
          </w:p>
        </w:tc>
        <w:tc>
          <w:tcPr>
            <w:tcW w:w="20" w:type="dxa"/>
            <w:vAlign w:val="bottom"/>
            <w:tcBorders>
              <w:bottom w:val="single" w:sz="8" w:color="auto"/>
            </w:tcBorders>
          </w:tcPr>
          <w:p>
            <w:pPr>
              <w:spacing w:after="0"/>
              <w:rPr>
                <w:sz w:val="14"/>
                <w:szCs w:val="14"/>
                <w:color w:val="auto"/>
              </w:rPr>
            </w:pPr>
          </w:p>
        </w:tc>
        <w:tc>
          <w:tcPr>
            <w:tcW w:w="12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76"/>
              <w:spacing w:after="0"/>
              <w:rPr>
                <w:sz w:val="20"/>
                <w:szCs w:val="20"/>
                <w:color w:val="auto"/>
              </w:rPr>
            </w:pPr>
            <w:r>
              <w:rPr>
                <w:rFonts w:ascii="Arial" w:cs="Arial" w:eastAsia="Arial" w:hAnsi="Arial"/>
                <w:sz w:val="13"/>
                <w:szCs w:val="13"/>
                <w:color w:val="auto"/>
              </w:rPr>
              <w:t>(2)</w:t>
            </w:r>
          </w:p>
        </w:tc>
        <w:tc>
          <w:tcPr>
            <w:tcW w:w="100" w:type="dxa"/>
            <w:vAlign w:val="bottom"/>
            <w:tcBorders>
              <w:bottom w:val="single" w:sz="8" w:color="CCEEFF"/>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77"/>
              <w:spacing w:after="0"/>
              <w:rPr>
                <w:sz w:val="20"/>
                <w:szCs w:val="20"/>
                <w:color w:val="auto"/>
              </w:rPr>
            </w:pPr>
            <w:r>
              <w:rPr>
                <w:rFonts w:ascii="Arial" w:cs="Arial" w:eastAsia="Arial" w:hAnsi="Arial"/>
                <w:sz w:val="13"/>
                <w:szCs w:val="13"/>
                <w:color w:val="auto"/>
              </w:rPr>
              <w:t>(2)</w:t>
            </w:r>
          </w:p>
        </w:tc>
        <w:tc>
          <w:tcPr>
            <w:tcW w:w="10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rPr>
              <w:t>(2)</w:t>
            </w:r>
          </w:p>
        </w:tc>
        <w:tc>
          <w:tcPr>
            <w:tcW w:w="12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77"/>
              <w:spacing w:after="0"/>
              <w:rPr>
                <w:sz w:val="20"/>
                <w:szCs w:val="20"/>
                <w:color w:val="auto"/>
              </w:rPr>
            </w:pPr>
            <w:r>
              <w:rPr>
                <w:rFonts w:ascii="Arial" w:cs="Arial" w:eastAsia="Arial" w:hAnsi="Arial"/>
                <w:sz w:val="13"/>
                <w:szCs w:val="13"/>
                <w:color w:val="auto"/>
              </w:rPr>
              <w:t>(276)</w:t>
            </w:r>
          </w:p>
        </w:tc>
        <w:tc>
          <w:tcPr>
            <w:tcW w:w="0" w:type="dxa"/>
            <w:vAlign w:val="bottom"/>
          </w:tcPr>
          <w:p>
            <w:pPr>
              <w:spacing w:after="0"/>
              <w:rPr>
                <w:sz w:val="1"/>
                <w:szCs w:val="1"/>
                <w:color w:val="auto"/>
              </w:rPr>
            </w:pPr>
          </w:p>
        </w:tc>
      </w:tr>
      <w:tr>
        <w:trPr>
          <w:trHeight w:val="175"/>
        </w:trPr>
        <w:tc>
          <w:tcPr>
            <w:tcW w:w="352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Total securities remeasured at fair value through earnings</w:t>
            </w:r>
          </w:p>
        </w:tc>
        <w:tc>
          <w:tcPr>
            <w:tcW w:w="160" w:type="dxa"/>
            <w:vAlign w:val="bottom"/>
            <w:tcBorders>
              <w:bottom w:val="single" w:sz="8" w:color="auto"/>
            </w:tcBorders>
            <w:shd w:val="clear" w:color="auto" w:fill="CCEEFF"/>
          </w:tcPr>
          <w:p>
            <w:pPr>
              <w:spacing w:after="0"/>
              <w:rPr>
                <w:sz w:val="15"/>
                <w:szCs w:val="15"/>
                <w:color w:val="auto"/>
              </w:rPr>
            </w:pPr>
          </w:p>
        </w:tc>
        <w:tc>
          <w:tcPr>
            <w:tcW w:w="760" w:type="dxa"/>
            <w:vAlign w:val="bottom"/>
            <w:tcBorders>
              <w:bottom w:val="single" w:sz="8" w:color="auto"/>
            </w:tcBorders>
            <w:shd w:val="clear" w:color="auto" w:fill="CCEEFF"/>
          </w:tcPr>
          <w:p>
            <w:pPr>
              <w:jc w:val="right"/>
              <w:ind w:right="96"/>
              <w:spacing w:after="0"/>
              <w:rPr>
                <w:sz w:val="20"/>
                <w:szCs w:val="20"/>
                <w:color w:val="auto"/>
              </w:rPr>
            </w:pPr>
            <w:r>
              <w:rPr>
                <w:rFonts w:ascii="Arial" w:cs="Arial" w:eastAsia="Arial" w:hAnsi="Arial"/>
                <w:sz w:val="13"/>
                <w:szCs w:val="13"/>
                <w:color w:val="auto"/>
              </w:rPr>
              <w:t>29,198</w:t>
            </w:r>
          </w:p>
        </w:tc>
        <w:tc>
          <w:tcPr>
            <w:tcW w:w="120" w:type="dxa"/>
            <w:vAlign w:val="bottom"/>
            <w:shd w:val="clear" w:color="auto" w:fill="CCEEFF"/>
          </w:tcPr>
          <w:p>
            <w:pPr>
              <w:spacing w:after="0"/>
              <w:rPr>
                <w:sz w:val="15"/>
                <w:szCs w:val="15"/>
                <w:color w:val="auto"/>
              </w:rPr>
            </w:pPr>
          </w:p>
        </w:tc>
        <w:tc>
          <w:tcPr>
            <w:tcW w:w="240" w:type="dxa"/>
            <w:vAlign w:val="bottom"/>
            <w:tcBorders>
              <w:bottom w:val="single" w:sz="8" w:color="auto"/>
            </w:tcBorders>
            <w:shd w:val="clear" w:color="auto" w:fill="CCEEFF"/>
          </w:tcPr>
          <w:p>
            <w:pPr>
              <w:spacing w:after="0"/>
              <w:rPr>
                <w:sz w:val="15"/>
                <w:szCs w:val="15"/>
                <w:color w:val="auto"/>
              </w:rPr>
            </w:pPr>
          </w:p>
        </w:tc>
        <w:tc>
          <w:tcPr>
            <w:tcW w:w="660" w:type="dxa"/>
            <w:vAlign w:val="bottom"/>
            <w:tcBorders>
              <w:bottom w:val="single" w:sz="8" w:color="auto"/>
            </w:tcBorders>
            <w:shd w:val="clear" w:color="auto" w:fill="CCEEFF"/>
          </w:tcPr>
          <w:p>
            <w:pPr>
              <w:jc w:val="right"/>
              <w:ind w:right="97"/>
              <w:spacing w:after="0"/>
              <w:rPr>
                <w:sz w:val="20"/>
                <w:szCs w:val="20"/>
                <w:color w:val="auto"/>
              </w:rPr>
            </w:pPr>
            <w:r>
              <w:rPr>
                <w:rFonts w:ascii="Arial" w:cs="Arial" w:eastAsia="Arial" w:hAnsi="Arial"/>
                <w:sz w:val="13"/>
                <w:szCs w:val="13"/>
                <w:color w:val="auto"/>
              </w:rPr>
              <w:t>14,244</w:t>
            </w:r>
          </w:p>
        </w:tc>
        <w:tc>
          <w:tcPr>
            <w:tcW w:w="100" w:type="dxa"/>
            <w:vAlign w:val="bottom"/>
            <w:shd w:val="clear" w:color="auto" w:fill="CCEEFF"/>
          </w:tcPr>
          <w:p>
            <w:pPr>
              <w:spacing w:after="0"/>
              <w:rPr>
                <w:sz w:val="15"/>
                <w:szCs w:val="15"/>
                <w:color w:val="auto"/>
              </w:rPr>
            </w:pPr>
          </w:p>
        </w:tc>
        <w:tc>
          <w:tcPr>
            <w:tcW w:w="160" w:type="dxa"/>
            <w:vAlign w:val="bottom"/>
            <w:tcBorders>
              <w:bottom w:val="single" w:sz="8" w:color="auto"/>
            </w:tcBorders>
            <w:shd w:val="clear" w:color="auto" w:fill="CCEEFF"/>
          </w:tcPr>
          <w:p>
            <w:pPr>
              <w:spacing w:after="0"/>
              <w:rPr>
                <w:sz w:val="15"/>
                <w:szCs w:val="15"/>
                <w:color w:val="auto"/>
              </w:rPr>
            </w:pPr>
          </w:p>
        </w:tc>
        <w:tc>
          <w:tcPr>
            <w:tcW w:w="74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3"/>
                <w:szCs w:val="13"/>
                <w:color w:val="auto"/>
              </w:rPr>
              <w:t>3</w:t>
            </w:r>
          </w:p>
        </w:tc>
        <w:tc>
          <w:tcPr>
            <w:tcW w:w="20" w:type="dxa"/>
            <w:vAlign w:val="bottom"/>
            <w:tcBorders>
              <w:bottom w:val="single" w:sz="8" w:color="auto"/>
            </w:tcBorders>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60" w:type="dxa"/>
            <w:vAlign w:val="bottom"/>
            <w:tcBorders>
              <w:bottom w:val="single" w:sz="8" w:color="auto"/>
            </w:tcBorders>
            <w:shd w:val="clear" w:color="auto" w:fill="CCEEFF"/>
          </w:tcPr>
          <w:p>
            <w:pPr>
              <w:spacing w:after="0"/>
              <w:rPr>
                <w:sz w:val="15"/>
                <w:szCs w:val="15"/>
                <w:color w:val="auto"/>
              </w:rPr>
            </w:pPr>
          </w:p>
        </w:tc>
        <w:tc>
          <w:tcPr>
            <w:tcW w:w="760" w:type="dxa"/>
            <w:vAlign w:val="bottom"/>
            <w:tcBorders>
              <w:bottom w:val="single" w:sz="8" w:color="auto"/>
            </w:tcBorders>
            <w:shd w:val="clear" w:color="auto" w:fill="CCEEFF"/>
          </w:tcPr>
          <w:p>
            <w:pPr>
              <w:jc w:val="right"/>
              <w:ind w:right="116"/>
              <w:spacing w:after="0"/>
              <w:rPr>
                <w:sz w:val="20"/>
                <w:szCs w:val="20"/>
                <w:color w:val="auto"/>
              </w:rPr>
            </w:pPr>
            <w:r>
              <w:rPr>
                <w:rFonts w:ascii="Arial" w:cs="Arial" w:eastAsia="Arial" w:hAnsi="Arial"/>
                <w:sz w:val="13"/>
                <w:szCs w:val="13"/>
                <w:color w:val="auto"/>
              </w:rPr>
              <w:t>329</w:t>
            </w:r>
          </w:p>
        </w:tc>
        <w:tc>
          <w:tcPr>
            <w:tcW w:w="100" w:type="dxa"/>
            <w:vAlign w:val="bottom"/>
            <w:shd w:val="clear" w:color="auto" w:fill="CCEEFF"/>
          </w:tcPr>
          <w:p>
            <w:pPr>
              <w:spacing w:after="0"/>
              <w:rPr>
                <w:sz w:val="15"/>
                <w:szCs w:val="15"/>
                <w:color w:val="auto"/>
              </w:rPr>
            </w:pPr>
          </w:p>
        </w:tc>
        <w:tc>
          <w:tcPr>
            <w:tcW w:w="20" w:type="dxa"/>
            <w:vAlign w:val="bottom"/>
            <w:tcBorders>
              <w:bottom w:val="single" w:sz="8" w:color="auto"/>
            </w:tcBorders>
            <w:shd w:val="clear" w:color="auto" w:fill="CCEEFF"/>
          </w:tcPr>
          <w:p>
            <w:pPr>
              <w:spacing w:after="0"/>
              <w:rPr>
                <w:sz w:val="15"/>
                <w:szCs w:val="15"/>
                <w:color w:val="auto"/>
              </w:rPr>
            </w:pPr>
          </w:p>
        </w:tc>
        <w:tc>
          <w:tcPr>
            <w:tcW w:w="140" w:type="dxa"/>
            <w:vAlign w:val="bottom"/>
            <w:tcBorders>
              <w:bottom w:val="single" w:sz="8" w:color="auto"/>
            </w:tcBorders>
            <w:shd w:val="clear" w:color="auto" w:fill="CCEEFF"/>
          </w:tcPr>
          <w:p>
            <w:pPr>
              <w:spacing w:after="0"/>
              <w:rPr>
                <w:sz w:val="15"/>
                <w:szCs w:val="15"/>
                <w:color w:val="auto"/>
              </w:rPr>
            </w:pPr>
          </w:p>
        </w:tc>
        <w:tc>
          <w:tcPr>
            <w:tcW w:w="780" w:type="dxa"/>
            <w:vAlign w:val="bottom"/>
            <w:tcBorders>
              <w:bottom w:val="single" w:sz="8" w:color="auto"/>
            </w:tcBorders>
            <w:shd w:val="clear" w:color="auto" w:fill="CCEEFF"/>
          </w:tcPr>
          <w:p>
            <w:pPr>
              <w:jc w:val="right"/>
              <w:ind w:right="117"/>
              <w:spacing w:after="0"/>
              <w:rPr>
                <w:sz w:val="20"/>
                <w:szCs w:val="20"/>
                <w:color w:val="auto"/>
              </w:rPr>
            </w:pPr>
            <w:r>
              <w:rPr>
                <w:rFonts w:ascii="Arial" w:cs="Arial" w:eastAsia="Arial" w:hAnsi="Arial"/>
                <w:sz w:val="13"/>
                <w:szCs w:val="13"/>
                <w:color w:val="auto"/>
              </w:rPr>
              <w:t>514</w:t>
            </w:r>
          </w:p>
        </w:tc>
        <w:tc>
          <w:tcPr>
            <w:tcW w:w="100" w:type="dxa"/>
            <w:vAlign w:val="bottom"/>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spacing w:after="0"/>
              <w:rPr>
                <w:sz w:val="15"/>
                <w:szCs w:val="15"/>
                <w:color w:val="auto"/>
              </w:rPr>
            </w:pPr>
          </w:p>
        </w:tc>
        <w:tc>
          <w:tcPr>
            <w:tcW w:w="700" w:type="dxa"/>
            <w:vAlign w:val="bottom"/>
            <w:tcBorders>
              <w:bottom w:val="single" w:sz="8" w:color="auto"/>
            </w:tcBorders>
            <w:shd w:val="clear" w:color="auto" w:fill="CCEEFF"/>
          </w:tcPr>
          <w:p>
            <w:pPr>
              <w:jc w:val="right"/>
              <w:ind w:right="97"/>
              <w:spacing w:after="0"/>
              <w:rPr>
                <w:sz w:val="20"/>
                <w:szCs w:val="20"/>
                <w:color w:val="auto"/>
              </w:rPr>
            </w:pPr>
            <w:r>
              <w:rPr>
                <w:rFonts w:ascii="Arial" w:cs="Arial" w:eastAsia="Arial" w:hAnsi="Arial"/>
                <w:sz w:val="13"/>
                <w:szCs w:val="13"/>
                <w:color w:val="auto"/>
              </w:rPr>
              <w:t>974</w:t>
            </w:r>
          </w:p>
        </w:tc>
        <w:tc>
          <w:tcPr>
            <w:tcW w:w="120" w:type="dxa"/>
            <w:vAlign w:val="bottom"/>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spacing w:after="0"/>
              <w:rPr>
                <w:sz w:val="15"/>
                <w:szCs w:val="15"/>
                <w:color w:val="auto"/>
              </w:rPr>
            </w:pPr>
          </w:p>
        </w:tc>
        <w:tc>
          <w:tcPr>
            <w:tcW w:w="740" w:type="dxa"/>
            <w:vAlign w:val="bottom"/>
            <w:tcBorders>
              <w:bottom w:val="single" w:sz="8" w:color="auto"/>
            </w:tcBorders>
            <w:shd w:val="clear" w:color="auto" w:fill="CCEEFF"/>
          </w:tcPr>
          <w:p>
            <w:pPr>
              <w:jc w:val="right"/>
              <w:ind w:right="117"/>
              <w:spacing w:after="0"/>
              <w:rPr>
                <w:sz w:val="20"/>
                <w:szCs w:val="20"/>
                <w:color w:val="auto"/>
              </w:rPr>
            </w:pPr>
            <w:r>
              <w:rPr>
                <w:rFonts w:ascii="Arial" w:cs="Arial" w:eastAsia="Arial" w:hAnsi="Arial"/>
                <w:sz w:val="13"/>
                <w:szCs w:val="13"/>
                <w:color w:val="auto"/>
              </w:rPr>
              <w:t>45,262</w:t>
            </w:r>
          </w:p>
        </w:tc>
        <w:tc>
          <w:tcPr>
            <w:tcW w:w="0" w:type="dxa"/>
            <w:vAlign w:val="bottom"/>
          </w:tcPr>
          <w:p>
            <w:pPr>
              <w:spacing w:after="0"/>
              <w:rPr>
                <w:sz w:val="1"/>
                <w:szCs w:val="1"/>
                <w:color w:val="auto"/>
              </w:rPr>
            </w:pPr>
          </w:p>
        </w:tc>
      </w:tr>
      <w:tr>
        <w:trPr>
          <w:trHeight w:val="169"/>
        </w:trPr>
        <w:tc>
          <w:tcPr>
            <w:tcW w:w="3520" w:type="dxa"/>
            <w:vAlign w:val="bottom"/>
            <w:gridSpan w:val="2"/>
          </w:tcPr>
          <w:p>
            <w:pPr>
              <w:ind w:left="20"/>
              <w:spacing w:after="0"/>
              <w:rPr>
                <w:sz w:val="20"/>
                <w:szCs w:val="20"/>
                <w:color w:val="auto"/>
              </w:rPr>
            </w:pPr>
            <w:r>
              <w:rPr>
                <w:rFonts w:ascii="Arial" w:cs="Arial" w:eastAsia="Arial" w:hAnsi="Arial"/>
                <w:sz w:val="13"/>
                <w:szCs w:val="13"/>
                <w:color w:val="auto"/>
              </w:rPr>
              <w:t>Total securities, at fair value</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760" w:type="dxa"/>
            <w:vAlign w:val="bottom"/>
            <w:tcBorders>
              <w:bottom w:val="single" w:sz="8" w:color="auto"/>
            </w:tcBorders>
          </w:tcPr>
          <w:p>
            <w:pPr>
              <w:jc w:val="right"/>
              <w:ind w:right="96"/>
              <w:spacing w:after="0"/>
              <w:rPr>
                <w:sz w:val="20"/>
                <w:szCs w:val="20"/>
                <w:color w:val="auto"/>
              </w:rPr>
            </w:pPr>
            <w:r>
              <w:rPr>
                <w:rFonts w:ascii="Arial" w:cs="Arial" w:eastAsia="Arial" w:hAnsi="Arial"/>
                <w:sz w:val="13"/>
                <w:szCs w:val="13"/>
                <w:color w:val="auto"/>
              </w:rPr>
              <w:t>36,073</w:t>
            </w:r>
          </w:p>
        </w:tc>
        <w:tc>
          <w:tcPr>
            <w:tcW w:w="120" w:type="dxa"/>
            <w:vAlign w:val="bottom"/>
          </w:tcPr>
          <w:p>
            <w:pPr>
              <w:spacing w:after="0"/>
              <w:rPr>
                <w:sz w:val="14"/>
                <w:szCs w:val="14"/>
                <w:color w:val="auto"/>
              </w:rPr>
            </w:pPr>
          </w:p>
        </w:tc>
        <w:tc>
          <w:tcPr>
            <w:tcW w:w="240" w:type="dxa"/>
            <w:vAlign w:val="bottom"/>
            <w:tcBorders>
              <w:bottom w:val="single" w:sz="8" w:color="auto"/>
            </w:tcBorders>
          </w:tcPr>
          <w:p>
            <w:pPr>
              <w:jc w:val="right"/>
              <w:ind w:right="93"/>
              <w:spacing w:after="0"/>
              <w:rPr>
                <w:sz w:val="20"/>
                <w:szCs w:val="20"/>
                <w:color w:val="auto"/>
              </w:rPr>
            </w:pPr>
            <w:r>
              <w:rPr>
                <w:rFonts w:ascii="Arial" w:cs="Arial" w:eastAsia="Arial" w:hAnsi="Arial"/>
                <w:sz w:val="13"/>
                <w:szCs w:val="13"/>
                <w:color w:val="auto"/>
                <w:w w:val="82"/>
              </w:rPr>
              <w:t>$</w:t>
            </w:r>
          </w:p>
        </w:tc>
        <w:tc>
          <w:tcPr>
            <w:tcW w:w="660" w:type="dxa"/>
            <w:vAlign w:val="bottom"/>
            <w:tcBorders>
              <w:bottom w:val="single" w:sz="8" w:color="auto"/>
            </w:tcBorders>
          </w:tcPr>
          <w:p>
            <w:pPr>
              <w:jc w:val="right"/>
              <w:ind w:right="97"/>
              <w:spacing w:after="0"/>
              <w:rPr>
                <w:sz w:val="20"/>
                <w:szCs w:val="20"/>
                <w:color w:val="auto"/>
              </w:rPr>
            </w:pPr>
            <w:r>
              <w:rPr>
                <w:rFonts w:ascii="Arial" w:cs="Arial" w:eastAsia="Arial" w:hAnsi="Arial"/>
                <w:sz w:val="13"/>
                <w:szCs w:val="13"/>
                <w:color w:val="auto"/>
              </w:rPr>
              <w:t>16,526</w:t>
            </w:r>
          </w:p>
        </w:tc>
        <w:tc>
          <w:tcPr>
            <w:tcW w:w="100" w:type="dxa"/>
            <w:vAlign w:val="bottom"/>
          </w:tcPr>
          <w:p>
            <w:pPr>
              <w:spacing w:after="0"/>
              <w:rPr>
                <w:sz w:val="14"/>
                <w:szCs w:val="14"/>
                <w:color w:val="auto"/>
              </w:rPr>
            </w:pPr>
          </w:p>
        </w:tc>
        <w:tc>
          <w:tcPr>
            <w:tcW w:w="160" w:type="dxa"/>
            <w:vAlign w:val="bottom"/>
            <w:tcBorders>
              <w:bottom w:val="single" w:sz="8" w:color="auto"/>
            </w:tcBorders>
          </w:tcPr>
          <w:p>
            <w:pPr>
              <w:jc w:val="right"/>
              <w:ind w:right="17"/>
              <w:spacing w:after="0"/>
              <w:rPr>
                <w:sz w:val="20"/>
                <w:szCs w:val="20"/>
                <w:color w:val="auto"/>
              </w:rPr>
            </w:pPr>
            <w:r>
              <w:rPr>
                <w:rFonts w:ascii="Arial" w:cs="Arial" w:eastAsia="Arial" w:hAnsi="Arial"/>
                <w:sz w:val="13"/>
                <w:szCs w:val="13"/>
                <w:color w:val="auto"/>
                <w:w w:val="82"/>
              </w:rPr>
              <w:t>$</w:t>
            </w:r>
          </w:p>
        </w:tc>
        <w:tc>
          <w:tcPr>
            <w:tcW w:w="740" w:type="dxa"/>
            <w:vAlign w:val="bottom"/>
            <w:tcBorders>
              <w:bottom w:val="single" w:sz="8" w:color="auto"/>
            </w:tcBorders>
          </w:tcPr>
          <w:p>
            <w:pPr>
              <w:jc w:val="right"/>
              <w:ind w:right="76"/>
              <w:spacing w:after="0"/>
              <w:rPr>
                <w:sz w:val="20"/>
                <w:szCs w:val="20"/>
                <w:color w:val="auto"/>
              </w:rPr>
            </w:pPr>
            <w:r>
              <w:rPr>
                <w:rFonts w:ascii="Arial" w:cs="Arial" w:eastAsia="Arial" w:hAnsi="Arial"/>
                <w:sz w:val="13"/>
                <w:szCs w:val="13"/>
                <w:color w:val="auto"/>
              </w:rPr>
              <w:t>5</w:t>
            </w:r>
          </w:p>
        </w:tc>
        <w:tc>
          <w:tcPr>
            <w:tcW w:w="2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Borders>
              <w:bottom w:val="single" w:sz="8" w:color="auto"/>
            </w:tcBorders>
          </w:tcPr>
          <w:p>
            <w:pPr>
              <w:jc w:val="right"/>
              <w:ind w:right="17"/>
              <w:spacing w:after="0"/>
              <w:rPr>
                <w:sz w:val="20"/>
                <w:szCs w:val="20"/>
                <w:color w:val="auto"/>
              </w:rPr>
            </w:pPr>
            <w:r>
              <w:rPr>
                <w:rFonts w:ascii="Arial" w:cs="Arial" w:eastAsia="Arial" w:hAnsi="Arial"/>
                <w:sz w:val="13"/>
                <w:szCs w:val="13"/>
                <w:color w:val="auto"/>
                <w:w w:val="82"/>
              </w:rPr>
              <w:t>$</w:t>
            </w:r>
          </w:p>
        </w:tc>
        <w:tc>
          <w:tcPr>
            <w:tcW w:w="760" w:type="dxa"/>
            <w:vAlign w:val="bottom"/>
            <w:tcBorders>
              <w:bottom w:val="single" w:sz="8" w:color="auto"/>
            </w:tcBorders>
          </w:tcPr>
          <w:p>
            <w:pPr>
              <w:jc w:val="right"/>
              <w:ind w:right="116"/>
              <w:spacing w:after="0"/>
              <w:rPr>
                <w:sz w:val="20"/>
                <w:szCs w:val="20"/>
                <w:color w:val="auto"/>
              </w:rPr>
            </w:pPr>
            <w:r>
              <w:rPr>
                <w:rFonts w:ascii="Arial" w:cs="Arial" w:eastAsia="Arial" w:hAnsi="Arial"/>
                <w:sz w:val="13"/>
                <w:szCs w:val="13"/>
                <w:color w:val="auto"/>
              </w:rPr>
              <w:t>329</w:t>
            </w:r>
          </w:p>
        </w:tc>
        <w:tc>
          <w:tcPr>
            <w:tcW w:w="100" w:type="dxa"/>
            <w:vAlign w:val="bottom"/>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jc w:val="right"/>
              <w:ind w:right="28"/>
              <w:spacing w:after="0"/>
              <w:rPr>
                <w:sz w:val="20"/>
                <w:szCs w:val="20"/>
                <w:color w:val="auto"/>
              </w:rPr>
            </w:pPr>
            <w:r>
              <w:rPr>
                <w:rFonts w:ascii="Arial" w:cs="Arial" w:eastAsia="Arial" w:hAnsi="Arial"/>
                <w:sz w:val="10"/>
                <w:szCs w:val="10"/>
                <w:color w:val="auto"/>
                <w:w w:val="71"/>
              </w:rPr>
              <w:t>$</w:t>
            </w:r>
          </w:p>
        </w:tc>
        <w:tc>
          <w:tcPr>
            <w:tcW w:w="78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514</w:t>
            </w:r>
          </w:p>
        </w:tc>
        <w:tc>
          <w:tcPr>
            <w:tcW w:w="100" w:type="dxa"/>
            <w:vAlign w:val="bottom"/>
          </w:tcPr>
          <w:p>
            <w:pPr>
              <w:spacing w:after="0"/>
              <w:rPr>
                <w:sz w:val="14"/>
                <w:szCs w:val="14"/>
                <w:color w:val="auto"/>
              </w:rPr>
            </w:pPr>
          </w:p>
        </w:tc>
        <w:tc>
          <w:tcPr>
            <w:tcW w:w="18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color w:val="auto"/>
                <w:w w:val="82"/>
              </w:rPr>
              <w:t>$</w:t>
            </w:r>
          </w:p>
        </w:tc>
        <w:tc>
          <w:tcPr>
            <w:tcW w:w="700" w:type="dxa"/>
            <w:vAlign w:val="bottom"/>
            <w:tcBorders>
              <w:bottom w:val="single" w:sz="8" w:color="auto"/>
            </w:tcBorders>
          </w:tcPr>
          <w:p>
            <w:pPr>
              <w:jc w:val="right"/>
              <w:ind w:right="97"/>
              <w:spacing w:after="0"/>
              <w:rPr>
                <w:sz w:val="20"/>
                <w:szCs w:val="20"/>
                <w:color w:val="auto"/>
              </w:rPr>
            </w:pPr>
            <w:r>
              <w:rPr>
                <w:rFonts w:ascii="Arial" w:cs="Arial" w:eastAsia="Arial" w:hAnsi="Arial"/>
                <w:sz w:val="13"/>
                <w:szCs w:val="13"/>
                <w:color w:val="auto"/>
              </w:rPr>
              <w:t>974</w:t>
            </w:r>
          </w:p>
        </w:tc>
        <w:tc>
          <w:tcPr>
            <w:tcW w:w="120" w:type="dxa"/>
            <w:vAlign w:val="bottom"/>
          </w:tcPr>
          <w:p>
            <w:pPr>
              <w:spacing w:after="0"/>
              <w:rPr>
                <w:sz w:val="14"/>
                <w:szCs w:val="14"/>
                <w:color w:val="auto"/>
              </w:rPr>
            </w:pPr>
          </w:p>
        </w:tc>
        <w:tc>
          <w:tcPr>
            <w:tcW w:w="18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color w:val="auto"/>
                <w:w w:val="82"/>
              </w:rPr>
              <w:t>$</w:t>
            </w:r>
          </w:p>
        </w:tc>
        <w:tc>
          <w:tcPr>
            <w:tcW w:w="74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54,421</w:t>
            </w:r>
          </w:p>
        </w:tc>
        <w:tc>
          <w:tcPr>
            <w:tcW w:w="0" w:type="dxa"/>
            <w:vAlign w:val="bottom"/>
          </w:tcPr>
          <w:p>
            <w:pPr>
              <w:spacing w:after="0"/>
              <w:rPr>
                <w:sz w:val="1"/>
                <w:szCs w:val="1"/>
                <w:color w:val="auto"/>
              </w:rPr>
            </w:pPr>
          </w:p>
        </w:tc>
      </w:tr>
      <w:tr>
        <w:trPr>
          <w:trHeight w:val="20"/>
        </w:trPr>
        <w:tc>
          <w:tcPr>
            <w:tcW w:w="34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352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Weighted average coupon as of December 31, 2021</w:t>
            </w:r>
          </w:p>
        </w:tc>
        <w:tc>
          <w:tcPr>
            <w:tcW w:w="160" w:type="dxa"/>
            <w:vAlign w:val="bottom"/>
            <w:shd w:val="clear" w:color="auto" w:fill="CCEEFF"/>
          </w:tcPr>
          <w:p>
            <w:pPr>
              <w:spacing w:after="0"/>
              <w:rPr>
                <w:sz w:val="14"/>
                <w:szCs w:val="1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3.09 %</w:t>
            </w:r>
          </w:p>
        </w:tc>
        <w:tc>
          <w:tcPr>
            <w:tcW w:w="12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2.98 %</w:t>
            </w: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4.69 %</w:t>
            </w:r>
          </w:p>
        </w:tc>
        <w:tc>
          <w:tcPr>
            <w:tcW w:w="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3.33 %</w:t>
            </w:r>
          </w:p>
        </w:tc>
        <w:tc>
          <w:tcPr>
            <w:tcW w:w="10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3.60 %</w:t>
            </w: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3.74 %</w:t>
            </w:r>
          </w:p>
        </w:tc>
        <w:tc>
          <w:tcPr>
            <w:tcW w:w="1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3.08 %</w:t>
            </w:r>
          </w:p>
        </w:tc>
        <w:tc>
          <w:tcPr>
            <w:tcW w:w="0" w:type="dxa"/>
            <w:vAlign w:val="bottom"/>
          </w:tcPr>
          <w:p>
            <w:pPr>
              <w:spacing w:after="0"/>
              <w:rPr>
                <w:sz w:val="1"/>
                <w:szCs w:val="1"/>
                <w:color w:val="auto"/>
              </w:rPr>
            </w:pPr>
          </w:p>
        </w:tc>
      </w:tr>
      <w:tr>
        <w:trPr>
          <w:trHeight w:val="214"/>
        </w:trPr>
        <w:tc>
          <w:tcPr>
            <w:tcW w:w="3520" w:type="dxa"/>
            <w:vAlign w:val="bottom"/>
            <w:gridSpan w:val="2"/>
          </w:tcPr>
          <w:p>
            <w:pPr>
              <w:ind w:left="20"/>
              <w:spacing w:after="0"/>
              <w:rPr>
                <w:sz w:val="20"/>
                <w:szCs w:val="20"/>
                <w:color w:val="auto"/>
              </w:rPr>
            </w:pPr>
            <w:r>
              <w:rPr>
                <w:rFonts w:ascii="Arial" w:cs="Arial" w:eastAsia="Arial" w:hAnsi="Arial"/>
                <w:sz w:val="13"/>
                <w:szCs w:val="13"/>
                <w:color w:val="auto"/>
              </w:rPr>
              <w:t xml:space="preserve">Weighted average yield as of December 31, 2021 </w:t>
            </w:r>
            <w:r>
              <w:rPr>
                <w:rFonts w:ascii="Arial" w:cs="Arial" w:eastAsia="Arial" w:hAnsi="Arial"/>
                <w:sz w:val="16"/>
                <w:szCs w:val="16"/>
                <w:color w:val="auto"/>
                <w:vertAlign w:val="superscript"/>
              </w:rPr>
              <w:t>1</w:t>
            </w:r>
          </w:p>
        </w:tc>
        <w:tc>
          <w:tcPr>
            <w:tcW w:w="1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2.38 %</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2.29 %</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3"/>
                <w:szCs w:val="13"/>
                <w:color w:val="auto"/>
              </w:rPr>
              <w:t>2.54 %</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5.68 %</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4.28 %</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4.47 %</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3"/>
                <w:szCs w:val="13"/>
                <w:color w:val="auto"/>
              </w:rPr>
              <w:t>2.43 %</w:t>
            </w:r>
          </w:p>
        </w:tc>
        <w:tc>
          <w:tcPr>
            <w:tcW w:w="0" w:type="dxa"/>
            <w:vAlign w:val="bottom"/>
          </w:tcPr>
          <w:p>
            <w:pPr>
              <w:spacing w:after="0"/>
              <w:rPr>
                <w:sz w:val="1"/>
                <w:szCs w:val="1"/>
                <w:color w:val="auto"/>
              </w:rPr>
            </w:pPr>
          </w:p>
        </w:tc>
      </w:tr>
    </w:tbl>
    <w:p>
      <w:pPr>
        <w:spacing w:after="0" w:line="44" w:lineRule="exact"/>
        <w:rPr>
          <w:sz w:val="20"/>
          <w:szCs w:val="20"/>
          <w:color w:val="auto"/>
        </w:rPr>
      </w:pPr>
    </w:p>
    <w:p>
      <w:pPr>
        <w:ind w:left="40"/>
        <w:spacing w:after="0"/>
        <w:rPr>
          <w:sz w:val="20"/>
          <w:szCs w:val="20"/>
          <w:color w:val="auto"/>
        </w:rPr>
      </w:pPr>
      <w:r>
        <w:rPr>
          <w:rFonts w:ascii="Arial" w:cs="Arial" w:eastAsia="Arial" w:hAnsi="Arial"/>
          <w:sz w:val="11"/>
          <w:szCs w:val="11"/>
          <w:color w:val="auto"/>
        </w:rPr>
        <w:t>________________________________</w:t>
      </w:r>
    </w:p>
    <w:p>
      <w:pPr>
        <w:ind w:left="660" w:hanging="328"/>
        <w:spacing w:after="0"/>
        <w:tabs>
          <w:tab w:leader="none" w:pos="660" w:val="left"/>
        </w:tabs>
        <w:numPr>
          <w:ilvl w:val="0"/>
          <w:numId w:val="3"/>
        </w:numPr>
        <w:rPr>
          <w:rFonts w:ascii="Arial" w:cs="Arial" w:eastAsia="Arial" w:hAnsi="Arial"/>
          <w:sz w:val="14"/>
          <w:szCs w:val="14"/>
          <w:color w:val="auto"/>
        </w:rPr>
      </w:pPr>
      <w:r>
        <w:rPr>
          <w:rFonts w:ascii="Arial" w:cs="Arial" w:eastAsia="Arial" w:hAnsi="Arial"/>
          <w:sz w:val="14"/>
          <w:szCs w:val="14"/>
          <w:color w:val="auto"/>
        </w:rPr>
        <w:t>Incorporates a weighted average future constant prepayment rate assumption of 10.9% based on forward rates as of December 31, 2021.</w:t>
      </w:r>
    </w:p>
    <w:p>
      <w:pPr>
        <w:spacing w:after="0" w:line="155" w:lineRule="exact"/>
        <w:rPr>
          <w:sz w:val="20"/>
          <w:szCs w:val="20"/>
          <w:color w:val="auto"/>
        </w:rPr>
      </w:pPr>
    </w:p>
    <w:p>
      <w:pPr>
        <w:ind w:left="460"/>
        <w:spacing w:after="0"/>
        <w:rPr>
          <w:sz w:val="20"/>
          <w:szCs w:val="20"/>
          <w:color w:val="auto"/>
        </w:rPr>
      </w:pPr>
      <w:r>
        <w:rPr>
          <w:rFonts w:ascii="Arial" w:cs="Arial" w:eastAsia="Arial" w:hAnsi="Arial"/>
          <w:sz w:val="17"/>
          <w:szCs w:val="17"/>
          <w:color w:val="auto"/>
        </w:rPr>
        <w:t>As of June 30, 2022 and December 31, 2021, our investments in CRT and non-Agency securities had the following credit ratings (in millions):</w:t>
      </w:r>
    </w:p>
    <w:p>
      <w:pPr>
        <w:spacing w:after="0" w:line="53" w:lineRule="exact"/>
        <w:rPr>
          <w:sz w:val="20"/>
          <w:szCs w:val="20"/>
          <w:color w:val="auto"/>
        </w:rPr>
      </w:pPr>
    </w:p>
    <w:tbl>
      <w:tblPr>
        <w:tblLayout w:type="fixed"/>
        <w:tblInd w:w="20" w:type="dxa"/>
        <w:tblCellMar>
          <w:top w:w="0" w:type="dxa"/>
          <w:left w:w="0" w:type="dxa"/>
          <w:bottom w:w="0" w:type="dxa"/>
          <w:right w:w="0" w:type="dxa"/>
        </w:tblCellMar>
      </w:tblPr>
      <w:tr>
        <w:trPr>
          <w:trHeight w:val="192"/>
        </w:trPr>
        <w:tc>
          <w:tcPr>
            <w:tcW w:w="38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gridSpan w:val="2"/>
          </w:tcPr>
          <w:p>
            <w:pPr>
              <w:jc w:val="center"/>
              <w:ind w:right="220"/>
              <w:spacing w:after="0"/>
              <w:rPr>
                <w:sz w:val="20"/>
                <w:szCs w:val="20"/>
                <w:color w:val="auto"/>
              </w:rPr>
            </w:pPr>
            <w:r>
              <w:rPr>
                <w:rFonts w:ascii="Arial" w:cs="Arial" w:eastAsia="Arial" w:hAnsi="Arial"/>
                <w:sz w:val="14"/>
                <w:szCs w:val="14"/>
                <w:b w:val="1"/>
                <w:bCs w:val="1"/>
                <w:color w:val="auto"/>
                <w:w w:val="92"/>
              </w:rPr>
              <w:t>June 30, 2022</w:t>
            </w:r>
          </w:p>
        </w:tc>
        <w:tc>
          <w:tcPr>
            <w:tcW w:w="2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1"/>
              </w:rPr>
              <w:t>December 31, 2021</w:t>
            </w:r>
          </w:p>
        </w:tc>
        <w:tc>
          <w:tcPr>
            <w:tcW w:w="2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r>
      <w:tr>
        <w:trPr>
          <w:trHeight w:val="189"/>
        </w:trPr>
        <w:tc>
          <w:tcPr>
            <w:tcW w:w="4060" w:type="dxa"/>
            <w:vAlign w:val="bottom"/>
            <w:gridSpan w:val="2"/>
          </w:tcPr>
          <w:p>
            <w:pPr>
              <w:ind w:left="20"/>
              <w:spacing w:after="0" w:line="189" w:lineRule="exact"/>
              <w:rPr>
                <w:sz w:val="20"/>
                <w:szCs w:val="20"/>
                <w:color w:val="auto"/>
              </w:rPr>
            </w:pPr>
            <w:r>
              <w:rPr>
                <w:rFonts w:ascii="Arial" w:cs="Arial" w:eastAsia="Arial" w:hAnsi="Arial"/>
                <w:sz w:val="14"/>
                <w:szCs w:val="14"/>
                <w:b w:val="1"/>
                <w:bCs w:val="1"/>
                <w:color w:val="auto"/>
              </w:rPr>
              <w:t xml:space="preserve">CRT and Non-Agency Security Credit Ratings </w:t>
            </w:r>
            <w:r>
              <w:rPr>
                <w:rFonts w:ascii="Arial" w:cs="Arial" w:eastAsia="Arial" w:hAnsi="Arial"/>
                <w:sz w:val="18"/>
                <w:szCs w:val="18"/>
                <w:b w:val="1"/>
                <w:bCs w:val="1"/>
                <w:color w:val="auto"/>
                <w:vertAlign w:val="superscript"/>
              </w:rPr>
              <w:t>1</w:t>
            </w:r>
          </w:p>
        </w:tc>
        <w:tc>
          <w:tcPr>
            <w:tcW w:w="240" w:type="dxa"/>
            <w:vAlign w:val="bottom"/>
          </w:tcPr>
          <w:p>
            <w:pPr>
              <w:spacing w:after="0"/>
              <w:rPr>
                <w:sz w:val="16"/>
                <w:szCs w:val="16"/>
                <w:color w:val="auto"/>
              </w:rPr>
            </w:pPr>
          </w:p>
        </w:tc>
        <w:tc>
          <w:tcPr>
            <w:tcW w:w="960" w:type="dxa"/>
            <w:vAlign w:val="bottom"/>
            <w:gridSpan w:val="2"/>
          </w:tcPr>
          <w:p>
            <w:pPr>
              <w:ind w:left="140"/>
              <w:spacing w:after="0"/>
              <w:rPr>
                <w:sz w:val="20"/>
                <w:szCs w:val="20"/>
                <w:color w:val="auto"/>
              </w:rPr>
            </w:pPr>
            <w:r>
              <w:rPr>
                <w:rFonts w:ascii="Arial" w:cs="Arial" w:eastAsia="Arial" w:hAnsi="Arial"/>
                <w:sz w:val="14"/>
                <w:szCs w:val="14"/>
                <w:b w:val="1"/>
                <w:bCs w:val="1"/>
                <w:color w:val="auto"/>
              </w:rPr>
              <w:t>CRT</w:t>
            </w:r>
          </w:p>
        </w:tc>
        <w:tc>
          <w:tcPr>
            <w:tcW w:w="100" w:type="dxa"/>
            <w:vAlign w:val="bottom"/>
          </w:tcPr>
          <w:p>
            <w:pPr>
              <w:spacing w:after="0"/>
              <w:rPr>
                <w:sz w:val="16"/>
                <w:szCs w:val="16"/>
                <w:color w:val="auto"/>
              </w:rPr>
            </w:pPr>
          </w:p>
        </w:tc>
        <w:tc>
          <w:tcPr>
            <w:tcW w:w="110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6"/>
              </w:rPr>
              <w:t>RMBS</w:t>
            </w:r>
          </w:p>
        </w:tc>
        <w:tc>
          <w:tcPr>
            <w:tcW w:w="200" w:type="dxa"/>
            <w:vAlign w:val="bottom"/>
          </w:tcPr>
          <w:p>
            <w:pPr>
              <w:spacing w:after="0"/>
              <w:rPr>
                <w:sz w:val="16"/>
                <w:szCs w:val="16"/>
                <w:color w:val="auto"/>
              </w:rPr>
            </w:pPr>
          </w:p>
        </w:tc>
        <w:tc>
          <w:tcPr>
            <w:tcW w:w="880" w:type="dxa"/>
            <w:vAlign w:val="bottom"/>
          </w:tcPr>
          <w:p>
            <w:pPr>
              <w:jc w:val="right"/>
              <w:ind w:right="268"/>
              <w:spacing w:after="0"/>
              <w:rPr>
                <w:sz w:val="20"/>
                <w:szCs w:val="20"/>
                <w:color w:val="auto"/>
              </w:rPr>
            </w:pPr>
            <w:r>
              <w:rPr>
                <w:rFonts w:ascii="Arial" w:cs="Arial" w:eastAsia="Arial" w:hAnsi="Arial"/>
                <w:sz w:val="14"/>
                <w:szCs w:val="14"/>
                <w:b w:val="1"/>
                <w:bCs w:val="1"/>
                <w:color w:val="auto"/>
              </w:rPr>
              <w:t>CMBS</w:t>
            </w:r>
          </w:p>
        </w:tc>
        <w:tc>
          <w:tcPr>
            <w:tcW w:w="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40" w:type="dxa"/>
            <w:vAlign w:val="bottom"/>
          </w:tcPr>
          <w:p>
            <w:pPr>
              <w:jc w:val="right"/>
              <w:ind w:right="328"/>
              <w:spacing w:after="0"/>
              <w:rPr>
                <w:sz w:val="20"/>
                <w:szCs w:val="20"/>
                <w:color w:val="auto"/>
              </w:rPr>
            </w:pPr>
            <w:r>
              <w:rPr>
                <w:rFonts w:ascii="Arial" w:cs="Arial" w:eastAsia="Arial" w:hAnsi="Arial"/>
                <w:sz w:val="14"/>
                <w:szCs w:val="14"/>
                <w:b w:val="1"/>
                <w:bCs w:val="1"/>
                <w:color w:val="auto"/>
              </w:rPr>
              <w:t>CRT</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0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6"/>
              </w:rPr>
              <w:t>RMBS</w:t>
            </w:r>
          </w:p>
        </w:tc>
        <w:tc>
          <w:tcPr>
            <w:tcW w:w="200" w:type="dxa"/>
            <w:vAlign w:val="bottom"/>
          </w:tcPr>
          <w:p>
            <w:pPr>
              <w:spacing w:after="0"/>
              <w:rPr>
                <w:sz w:val="16"/>
                <w:szCs w:val="16"/>
                <w:color w:val="auto"/>
              </w:rPr>
            </w:pPr>
          </w:p>
        </w:tc>
        <w:tc>
          <w:tcPr>
            <w:tcW w:w="880" w:type="dxa"/>
            <w:vAlign w:val="bottom"/>
          </w:tcPr>
          <w:p>
            <w:pPr>
              <w:jc w:val="right"/>
              <w:ind w:right="268"/>
              <w:spacing w:after="0"/>
              <w:rPr>
                <w:sz w:val="20"/>
                <w:szCs w:val="20"/>
                <w:color w:val="auto"/>
              </w:rPr>
            </w:pPr>
            <w:r>
              <w:rPr>
                <w:rFonts w:ascii="Arial" w:cs="Arial" w:eastAsia="Arial" w:hAnsi="Arial"/>
                <w:sz w:val="14"/>
                <w:szCs w:val="14"/>
                <w:b w:val="1"/>
                <w:bCs w:val="1"/>
                <w:color w:val="auto"/>
              </w:rPr>
              <w:t>CMBS</w:t>
            </w:r>
          </w:p>
        </w:tc>
      </w:tr>
      <w:tr>
        <w:trPr>
          <w:trHeight w:val="183"/>
        </w:trPr>
        <w:tc>
          <w:tcPr>
            <w:tcW w:w="38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AAA</w:t>
            </w:r>
          </w:p>
        </w:tc>
        <w:tc>
          <w:tcPr>
            <w:tcW w:w="180" w:type="dxa"/>
            <w:vAlign w:val="bottom"/>
            <w:tcBorders>
              <w:top w:val="single" w:sz="8" w:color="CCEEFF"/>
            </w:tcBorders>
            <w:shd w:val="clear" w:color="auto" w:fill="CCEEFF"/>
          </w:tcPr>
          <w:p>
            <w:pPr>
              <w:spacing w:after="0"/>
              <w:rPr>
                <w:sz w:val="15"/>
                <w:szCs w:val="15"/>
                <w:color w:val="auto"/>
              </w:rPr>
            </w:pPr>
          </w:p>
        </w:tc>
        <w:tc>
          <w:tcPr>
            <w:tcW w:w="240" w:type="dxa"/>
            <w:vAlign w:val="bottom"/>
            <w:tcBorders>
              <w:top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w w:val="76"/>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281</w:t>
            </w:r>
          </w:p>
        </w:tc>
        <w:tc>
          <w:tcPr>
            <w:tcW w:w="12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105</w:t>
            </w:r>
          </w:p>
        </w:tc>
        <w:tc>
          <w:tcPr>
            <w:tcW w:w="160" w:type="dxa"/>
            <w:vAlign w:val="bottom"/>
            <w:tcBorders>
              <w:top w:val="single" w:sz="8" w:color="CCEEFF"/>
            </w:tcBorders>
            <w:shd w:val="clear" w:color="auto" w:fill="CCEEFF"/>
          </w:tcPr>
          <w:p>
            <w:pPr>
              <w:spacing w:after="0"/>
              <w:rPr>
                <w:sz w:val="15"/>
                <w:szCs w:val="15"/>
                <w:color w:val="auto"/>
              </w:rPr>
            </w:pPr>
          </w:p>
        </w:tc>
        <w:tc>
          <w:tcPr>
            <w:tcW w:w="260" w:type="dxa"/>
            <w:vAlign w:val="bottom"/>
            <w:tcBorders>
              <w:top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164</w:t>
            </w:r>
          </w:p>
        </w:tc>
        <w:tc>
          <w:tcPr>
            <w:tcW w:w="12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w:t>
            </w:r>
          </w:p>
        </w:tc>
      </w:tr>
      <w:tr>
        <w:trPr>
          <w:trHeight w:val="186"/>
        </w:trPr>
        <w:tc>
          <w:tcPr>
            <w:tcW w:w="4060" w:type="dxa"/>
            <w:vAlign w:val="bottom"/>
            <w:gridSpan w:val="2"/>
          </w:tcPr>
          <w:p>
            <w:pPr>
              <w:ind w:left="20"/>
              <w:spacing w:after="0"/>
              <w:rPr>
                <w:sz w:val="20"/>
                <w:szCs w:val="20"/>
                <w:color w:val="auto"/>
              </w:rPr>
            </w:pPr>
            <w:r>
              <w:rPr>
                <w:rFonts w:ascii="Arial" w:cs="Arial" w:eastAsia="Arial" w:hAnsi="Arial"/>
                <w:sz w:val="14"/>
                <w:szCs w:val="14"/>
                <w:color w:val="auto"/>
              </w:rPr>
              <w:t>AA</w:t>
            </w:r>
          </w:p>
        </w:tc>
        <w:tc>
          <w:tcPr>
            <w:tcW w:w="240" w:type="dxa"/>
            <w:vAlign w:val="bottom"/>
          </w:tcPr>
          <w:p>
            <w:pPr>
              <w:spacing w:after="0"/>
              <w:rPr>
                <w:sz w:val="16"/>
                <w:szCs w:val="16"/>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2</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91</w:t>
            </w:r>
          </w:p>
        </w:tc>
        <w:tc>
          <w:tcPr>
            <w:tcW w:w="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21</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111</w:t>
            </w:r>
          </w:p>
        </w:tc>
      </w:tr>
      <w:tr>
        <w:trPr>
          <w:trHeight w:val="192"/>
        </w:trPr>
        <w:tc>
          <w:tcPr>
            <w:tcW w:w="40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w:t>
            </w:r>
          </w:p>
        </w:tc>
        <w:tc>
          <w:tcPr>
            <w:tcW w:w="24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w:t>
            </w:r>
          </w:p>
        </w:tc>
        <w:tc>
          <w:tcPr>
            <w:tcW w:w="16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w:t>
            </w:r>
          </w:p>
        </w:tc>
      </w:tr>
      <w:tr>
        <w:trPr>
          <w:trHeight w:val="186"/>
        </w:trPr>
        <w:tc>
          <w:tcPr>
            <w:tcW w:w="4060" w:type="dxa"/>
            <w:vAlign w:val="bottom"/>
            <w:gridSpan w:val="2"/>
          </w:tcPr>
          <w:p>
            <w:pPr>
              <w:ind w:left="20"/>
              <w:spacing w:after="0"/>
              <w:rPr>
                <w:sz w:val="20"/>
                <w:szCs w:val="20"/>
                <w:color w:val="auto"/>
              </w:rPr>
            </w:pPr>
            <w:r>
              <w:rPr>
                <w:rFonts w:ascii="Arial" w:cs="Arial" w:eastAsia="Arial" w:hAnsi="Arial"/>
                <w:sz w:val="14"/>
                <w:szCs w:val="14"/>
                <w:color w:val="auto"/>
              </w:rPr>
              <w:t>BBB</w:t>
            </w:r>
          </w:p>
        </w:tc>
        <w:tc>
          <w:tcPr>
            <w:tcW w:w="24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134</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23</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72</w:t>
            </w:r>
          </w:p>
        </w:tc>
        <w:tc>
          <w:tcPr>
            <w:tcW w:w="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75</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51</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85</w:t>
            </w:r>
          </w:p>
        </w:tc>
      </w:tr>
      <w:tr>
        <w:trPr>
          <w:trHeight w:val="192"/>
        </w:trPr>
        <w:tc>
          <w:tcPr>
            <w:tcW w:w="40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BB</w:t>
            </w:r>
          </w:p>
        </w:tc>
        <w:tc>
          <w:tcPr>
            <w:tcW w:w="24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271</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95</w:t>
            </w:r>
          </w:p>
        </w:tc>
        <w:tc>
          <w:tcPr>
            <w:tcW w:w="16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126</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126</w:t>
            </w:r>
          </w:p>
        </w:tc>
      </w:tr>
      <w:tr>
        <w:trPr>
          <w:trHeight w:val="186"/>
        </w:trPr>
        <w:tc>
          <w:tcPr>
            <w:tcW w:w="4060" w:type="dxa"/>
            <w:vAlign w:val="bottom"/>
            <w:gridSpan w:val="2"/>
          </w:tcPr>
          <w:p>
            <w:pPr>
              <w:ind w:left="20"/>
              <w:spacing w:after="0"/>
              <w:rPr>
                <w:sz w:val="20"/>
                <w:szCs w:val="20"/>
                <w:color w:val="auto"/>
              </w:rPr>
            </w:pPr>
            <w:r>
              <w:rPr>
                <w:rFonts w:ascii="Arial" w:cs="Arial" w:eastAsia="Arial" w:hAnsi="Arial"/>
                <w:sz w:val="14"/>
                <w:szCs w:val="14"/>
                <w:color w:val="auto"/>
              </w:rPr>
              <w:t>B</w:t>
            </w:r>
          </w:p>
        </w:tc>
        <w:tc>
          <w:tcPr>
            <w:tcW w:w="24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126</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5</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79</w:t>
            </w:r>
          </w:p>
        </w:tc>
        <w:tc>
          <w:tcPr>
            <w:tcW w:w="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327</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7</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117</w:t>
            </w:r>
          </w:p>
        </w:tc>
      </w:tr>
      <w:tr>
        <w:trPr>
          <w:trHeight w:val="192"/>
        </w:trPr>
        <w:tc>
          <w:tcPr>
            <w:tcW w:w="40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Not Rated</w:t>
            </w:r>
          </w:p>
        </w:tc>
        <w:tc>
          <w:tcPr>
            <w:tcW w:w="240" w:type="dxa"/>
            <w:vAlign w:val="bottom"/>
            <w:tcBorders>
              <w:bottom w:val="single" w:sz="8" w:color="auto"/>
            </w:tcBorders>
            <w:shd w:val="clear" w:color="auto" w:fill="CCEEFF"/>
          </w:tcPr>
          <w:p>
            <w:pPr>
              <w:spacing w:after="0"/>
              <w:rPr>
                <w:sz w:val="16"/>
                <w:szCs w:val="16"/>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333</w:t>
            </w:r>
          </w:p>
        </w:tc>
        <w:tc>
          <w:tcPr>
            <w:tcW w:w="120" w:type="dxa"/>
            <w:vAlign w:val="bottom"/>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w:t>
            </w:r>
          </w:p>
        </w:tc>
        <w:tc>
          <w:tcPr>
            <w:tcW w:w="120" w:type="dxa"/>
            <w:vAlign w:val="bottom"/>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spacing w:after="0"/>
              <w:rPr>
                <w:sz w:val="16"/>
                <w:szCs w:val="16"/>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w:t>
            </w:r>
          </w:p>
        </w:tc>
        <w:tc>
          <w:tcPr>
            <w:tcW w:w="160" w:type="dxa"/>
            <w:vAlign w:val="bottom"/>
            <w:shd w:val="clear" w:color="auto" w:fill="CCEEFF"/>
          </w:tcPr>
          <w:p>
            <w:pPr>
              <w:spacing w:after="0"/>
              <w:rPr>
                <w:sz w:val="16"/>
                <w:szCs w:val="16"/>
                <w:color w:val="auto"/>
              </w:rPr>
            </w:pPr>
          </w:p>
        </w:tc>
        <w:tc>
          <w:tcPr>
            <w:tcW w:w="260" w:type="dxa"/>
            <w:vAlign w:val="bottom"/>
            <w:tcBorders>
              <w:bottom w:val="single" w:sz="8" w:color="auto"/>
            </w:tcBorders>
            <w:shd w:val="clear" w:color="auto" w:fill="CCEEFF"/>
          </w:tcPr>
          <w:p>
            <w:pPr>
              <w:spacing w:after="0"/>
              <w:rPr>
                <w:sz w:val="16"/>
                <w:szCs w:val="16"/>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429</w:t>
            </w:r>
          </w:p>
        </w:tc>
        <w:tc>
          <w:tcPr>
            <w:tcW w:w="120" w:type="dxa"/>
            <w:vAlign w:val="bottom"/>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spacing w:after="0"/>
              <w:rPr>
                <w:sz w:val="16"/>
                <w:szCs w:val="16"/>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w:t>
            </w:r>
          </w:p>
        </w:tc>
        <w:tc>
          <w:tcPr>
            <w:tcW w:w="120" w:type="dxa"/>
            <w:vAlign w:val="bottom"/>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spacing w:after="0"/>
              <w:rPr>
                <w:sz w:val="16"/>
                <w:szCs w:val="16"/>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w:t>
            </w:r>
          </w:p>
        </w:tc>
      </w:tr>
      <w:tr>
        <w:trPr>
          <w:trHeight w:val="183"/>
        </w:trPr>
        <w:tc>
          <w:tcPr>
            <w:tcW w:w="4060" w:type="dxa"/>
            <w:vAlign w:val="bottom"/>
            <w:gridSpan w:val="2"/>
          </w:tcPr>
          <w:p>
            <w:pPr>
              <w:ind w:left="20"/>
              <w:spacing w:after="0"/>
              <w:rPr>
                <w:sz w:val="20"/>
                <w:szCs w:val="20"/>
                <w:color w:val="auto"/>
              </w:rPr>
            </w:pPr>
            <w:r>
              <w:rPr>
                <w:rFonts w:ascii="Arial" w:cs="Arial" w:eastAsia="Arial" w:hAnsi="Arial"/>
                <w:sz w:val="14"/>
                <w:szCs w:val="14"/>
                <w:color w:val="auto"/>
              </w:rPr>
              <w:t>Total</w:t>
            </w:r>
          </w:p>
        </w:tc>
        <w:tc>
          <w:tcPr>
            <w:tcW w:w="24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w w:val="76"/>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894</w:t>
            </w:r>
          </w:p>
        </w:tc>
        <w:tc>
          <w:tcPr>
            <w:tcW w:w="120" w:type="dxa"/>
            <w:vAlign w:val="bottom"/>
          </w:tcPr>
          <w:p>
            <w:pPr>
              <w:spacing w:after="0"/>
              <w:rPr>
                <w:sz w:val="15"/>
                <w:szCs w:val="15"/>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384</w:t>
            </w:r>
          </w:p>
        </w:tc>
        <w:tc>
          <w:tcPr>
            <w:tcW w:w="120" w:type="dxa"/>
            <w:vAlign w:val="bottom"/>
          </w:tcPr>
          <w:p>
            <w:pPr>
              <w:spacing w:after="0"/>
              <w:rPr>
                <w:sz w:val="15"/>
                <w:szCs w:val="15"/>
                <w:color w:val="auto"/>
              </w:rPr>
            </w:pPr>
          </w:p>
        </w:tc>
        <w:tc>
          <w:tcPr>
            <w:tcW w:w="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497</w:t>
            </w:r>
          </w:p>
        </w:tc>
        <w:tc>
          <w:tcPr>
            <w:tcW w:w="160" w:type="dxa"/>
            <w:vAlign w:val="bottom"/>
          </w:tcPr>
          <w:p>
            <w:pPr>
              <w:spacing w:after="0"/>
              <w:rPr>
                <w:sz w:val="15"/>
                <w:szCs w:val="15"/>
                <w:color w:val="auto"/>
              </w:rPr>
            </w:pPr>
          </w:p>
        </w:tc>
        <w:tc>
          <w:tcPr>
            <w:tcW w:w="2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974</w:t>
            </w:r>
          </w:p>
        </w:tc>
        <w:tc>
          <w:tcPr>
            <w:tcW w:w="120" w:type="dxa"/>
            <w:vAlign w:val="bottom"/>
          </w:tcPr>
          <w:p>
            <w:pPr>
              <w:spacing w:after="0"/>
              <w:rPr>
                <w:sz w:val="15"/>
                <w:szCs w:val="15"/>
                <w:color w:val="auto"/>
              </w:rPr>
            </w:pPr>
          </w:p>
        </w:tc>
        <w:tc>
          <w:tcPr>
            <w:tcW w:w="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329</w:t>
            </w:r>
          </w:p>
        </w:tc>
        <w:tc>
          <w:tcPr>
            <w:tcW w:w="120" w:type="dxa"/>
            <w:vAlign w:val="bottom"/>
          </w:tcPr>
          <w:p>
            <w:pPr>
              <w:spacing w:after="0"/>
              <w:rPr>
                <w:sz w:val="15"/>
                <w:szCs w:val="15"/>
                <w:color w:val="auto"/>
              </w:rPr>
            </w:pPr>
          </w:p>
        </w:tc>
        <w:tc>
          <w:tcPr>
            <w:tcW w:w="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514</w:t>
            </w:r>
          </w:p>
        </w:tc>
      </w:tr>
      <w:tr>
        <w:trPr>
          <w:trHeight w:val="20"/>
        </w:trPr>
        <w:tc>
          <w:tcPr>
            <w:tcW w:w="38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1"/>
          <w:szCs w:val="11"/>
          <w:color w:val="auto"/>
        </w:rPr>
        <w:t>________________________________</w:t>
      </w:r>
    </w:p>
    <w:p>
      <w:pPr>
        <w:ind w:left="660" w:right="20" w:hanging="328"/>
        <w:spacing w:after="0" w:line="255" w:lineRule="auto"/>
        <w:tabs>
          <w:tab w:leader="none" w:pos="660" w:val="left"/>
        </w:tabs>
        <w:numPr>
          <w:ilvl w:val="0"/>
          <w:numId w:val="4"/>
        </w:numPr>
        <w:rPr>
          <w:rFonts w:ascii="Arial" w:cs="Arial" w:eastAsia="Arial" w:hAnsi="Arial"/>
          <w:sz w:val="14"/>
          <w:szCs w:val="14"/>
          <w:color w:val="auto"/>
        </w:rPr>
      </w:pPr>
      <w:r>
        <w:rPr>
          <w:rFonts w:ascii="Arial" w:cs="Arial" w:eastAsia="Arial" w:hAnsi="Arial"/>
          <w:sz w:val="14"/>
          <w:szCs w:val="14"/>
          <w:color w:val="auto"/>
        </w:rPr>
        <w:t>Represents the lowest of Standard and Poor's ("S&amp;P"), Moody's, Fitch, DBRS, Kroll Bond Rating Agency ("KBRA") and Morningstar credit ratings, stated in terms of the S&amp;P equivalent rating as of each date.</w:t>
      </w:r>
    </w:p>
    <w:p>
      <w:pPr>
        <w:spacing w:after="0" w:line="136" w:lineRule="exact"/>
        <w:rPr>
          <w:sz w:val="20"/>
          <w:szCs w:val="20"/>
          <w:color w:val="auto"/>
        </w:rPr>
      </w:pPr>
    </w:p>
    <w:p>
      <w:pPr>
        <w:jc w:val="both"/>
        <w:ind w:firstLine="445"/>
        <w:spacing w:after="0" w:line="277" w:lineRule="auto"/>
        <w:rPr>
          <w:sz w:val="20"/>
          <w:szCs w:val="20"/>
          <w:color w:val="auto"/>
        </w:rPr>
      </w:pPr>
      <w:r>
        <w:rPr>
          <w:rFonts w:ascii="Arial" w:cs="Arial" w:eastAsia="Arial" w:hAnsi="Arial"/>
          <w:sz w:val="18"/>
          <w:szCs w:val="18"/>
          <w:color w:val="auto"/>
        </w:rPr>
        <w:t>Our CRT securities reference the performance of loans underlying Agency RMBS issued by Fannie Mae or Freddie Mac, which were subject to their underwriting standards.</w:t>
      </w:r>
    </w:p>
    <w:p>
      <w:pPr>
        <w:spacing w:after="0" w:line="116" w:lineRule="exact"/>
        <w:rPr>
          <w:sz w:val="20"/>
          <w:szCs w:val="20"/>
          <w:color w:val="auto"/>
        </w:rPr>
      </w:pPr>
    </w:p>
    <w:p>
      <w:pPr>
        <w:jc w:val="both"/>
        <w:ind w:firstLine="445"/>
        <w:spacing w:after="0" w:line="254" w:lineRule="auto"/>
        <w:rPr>
          <w:sz w:val="20"/>
          <w:szCs w:val="20"/>
          <w:color w:val="auto"/>
        </w:rPr>
      </w:pPr>
      <w:r>
        <w:rPr>
          <w:rFonts w:ascii="Arial" w:cs="Arial" w:eastAsia="Arial" w:hAnsi="Arial"/>
          <w:sz w:val="18"/>
          <w:szCs w:val="18"/>
          <w:color w:val="auto"/>
        </w:rPr>
        <w:t>The actual maturities of our investment securities are generally shorter than their stated contractual maturities. The actual maturities of our Agency and high credit quality non-Agency RMBS are primarily affected by principal prepayments and to a lesser degree the contractual lives of the underlying mortgages and periodic contractual principal repayments. The actual maturities of our credit-oriented investments are primarily impacted by their contractual lives and default and loss recovery rates. As of June 30, 2022 and December 31, 2021, the weighted average expected constant prepayment rate ("CPR") over the remaining life of our Agency and high credit quality non-Agency RMBS investment portfolio was 7.2% and 10.9%, respectively. Our estimates can differ materially for different securities and thus our individual holdings have a wide range of projected CPRs. The following table summarizes our investments as of June 30, 2022 and December 31, 2021 according to their estimated weighted average life classification (dollars in millions):</w:t>
      </w:r>
    </w:p>
    <w:p>
      <w:pPr>
        <w:spacing w:after="0" w:line="200" w:lineRule="exact"/>
        <w:rPr>
          <w:sz w:val="20"/>
          <w:szCs w:val="20"/>
          <w:color w:val="auto"/>
        </w:rPr>
      </w:pPr>
    </w:p>
    <w:p>
      <w:pPr>
        <w:spacing w:after="0" w:line="3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27" w:right="339" w:bottom="1440" w:gutter="0" w:footer="0" w:header="0"/>
        </w:sectPr>
      </w:pPr>
    </w:p>
    <w:bookmarkStart w:id="13" w:name="page14"/>
    <w:bookmarkEnd w:id="13"/>
    <w:tbl>
      <w:tblPr>
        <w:tblLayout w:type="fixed"/>
        <w:tblInd w:w="0" w:type="dxa"/>
        <w:tblCellMar>
          <w:top w:w="0" w:type="dxa"/>
          <w:left w:w="0" w:type="dxa"/>
          <w:bottom w:w="0" w:type="dxa"/>
          <w:right w:w="0" w:type="dxa"/>
        </w:tblCellMar>
      </w:tblPr>
      <w:tr>
        <w:trPr>
          <w:trHeight w:val="192"/>
        </w:trPr>
        <w:tc>
          <w:tcPr>
            <w:tcW w:w="2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980" w:type="dxa"/>
            <w:vAlign w:val="bottom"/>
            <w:tcBorders>
              <w:bottom w:val="single" w:sz="8" w:color="auto"/>
            </w:tcBorders>
            <w:gridSpan w:val="4"/>
          </w:tcPr>
          <w:p>
            <w:pPr>
              <w:ind w:left="500"/>
              <w:spacing w:after="0"/>
              <w:rPr>
                <w:sz w:val="20"/>
                <w:szCs w:val="20"/>
                <w:color w:val="auto"/>
              </w:rPr>
            </w:pPr>
            <w:r>
              <w:rPr>
                <w:rFonts w:ascii="Arial" w:cs="Arial" w:eastAsia="Arial" w:hAnsi="Arial"/>
                <w:sz w:val="14"/>
                <w:szCs w:val="14"/>
                <w:b w:val="1"/>
                <w:bCs w:val="1"/>
                <w:color w:val="auto"/>
              </w:rPr>
              <w:t>June 30, 2022</w:t>
            </w:r>
          </w:p>
        </w:tc>
        <w:tc>
          <w:tcPr>
            <w:tcW w:w="1000" w:type="dxa"/>
            <w:vAlign w:val="bottom"/>
            <w:tcBorders>
              <w:bottom w:val="single" w:sz="8" w:color="auto"/>
            </w:tcBorders>
          </w:tcPr>
          <w:p>
            <w:pPr>
              <w:spacing w:after="0"/>
              <w:rPr>
                <w:sz w:val="16"/>
                <w:szCs w:val="16"/>
                <w:color w:val="auto"/>
              </w:rPr>
            </w:pPr>
          </w:p>
        </w:tc>
        <w:tc>
          <w:tcPr>
            <w:tcW w:w="18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980" w:type="dxa"/>
            <w:vAlign w:val="bottom"/>
            <w:tcBorders>
              <w:bottom w:val="single" w:sz="8" w:color="auto"/>
            </w:tcBorders>
            <w:gridSpan w:val="4"/>
          </w:tcPr>
          <w:p>
            <w:pPr>
              <w:ind w:left="340"/>
              <w:spacing w:after="0"/>
              <w:rPr>
                <w:sz w:val="20"/>
                <w:szCs w:val="20"/>
                <w:color w:val="auto"/>
              </w:rPr>
            </w:pPr>
            <w:r>
              <w:rPr>
                <w:rFonts w:ascii="Arial" w:cs="Arial" w:eastAsia="Arial" w:hAnsi="Arial"/>
                <w:sz w:val="14"/>
                <w:szCs w:val="14"/>
                <w:b w:val="1"/>
                <w:bCs w:val="1"/>
                <w:color w:val="auto"/>
              </w:rPr>
              <w:t>December 31, 2021</w:t>
            </w:r>
          </w:p>
        </w:tc>
        <w:tc>
          <w:tcPr>
            <w:tcW w:w="10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4"/>
        </w:trPr>
        <w:tc>
          <w:tcPr>
            <w:tcW w:w="274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Estimated Weighted Average Life of</w:t>
            </w: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4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6"/>
              </w:rPr>
              <w:t>Amortized</w:t>
            </w:r>
          </w:p>
        </w:tc>
        <w:tc>
          <w:tcPr>
            <w:tcW w:w="104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1"/>
              </w:rPr>
              <w:t>Weighted</w:t>
            </w:r>
          </w:p>
        </w:tc>
        <w:tc>
          <w:tcPr>
            <w:tcW w:w="100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5"/>
              </w:rPr>
              <w:t>Weighted</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4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6"/>
              </w:rPr>
              <w:t>Amortized</w:t>
            </w:r>
          </w:p>
        </w:tc>
        <w:tc>
          <w:tcPr>
            <w:tcW w:w="104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1"/>
              </w:rPr>
              <w:t>Weighted</w:t>
            </w:r>
          </w:p>
        </w:tc>
        <w:tc>
          <w:tcPr>
            <w:tcW w:w="100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1"/>
              </w:rPr>
              <w:t>Weighted</w:t>
            </w:r>
          </w:p>
        </w:tc>
        <w:tc>
          <w:tcPr>
            <w:tcW w:w="0" w:type="dxa"/>
            <w:vAlign w:val="bottom"/>
          </w:tcPr>
          <w:p>
            <w:pPr>
              <w:spacing w:after="0"/>
              <w:rPr>
                <w:sz w:val="1"/>
                <w:szCs w:val="1"/>
                <w:color w:val="auto"/>
              </w:rPr>
            </w:pPr>
          </w:p>
        </w:tc>
      </w:tr>
      <w:tr>
        <w:trPr>
          <w:trHeight w:val="135"/>
        </w:trPr>
        <w:tc>
          <w:tcPr>
            <w:tcW w:w="274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Fair Value</w:t>
            </w:r>
          </w:p>
        </w:tc>
        <w:tc>
          <w:tcPr>
            <w:tcW w:w="120" w:type="dxa"/>
            <w:vAlign w:val="bottom"/>
          </w:tcPr>
          <w:p>
            <w:pPr>
              <w:spacing w:after="0"/>
              <w:rPr>
                <w:sz w:val="11"/>
                <w:szCs w:val="11"/>
                <w:color w:val="auto"/>
              </w:rPr>
            </w:pPr>
          </w:p>
        </w:tc>
        <w:tc>
          <w:tcPr>
            <w:tcW w:w="940" w:type="dxa"/>
            <w:vAlign w:val="bottom"/>
            <w:gridSpan w:val="2"/>
            <w:vMerge w:val="continue"/>
          </w:tcPr>
          <w:p>
            <w:pPr>
              <w:spacing w:after="0"/>
              <w:rPr>
                <w:sz w:val="11"/>
                <w:szCs w:val="11"/>
                <w:color w:val="auto"/>
              </w:rPr>
            </w:pPr>
          </w:p>
        </w:tc>
        <w:tc>
          <w:tcPr>
            <w:tcW w:w="104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0"/>
              </w:rPr>
              <w:t>Average</w:t>
            </w:r>
          </w:p>
        </w:tc>
        <w:tc>
          <w:tcPr>
            <w:tcW w:w="1180" w:type="dxa"/>
            <w:vAlign w:val="bottom"/>
            <w:gridSpan w:val="2"/>
          </w:tcPr>
          <w:p>
            <w:pPr>
              <w:jc w:val="center"/>
              <w:ind w:right="180"/>
              <w:spacing w:after="0" w:line="135" w:lineRule="exact"/>
              <w:rPr>
                <w:sz w:val="20"/>
                <w:szCs w:val="20"/>
                <w:color w:val="auto"/>
              </w:rPr>
            </w:pPr>
            <w:r>
              <w:rPr>
                <w:rFonts w:ascii="Arial" w:cs="Arial" w:eastAsia="Arial" w:hAnsi="Arial"/>
                <w:sz w:val="14"/>
                <w:szCs w:val="14"/>
                <w:b w:val="1"/>
                <w:bCs w:val="1"/>
                <w:color w:val="auto"/>
                <w:w w:val="94"/>
              </w:rPr>
              <w:t>Average</w:t>
            </w:r>
          </w:p>
        </w:tc>
        <w:tc>
          <w:tcPr>
            <w:tcW w:w="100" w:type="dxa"/>
            <w:vAlign w:val="bottom"/>
          </w:tcPr>
          <w:p>
            <w:pPr>
              <w:spacing w:after="0"/>
              <w:rPr>
                <w:sz w:val="11"/>
                <w:szCs w:val="11"/>
                <w:color w:val="auto"/>
              </w:rPr>
            </w:pPr>
          </w:p>
        </w:tc>
        <w:tc>
          <w:tcPr>
            <w:tcW w:w="90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Fair Value</w:t>
            </w:r>
          </w:p>
        </w:tc>
        <w:tc>
          <w:tcPr>
            <w:tcW w:w="140" w:type="dxa"/>
            <w:vAlign w:val="bottom"/>
          </w:tcPr>
          <w:p>
            <w:pPr>
              <w:spacing w:after="0"/>
              <w:rPr>
                <w:sz w:val="11"/>
                <w:szCs w:val="11"/>
                <w:color w:val="auto"/>
              </w:rPr>
            </w:pPr>
          </w:p>
        </w:tc>
        <w:tc>
          <w:tcPr>
            <w:tcW w:w="940" w:type="dxa"/>
            <w:vAlign w:val="bottom"/>
            <w:gridSpan w:val="2"/>
            <w:vMerge w:val="continue"/>
          </w:tcPr>
          <w:p>
            <w:pPr>
              <w:spacing w:after="0"/>
              <w:rPr>
                <w:sz w:val="11"/>
                <w:szCs w:val="11"/>
                <w:color w:val="auto"/>
              </w:rPr>
            </w:pPr>
          </w:p>
        </w:tc>
        <w:tc>
          <w:tcPr>
            <w:tcW w:w="104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0"/>
              </w:rPr>
              <w:t>Average</w:t>
            </w:r>
          </w:p>
        </w:tc>
        <w:tc>
          <w:tcPr>
            <w:tcW w:w="100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88"/>
        </w:trPr>
        <w:tc>
          <w:tcPr>
            <w:tcW w:w="2740" w:type="dxa"/>
            <w:vAlign w:val="bottom"/>
            <w:gridSpan w:val="2"/>
          </w:tcPr>
          <w:p>
            <w:pPr>
              <w:ind w:left="20"/>
              <w:spacing w:after="0"/>
              <w:rPr>
                <w:sz w:val="20"/>
                <w:szCs w:val="20"/>
                <w:color w:val="auto"/>
              </w:rPr>
            </w:pPr>
            <w:r>
              <w:rPr>
                <w:rFonts w:ascii="Arial" w:cs="Arial" w:eastAsia="Arial" w:hAnsi="Arial"/>
                <w:sz w:val="14"/>
                <w:szCs w:val="14"/>
                <w:b w:val="1"/>
                <w:bCs w:val="1"/>
                <w:color w:val="auto"/>
              </w:rPr>
              <w:t>Investment Securities</w:t>
            </w:r>
          </w:p>
        </w:tc>
        <w:tc>
          <w:tcPr>
            <w:tcW w:w="100" w:type="dxa"/>
            <w:vAlign w:val="bottom"/>
          </w:tcPr>
          <w:p>
            <w:pPr>
              <w:spacing w:after="0"/>
              <w:rPr>
                <w:sz w:val="16"/>
                <w:szCs w:val="16"/>
                <w:color w:val="auto"/>
              </w:rPr>
            </w:pPr>
          </w:p>
        </w:tc>
        <w:tc>
          <w:tcPr>
            <w:tcW w:w="90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9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9"/>
              </w:rPr>
              <w:t>Cost</w:t>
            </w:r>
          </w:p>
        </w:tc>
        <w:tc>
          <w:tcPr>
            <w:tcW w:w="10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4"/>
              </w:rPr>
              <w:t>Coupon</w:t>
            </w:r>
          </w:p>
        </w:tc>
        <w:tc>
          <w:tcPr>
            <w:tcW w:w="118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5"/>
              </w:rPr>
              <w:t>Yield</w:t>
            </w:r>
          </w:p>
        </w:tc>
        <w:tc>
          <w:tcPr>
            <w:tcW w:w="100" w:type="dxa"/>
            <w:vAlign w:val="bottom"/>
          </w:tcPr>
          <w:p>
            <w:pPr>
              <w:spacing w:after="0"/>
              <w:rPr>
                <w:sz w:val="16"/>
                <w:szCs w:val="16"/>
                <w:color w:val="auto"/>
              </w:rPr>
            </w:pPr>
          </w:p>
        </w:tc>
        <w:tc>
          <w:tcPr>
            <w:tcW w:w="90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9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9"/>
              </w:rPr>
              <w:t>Cost</w:t>
            </w:r>
          </w:p>
        </w:tc>
        <w:tc>
          <w:tcPr>
            <w:tcW w:w="10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4"/>
              </w:rPr>
              <w:t>Coupon</w:t>
            </w:r>
          </w:p>
        </w:tc>
        <w:tc>
          <w:tcPr>
            <w:tcW w:w="1000" w:type="dxa"/>
            <w:vAlign w:val="bottom"/>
          </w:tcPr>
          <w:p>
            <w:pPr>
              <w:jc w:val="center"/>
              <w:spacing w:after="0"/>
              <w:rPr>
                <w:sz w:val="20"/>
                <w:szCs w:val="20"/>
                <w:color w:val="auto"/>
              </w:rPr>
            </w:pPr>
            <w:r>
              <w:rPr>
                <w:rFonts w:ascii="Arial" w:cs="Arial" w:eastAsia="Arial" w:hAnsi="Arial"/>
                <w:sz w:val="14"/>
                <w:szCs w:val="14"/>
                <w:b w:val="1"/>
                <w:bCs w:val="1"/>
                <w:color w:val="auto"/>
                <w:w w:val="95"/>
              </w:rPr>
              <w:t>Yield</w:t>
            </w:r>
          </w:p>
        </w:tc>
        <w:tc>
          <w:tcPr>
            <w:tcW w:w="0" w:type="dxa"/>
            <w:vAlign w:val="bottom"/>
          </w:tcPr>
          <w:p>
            <w:pPr>
              <w:spacing w:after="0"/>
              <w:rPr>
                <w:sz w:val="1"/>
                <w:szCs w:val="1"/>
                <w:color w:val="auto"/>
              </w:rPr>
            </w:pPr>
          </w:p>
        </w:tc>
      </w:tr>
      <w:tr>
        <w:trPr>
          <w:trHeight w:val="184"/>
        </w:trPr>
        <w:tc>
          <w:tcPr>
            <w:tcW w:w="26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 3 years</w:t>
            </w:r>
          </w:p>
        </w:tc>
        <w:tc>
          <w:tcPr>
            <w:tcW w:w="12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580</w:t>
            </w:r>
          </w:p>
        </w:tc>
        <w:tc>
          <w:tcPr>
            <w:tcW w:w="12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4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590</w:t>
            </w:r>
          </w:p>
        </w:tc>
        <w:tc>
          <w:tcPr>
            <w:tcW w:w="100" w:type="dxa"/>
            <w:vAlign w:val="bottom"/>
            <w:tcBorders>
              <w:top w:val="single" w:sz="8" w:color="CCEEFF"/>
            </w:tcBorders>
            <w:shd w:val="clear" w:color="auto" w:fill="CCEEFF"/>
          </w:tcPr>
          <w:p>
            <w:pPr>
              <w:spacing w:after="0"/>
              <w:rPr>
                <w:sz w:val="15"/>
                <w:szCs w:val="15"/>
                <w:color w:val="auto"/>
              </w:rPr>
            </w:pPr>
          </w:p>
        </w:tc>
        <w:tc>
          <w:tcPr>
            <w:tcW w:w="94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4.20%</w:t>
            </w:r>
          </w:p>
        </w:tc>
        <w:tc>
          <w:tcPr>
            <w:tcW w:w="100" w:type="dxa"/>
            <w:vAlign w:val="bottom"/>
            <w:tcBorders>
              <w:top w:val="single" w:sz="8" w:color="CCEEFF"/>
            </w:tcBorders>
            <w:shd w:val="clear" w:color="auto" w:fill="CCEEFF"/>
          </w:tcPr>
          <w:p>
            <w:pPr>
              <w:spacing w:after="0"/>
              <w:rPr>
                <w:sz w:val="15"/>
                <w:szCs w:val="15"/>
                <w:color w:val="auto"/>
              </w:rPr>
            </w:pPr>
          </w:p>
        </w:tc>
        <w:tc>
          <w:tcPr>
            <w:tcW w:w="10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3.61%</w:t>
            </w:r>
          </w:p>
        </w:tc>
        <w:tc>
          <w:tcPr>
            <w:tcW w:w="18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1,677</w:t>
            </w:r>
          </w:p>
        </w:tc>
        <w:tc>
          <w:tcPr>
            <w:tcW w:w="10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1,642</w:t>
            </w:r>
          </w:p>
        </w:tc>
        <w:tc>
          <w:tcPr>
            <w:tcW w:w="100" w:type="dxa"/>
            <w:vAlign w:val="bottom"/>
            <w:tcBorders>
              <w:top w:val="single" w:sz="8" w:color="CCEEFF"/>
            </w:tcBorders>
            <w:shd w:val="clear" w:color="auto" w:fill="CCEEFF"/>
          </w:tcPr>
          <w:p>
            <w:pPr>
              <w:spacing w:after="0"/>
              <w:rPr>
                <w:sz w:val="15"/>
                <w:szCs w:val="15"/>
                <w:color w:val="auto"/>
              </w:rPr>
            </w:pPr>
          </w:p>
        </w:tc>
        <w:tc>
          <w:tcPr>
            <w:tcW w:w="94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3.64%</w:t>
            </w:r>
          </w:p>
        </w:tc>
        <w:tc>
          <w:tcPr>
            <w:tcW w:w="100" w:type="dxa"/>
            <w:vAlign w:val="bottom"/>
            <w:tcBorders>
              <w:top w:val="single" w:sz="8" w:color="CCEEFF"/>
            </w:tcBorders>
            <w:shd w:val="clear" w:color="auto" w:fill="CCEEFF"/>
          </w:tcPr>
          <w:p>
            <w:pPr>
              <w:spacing w:after="0"/>
              <w:rPr>
                <w:sz w:val="15"/>
                <w:szCs w:val="15"/>
                <w:color w:val="auto"/>
              </w:rPr>
            </w:pPr>
          </w:p>
        </w:tc>
        <w:tc>
          <w:tcPr>
            <w:tcW w:w="10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3.69%</w:t>
            </w:r>
          </w:p>
        </w:tc>
        <w:tc>
          <w:tcPr>
            <w:tcW w:w="0" w:type="dxa"/>
            <w:vAlign w:val="bottom"/>
          </w:tcPr>
          <w:p>
            <w:pPr>
              <w:spacing w:after="0"/>
              <w:rPr>
                <w:sz w:val="1"/>
                <w:szCs w:val="1"/>
                <w:color w:val="auto"/>
              </w:rPr>
            </w:pPr>
          </w:p>
        </w:tc>
      </w:tr>
      <w:tr>
        <w:trPr>
          <w:trHeight w:val="186"/>
        </w:trPr>
        <w:tc>
          <w:tcPr>
            <w:tcW w:w="2740" w:type="dxa"/>
            <w:vAlign w:val="bottom"/>
            <w:gridSpan w:val="2"/>
          </w:tcPr>
          <w:p>
            <w:pPr>
              <w:ind w:left="20"/>
              <w:spacing w:after="0"/>
              <w:rPr>
                <w:sz w:val="20"/>
                <w:szCs w:val="20"/>
                <w:color w:val="auto"/>
              </w:rPr>
            </w:pPr>
            <w:r>
              <w:rPr>
                <w:rFonts w:ascii="Arial" w:cs="Arial" w:eastAsia="Arial" w:hAnsi="Arial"/>
                <w:sz w:val="14"/>
                <w:szCs w:val="14"/>
                <w:color w:val="auto"/>
              </w:rPr>
              <w:t>&gt; 3 years and ≤ 5 years</w:t>
            </w:r>
          </w:p>
        </w:tc>
        <w:tc>
          <w:tcPr>
            <w:tcW w:w="10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2,754</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ind w:right="8"/>
              <w:spacing w:after="0"/>
              <w:rPr>
                <w:sz w:val="20"/>
                <w:szCs w:val="20"/>
                <w:color w:val="auto"/>
              </w:rPr>
            </w:pPr>
            <w:r>
              <w:rPr>
                <w:rFonts w:ascii="Arial" w:cs="Arial" w:eastAsia="Arial" w:hAnsi="Arial"/>
                <w:sz w:val="14"/>
                <w:szCs w:val="14"/>
                <w:color w:val="auto"/>
              </w:rPr>
              <w:t>2,851</w:t>
            </w:r>
          </w:p>
        </w:tc>
        <w:tc>
          <w:tcPr>
            <w:tcW w:w="100" w:type="dxa"/>
            <w:vAlign w:val="bottom"/>
          </w:tcPr>
          <w:p>
            <w:pPr>
              <w:spacing w:after="0"/>
              <w:rPr>
                <w:sz w:val="16"/>
                <w:szCs w:val="16"/>
                <w:color w:val="auto"/>
              </w:rPr>
            </w:pPr>
          </w:p>
        </w:tc>
        <w:tc>
          <w:tcPr>
            <w:tcW w:w="940" w:type="dxa"/>
            <w:vAlign w:val="bottom"/>
          </w:tcPr>
          <w:p>
            <w:pPr>
              <w:jc w:val="center"/>
              <w:spacing w:after="0"/>
              <w:rPr>
                <w:sz w:val="20"/>
                <w:szCs w:val="20"/>
                <w:color w:val="auto"/>
              </w:rPr>
            </w:pPr>
            <w:r>
              <w:rPr>
                <w:rFonts w:ascii="Arial" w:cs="Arial" w:eastAsia="Arial" w:hAnsi="Arial"/>
                <w:sz w:val="14"/>
                <w:szCs w:val="14"/>
                <w:color w:val="auto"/>
                <w:w w:val="95"/>
              </w:rPr>
              <w:t>3.73%</w:t>
            </w:r>
          </w:p>
        </w:tc>
        <w:tc>
          <w:tcPr>
            <w:tcW w:w="100" w:type="dxa"/>
            <w:vAlign w:val="bottom"/>
          </w:tcPr>
          <w:p>
            <w:pPr>
              <w:spacing w:after="0"/>
              <w:rPr>
                <w:sz w:val="16"/>
                <w:szCs w:val="16"/>
                <w:color w:val="auto"/>
              </w:rPr>
            </w:pPr>
          </w:p>
        </w:tc>
        <w:tc>
          <w:tcPr>
            <w:tcW w:w="1000" w:type="dxa"/>
            <w:vAlign w:val="bottom"/>
          </w:tcPr>
          <w:p>
            <w:pPr>
              <w:jc w:val="center"/>
              <w:spacing w:after="0"/>
              <w:rPr>
                <w:sz w:val="20"/>
                <w:szCs w:val="20"/>
                <w:color w:val="auto"/>
              </w:rPr>
            </w:pPr>
            <w:r>
              <w:rPr>
                <w:rFonts w:ascii="Arial" w:cs="Arial" w:eastAsia="Arial" w:hAnsi="Arial"/>
                <w:sz w:val="14"/>
                <w:szCs w:val="14"/>
                <w:color w:val="auto"/>
                <w:w w:val="90"/>
              </w:rPr>
              <w:t>3.35%</w:t>
            </w:r>
          </w:p>
        </w:tc>
        <w:tc>
          <w:tcPr>
            <w:tcW w:w="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11,214</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10,868</w:t>
            </w:r>
          </w:p>
        </w:tc>
        <w:tc>
          <w:tcPr>
            <w:tcW w:w="100" w:type="dxa"/>
            <w:vAlign w:val="bottom"/>
          </w:tcPr>
          <w:p>
            <w:pPr>
              <w:spacing w:after="0"/>
              <w:rPr>
                <w:sz w:val="16"/>
                <w:szCs w:val="16"/>
                <w:color w:val="auto"/>
              </w:rPr>
            </w:pPr>
          </w:p>
        </w:tc>
        <w:tc>
          <w:tcPr>
            <w:tcW w:w="940" w:type="dxa"/>
            <w:vAlign w:val="bottom"/>
          </w:tcPr>
          <w:p>
            <w:pPr>
              <w:jc w:val="center"/>
              <w:spacing w:after="0"/>
              <w:rPr>
                <w:sz w:val="20"/>
                <w:szCs w:val="20"/>
                <w:color w:val="auto"/>
              </w:rPr>
            </w:pPr>
            <w:r>
              <w:rPr>
                <w:rFonts w:ascii="Arial" w:cs="Arial" w:eastAsia="Arial" w:hAnsi="Arial"/>
                <w:sz w:val="14"/>
                <w:szCs w:val="14"/>
                <w:color w:val="auto"/>
                <w:w w:val="95"/>
              </w:rPr>
              <w:t>3.97%</w:t>
            </w:r>
          </w:p>
        </w:tc>
        <w:tc>
          <w:tcPr>
            <w:tcW w:w="100" w:type="dxa"/>
            <w:vAlign w:val="bottom"/>
          </w:tcPr>
          <w:p>
            <w:pPr>
              <w:spacing w:after="0"/>
              <w:rPr>
                <w:sz w:val="16"/>
                <w:szCs w:val="16"/>
                <w:color w:val="auto"/>
              </w:rPr>
            </w:pPr>
          </w:p>
        </w:tc>
        <w:tc>
          <w:tcPr>
            <w:tcW w:w="1000" w:type="dxa"/>
            <w:vAlign w:val="bottom"/>
          </w:tcPr>
          <w:p>
            <w:pPr>
              <w:jc w:val="center"/>
              <w:spacing w:after="0"/>
              <w:rPr>
                <w:sz w:val="20"/>
                <w:szCs w:val="20"/>
                <w:color w:val="auto"/>
              </w:rPr>
            </w:pPr>
            <w:r>
              <w:rPr>
                <w:rFonts w:ascii="Arial" w:cs="Arial" w:eastAsia="Arial" w:hAnsi="Arial"/>
                <w:sz w:val="14"/>
                <w:szCs w:val="14"/>
                <w:color w:val="auto"/>
                <w:w w:val="95"/>
              </w:rPr>
              <w:t>2.74%</w:t>
            </w:r>
          </w:p>
        </w:tc>
        <w:tc>
          <w:tcPr>
            <w:tcW w:w="0" w:type="dxa"/>
            <w:vAlign w:val="bottom"/>
          </w:tcPr>
          <w:p>
            <w:pPr>
              <w:spacing w:after="0"/>
              <w:rPr>
                <w:sz w:val="1"/>
                <w:szCs w:val="1"/>
                <w:color w:val="auto"/>
              </w:rPr>
            </w:pPr>
          </w:p>
        </w:tc>
      </w:tr>
      <w:tr>
        <w:trPr>
          <w:trHeight w:val="192"/>
        </w:trPr>
        <w:tc>
          <w:tcPr>
            <w:tcW w:w="27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&gt; 5 years and ≤10 years</w:t>
            </w:r>
          </w:p>
        </w:tc>
        <w:tc>
          <w:tcPr>
            <w:tcW w:w="10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31,151</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33,317</w:t>
            </w:r>
          </w:p>
        </w:tc>
        <w:tc>
          <w:tcPr>
            <w:tcW w:w="100" w:type="dxa"/>
            <w:vAlign w:val="bottom"/>
            <w:shd w:val="clear" w:color="auto" w:fill="CCEEFF"/>
          </w:tcPr>
          <w:p>
            <w:pPr>
              <w:spacing w:after="0"/>
              <w:rPr>
                <w:sz w:val="16"/>
                <w:szCs w:val="16"/>
                <w:color w:val="auto"/>
              </w:rPr>
            </w:pPr>
          </w:p>
        </w:tc>
        <w:tc>
          <w:tcPr>
            <w:tcW w:w="9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3.55%</w:t>
            </w:r>
          </w:p>
        </w:tc>
        <w:tc>
          <w:tcPr>
            <w:tcW w:w="100" w:type="dxa"/>
            <w:vAlign w:val="bottom"/>
            <w:shd w:val="clear" w:color="auto" w:fill="CCEEFF"/>
          </w:tcPr>
          <w:p>
            <w:pPr>
              <w:spacing w:after="0"/>
              <w:rPr>
                <w:sz w:val="16"/>
                <w:szCs w:val="16"/>
                <w:color w:val="auto"/>
              </w:rPr>
            </w:pPr>
          </w:p>
        </w:tc>
        <w:tc>
          <w:tcPr>
            <w:tcW w:w="10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2.90%</w:t>
            </w:r>
          </w:p>
        </w:tc>
        <w:tc>
          <w:tcPr>
            <w:tcW w:w="1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36,936</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36,490</w:t>
            </w:r>
          </w:p>
        </w:tc>
        <w:tc>
          <w:tcPr>
            <w:tcW w:w="100" w:type="dxa"/>
            <w:vAlign w:val="bottom"/>
            <w:shd w:val="clear" w:color="auto" w:fill="CCEEFF"/>
          </w:tcPr>
          <w:p>
            <w:pPr>
              <w:spacing w:after="0"/>
              <w:rPr>
                <w:sz w:val="16"/>
                <w:szCs w:val="16"/>
                <w:color w:val="auto"/>
              </w:rPr>
            </w:pPr>
          </w:p>
        </w:tc>
        <w:tc>
          <w:tcPr>
            <w:tcW w:w="9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2.87%</w:t>
            </w:r>
          </w:p>
        </w:tc>
        <w:tc>
          <w:tcPr>
            <w:tcW w:w="100" w:type="dxa"/>
            <w:vAlign w:val="bottom"/>
            <w:shd w:val="clear" w:color="auto" w:fill="CCEEFF"/>
          </w:tcPr>
          <w:p>
            <w:pPr>
              <w:spacing w:after="0"/>
              <w:rPr>
                <w:sz w:val="16"/>
                <w:szCs w:val="16"/>
                <w:color w:val="auto"/>
              </w:rPr>
            </w:pPr>
          </w:p>
        </w:tc>
        <w:tc>
          <w:tcPr>
            <w:tcW w:w="10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2.32%</w:t>
            </w:r>
          </w:p>
        </w:tc>
        <w:tc>
          <w:tcPr>
            <w:tcW w:w="0" w:type="dxa"/>
            <w:vAlign w:val="bottom"/>
          </w:tcPr>
          <w:p>
            <w:pPr>
              <w:spacing w:after="0"/>
              <w:rPr>
                <w:sz w:val="1"/>
                <w:szCs w:val="1"/>
                <w:color w:val="auto"/>
              </w:rPr>
            </w:pPr>
          </w:p>
        </w:tc>
      </w:tr>
      <w:tr>
        <w:trPr>
          <w:trHeight w:val="186"/>
        </w:trPr>
        <w:tc>
          <w:tcPr>
            <w:tcW w:w="274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&gt; 10 years</w:t>
            </w:r>
          </w:p>
        </w:tc>
        <w:tc>
          <w:tcPr>
            <w:tcW w:w="1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10,916</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12,104</w:t>
            </w:r>
          </w:p>
        </w:tc>
        <w:tc>
          <w:tcPr>
            <w:tcW w:w="100" w:type="dxa"/>
            <w:vAlign w:val="bottom"/>
            <w:tcBorders>
              <w:bottom w:val="single" w:sz="8" w:color="CCEEFF"/>
            </w:tcBorders>
          </w:tcPr>
          <w:p>
            <w:pPr>
              <w:spacing w:after="0"/>
              <w:rPr>
                <w:sz w:val="16"/>
                <w:szCs w:val="16"/>
                <w:color w:val="auto"/>
              </w:rPr>
            </w:pPr>
          </w:p>
        </w:tc>
        <w:tc>
          <w:tcPr>
            <w:tcW w:w="94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5"/>
              </w:rPr>
              <w:t>2.68%</w:t>
            </w:r>
          </w:p>
        </w:tc>
        <w:tc>
          <w:tcPr>
            <w:tcW w:w="100" w:type="dxa"/>
            <w:vAlign w:val="bottom"/>
            <w:tcBorders>
              <w:bottom w:val="single" w:sz="8" w:color="CCEEFF"/>
            </w:tcBorders>
          </w:tcPr>
          <w:p>
            <w:pPr>
              <w:spacing w:after="0"/>
              <w:rPr>
                <w:sz w:val="16"/>
                <w:szCs w:val="16"/>
                <w:color w:val="auto"/>
              </w:rPr>
            </w:pPr>
          </w:p>
        </w:tc>
        <w:tc>
          <w:tcPr>
            <w:tcW w:w="10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2.57%</w:t>
            </w:r>
          </w:p>
        </w:tc>
        <w:tc>
          <w:tcPr>
            <w:tcW w:w="18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4,594</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4,628</w:t>
            </w:r>
          </w:p>
        </w:tc>
        <w:tc>
          <w:tcPr>
            <w:tcW w:w="100" w:type="dxa"/>
            <w:vAlign w:val="bottom"/>
            <w:tcBorders>
              <w:bottom w:val="single" w:sz="8" w:color="CCEEFF"/>
            </w:tcBorders>
          </w:tcPr>
          <w:p>
            <w:pPr>
              <w:spacing w:after="0"/>
              <w:rPr>
                <w:sz w:val="16"/>
                <w:szCs w:val="16"/>
                <w:color w:val="auto"/>
              </w:rPr>
            </w:pPr>
          </w:p>
        </w:tc>
        <w:tc>
          <w:tcPr>
            <w:tcW w:w="94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5"/>
              </w:rPr>
              <w:t>2.48%</w:t>
            </w:r>
          </w:p>
        </w:tc>
        <w:tc>
          <w:tcPr>
            <w:tcW w:w="100" w:type="dxa"/>
            <w:vAlign w:val="bottom"/>
            <w:tcBorders>
              <w:bottom w:val="single" w:sz="8" w:color="CCEEFF"/>
            </w:tcBorders>
          </w:tcPr>
          <w:p>
            <w:pPr>
              <w:spacing w:after="0"/>
              <w:rPr>
                <w:sz w:val="16"/>
                <w:szCs w:val="16"/>
                <w:color w:val="auto"/>
              </w:rPr>
            </w:pPr>
          </w:p>
        </w:tc>
        <w:tc>
          <w:tcPr>
            <w:tcW w:w="10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5"/>
              </w:rPr>
              <w:t>2.09%</w:t>
            </w:r>
          </w:p>
        </w:tc>
        <w:tc>
          <w:tcPr>
            <w:tcW w:w="0" w:type="dxa"/>
            <w:vAlign w:val="bottom"/>
          </w:tcPr>
          <w:p>
            <w:pPr>
              <w:spacing w:after="0"/>
              <w:rPr>
                <w:sz w:val="1"/>
                <w:szCs w:val="1"/>
                <w:color w:val="auto"/>
              </w:rPr>
            </w:pPr>
          </w:p>
        </w:tc>
      </w:tr>
      <w:tr>
        <w:trPr>
          <w:trHeight w:val="211"/>
        </w:trPr>
        <w:tc>
          <w:tcPr>
            <w:tcW w:w="27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Total</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45,401</w:t>
            </w:r>
          </w:p>
        </w:tc>
        <w:tc>
          <w:tcPr>
            <w:tcW w:w="12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4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48,862</w:t>
            </w:r>
          </w:p>
        </w:tc>
        <w:tc>
          <w:tcPr>
            <w:tcW w:w="100" w:type="dxa"/>
            <w:vAlign w:val="bottom"/>
            <w:tcBorders>
              <w:bottom w:val="single" w:sz="8" w:color="CCEEFF"/>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3.35%</w:t>
            </w:r>
          </w:p>
        </w:tc>
        <w:tc>
          <w:tcPr>
            <w:tcW w:w="100" w:type="dxa"/>
            <w:vAlign w:val="bottom"/>
            <w:tcBorders>
              <w:bottom w:val="single" w:sz="8" w:color="CCEEFF"/>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2.85%</w:t>
            </w:r>
          </w:p>
        </w:tc>
        <w:tc>
          <w:tcPr>
            <w:tcW w:w="18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54,421</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53,628</w:t>
            </w:r>
          </w:p>
        </w:tc>
        <w:tc>
          <w:tcPr>
            <w:tcW w:w="100" w:type="dxa"/>
            <w:vAlign w:val="bottom"/>
            <w:tcBorders>
              <w:bottom w:val="single" w:sz="8" w:color="CCEEFF"/>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3.08%</w:t>
            </w:r>
          </w:p>
        </w:tc>
        <w:tc>
          <w:tcPr>
            <w:tcW w:w="100" w:type="dxa"/>
            <w:vAlign w:val="bottom"/>
            <w:tcBorders>
              <w:bottom w:val="single" w:sz="8" w:color="CCEEFF"/>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2.43%</w:t>
            </w:r>
          </w:p>
        </w:tc>
        <w:tc>
          <w:tcPr>
            <w:tcW w:w="0" w:type="dxa"/>
            <w:vAlign w:val="bottom"/>
          </w:tcPr>
          <w:p>
            <w:pPr>
              <w:spacing w:after="0"/>
              <w:rPr>
                <w:sz w:val="1"/>
                <w:szCs w:val="1"/>
                <w:color w:val="auto"/>
              </w:rPr>
            </w:pPr>
          </w:p>
        </w:tc>
      </w:tr>
      <w:tr>
        <w:trPr>
          <w:trHeight w:val="20"/>
        </w:trPr>
        <w:tc>
          <w:tcPr>
            <w:tcW w:w="26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ind w:right="680" w:firstLine="486"/>
        <w:spacing w:after="0" w:line="284" w:lineRule="auto"/>
        <w:rPr>
          <w:sz w:val="20"/>
          <w:szCs w:val="20"/>
          <w:color w:val="auto"/>
        </w:rPr>
      </w:pPr>
      <w:r>
        <w:rPr>
          <w:rFonts w:ascii="Arial" w:cs="Arial" w:eastAsia="Arial" w:hAnsi="Arial"/>
          <w:sz w:val="17"/>
          <w:szCs w:val="17"/>
          <w:color w:val="auto"/>
        </w:rPr>
        <w:t>The following table presents the gross unrealized loss and fair values of securities classified as available-for-sale by length of time that such securities have been in a continuous unrealized loss position as of June 30, 2022 and December 31, 2021 (in millions):</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6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60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Unrealized Loss Position For</w:t>
            </w:r>
          </w:p>
        </w:tc>
        <w:tc>
          <w:tcPr>
            <w:tcW w:w="2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1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2600" w:type="dxa"/>
            <w:vAlign w:val="bottom"/>
            <w:gridSpan w:val="5"/>
          </w:tcPr>
          <w:p>
            <w:pPr>
              <w:ind w:left="580"/>
              <w:spacing w:after="0"/>
              <w:rPr>
                <w:sz w:val="20"/>
                <w:szCs w:val="20"/>
                <w:color w:val="auto"/>
              </w:rPr>
            </w:pPr>
            <w:r>
              <w:rPr>
                <w:rFonts w:ascii="Arial" w:cs="Arial" w:eastAsia="Arial" w:hAnsi="Arial"/>
                <w:sz w:val="14"/>
                <w:szCs w:val="14"/>
                <w:b w:val="1"/>
                <w:bCs w:val="1"/>
                <w:color w:val="auto"/>
              </w:rPr>
              <w:t>Less than 12 Months</w:t>
            </w:r>
          </w:p>
        </w:tc>
        <w:tc>
          <w:tcPr>
            <w:tcW w:w="1040" w:type="dxa"/>
            <w:vAlign w:val="bottom"/>
          </w:tcPr>
          <w:p>
            <w:pPr>
              <w:spacing w:after="0"/>
              <w:rPr>
                <w:sz w:val="16"/>
                <w:szCs w:val="16"/>
                <w:color w:val="auto"/>
              </w:rPr>
            </w:pPr>
          </w:p>
        </w:tc>
        <w:tc>
          <w:tcPr>
            <w:tcW w:w="1560" w:type="dxa"/>
            <w:vAlign w:val="bottom"/>
            <w:gridSpan w:val="3"/>
          </w:tcPr>
          <w:p>
            <w:pPr>
              <w:jc w:val="right"/>
              <w:ind w:right="268"/>
              <w:spacing w:after="0"/>
              <w:rPr>
                <w:sz w:val="20"/>
                <w:szCs w:val="20"/>
                <w:color w:val="auto"/>
              </w:rPr>
            </w:pPr>
            <w:r>
              <w:rPr>
                <w:rFonts w:ascii="Arial" w:cs="Arial" w:eastAsia="Arial" w:hAnsi="Arial"/>
                <w:sz w:val="14"/>
                <w:szCs w:val="14"/>
                <w:b w:val="1"/>
                <w:bCs w:val="1"/>
                <w:color w:val="auto"/>
                <w:w w:val="96"/>
              </w:rPr>
              <w:t>12 Months or More</w:t>
            </w: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00" w:type="dxa"/>
            <w:vAlign w:val="bottom"/>
          </w:tcPr>
          <w:p>
            <w:pPr>
              <w:jc w:val="right"/>
              <w:ind w:right="188"/>
              <w:spacing w:after="0"/>
              <w:rPr>
                <w:sz w:val="20"/>
                <w:szCs w:val="20"/>
                <w:color w:val="auto"/>
              </w:rPr>
            </w:pPr>
            <w:r>
              <w:rPr>
                <w:rFonts w:ascii="Arial" w:cs="Arial" w:eastAsia="Arial" w:hAnsi="Arial"/>
                <w:sz w:val="14"/>
                <w:szCs w:val="14"/>
                <w:b w:val="1"/>
                <w:bCs w:val="1"/>
                <w:color w:val="auto"/>
                <w:w w:val="95"/>
              </w:rPr>
              <w:t>Total</w:t>
            </w:r>
          </w:p>
        </w:tc>
        <w:tc>
          <w:tcPr>
            <w:tcW w:w="8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1"/>
        </w:trPr>
        <w:tc>
          <w:tcPr>
            <w:tcW w:w="2040" w:type="dxa"/>
            <w:vAlign w:val="bottom"/>
            <w:gridSpan w:val="2"/>
          </w:tcPr>
          <w:p>
            <w:pPr>
              <w:ind w:left="520"/>
              <w:spacing w:after="0" w:line="131" w:lineRule="exact"/>
              <w:rPr>
                <w:sz w:val="20"/>
                <w:szCs w:val="20"/>
                <w:color w:val="auto"/>
              </w:rPr>
            </w:pPr>
            <w:r>
              <w:rPr>
                <w:rFonts w:ascii="Arial" w:cs="Arial" w:eastAsia="Arial" w:hAnsi="Arial"/>
                <w:sz w:val="14"/>
                <w:szCs w:val="14"/>
                <w:b w:val="1"/>
                <w:bCs w:val="1"/>
                <w:color w:val="auto"/>
                <w:w w:val="95"/>
              </w:rPr>
              <w:t>Securities Classified as</w:t>
            </w:r>
          </w:p>
        </w:tc>
        <w:tc>
          <w:tcPr>
            <w:tcW w:w="560" w:type="dxa"/>
            <w:vAlign w:val="bottom"/>
            <w:tcBorders>
              <w:top w:val="single" w:sz="8" w:color="auto"/>
            </w:tcBorders>
          </w:tcPr>
          <w:p>
            <w:pPr>
              <w:spacing w:after="0"/>
              <w:rPr>
                <w:sz w:val="11"/>
                <w:szCs w:val="11"/>
                <w:color w:val="auto"/>
              </w:rPr>
            </w:pPr>
          </w:p>
        </w:tc>
        <w:tc>
          <w:tcPr>
            <w:tcW w:w="1020" w:type="dxa"/>
            <w:vAlign w:val="bottom"/>
            <w:tcBorders>
              <w:top w:val="single" w:sz="8" w:color="auto"/>
            </w:tcBorders>
            <w:gridSpan w:val="2"/>
          </w:tcPr>
          <w:p>
            <w:pPr>
              <w:ind w:left="300"/>
              <w:spacing w:after="0" w:line="131" w:lineRule="exact"/>
              <w:rPr>
                <w:sz w:val="20"/>
                <w:szCs w:val="20"/>
                <w:color w:val="auto"/>
              </w:rPr>
            </w:pPr>
            <w:r>
              <w:rPr>
                <w:rFonts w:ascii="Arial" w:cs="Arial" w:eastAsia="Arial" w:hAnsi="Arial"/>
                <w:sz w:val="14"/>
                <w:szCs w:val="14"/>
                <w:b w:val="1"/>
                <w:bCs w:val="1"/>
                <w:color w:val="auto"/>
              </w:rPr>
              <w:t>Fair</w:t>
            </w:r>
          </w:p>
        </w:tc>
        <w:tc>
          <w:tcPr>
            <w:tcW w:w="600" w:type="dxa"/>
            <w:vAlign w:val="bottom"/>
            <w:tcBorders>
              <w:top w:val="single" w:sz="8" w:color="auto"/>
            </w:tcBorders>
          </w:tcPr>
          <w:p>
            <w:pPr>
              <w:spacing w:after="0"/>
              <w:rPr>
                <w:sz w:val="11"/>
                <w:szCs w:val="11"/>
                <w:color w:val="auto"/>
              </w:rPr>
            </w:pPr>
          </w:p>
        </w:tc>
        <w:tc>
          <w:tcPr>
            <w:tcW w:w="880" w:type="dxa"/>
            <w:vAlign w:val="bottom"/>
            <w:tcBorders>
              <w:top w:val="single" w:sz="8" w:color="auto"/>
            </w:tcBorders>
          </w:tcPr>
          <w:p>
            <w:pPr>
              <w:jc w:val="right"/>
              <w:ind w:right="88"/>
              <w:spacing w:after="0" w:line="131" w:lineRule="exact"/>
              <w:rPr>
                <w:sz w:val="20"/>
                <w:szCs w:val="20"/>
                <w:color w:val="auto"/>
              </w:rPr>
            </w:pPr>
            <w:r>
              <w:rPr>
                <w:rFonts w:ascii="Arial" w:cs="Arial" w:eastAsia="Arial" w:hAnsi="Arial"/>
                <w:sz w:val="14"/>
                <w:szCs w:val="14"/>
                <w:b w:val="1"/>
                <w:bCs w:val="1"/>
                <w:color w:val="auto"/>
                <w:w w:val="98"/>
              </w:rPr>
              <w:t>Unrealized</w:t>
            </w:r>
          </w:p>
        </w:tc>
        <w:tc>
          <w:tcPr>
            <w:tcW w:w="100" w:type="dxa"/>
            <w:vAlign w:val="bottom"/>
          </w:tcPr>
          <w:p>
            <w:pPr>
              <w:spacing w:after="0"/>
              <w:rPr>
                <w:sz w:val="11"/>
                <w:szCs w:val="11"/>
                <w:color w:val="auto"/>
              </w:rPr>
            </w:pPr>
          </w:p>
        </w:tc>
        <w:tc>
          <w:tcPr>
            <w:tcW w:w="1040" w:type="dxa"/>
            <w:vAlign w:val="bottom"/>
            <w:tcBorders>
              <w:top w:val="single" w:sz="8" w:color="auto"/>
            </w:tcBorders>
            <w:vMerge w:val="restart"/>
          </w:tcPr>
          <w:p>
            <w:pPr>
              <w:jc w:val="right"/>
              <w:spacing w:after="0"/>
              <w:rPr>
                <w:sz w:val="20"/>
                <w:szCs w:val="20"/>
                <w:color w:val="auto"/>
              </w:rPr>
            </w:pPr>
            <w:r>
              <w:rPr>
                <w:rFonts w:ascii="Arial" w:cs="Arial" w:eastAsia="Arial" w:hAnsi="Arial"/>
                <w:sz w:val="14"/>
                <w:szCs w:val="14"/>
                <w:b w:val="1"/>
                <w:bCs w:val="1"/>
                <w:color w:val="auto"/>
              </w:rPr>
              <w:t>Fair Value</w:t>
            </w:r>
          </w:p>
        </w:tc>
        <w:tc>
          <w:tcPr>
            <w:tcW w:w="32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380" w:type="dxa"/>
            <w:vAlign w:val="bottom"/>
            <w:tcBorders>
              <w:top w:val="single" w:sz="8" w:color="auto"/>
            </w:tcBorders>
            <w:gridSpan w:val="2"/>
          </w:tcPr>
          <w:p>
            <w:pPr>
              <w:ind w:left="600"/>
              <w:spacing w:after="0" w:line="131" w:lineRule="exact"/>
              <w:rPr>
                <w:sz w:val="20"/>
                <w:szCs w:val="20"/>
                <w:color w:val="auto"/>
              </w:rPr>
            </w:pPr>
            <w:r>
              <w:rPr>
                <w:rFonts w:ascii="Arial" w:cs="Arial" w:eastAsia="Arial" w:hAnsi="Arial"/>
                <w:sz w:val="14"/>
                <w:szCs w:val="14"/>
                <w:b w:val="1"/>
                <w:bCs w:val="1"/>
                <w:color w:val="auto"/>
              </w:rPr>
              <w:t>Unrealized</w:t>
            </w:r>
          </w:p>
        </w:tc>
        <w:tc>
          <w:tcPr>
            <w:tcW w:w="100" w:type="dxa"/>
            <w:vAlign w:val="bottom"/>
          </w:tcPr>
          <w:p>
            <w:pPr>
              <w:spacing w:after="0"/>
              <w:rPr>
                <w:sz w:val="11"/>
                <w:szCs w:val="11"/>
                <w:color w:val="auto"/>
              </w:rPr>
            </w:pPr>
          </w:p>
        </w:tc>
        <w:tc>
          <w:tcPr>
            <w:tcW w:w="580" w:type="dxa"/>
            <w:vAlign w:val="bottom"/>
            <w:tcBorders>
              <w:top w:val="single" w:sz="8" w:color="auto"/>
            </w:tcBorders>
          </w:tcPr>
          <w:p>
            <w:pPr>
              <w:spacing w:after="0"/>
              <w:rPr>
                <w:sz w:val="11"/>
                <w:szCs w:val="11"/>
                <w:color w:val="auto"/>
              </w:rPr>
            </w:pPr>
          </w:p>
        </w:tc>
        <w:tc>
          <w:tcPr>
            <w:tcW w:w="1000" w:type="dxa"/>
            <w:vAlign w:val="bottom"/>
            <w:tcBorders>
              <w:top w:val="single" w:sz="8" w:color="auto"/>
            </w:tcBorders>
            <w:gridSpan w:val="2"/>
          </w:tcPr>
          <w:p>
            <w:pPr>
              <w:ind w:left="280"/>
              <w:spacing w:after="0" w:line="131" w:lineRule="exact"/>
              <w:rPr>
                <w:sz w:val="20"/>
                <w:szCs w:val="20"/>
                <w:color w:val="auto"/>
              </w:rPr>
            </w:pPr>
            <w:r>
              <w:rPr>
                <w:rFonts w:ascii="Arial" w:cs="Arial" w:eastAsia="Arial" w:hAnsi="Arial"/>
                <w:sz w:val="14"/>
                <w:szCs w:val="14"/>
                <w:b w:val="1"/>
                <w:bCs w:val="1"/>
                <w:color w:val="auto"/>
              </w:rPr>
              <w:t>Fair</w:t>
            </w:r>
          </w:p>
        </w:tc>
        <w:tc>
          <w:tcPr>
            <w:tcW w:w="600" w:type="dxa"/>
            <w:vAlign w:val="bottom"/>
            <w:tcBorders>
              <w:top w:val="single" w:sz="8" w:color="auto"/>
            </w:tcBorders>
          </w:tcPr>
          <w:p>
            <w:pPr>
              <w:spacing w:after="0"/>
              <w:rPr>
                <w:sz w:val="11"/>
                <w:szCs w:val="11"/>
                <w:color w:val="auto"/>
              </w:rPr>
            </w:pPr>
          </w:p>
        </w:tc>
        <w:tc>
          <w:tcPr>
            <w:tcW w:w="880" w:type="dxa"/>
            <w:vAlign w:val="bottom"/>
            <w:tcBorders>
              <w:top w:val="single" w:sz="8" w:color="auto"/>
            </w:tcBorders>
          </w:tcPr>
          <w:p>
            <w:pPr>
              <w:jc w:val="right"/>
              <w:ind w:right="88"/>
              <w:spacing w:after="0" w:line="131" w:lineRule="exact"/>
              <w:rPr>
                <w:sz w:val="20"/>
                <w:szCs w:val="20"/>
                <w:color w:val="auto"/>
              </w:rPr>
            </w:pPr>
            <w:r>
              <w:rPr>
                <w:rFonts w:ascii="Arial" w:cs="Arial" w:eastAsia="Arial" w:hAnsi="Arial"/>
                <w:sz w:val="14"/>
                <w:szCs w:val="14"/>
                <w:b w:val="1"/>
                <w:bCs w:val="1"/>
                <w:color w:val="auto"/>
                <w:w w:val="98"/>
              </w:rPr>
              <w:t>Unrealized</w:t>
            </w:r>
          </w:p>
        </w:tc>
        <w:tc>
          <w:tcPr>
            <w:tcW w:w="0" w:type="dxa"/>
            <w:vAlign w:val="bottom"/>
          </w:tcPr>
          <w:p>
            <w:pPr>
              <w:spacing w:after="0"/>
              <w:rPr>
                <w:sz w:val="1"/>
                <w:szCs w:val="1"/>
                <w:color w:val="auto"/>
              </w:rPr>
            </w:pPr>
          </w:p>
        </w:tc>
      </w:tr>
      <w:tr>
        <w:trPr>
          <w:trHeight w:val="188"/>
        </w:trPr>
        <w:tc>
          <w:tcPr>
            <w:tcW w:w="194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Available-for-Sale</w:t>
            </w:r>
          </w:p>
        </w:tc>
        <w:tc>
          <w:tcPr>
            <w:tcW w:w="100" w:type="dxa"/>
            <w:vAlign w:val="bottom"/>
            <w:tcBorders>
              <w:bottom w:val="single" w:sz="8" w:color="CCEEFF"/>
            </w:tcBorders>
          </w:tcPr>
          <w:p>
            <w:pPr>
              <w:spacing w:after="0"/>
              <w:rPr>
                <w:sz w:val="16"/>
                <w:szCs w:val="16"/>
                <w:color w:val="auto"/>
              </w:rPr>
            </w:pPr>
          </w:p>
        </w:tc>
        <w:tc>
          <w:tcPr>
            <w:tcW w:w="56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508"/>
              <w:spacing w:after="0"/>
              <w:rPr>
                <w:sz w:val="20"/>
                <w:szCs w:val="20"/>
                <w:color w:val="auto"/>
              </w:rPr>
            </w:pPr>
            <w:r>
              <w:rPr>
                <w:rFonts w:ascii="Arial" w:cs="Arial" w:eastAsia="Arial" w:hAnsi="Arial"/>
                <w:sz w:val="14"/>
                <w:szCs w:val="14"/>
                <w:b w:val="1"/>
                <w:bCs w:val="1"/>
                <w:color w:val="auto"/>
                <w:w w:val="90"/>
              </w:rPr>
              <w:t>Value</w:t>
            </w:r>
          </w:p>
        </w:tc>
        <w:tc>
          <w:tcPr>
            <w:tcW w:w="80" w:type="dxa"/>
            <w:vAlign w:val="bottom"/>
            <w:tcBorders>
              <w:bottom w:val="single" w:sz="8" w:color="CCEEFF"/>
            </w:tcBorders>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528"/>
              <w:spacing w:after="0"/>
              <w:rPr>
                <w:sz w:val="20"/>
                <w:szCs w:val="20"/>
                <w:color w:val="auto"/>
              </w:rPr>
            </w:pPr>
            <w:r>
              <w:rPr>
                <w:rFonts w:ascii="Arial" w:cs="Arial" w:eastAsia="Arial" w:hAnsi="Arial"/>
                <w:sz w:val="14"/>
                <w:szCs w:val="14"/>
                <w:b w:val="1"/>
                <w:bCs w:val="1"/>
                <w:color w:val="auto"/>
                <w:w w:val="79"/>
              </w:rPr>
              <w:t>Loss</w:t>
            </w:r>
          </w:p>
        </w:tc>
        <w:tc>
          <w:tcPr>
            <w:tcW w:w="10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vMerge w:val="continue"/>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14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Loss</w:t>
            </w:r>
          </w:p>
        </w:tc>
        <w:tc>
          <w:tcPr>
            <w:tcW w:w="24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5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508"/>
              <w:spacing w:after="0"/>
              <w:rPr>
                <w:sz w:val="20"/>
                <w:szCs w:val="20"/>
                <w:color w:val="auto"/>
              </w:rPr>
            </w:pPr>
            <w:r>
              <w:rPr>
                <w:rFonts w:ascii="Arial" w:cs="Arial" w:eastAsia="Arial" w:hAnsi="Arial"/>
                <w:sz w:val="14"/>
                <w:szCs w:val="14"/>
                <w:b w:val="1"/>
                <w:bCs w:val="1"/>
                <w:color w:val="auto"/>
                <w:w w:val="85"/>
              </w:rPr>
              <w:t>Value</w:t>
            </w:r>
          </w:p>
        </w:tc>
        <w:tc>
          <w:tcPr>
            <w:tcW w:w="80" w:type="dxa"/>
            <w:vAlign w:val="bottom"/>
            <w:tcBorders>
              <w:bottom w:val="single" w:sz="8" w:color="CCEEFF"/>
            </w:tcBorders>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528"/>
              <w:spacing w:after="0"/>
              <w:rPr>
                <w:sz w:val="20"/>
                <w:szCs w:val="20"/>
                <w:color w:val="auto"/>
              </w:rPr>
            </w:pPr>
            <w:r>
              <w:rPr>
                <w:rFonts w:ascii="Arial" w:cs="Arial" w:eastAsia="Arial" w:hAnsi="Arial"/>
                <w:sz w:val="14"/>
                <w:szCs w:val="14"/>
                <w:b w:val="1"/>
                <w:bCs w:val="1"/>
                <w:color w:val="auto"/>
                <w:w w:val="79"/>
              </w:rPr>
              <w:t>Loss</w:t>
            </w:r>
          </w:p>
        </w:tc>
        <w:tc>
          <w:tcPr>
            <w:tcW w:w="0" w:type="dxa"/>
            <w:vAlign w:val="bottom"/>
          </w:tcPr>
          <w:p>
            <w:pPr>
              <w:spacing w:after="0"/>
              <w:rPr>
                <w:sz w:val="1"/>
                <w:szCs w:val="1"/>
                <w:color w:val="auto"/>
              </w:rPr>
            </w:pPr>
          </w:p>
        </w:tc>
      </w:tr>
      <w:tr>
        <w:trPr>
          <w:trHeight w:val="346"/>
        </w:trPr>
        <w:tc>
          <w:tcPr>
            <w:tcW w:w="2040" w:type="dxa"/>
            <w:vAlign w:val="bottom"/>
            <w:gridSpan w:val="2"/>
            <w:shd w:val="clear" w:color="auto" w:fill="CCEEFF"/>
          </w:tcPr>
          <w:p>
            <w:pPr>
              <w:ind w:left="520"/>
              <w:spacing w:after="0"/>
              <w:rPr>
                <w:sz w:val="20"/>
                <w:szCs w:val="20"/>
                <w:color w:val="auto"/>
              </w:rPr>
            </w:pPr>
            <w:r>
              <w:rPr>
                <w:rFonts w:ascii="Arial" w:cs="Arial" w:eastAsia="Arial" w:hAnsi="Arial"/>
                <w:sz w:val="14"/>
                <w:szCs w:val="14"/>
                <w:color w:val="auto"/>
              </w:rPr>
              <w:t>June 30, 2022</w:t>
            </w: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6,803</w:t>
            </w:r>
          </w:p>
        </w:tc>
        <w:tc>
          <w:tcPr>
            <w:tcW w:w="80" w:type="dxa"/>
            <w:vAlign w:val="bottom"/>
            <w:shd w:val="clear" w:color="auto" w:fill="CCEEFF"/>
          </w:tcPr>
          <w:p>
            <w:pPr>
              <w:spacing w:after="0"/>
              <w:rPr>
                <w:sz w:val="24"/>
                <w:szCs w:val="2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(437)</w:t>
            </w:r>
          </w:p>
        </w:tc>
        <w:tc>
          <w:tcPr>
            <w:tcW w:w="10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408"/>
              <w:spacing w:after="0"/>
              <w:rPr>
                <w:sz w:val="20"/>
                <w:szCs w:val="20"/>
                <w:color w:val="auto"/>
              </w:rPr>
            </w:pPr>
            <w:r>
              <w:rPr>
                <w:rFonts w:ascii="Arial" w:cs="Arial" w:eastAsia="Arial" w:hAnsi="Arial"/>
                <w:sz w:val="14"/>
                <w:szCs w:val="14"/>
                <w:color w:val="auto"/>
              </w:rPr>
              <w:t>$</w:t>
            </w:r>
          </w:p>
        </w:tc>
        <w:tc>
          <w:tcPr>
            <w:tcW w:w="42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w:t>
            </w:r>
          </w:p>
        </w:tc>
        <w:tc>
          <w:tcPr>
            <w:tcW w:w="1140" w:type="dxa"/>
            <w:vAlign w:val="bottom"/>
            <w:shd w:val="clear" w:color="auto" w:fill="CCEEFF"/>
          </w:tcPr>
          <w:p>
            <w:pPr>
              <w:jc w:val="right"/>
              <w:ind w:right="488"/>
              <w:spacing w:after="0"/>
              <w:rPr>
                <w:sz w:val="20"/>
                <w:szCs w:val="20"/>
                <w:color w:val="auto"/>
              </w:rPr>
            </w:pPr>
            <w:r>
              <w:rPr>
                <w:rFonts w:ascii="Arial" w:cs="Arial" w:eastAsia="Arial" w:hAnsi="Arial"/>
                <w:sz w:val="14"/>
                <w:szCs w:val="14"/>
                <w:color w:val="auto"/>
              </w:rPr>
              <w:t>$</w:t>
            </w:r>
          </w:p>
        </w:tc>
        <w:tc>
          <w:tcPr>
            <w:tcW w:w="3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6,803</w:t>
            </w:r>
          </w:p>
        </w:tc>
        <w:tc>
          <w:tcPr>
            <w:tcW w:w="80" w:type="dxa"/>
            <w:vAlign w:val="bottom"/>
            <w:shd w:val="clear" w:color="auto" w:fill="CCEEFF"/>
          </w:tcPr>
          <w:p>
            <w:pPr>
              <w:spacing w:after="0"/>
              <w:rPr>
                <w:sz w:val="24"/>
                <w:szCs w:val="2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(437)</w:t>
            </w:r>
          </w:p>
        </w:tc>
        <w:tc>
          <w:tcPr>
            <w:tcW w:w="0" w:type="dxa"/>
            <w:vAlign w:val="bottom"/>
          </w:tcPr>
          <w:p>
            <w:pPr>
              <w:spacing w:after="0"/>
              <w:rPr>
                <w:sz w:val="1"/>
                <w:szCs w:val="1"/>
                <w:color w:val="auto"/>
              </w:rPr>
            </w:pPr>
          </w:p>
        </w:tc>
      </w:tr>
      <w:tr>
        <w:trPr>
          <w:trHeight w:val="339"/>
        </w:trPr>
        <w:tc>
          <w:tcPr>
            <w:tcW w:w="2040" w:type="dxa"/>
            <w:vAlign w:val="bottom"/>
            <w:gridSpan w:val="2"/>
          </w:tcPr>
          <w:p>
            <w:pPr>
              <w:ind w:left="520"/>
              <w:spacing w:after="0"/>
              <w:rPr>
                <w:sz w:val="20"/>
                <w:szCs w:val="20"/>
                <w:color w:val="auto"/>
              </w:rPr>
            </w:pPr>
            <w:r>
              <w:rPr>
                <w:rFonts w:ascii="Arial" w:cs="Arial" w:eastAsia="Arial" w:hAnsi="Arial"/>
                <w:sz w:val="14"/>
                <w:szCs w:val="14"/>
                <w:color w:val="auto"/>
              </w:rPr>
              <w:t>December 31, 2021</w:t>
            </w:r>
          </w:p>
        </w:tc>
        <w:tc>
          <w:tcPr>
            <w:tcW w:w="56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60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gridSpan w:val="2"/>
          </w:tcPr>
          <w:p>
            <w:pPr>
              <w:ind w:left="680"/>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408"/>
              <w:spacing w:after="0"/>
              <w:rPr>
                <w:sz w:val="20"/>
                <w:szCs w:val="20"/>
                <w:color w:val="auto"/>
              </w:rPr>
            </w:pPr>
            <w:r>
              <w:rPr>
                <w:rFonts w:ascii="Arial" w:cs="Arial" w:eastAsia="Arial" w:hAnsi="Arial"/>
                <w:sz w:val="14"/>
                <w:szCs w:val="14"/>
                <w:color w:val="auto"/>
              </w:rPr>
              <w:t>$</w:t>
            </w:r>
          </w:p>
        </w:tc>
        <w:tc>
          <w:tcPr>
            <w:tcW w:w="420" w:type="dxa"/>
            <w:vAlign w:val="bottom"/>
            <w:gridSpan w:val="2"/>
          </w:tcPr>
          <w:p>
            <w:pPr>
              <w:ind w:left="120"/>
              <w:spacing w:after="0"/>
              <w:rPr>
                <w:sz w:val="20"/>
                <w:szCs w:val="20"/>
                <w:color w:val="auto"/>
              </w:rPr>
            </w:pPr>
            <w:r>
              <w:rPr>
                <w:rFonts w:ascii="Arial" w:cs="Arial" w:eastAsia="Arial" w:hAnsi="Arial"/>
                <w:sz w:val="14"/>
                <w:szCs w:val="14"/>
                <w:color w:val="auto"/>
              </w:rPr>
              <w:t>—</w:t>
            </w:r>
          </w:p>
        </w:tc>
        <w:tc>
          <w:tcPr>
            <w:tcW w:w="1140" w:type="dxa"/>
            <w:vAlign w:val="bottom"/>
          </w:tcPr>
          <w:p>
            <w:pPr>
              <w:jc w:val="right"/>
              <w:ind w:right="488"/>
              <w:spacing w:after="0"/>
              <w:rPr>
                <w:sz w:val="20"/>
                <w:szCs w:val="20"/>
                <w:color w:val="auto"/>
              </w:rPr>
            </w:pPr>
            <w:r>
              <w:rPr>
                <w:rFonts w:ascii="Arial" w:cs="Arial" w:eastAsia="Arial" w:hAnsi="Arial"/>
                <w:sz w:val="14"/>
                <w:szCs w:val="14"/>
                <w:color w:val="auto"/>
              </w:rPr>
              <w:t>$</w:t>
            </w:r>
          </w:p>
        </w:tc>
        <w:tc>
          <w:tcPr>
            <w:tcW w:w="340" w:type="dxa"/>
            <w:vAlign w:val="bottom"/>
            <w:gridSpan w:val="2"/>
          </w:tcPr>
          <w:p>
            <w:pPr>
              <w:ind w:left="40"/>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00" w:type="dxa"/>
            <w:vAlign w:val="bottom"/>
          </w:tcPr>
          <w:p>
            <w:pPr>
              <w:jc w:val="right"/>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bl>
    <w:p>
      <w:pPr>
        <w:spacing w:after="0" w:line="3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Gains and Losses on Sale of Investment Securities</w:t>
      </w:r>
    </w:p>
    <w:p>
      <w:pPr>
        <w:spacing w:after="0" w:line="171" w:lineRule="exact"/>
        <w:rPr>
          <w:sz w:val="20"/>
          <w:szCs w:val="20"/>
          <w:color w:val="auto"/>
        </w:rPr>
      </w:pPr>
    </w:p>
    <w:p>
      <w:pPr>
        <w:ind w:left="500"/>
        <w:spacing w:after="0"/>
        <w:rPr>
          <w:sz w:val="20"/>
          <w:szCs w:val="20"/>
          <w:color w:val="auto"/>
        </w:rPr>
      </w:pPr>
      <w:r>
        <w:rPr>
          <w:rFonts w:ascii="Arial" w:cs="Arial" w:eastAsia="Arial" w:hAnsi="Arial"/>
          <w:sz w:val="16"/>
          <w:szCs w:val="16"/>
          <w:color w:val="auto"/>
        </w:rPr>
        <w:t>The following table is a summary of our net gain (loss) from the sale of investment securities for the three and six months ended June 30, 2022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2021 by investment classification of accounting (in millions):</w:t>
      </w:r>
    </w:p>
    <w:p>
      <w:pPr>
        <w:spacing w:after="0" w:line="324"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54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2040" w:type="dxa"/>
            <w:vAlign w:val="bottom"/>
            <w:gridSpan w:val="7"/>
          </w:tcPr>
          <w:p>
            <w:pPr>
              <w:jc w:val="center"/>
              <w:ind w:right="20"/>
              <w:spacing w:after="0"/>
              <w:rPr>
                <w:sz w:val="20"/>
                <w:szCs w:val="20"/>
                <w:color w:val="auto"/>
              </w:rPr>
            </w:pPr>
            <w:r>
              <w:rPr>
                <w:rFonts w:ascii="Arial" w:cs="Arial" w:eastAsia="Arial" w:hAnsi="Arial"/>
                <w:sz w:val="14"/>
                <w:szCs w:val="14"/>
                <w:b w:val="1"/>
                <w:bCs w:val="1"/>
                <w:color w:val="auto"/>
                <w:w w:val="93"/>
              </w:rPr>
              <w:t>Three Months Ended June 30,</w:t>
            </w:r>
          </w:p>
        </w:tc>
        <w:tc>
          <w:tcPr>
            <w:tcW w:w="1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5"/>
        </w:trPr>
        <w:tc>
          <w:tcPr>
            <w:tcW w:w="54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jc w:val="center"/>
              <w:ind w:right="71"/>
              <w:spacing w:after="0"/>
              <w:rPr>
                <w:sz w:val="20"/>
                <w:szCs w:val="20"/>
                <w:color w:val="auto"/>
              </w:rPr>
            </w:pPr>
            <w:r>
              <w:rPr>
                <w:rFonts w:ascii="Arial" w:cs="Arial" w:eastAsia="Arial" w:hAnsi="Arial"/>
                <w:sz w:val="14"/>
                <w:szCs w:val="14"/>
                <w:b w:val="1"/>
                <w:bCs w:val="1"/>
                <w:color w:val="auto"/>
                <w:w w:val="96"/>
              </w:rPr>
              <w:t>2022</w:t>
            </w:r>
          </w:p>
        </w:tc>
        <w:tc>
          <w:tcPr>
            <w:tcW w:w="8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center"/>
              <w:ind w:right="51"/>
              <w:spacing w:after="0"/>
              <w:rPr>
                <w:sz w:val="20"/>
                <w:szCs w:val="20"/>
                <w:color w:val="auto"/>
              </w:rPr>
            </w:pPr>
            <w:r>
              <w:rPr>
                <w:rFonts w:ascii="Arial" w:cs="Arial" w:eastAsia="Arial" w:hAnsi="Arial"/>
                <w:sz w:val="14"/>
                <w:szCs w:val="14"/>
                <w:b w:val="1"/>
                <w:bCs w:val="1"/>
                <w:color w:val="auto"/>
                <w:w w:val="96"/>
              </w:rPr>
              <w:t>2021</w:t>
            </w: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21"/>
        </w:trPr>
        <w:tc>
          <w:tcPr>
            <w:tcW w:w="54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80" w:type="dxa"/>
            <w:vAlign w:val="bottom"/>
            <w:gridSpan w:val="3"/>
          </w:tcPr>
          <w:p>
            <w:pPr>
              <w:jc w:val="center"/>
              <w:ind w:right="80"/>
              <w:spacing w:after="0" w:line="121" w:lineRule="exact"/>
              <w:rPr>
                <w:sz w:val="20"/>
                <w:szCs w:val="20"/>
                <w:color w:val="auto"/>
              </w:rPr>
            </w:pPr>
            <w:r>
              <w:rPr>
                <w:rFonts w:ascii="Arial" w:cs="Arial" w:eastAsia="Arial" w:hAnsi="Arial"/>
                <w:sz w:val="13"/>
                <w:szCs w:val="13"/>
                <w:b w:val="1"/>
                <w:bCs w:val="1"/>
                <w:color w:val="auto"/>
                <w:w w:val="89"/>
              </w:rPr>
              <w:t>Available-for-</w:t>
            </w:r>
          </w:p>
        </w:tc>
        <w:tc>
          <w:tcPr>
            <w:tcW w:w="120" w:type="dxa"/>
            <w:vAlign w:val="bottom"/>
          </w:tcPr>
          <w:p>
            <w:pPr>
              <w:spacing w:after="0"/>
              <w:rPr>
                <w:sz w:val="10"/>
                <w:szCs w:val="10"/>
                <w:color w:val="auto"/>
              </w:rPr>
            </w:pPr>
          </w:p>
        </w:tc>
        <w:tc>
          <w:tcPr>
            <w:tcW w:w="760" w:type="dxa"/>
            <w:vAlign w:val="bottom"/>
          </w:tcPr>
          <w:p>
            <w:pPr>
              <w:jc w:val="center"/>
              <w:ind w:right="51"/>
              <w:spacing w:after="0" w:line="121" w:lineRule="exact"/>
              <w:rPr>
                <w:sz w:val="20"/>
                <w:szCs w:val="20"/>
                <w:color w:val="auto"/>
              </w:rPr>
            </w:pPr>
            <w:r>
              <w:rPr>
                <w:rFonts w:ascii="Arial" w:cs="Arial" w:eastAsia="Arial" w:hAnsi="Arial"/>
                <w:sz w:val="13"/>
                <w:szCs w:val="13"/>
                <w:b w:val="1"/>
                <w:bCs w:val="1"/>
                <w:color w:val="auto"/>
                <w:w w:val="90"/>
              </w:rPr>
              <w:t>Fair Value</w:t>
            </w: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80" w:type="dxa"/>
            <w:vAlign w:val="bottom"/>
            <w:gridSpan w:val="3"/>
          </w:tcPr>
          <w:p>
            <w:pPr>
              <w:jc w:val="center"/>
              <w:ind w:right="120"/>
              <w:spacing w:after="0" w:line="121" w:lineRule="exact"/>
              <w:rPr>
                <w:sz w:val="20"/>
                <w:szCs w:val="20"/>
                <w:color w:val="auto"/>
              </w:rPr>
            </w:pPr>
            <w:r>
              <w:rPr>
                <w:rFonts w:ascii="Arial" w:cs="Arial" w:eastAsia="Arial" w:hAnsi="Arial"/>
                <w:sz w:val="13"/>
                <w:szCs w:val="13"/>
                <w:b w:val="1"/>
                <w:bCs w:val="1"/>
                <w:color w:val="auto"/>
                <w:w w:val="89"/>
              </w:rPr>
              <w:t>Available-for-</w:t>
            </w:r>
          </w:p>
        </w:tc>
        <w:tc>
          <w:tcPr>
            <w:tcW w:w="120" w:type="dxa"/>
            <w:vAlign w:val="bottom"/>
          </w:tcPr>
          <w:p>
            <w:pPr>
              <w:spacing w:after="0"/>
              <w:rPr>
                <w:sz w:val="10"/>
                <w:szCs w:val="10"/>
                <w:color w:val="auto"/>
              </w:rPr>
            </w:pPr>
          </w:p>
        </w:tc>
        <w:tc>
          <w:tcPr>
            <w:tcW w:w="840" w:type="dxa"/>
            <w:vAlign w:val="bottom"/>
            <w:gridSpan w:val="2"/>
          </w:tcPr>
          <w:p>
            <w:pPr>
              <w:jc w:val="center"/>
              <w:ind w:right="220"/>
              <w:spacing w:after="0" w:line="121" w:lineRule="exact"/>
              <w:rPr>
                <w:sz w:val="20"/>
                <w:szCs w:val="20"/>
                <w:color w:val="auto"/>
              </w:rPr>
            </w:pPr>
            <w:r>
              <w:rPr>
                <w:rFonts w:ascii="Arial" w:cs="Arial" w:eastAsia="Arial" w:hAnsi="Arial"/>
                <w:sz w:val="13"/>
                <w:szCs w:val="13"/>
                <w:b w:val="1"/>
                <w:bCs w:val="1"/>
                <w:color w:val="auto"/>
                <w:w w:val="93"/>
              </w:rPr>
              <w:t>Fair Value</w:t>
            </w:r>
          </w:p>
        </w:tc>
        <w:tc>
          <w:tcPr>
            <w:tcW w:w="20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5500" w:type="dxa"/>
            <w:vAlign w:val="bottom"/>
            <w:gridSpan w:val="2"/>
            <w:vMerge w:val="restart"/>
          </w:tcPr>
          <w:p>
            <w:pPr>
              <w:ind w:left="20"/>
              <w:spacing w:after="0"/>
              <w:rPr>
                <w:sz w:val="20"/>
                <w:szCs w:val="20"/>
                <w:color w:val="auto"/>
              </w:rPr>
            </w:pPr>
            <w:r>
              <w:rPr>
                <w:rFonts w:ascii="Arial" w:cs="Arial" w:eastAsia="Arial" w:hAnsi="Arial"/>
                <w:sz w:val="13"/>
                <w:szCs w:val="13"/>
                <w:b w:val="1"/>
                <w:bCs w:val="1"/>
                <w:color w:val="auto"/>
              </w:rPr>
              <w:t>Investment Securities</w:t>
            </w:r>
          </w:p>
        </w:tc>
        <w:tc>
          <w:tcPr>
            <w:tcW w:w="120" w:type="dxa"/>
            <w:vAlign w:val="bottom"/>
          </w:tcPr>
          <w:p>
            <w:pPr>
              <w:spacing w:after="0"/>
              <w:rPr>
                <w:sz w:val="10"/>
                <w:szCs w:val="10"/>
                <w:color w:val="auto"/>
              </w:rPr>
            </w:pPr>
          </w:p>
        </w:tc>
        <w:tc>
          <w:tcPr>
            <w:tcW w:w="860" w:type="dxa"/>
            <w:vAlign w:val="bottom"/>
            <w:gridSpan w:val="2"/>
          </w:tcPr>
          <w:p>
            <w:pPr>
              <w:jc w:val="center"/>
              <w:ind w:right="220"/>
              <w:spacing w:after="0" w:line="122" w:lineRule="exact"/>
              <w:rPr>
                <w:sz w:val="20"/>
                <w:szCs w:val="20"/>
                <w:color w:val="auto"/>
              </w:rPr>
            </w:pPr>
            <w:r>
              <w:rPr>
                <w:rFonts w:ascii="Arial" w:cs="Arial" w:eastAsia="Arial" w:hAnsi="Arial"/>
                <w:sz w:val="13"/>
                <w:szCs w:val="13"/>
                <w:b w:val="1"/>
                <w:bCs w:val="1"/>
                <w:color w:val="auto"/>
                <w:w w:val="89"/>
              </w:rPr>
              <w:t>Sale</w:t>
            </w:r>
          </w:p>
        </w:tc>
        <w:tc>
          <w:tcPr>
            <w:tcW w:w="120" w:type="dxa"/>
            <w:vAlign w:val="bottom"/>
          </w:tcPr>
          <w:p>
            <w:pPr>
              <w:spacing w:after="0"/>
              <w:rPr>
                <w:sz w:val="10"/>
                <w:szCs w:val="10"/>
                <w:color w:val="auto"/>
              </w:rPr>
            </w:pPr>
          </w:p>
        </w:tc>
        <w:tc>
          <w:tcPr>
            <w:tcW w:w="760" w:type="dxa"/>
            <w:vAlign w:val="bottom"/>
          </w:tcPr>
          <w:p>
            <w:pPr>
              <w:jc w:val="center"/>
              <w:ind w:right="71"/>
              <w:spacing w:after="0" w:line="122" w:lineRule="exact"/>
              <w:rPr>
                <w:sz w:val="20"/>
                <w:szCs w:val="20"/>
                <w:color w:val="auto"/>
              </w:rPr>
            </w:pPr>
            <w:r>
              <w:rPr>
                <w:rFonts w:ascii="Arial" w:cs="Arial" w:eastAsia="Arial" w:hAnsi="Arial"/>
                <w:sz w:val="13"/>
                <w:szCs w:val="13"/>
                <w:b w:val="1"/>
                <w:bCs w:val="1"/>
                <w:color w:val="auto"/>
                <w:w w:val="90"/>
              </w:rPr>
              <w:t>Option</w:t>
            </w: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780" w:type="dxa"/>
            <w:vAlign w:val="bottom"/>
            <w:gridSpan w:val="2"/>
            <w:vMerge w:val="restart"/>
          </w:tcPr>
          <w:p>
            <w:pPr>
              <w:ind w:left="100"/>
              <w:spacing w:after="0"/>
              <w:rPr>
                <w:sz w:val="20"/>
                <w:szCs w:val="20"/>
                <w:color w:val="auto"/>
              </w:rPr>
            </w:pPr>
            <w:r>
              <w:rPr>
                <w:rFonts w:ascii="Arial" w:cs="Arial" w:eastAsia="Arial" w:hAnsi="Arial"/>
                <w:sz w:val="13"/>
                <w:szCs w:val="13"/>
                <w:b w:val="1"/>
                <w:bCs w:val="1"/>
                <w:color w:val="auto"/>
              </w:rPr>
              <w:t>Total</w:t>
            </w:r>
          </w:p>
        </w:tc>
        <w:tc>
          <w:tcPr>
            <w:tcW w:w="120" w:type="dxa"/>
            <w:vAlign w:val="bottom"/>
          </w:tcPr>
          <w:p>
            <w:pPr>
              <w:spacing w:after="0"/>
              <w:rPr>
                <w:sz w:val="10"/>
                <w:szCs w:val="10"/>
                <w:color w:val="auto"/>
              </w:rPr>
            </w:pPr>
          </w:p>
        </w:tc>
        <w:tc>
          <w:tcPr>
            <w:tcW w:w="860" w:type="dxa"/>
            <w:vAlign w:val="bottom"/>
            <w:gridSpan w:val="2"/>
          </w:tcPr>
          <w:p>
            <w:pPr>
              <w:jc w:val="center"/>
              <w:ind w:right="240"/>
              <w:spacing w:after="0" w:line="122" w:lineRule="exact"/>
              <w:rPr>
                <w:sz w:val="20"/>
                <w:szCs w:val="20"/>
                <w:color w:val="auto"/>
              </w:rPr>
            </w:pPr>
            <w:r>
              <w:rPr>
                <w:rFonts w:ascii="Arial" w:cs="Arial" w:eastAsia="Arial" w:hAnsi="Arial"/>
                <w:sz w:val="13"/>
                <w:szCs w:val="13"/>
                <w:b w:val="1"/>
                <w:bCs w:val="1"/>
                <w:color w:val="auto"/>
                <w:w w:val="82"/>
              </w:rPr>
              <w:t>Sale</w:t>
            </w:r>
          </w:p>
        </w:tc>
        <w:tc>
          <w:tcPr>
            <w:tcW w:w="120" w:type="dxa"/>
            <w:vAlign w:val="bottom"/>
          </w:tcPr>
          <w:p>
            <w:pPr>
              <w:spacing w:after="0"/>
              <w:rPr>
                <w:sz w:val="10"/>
                <w:szCs w:val="10"/>
                <w:color w:val="auto"/>
              </w:rPr>
            </w:pPr>
          </w:p>
        </w:tc>
        <w:tc>
          <w:tcPr>
            <w:tcW w:w="840" w:type="dxa"/>
            <w:vAlign w:val="bottom"/>
            <w:gridSpan w:val="2"/>
          </w:tcPr>
          <w:p>
            <w:pPr>
              <w:jc w:val="center"/>
              <w:ind w:right="220"/>
              <w:spacing w:after="0" w:line="122" w:lineRule="exact"/>
              <w:rPr>
                <w:sz w:val="20"/>
                <w:szCs w:val="20"/>
                <w:color w:val="auto"/>
              </w:rPr>
            </w:pPr>
            <w:r>
              <w:rPr>
                <w:rFonts w:ascii="Arial" w:cs="Arial" w:eastAsia="Arial" w:hAnsi="Arial"/>
                <w:sz w:val="13"/>
                <w:szCs w:val="13"/>
                <w:b w:val="1"/>
                <w:bCs w:val="1"/>
                <w:color w:val="auto"/>
                <w:w w:val="90"/>
              </w:rPr>
              <w:t>Option</w:t>
            </w:r>
          </w:p>
        </w:tc>
        <w:tc>
          <w:tcPr>
            <w:tcW w:w="200" w:type="dxa"/>
            <w:vAlign w:val="bottom"/>
          </w:tcPr>
          <w:p>
            <w:pPr>
              <w:spacing w:after="0"/>
              <w:rPr>
                <w:sz w:val="10"/>
                <w:szCs w:val="10"/>
                <w:color w:val="auto"/>
              </w:rPr>
            </w:pPr>
          </w:p>
        </w:tc>
        <w:tc>
          <w:tcPr>
            <w:tcW w:w="680" w:type="dxa"/>
            <w:vAlign w:val="bottom"/>
            <w:vMerge w:val="restart"/>
          </w:tcPr>
          <w:p>
            <w:pPr>
              <w:jc w:val="right"/>
              <w:ind w:right="229"/>
              <w:spacing w:after="0"/>
              <w:rPr>
                <w:sz w:val="20"/>
                <w:szCs w:val="20"/>
                <w:color w:val="auto"/>
              </w:rPr>
            </w:pPr>
            <w:r>
              <w:rPr>
                <w:rFonts w:ascii="Arial" w:cs="Arial" w:eastAsia="Arial" w:hAnsi="Arial"/>
                <w:sz w:val="13"/>
                <w:szCs w:val="13"/>
                <w:b w:val="1"/>
                <w:bCs w:val="1"/>
                <w:color w:val="auto"/>
              </w:rPr>
              <w:t>Total</w:t>
            </w:r>
          </w:p>
        </w:tc>
        <w:tc>
          <w:tcPr>
            <w:tcW w:w="0" w:type="dxa"/>
            <w:vAlign w:val="bottom"/>
          </w:tcPr>
          <w:p>
            <w:pPr>
              <w:spacing w:after="0"/>
              <w:rPr>
                <w:sz w:val="1"/>
                <w:szCs w:val="1"/>
                <w:color w:val="auto"/>
              </w:rPr>
            </w:pPr>
          </w:p>
        </w:tc>
      </w:tr>
      <w:tr>
        <w:trPr>
          <w:trHeight w:val="175"/>
        </w:trPr>
        <w:tc>
          <w:tcPr>
            <w:tcW w:w="550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gridSpan w:val="2"/>
          </w:tcPr>
          <w:p>
            <w:pPr>
              <w:jc w:val="center"/>
              <w:ind w:right="220"/>
              <w:spacing w:after="0" w:line="175" w:lineRule="exact"/>
              <w:rPr>
                <w:sz w:val="20"/>
                <w:szCs w:val="20"/>
                <w:color w:val="auto"/>
              </w:rPr>
            </w:pPr>
            <w:r>
              <w:rPr>
                <w:rFonts w:ascii="Arial" w:cs="Arial" w:eastAsia="Arial" w:hAnsi="Arial"/>
                <w:sz w:val="13"/>
                <w:szCs w:val="13"/>
                <w:b w:val="1"/>
                <w:bCs w:val="1"/>
                <w:color w:val="auto"/>
                <w:w w:val="83"/>
              </w:rPr>
              <w:t xml:space="preserve">Securities </w:t>
            </w:r>
            <w:r>
              <w:rPr>
                <w:rFonts w:ascii="Arial" w:cs="Arial" w:eastAsia="Arial" w:hAnsi="Arial"/>
                <w:sz w:val="16"/>
                <w:szCs w:val="16"/>
                <w:b w:val="1"/>
                <w:bCs w:val="1"/>
                <w:color w:val="auto"/>
                <w:w w:val="83"/>
                <w:vertAlign w:val="superscript"/>
              </w:rPr>
              <w:t>2</w:t>
            </w:r>
          </w:p>
        </w:tc>
        <w:tc>
          <w:tcPr>
            <w:tcW w:w="120" w:type="dxa"/>
            <w:vAlign w:val="bottom"/>
          </w:tcPr>
          <w:p>
            <w:pPr>
              <w:spacing w:after="0"/>
              <w:rPr>
                <w:sz w:val="15"/>
                <w:szCs w:val="15"/>
                <w:color w:val="auto"/>
              </w:rPr>
            </w:pPr>
          </w:p>
        </w:tc>
        <w:tc>
          <w:tcPr>
            <w:tcW w:w="760" w:type="dxa"/>
            <w:vAlign w:val="bottom"/>
          </w:tcPr>
          <w:p>
            <w:pPr>
              <w:jc w:val="center"/>
              <w:ind w:right="51"/>
              <w:spacing w:after="0"/>
              <w:rPr>
                <w:sz w:val="20"/>
                <w:szCs w:val="20"/>
                <w:color w:val="auto"/>
              </w:rPr>
            </w:pPr>
            <w:r>
              <w:rPr>
                <w:rFonts w:ascii="Arial" w:cs="Arial" w:eastAsia="Arial" w:hAnsi="Arial"/>
                <w:sz w:val="13"/>
                <w:szCs w:val="13"/>
                <w:b w:val="1"/>
                <w:bCs w:val="1"/>
                <w:color w:val="auto"/>
                <w:w w:val="83"/>
              </w:rPr>
              <w:t>Securities</w:t>
            </w: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8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gridSpan w:val="2"/>
          </w:tcPr>
          <w:p>
            <w:pPr>
              <w:jc w:val="center"/>
              <w:ind w:right="220"/>
              <w:spacing w:after="0" w:line="175" w:lineRule="exact"/>
              <w:rPr>
                <w:sz w:val="20"/>
                <w:szCs w:val="20"/>
                <w:color w:val="auto"/>
              </w:rPr>
            </w:pPr>
            <w:r>
              <w:rPr>
                <w:rFonts w:ascii="Arial" w:cs="Arial" w:eastAsia="Arial" w:hAnsi="Arial"/>
                <w:sz w:val="13"/>
                <w:szCs w:val="13"/>
                <w:b w:val="1"/>
                <w:bCs w:val="1"/>
                <w:color w:val="auto"/>
                <w:w w:val="83"/>
              </w:rPr>
              <w:t xml:space="preserve">Securities </w:t>
            </w:r>
            <w:r>
              <w:rPr>
                <w:rFonts w:ascii="Arial" w:cs="Arial" w:eastAsia="Arial" w:hAnsi="Arial"/>
                <w:sz w:val="16"/>
                <w:szCs w:val="16"/>
                <w:b w:val="1"/>
                <w:bCs w:val="1"/>
                <w:color w:val="auto"/>
                <w:w w:val="83"/>
                <w:vertAlign w:val="superscript"/>
              </w:rPr>
              <w:t>2</w:t>
            </w:r>
          </w:p>
        </w:tc>
        <w:tc>
          <w:tcPr>
            <w:tcW w:w="120" w:type="dxa"/>
            <w:vAlign w:val="bottom"/>
          </w:tcPr>
          <w:p>
            <w:pPr>
              <w:spacing w:after="0"/>
              <w:rPr>
                <w:sz w:val="15"/>
                <w:szCs w:val="15"/>
                <w:color w:val="auto"/>
              </w:rPr>
            </w:pPr>
          </w:p>
        </w:tc>
        <w:tc>
          <w:tcPr>
            <w:tcW w:w="84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86"/>
              </w:rPr>
              <w:t>Securities</w:t>
            </w:r>
          </w:p>
        </w:tc>
        <w:tc>
          <w:tcPr>
            <w:tcW w:w="200" w:type="dxa"/>
            <w:vAlign w:val="bottom"/>
          </w:tcPr>
          <w:p>
            <w:pPr>
              <w:spacing w:after="0"/>
              <w:rPr>
                <w:sz w:val="15"/>
                <w:szCs w:val="15"/>
                <w:color w:val="auto"/>
              </w:rPr>
            </w:pPr>
          </w:p>
        </w:tc>
        <w:tc>
          <w:tcPr>
            <w:tcW w:w="6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79"/>
        </w:trPr>
        <w:tc>
          <w:tcPr>
            <w:tcW w:w="5400" w:type="dxa"/>
            <w:vAlign w:val="bottom"/>
            <w:tcBorders>
              <w:top w:val="single" w:sz="8" w:color="auto"/>
            </w:tcBorders>
          </w:tcPr>
          <w:p>
            <w:pPr>
              <w:ind w:left="20"/>
              <w:spacing w:after="0"/>
              <w:rPr>
                <w:sz w:val="20"/>
                <w:szCs w:val="20"/>
                <w:color w:val="auto"/>
              </w:rPr>
            </w:pPr>
            <w:r>
              <w:rPr>
                <w:rFonts w:ascii="Arial" w:cs="Arial" w:eastAsia="Arial" w:hAnsi="Arial"/>
                <w:sz w:val="14"/>
                <w:szCs w:val="14"/>
                <w:color w:val="auto"/>
              </w:rPr>
              <w:t>Investment securities sold, at cost</w:t>
            </w:r>
          </w:p>
        </w:tc>
        <w:tc>
          <w:tcPr>
            <w:tcW w:w="100" w:type="dxa"/>
            <w:vAlign w:val="bottom"/>
          </w:tcPr>
          <w:p>
            <w:pPr>
              <w:spacing w:after="0"/>
              <w:rPr>
                <w:sz w:val="15"/>
                <w:szCs w:val="15"/>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(288)</w:t>
            </w:r>
          </w:p>
        </w:tc>
        <w:tc>
          <w:tcPr>
            <w:tcW w:w="100" w:type="dxa"/>
            <w:vAlign w:val="bottom"/>
          </w:tcPr>
          <w:p>
            <w:pPr>
              <w:spacing w:after="0"/>
              <w:rPr>
                <w:sz w:val="15"/>
                <w:szCs w:val="15"/>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(8,145)</w:t>
            </w:r>
          </w:p>
        </w:tc>
        <w:tc>
          <w:tcPr>
            <w:tcW w:w="80" w:type="dxa"/>
            <w:vAlign w:val="bottom"/>
          </w:tcPr>
          <w:p>
            <w:pPr>
              <w:spacing w:after="0"/>
              <w:rPr>
                <w:sz w:val="15"/>
                <w:szCs w:val="15"/>
                <w:color w:val="auto"/>
              </w:rPr>
            </w:pPr>
          </w:p>
        </w:tc>
        <w:tc>
          <w:tcPr>
            <w:tcW w:w="20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(8,433)</w:t>
            </w:r>
          </w:p>
        </w:tc>
        <w:tc>
          <w:tcPr>
            <w:tcW w:w="100" w:type="dxa"/>
            <w:vAlign w:val="bottom"/>
          </w:tcPr>
          <w:p>
            <w:pPr>
              <w:spacing w:after="0"/>
              <w:rPr>
                <w:sz w:val="15"/>
                <w:szCs w:val="15"/>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(4,151)</w:t>
            </w:r>
          </w:p>
        </w:tc>
        <w:tc>
          <w:tcPr>
            <w:tcW w:w="100" w:type="dxa"/>
            <w:vAlign w:val="bottom"/>
          </w:tcPr>
          <w:p>
            <w:pPr>
              <w:spacing w:after="0"/>
              <w:rPr>
                <w:sz w:val="15"/>
                <w:szCs w:val="15"/>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(8,659)</w:t>
            </w:r>
          </w:p>
        </w:tc>
        <w:tc>
          <w:tcPr>
            <w:tcW w:w="100" w:type="dxa"/>
            <w:vAlign w:val="bottom"/>
          </w:tcPr>
          <w:p>
            <w:pPr>
              <w:spacing w:after="0"/>
              <w:rPr>
                <w:sz w:val="15"/>
                <w:szCs w:val="15"/>
                <w:color w:val="auto"/>
              </w:rPr>
            </w:pPr>
          </w:p>
        </w:tc>
        <w:tc>
          <w:tcPr>
            <w:tcW w:w="20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(12,810)</w:t>
            </w:r>
          </w:p>
        </w:tc>
        <w:tc>
          <w:tcPr>
            <w:tcW w:w="0" w:type="dxa"/>
            <w:vAlign w:val="bottom"/>
          </w:tcPr>
          <w:p>
            <w:pPr>
              <w:spacing w:after="0"/>
              <w:rPr>
                <w:sz w:val="1"/>
                <w:szCs w:val="1"/>
                <w:color w:val="auto"/>
              </w:rPr>
            </w:pPr>
          </w:p>
        </w:tc>
      </w:tr>
      <w:tr>
        <w:trPr>
          <w:trHeight w:val="192"/>
        </w:trPr>
        <w:tc>
          <w:tcPr>
            <w:tcW w:w="55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 xml:space="preserve">Proceeds from investment securities sold </w:t>
            </w:r>
            <w:r>
              <w:rPr>
                <w:rFonts w:ascii="Arial" w:cs="Arial" w:eastAsia="Arial" w:hAnsi="Arial"/>
                <w:sz w:val="9"/>
                <w:szCs w:val="9"/>
                <w:color w:val="auto"/>
              </w:rPr>
              <w:t>1</w:t>
            </w:r>
          </w:p>
        </w:tc>
        <w:tc>
          <w:tcPr>
            <w:tcW w:w="120" w:type="dxa"/>
            <w:vAlign w:val="bottom"/>
            <w:tcBorders>
              <w:bottom w:val="single" w:sz="8" w:color="auto"/>
            </w:tcBorders>
            <w:shd w:val="clear" w:color="auto" w:fill="CCEEFF"/>
          </w:tcPr>
          <w:p>
            <w:pPr>
              <w:spacing w:after="0"/>
              <w:rPr>
                <w:sz w:val="16"/>
                <w:szCs w:val="16"/>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264</w:t>
            </w:r>
          </w:p>
        </w:tc>
        <w:tc>
          <w:tcPr>
            <w:tcW w:w="100" w:type="dxa"/>
            <w:vAlign w:val="bottom"/>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spacing w:after="0"/>
              <w:rPr>
                <w:sz w:val="16"/>
                <w:szCs w:val="16"/>
                <w:color w:val="auto"/>
              </w:rPr>
            </w:pPr>
          </w:p>
        </w:tc>
        <w:tc>
          <w:tcPr>
            <w:tcW w:w="76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4"/>
                <w:szCs w:val="14"/>
                <w:color w:val="auto"/>
              </w:rPr>
              <w:t>7,223</w:t>
            </w:r>
          </w:p>
        </w:tc>
        <w:tc>
          <w:tcPr>
            <w:tcW w:w="80" w:type="dxa"/>
            <w:vAlign w:val="bottom"/>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spacing w:after="0"/>
              <w:rPr>
                <w:sz w:val="16"/>
                <w:szCs w:val="16"/>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7,487</w:t>
            </w:r>
          </w:p>
        </w:tc>
        <w:tc>
          <w:tcPr>
            <w:tcW w:w="100" w:type="dxa"/>
            <w:vAlign w:val="bottom"/>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spacing w:after="0"/>
              <w:rPr>
                <w:sz w:val="16"/>
                <w:szCs w:val="16"/>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4,165</w:t>
            </w:r>
          </w:p>
        </w:tc>
        <w:tc>
          <w:tcPr>
            <w:tcW w:w="100" w:type="dxa"/>
            <w:vAlign w:val="bottom"/>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spacing w:after="0"/>
              <w:rPr>
                <w:sz w:val="16"/>
                <w:szCs w:val="16"/>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8,670</w:t>
            </w:r>
          </w:p>
        </w:tc>
        <w:tc>
          <w:tcPr>
            <w:tcW w:w="100" w:type="dxa"/>
            <w:vAlign w:val="bottom"/>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spacing w:after="0"/>
              <w:rPr>
                <w:sz w:val="16"/>
                <w:szCs w:val="16"/>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12,835</w:t>
            </w:r>
          </w:p>
        </w:tc>
        <w:tc>
          <w:tcPr>
            <w:tcW w:w="0" w:type="dxa"/>
            <w:vAlign w:val="bottom"/>
          </w:tcPr>
          <w:p>
            <w:pPr>
              <w:spacing w:after="0"/>
              <w:rPr>
                <w:sz w:val="1"/>
                <w:szCs w:val="1"/>
                <w:color w:val="auto"/>
              </w:rPr>
            </w:pPr>
          </w:p>
        </w:tc>
      </w:tr>
      <w:tr>
        <w:trPr>
          <w:trHeight w:val="183"/>
        </w:trPr>
        <w:tc>
          <w:tcPr>
            <w:tcW w:w="5500" w:type="dxa"/>
            <w:vAlign w:val="bottom"/>
            <w:gridSpan w:val="2"/>
          </w:tcPr>
          <w:p>
            <w:pPr>
              <w:ind w:left="20"/>
              <w:spacing w:after="0"/>
              <w:rPr>
                <w:sz w:val="20"/>
                <w:szCs w:val="20"/>
                <w:color w:val="auto"/>
              </w:rPr>
            </w:pPr>
            <w:r>
              <w:rPr>
                <w:rFonts w:ascii="Arial" w:cs="Arial" w:eastAsia="Arial" w:hAnsi="Arial"/>
                <w:sz w:val="14"/>
                <w:szCs w:val="14"/>
                <w:color w:val="auto"/>
              </w:rPr>
              <w:t>Net gain (loss) on sale of investment securities</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(24)</w:t>
            </w:r>
          </w:p>
        </w:tc>
        <w:tc>
          <w:tcPr>
            <w:tcW w:w="100" w:type="dxa"/>
            <w:vAlign w:val="bottom"/>
          </w:tcPr>
          <w:p>
            <w:pPr>
              <w:spacing w:after="0"/>
              <w:rPr>
                <w:sz w:val="15"/>
                <w:szCs w:val="15"/>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(922)</w:t>
            </w:r>
          </w:p>
        </w:tc>
        <w:tc>
          <w:tcPr>
            <w:tcW w:w="80" w:type="dxa"/>
            <w:vAlign w:val="bottom"/>
          </w:tcPr>
          <w:p>
            <w:pPr>
              <w:spacing w:after="0"/>
              <w:rPr>
                <w:sz w:val="15"/>
                <w:szCs w:val="15"/>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(946)</w:t>
            </w:r>
          </w:p>
        </w:tc>
        <w:tc>
          <w:tcPr>
            <w:tcW w:w="100" w:type="dxa"/>
            <w:vAlign w:val="bottom"/>
          </w:tcPr>
          <w:p>
            <w:pPr>
              <w:spacing w:after="0"/>
              <w:rPr>
                <w:sz w:val="15"/>
                <w:szCs w:val="15"/>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w:t>
            </w:r>
          </w:p>
        </w:tc>
        <w:tc>
          <w:tcPr>
            <w:tcW w:w="100" w:type="dxa"/>
            <w:vAlign w:val="bottom"/>
          </w:tcPr>
          <w:p>
            <w:pPr>
              <w:spacing w:after="0"/>
              <w:rPr>
                <w:sz w:val="15"/>
                <w:szCs w:val="15"/>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w:t>
            </w:r>
          </w:p>
        </w:tc>
        <w:tc>
          <w:tcPr>
            <w:tcW w:w="100" w:type="dxa"/>
            <w:vAlign w:val="bottom"/>
          </w:tcPr>
          <w:p>
            <w:pPr>
              <w:spacing w:after="0"/>
              <w:rPr>
                <w:sz w:val="15"/>
                <w:szCs w:val="15"/>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25</w:t>
            </w:r>
          </w:p>
        </w:tc>
        <w:tc>
          <w:tcPr>
            <w:tcW w:w="0" w:type="dxa"/>
            <w:vAlign w:val="bottom"/>
          </w:tcPr>
          <w:p>
            <w:pPr>
              <w:spacing w:after="0"/>
              <w:rPr>
                <w:sz w:val="1"/>
                <w:szCs w:val="1"/>
                <w:color w:val="auto"/>
              </w:rPr>
            </w:pPr>
          </w:p>
        </w:tc>
      </w:tr>
      <w:tr>
        <w:trPr>
          <w:trHeight w:val="20"/>
        </w:trPr>
        <w:tc>
          <w:tcPr>
            <w:tcW w:w="54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54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6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68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6"/>
        </w:trPr>
        <w:tc>
          <w:tcPr>
            <w:tcW w:w="5500" w:type="dxa"/>
            <w:vAlign w:val="bottom"/>
            <w:gridSpan w:val="2"/>
          </w:tcPr>
          <w:p>
            <w:pPr>
              <w:ind w:left="20"/>
              <w:spacing w:after="0"/>
              <w:rPr>
                <w:sz w:val="20"/>
                <w:szCs w:val="20"/>
                <w:color w:val="auto"/>
              </w:rPr>
            </w:pPr>
            <w:r>
              <w:rPr>
                <w:rFonts w:ascii="Arial" w:cs="Arial" w:eastAsia="Arial" w:hAnsi="Arial"/>
                <w:sz w:val="14"/>
                <w:szCs w:val="14"/>
                <w:color w:val="auto"/>
              </w:rPr>
              <w:t>Gross gain on sale of investment securities</w:t>
            </w: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8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60" w:type="dxa"/>
            <w:vAlign w:val="bottom"/>
          </w:tcPr>
          <w:p>
            <w:pPr>
              <w:jc w:val="right"/>
              <w:ind w:right="11"/>
              <w:spacing w:after="0"/>
              <w:rPr>
                <w:sz w:val="20"/>
                <w:szCs w:val="20"/>
                <w:color w:val="auto"/>
              </w:rPr>
            </w:pPr>
            <w:r>
              <w:rPr>
                <w:rFonts w:ascii="Arial" w:cs="Arial" w:eastAsia="Arial" w:hAnsi="Arial"/>
                <w:sz w:val="14"/>
                <w:szCs w:val="14"/>
                <w:color w:val="auto"/>
              </w:rPr>
              <w:t>—</w:t>
            </w:r>
          </w:p>
        </w:tc>
        <w:tc>
          <w:tcPr>
            <w:tcW w:w="280" w:type="dxa"/>
            <w:vAlign w:val="bottom"/>
            <w:gridSpan w:val="2"/>
          </w:tcPr>
          <w:p>
            <w:pPr>
              <w:jc w:val="right"/>
              <w:ind w:right="28"/>
              <w:spacing w:after="0"/>
              <w:rPr>
                <w:sz w:val="20"/>
                <w:szCs w:val="20"/>
                <w:color w:val="auto"/>
              </w:rPr>
            </w:pPr>
            <w:r>
              <w:rPr>
                <w:rFonts w:ascii="Arial" w:cs="Arial" w:eastAsia="Arial" w:hAnsi="Arial"/>
                <w:sz w:val="14"/>
                <w:szCs w:val="14"/>
                <w:color w:val="auto"/>
              </w:rPr>
              <w:t>$</w:t>
            </w:r>
          </w:p>
        </w:tc>
        <w:tc>
          <w:tcPr>
            <w:tcW w:w="7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60" w:type="dxa"/>
            <w:vAlign w:val="bottom"/>
          </w:tcPr>
          <w:p>
            <w:pPr>
              <w:jc w:val="right"/>
              <w:spacing w:after="0"/>
              <w:rPr>
                <w:sz w:val="20"/>
                <w:szCs w:val="20"/>
                <w:color w:val="auto"/>
              </w:rPr>
            </w:pPr>
            <w:r>
              <w:rPr>
                <w:rFonts w:ascii="Arial" w:cs="Arial" w:eastAsia="Arial" w:hAnsi="Arial"/>
                <w:sz w:val="14"/>
                <w:szCs w:val="14"/>
                <w:color w:val="auto"/>
              </w:rPr>
              <w:t>14</w:t>
            </w:r>
          </w:p>
        </w:tc>
        <w:tc>
          <w:tcPr>
            <w:tcW w:w="100" w:type="dxa"/>
            <w:vAlign w:val="bottom"/>
          </w:tcPr>
          <w:p>
            <w:pPr>
              <w:spacing w:after="0"/>
              <w:rPr>
                <w:sz w:val="16"/>
                <w:szCs w:val="16"/>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tcPr>
          <w:p>
            <w:pPr>
              <w:jc w:val="right"/>
              <w:spacing w:after="0"/>
              <w:rPr>
                <w:sz w:val="20"/>
                <w:szCs w:val="20"/>
                <w:color w:val="auto"/>
              </w:rPr>
            </w:pPr>
            <w:r>
              <w:rPr>
                <w:rFonts w:ascii="Arial" w:cs="Arial" w:eastAsia="Arial" w:hAnsi="Arial"/>
                <w:sz w:val="14"/>
                <w:szCs w:val="14"/>
                <w:color w:val="auto"/>
              </w:rPr>
              <w:t>48</w:t>
            </w:r>
          </w:p>
        </w:tc>
        <w:tc>
          <w:tcPr>
            <w:tcW w:w="100" w:type="dxa"/>
            <w:vAlign w:val="bottom"/>
          </w:tcPr>
          <w:p>
            <w:pPr>
              <w:spacing w:after="0"/>
              <w:rPr>
                <w:sz w:val="16"/>
                <w:szCs w:val="16"/>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62</w:t>
            </w:r>
          </w:p>
        </w:tc>
        <w:tc>
          <w:tcPr>
            <w:tcW w:w="0" w:type="dxa"/>
            <w:vAlign w:val="bottom"/>
          </w:tcPr>
          <w:p>
            <w:pPr>
              <w:spacing w:after="0"/>
              <w:rPr>
                <w:sz w:val="1"/>
                <w:szCs w:val="1"/>
                <w:color w:val="auto"/>
              </w:rPr>
            </w:pPr>
          </w:p>
        </w:tc>
      </w:tr>
      <w:tr>
        <w:trPr>
          <w:trHeight w:val="192"/>
        </w:trPr>
        <w:tc>
          <w:tcPr>
            <w:tcW w:w="55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Gross loss on sale of investment securities</w:t>
            </w:r>
          </w:p>
        </w:tc>
        <w:tc>
          <w:tcPr>
            <w:tcW w:w="12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(922)</w:t>
            </w:r>
          </w:p>
        </w:tc>
        <w:tc>
          <w:tcPr>
            <w:tcW w:w="8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(946)</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w:t>
            </w:r>
          </w:p>
        </w:tc>
        <w:tc>
          <w:tcPr>
            <w:tcW w:w="0" w:type="dxa"/>
            <w:vAlign w:val="bottom"/>
          </w:tcPr>
          <w:p>
            <w:pPr>
              <w:spacing w:after="0"/>
              <w:rPr>
                <w:sz w:val="1"/>
                <w:szCs w:val="1"/>
                <w:color w:val="auto"/>
              </w:rPr>
            </w:pPr>
          </w:p>
        </w:tc>
      </w:tr>
      <w:tr>
        <w:trPr>
          <w:trHeight w:val="183"/>
        </w:trPr>
        <w:tc>
          <w:tcPr>
            <w:tcW w:w="5500" w:type="dxa"/>
            <w:vAlign w:val="bottom"/>
            <w:gridSpan w:val="2"/>
          </w:tcPr>
          <w:p>
            <w:pPr>
              <w:ind w:left="20"/>
              <w:spacing w:after="0"/>
              <w:rPr>
                <w:sz w:val="20"/>
                <w:szCs w:val="20"/>
                <w:color w:val="auto"/>
              </w:rPr>
            </w:pPr>
            <w:r>
              <w:rPr>
                <w:rFonts w:ascii="Arial" w:cs="Arial" w:eastAsia="Arial" w:hAnsi="Arial"/>
                <w:sz w:val="14"/>
                <w:szCs w:val="14"/>
                <w:color w:val="auto"/>
              </w:rPr>
              <w:t>Net gain (loss) on sale of investment securities</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(24)</w:t>
            </w:r>
          </w:p>
        </w:tc>
        <w:tc>
          <w:tcPr>
            <w:tcW w:w="100" w:type="dxa"/>
            <w:vAlign w:val="bottom"/>
          </w:tcPr>
          <w:p>
            <w:pPr>
              <w:spacing w:after="0"/>
              <w:rPr>
                <w:sz w:val="15"/>
                <w:szCs w:val="15"/>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(922)</w:t>
            </w:r>
          </w:p>
        </w:tc>
        <w:tc>
          <w:tcPr>
            <w:tcW w:w="80" w:type="dxa"/>
            <w:vAlign w:val="bottom"/>
          </w:tcPr>
          <w:p>
            <w:pPr>
              <w:spacing w:after="0"/>
              <w:rPr>
                <w:sz w:val="15"/>
                <w:szCs w:val="15"/>
                <w:color w:val="auto"/>
              </w:rPr>
            </w:pPr>
          </w:p>
        </w:tc>
        <w:tc>
          <w:tcPr>
            <w:tcW w:w="20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(946)</w:t>
            </w:r>
          </w:p>
        </w:tc>
        <w:tc>
          <w:tcPr>
            <w:tcW w:w="100" w:type="dxa"/>
            <w:vAlign w:val="bottom"/>
          </w:tcPr>
          <w:p>
            <w:pPr>
              <w:spacing w:after="0"/>
              <w:rPr>
                <w:sz w:val="15"/>
                <w:szCs w:val="15"/>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14</w:t>
            </w:r>
          </w:p>
        </w:tc>
        <w:tc>
          <w:tcPr>
            <w:tcW w:w="100" w:type="dxa"/>
            <w:vAlign w:val="bottom"/>
          </w:tcPr>
          <w:p>
            <w:pPr>
              <w:spacing w:after="0"/>
              <w:rPr>
                <w:sz w:val="15"/>
                <w:szCs w:val="15"/>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11</w:t>
            </w:r>
          </w:p>
        </w:tc>
        <w:tc>
          <w:tcPr>
            <w:tcW w:w="100" w:type="dxa"/>
            <w:vAlign w:val="bottom"/>
          </w:tcPr>
          <w:p>
            <w:pPr>
              <w:spacing w:after="0"/>
              <w:rPr>
                <w:sz w:val="15"/>
                <w:szCs w:val="15"/>
                <w:color w:val="auto"/>
              </w:rPr>
            </w:pPr>
          </w:p>
        </w:tc>
        <w:tc>
          <w:tcPr>
            <w:tcW w:w="20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25</w:t>
            </w:r>
          </w:p>
        </w:tc>
        <w:tc>
          <w:tcPr>
            <w:tcW w:w="0" w:type="dxa"/>
            <w:vAlign w:val="bottom"/>
          </w:tcPr>
          <w:p>
            <w:pPr>
              <w:spacing w:after="0"/>
              <w:rPr>
                <w:sz w:val="1"/>
                <w:szCs w:val="1"/>
                <w:color w:val="auto"/>
              </w:rPr>
            </w:pPr>
          </w:p>
        </w:tc>
      </w:tr>
      <w:tr>
        <w:trPr>
          <w:trHeight w:val="20"/>
        </w:trPr>
        <w:tc>
          <w:tcPr>
            <w:tcW w:w="54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8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8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360"/>
        </w:trPr>
        <w:tc>
          <w:tcPr>
            <w:tcW w:w="5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960" w:type="dxa"/>
            <w:vAlign w:val="bottom"/>
            <w:gridSpan w:val="6"/>
          </w:tcPr>
          <w:p>
            <w:pPr>
              <w:jc w:val="center"/>
              <w:ind w:right="100"/>
              <w:spacing w:after="0"/>
              <w:rPr>
                <w:sz w:val="20"/>
                <w:szCs w:val="20"/>
                <w:color w:val="auto"/>
              </w:rPr>
            </w:pPr>
            <w:r>
              <w:rPr>
                <w:rFonts w:ascii="Arial" w:cs="Arial" w:eastAsia="Arial" w:hAnsi="Arial"/>
                <w:sz w:val="14"/>
                <w:szCs w:val="14"/>
                <w:b w:val="1"/>
                <w:bCs w:val="1"/>
                <w:color w:val="auto"/>
                <w:w w:val="93"/>
              </w:rPr>
              <w:t>Six Months Ended June 30,</w:t>
            </w:r>
          </w:p>
        </w:tc>
        <w:tc>
          <w:tcPr>
            <w:tcW w:w="1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5"/>
        </w:trPr>
        <w:tc>
          <w:tcPr>
            <w:tcW w:w="54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jc w:val="center"/>
              <w:ind w:right="71"/>
              <w:spacing w:after="0"/>
              <w:rPr>
                <w:sz w:val="20"/>
                <w:szCs w:val="20"/>
                <w:color w:val="auto"/>
              </w:rPr>
            </w:pPr>
            <w:r>
              <w:rPr>
                <w:rFonts w:ascii="Arial" w:cs="Arial" w:eastAsia="Arial" w:hAnsi="Arial"/>
                <w:sz w:val="14"/>
                <w:szCs w:val="14"/>
                <w:b w:val="1"/>
                <w:bCs w:val="1"/>
                <w:color w:val="auto"/>
                <w:w w:val="96"/>
              </w:rPr>
              <w:t>2022</w:t>
            </w:r>
          </w:p>
        </w:tc>
        <w:tc>
          <w:tcPr>
            <w:tcW w:w="8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center"/>
              <w:ind w:right="51"/>
              <w:spacing w:after="0"/>
              <w:rPr>
                <w:sz w:val="20"/>
                <w:szCs w:val="20"/>
                <w:color w:val="auto"/>
              </w:rPr>
            </w:pPr>
            <w:r>
              <w:rPr>
                <w:rFonts w:ascii="Arial" w:cs="Arial" w:eastAsia="Arial" w:hAnsi="Arial"/>
                <w:sz w:val="14"/>
                <w:szCs w:val="14"/>
                <w:b w:val="1"/>
                <w:bCs w:val="1"/>
                <w:color w:val="auto"/>
                <w:w w:val="96"/>
              </w:rPr>
              <w:t>2021</w:t>
            </w: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21"/>
        </w:trPr>
        <w:tc>
          <w:tcPr>
            <w:tcW w:w="54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80" w:type="dxa"/>
            <w:vAlign w:val="bottom"/>
            <w:gridSpan w:val="3"/>
          </w:tcPr>
          <w:p>
            <w:pPr>
              <w:jc w:val="center"/>
              <w:ind w:right="80"/>
              <w:spacing w:after="0" w:line="121" w:lineRule="exact"/>
              <w:rPr>
                <w:sz w:val="20"/>
                <w:szCs w:val="20"/>
                <w:color w:val="auto"/>
              </w:rPr>
            </w:pPr>
            <w:r>
              <w:rPr>
                <w:rFonts w:ascii="Arial" w:cs="Arial" w:eastAsia="Arial" w:hAnsi="Arial"/>
                <w:sz w:val="13"/>
                <w:szCs w:val="13"/>
                <w:b w:val="1"/>
                <w:bCs w:val="1"/>
                <w:color w:val="auto"/>
                <w:w w:val="89"/>
              </w:rPr>
              <w:t>Available-for-</w:t>
            </w:r>
          </w:p>
        </w:tc>
        <w:tc>
          <w:tcPr>
            <w:tcW w:w="120" w:type="dxa"/>
            <w:vAlign w:val="bottom"/>
          </w:tcPr>
          <w:p>
            <w:pPr>
              <w:spacing w:after="0"/>
              <w:rPr>
                <w:sz w:val="10"/>
                <w:szCs w:val="10"/>
                <w:color w:val="auto"/>
              </w:rPr>
            </w:pPr>
          </w:p>
        </w:tc>
        <w:tc>
          <w:tcPr>
            <w:tcW w:w="760" w:type="dxa"/>
            <w:vAlign w:val="bottom"/>
          </w:tcPr>
          <w:p>
            <w:pPr>
              <w:jc w:val="center"/>
              <w:ind w:right="51"/>
              <w:spacing w:after="0" w:line="121" w:lineRule="exact"/>
              <w:rPr>
                <w:sz w:val="20"/>
                <w:szCs w:val="20"/>
                <w:color w:val="auto"/>
              </w:rPr>
            </w:pPr>
            <w:r>
              <w:rPr>
                <w:rFonts w:ascii="Arial" w:cs="Arial" w:eastAsia="Arial" w:hAnsi="Arial"/>
                <w:sz w:val="13"/>
                <w:szCs w:val="13"/>
                <w:b w:val="1"/>
                <w:bCs w:val="1"/>
                <w:color w:val="auto"/>
                <w:w w:val="90"/>
              </w:rPr>
              <w:t>Fair Value</w:t>
            </w: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80" w:type="dxa"/>
            <w:vAlign w:val="bottom"/>
            <w:gridSpan w:val="3"/>
          </w:tcPr>
          <w:p>
            <w:pPr>
              <w:jc w:val="center"/>
              <w:ind w:right="120"/>
              <w:spacing w:after="0" w:line="121" w:lineRule="exact"/>
              <w:rPr>
                <w:sz w:val="20"/>
                <w:szCs w:val="20"/>
                <w:color w:val="auto"/>
              </w:rPr>
            </w:pPr>
            <w:r>
              <w:rPr>
                <w:rFonts w:ascii="Arial" w:cs="Arial" w:eastAsia="Arial" w:hAnsi="Arial"/>
                <w:sz w:val="13"/>
                <w:szCs w:val="13"/>
                <w:b w:val="1"/>
                <w:bCs w:val="1"/>
                <w:color w:val="auto"/>
                <w:w w:val="89"/>
              </w:rPr>
              <w:t>Available-for-</w:t>
            </w:r>
          </w:p>
        </w:tc>
        <w:tc>
          <w:tcPr>
            <w:tcW w:w="120" w:type="dxa"/>
            <w:vAlign w:val="bottom"/>
          </w:tcPr>
          <w:p>
            <w:pPr>
              <w:spacing w:after="0"/>
              <w:rPr>
                <w:sz w:val="10"/>
                <w:szCs w:val="10"/>
                <w:color w:val="auto"/>
              </w:rPr>
            </w:pPr>
          </w:p>
        </w:tc>
        <w:tc>
          <w:tcPr>
            <w:tcW w:w="840" w:type="dxa"/>
            <w:vAlign w:val="bottom"/>
            <w:gridSpan w:val="2"/>
          </w:tcPr>
          <w:p>
            <w:pPr>
              <w:jc w:val="center"/>
              <w:ind w:right="220"/>
              <w:spacing w:after="0" w:line="121" w:lineRule="exact"/>
              <w:rPr>
                <w:sz w:val="20"/>
                <w:szCs w:val="20"/>
                <w:color w:val="auto"/>
              </w:rPr>
            </w:pPr>
            <w:r>
              <w:rPr>
                <w:rFonts w:ascii="Arial" w:cs="Arial" w:eastAsia="Arial" w:hAnsi="Arial"/>
                <w:sz w:val="13"/>
                <w:szCs w:val="13"/>
                <w:b w:val="1"/>
                <w:bCs w:val="1"/>
                <w:color w:val="auto"/>
                <w:w w:val="93"/>
              </w:rPr>
              <w:t>Fair Value</w:t>
            </w:r>
          </w:p>
        </w:tc>
        <w:tc>
          <w:tcPr>
            <w:tcW w:w="20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5500" w:type="dxa"/>
            <w:vAlign w:val="bottom"/>
            <w:gridSpan w:val="2"/>
            <w:vMerge w:val="restart"/>
          </w:tcPr>
          <w:p>
            <w:pPr>
              <w:ind w:left="20"/>
              <w:spacing w:after="0"/>
              <w:rPr>
                <w:sz w:val="20"/>
                <w:szCs w:val="20"/>
                <w:color w:val="auto"/>
              </w:rPr>
            </w:pPr>
            <w:r>
              <w:rPr>
                <w:rFonts w:ascii="Arial" w:cs="Arial" w:eastAsia="Arial" w:hAnsi="Arial"/>
                <w:sz w:val="13"/>
                <w:szCs w:val="13"/>
                <w:b w:val="1"/>
                <w:bCs w:val="1"/>
                <w:color w:val="auto"/>
              </w:rPr>
              <w:t>Investment Securities</w:t>
            </w:r>
          </w:p>
        </w:tc>
        <w:tc>
          <w:tcPr>
            <w:tcW w:w="120" w:type="dxa"/>
            <w:vAlign w:val="bottom"/>
          </w:tcPr>
          <w:p>
            <w:pPr>
              <w:spacing w:after="0"/>
              <w:rPr>
                <w:sz w:val="10"/>
                <w:szCs w:val="10"/>
                <w:color w:val="auto"/>
              </w:rPr>
            </w:pPr>
          </w:p>
        </w:tc>
        <w:tc>
          <w:tcPr>
            <w:tcW w:w="860" w:type="dxa"/>
            <w:vAlign w:val="bottom"/>
            <w:gridSpan w:val="2"/>
          </w:tcPr>
          <w:p>
            <w:pPr>
              <w:jc w:val="center"/>
              <w:ind w:right="220"/>
              <w:spacing w:after="0" w:line="122" w:lineRule="exact"/>
              <w:rPr>
                <w:sz w:val="20"/>
                <w:szCs w:val="20"/>
                <w:color w:val="auto"/>
              </w:rPr>
            </w:pPr>
            <w:r>
              <w:rPr>
                <w:rFonts w:ascii="Arial" w:cs="Arial" w:eastAsia="Arial" w:hAnsi="Arial"/>
                <w:sz w:val="13"/>
                <w:szCs w:val="13"/>
                <w:b w:val="1"/>
                <w:bCs w:val="1"/>
                <w:color w:val="auto"/>
                <w:w w:val="89"/>
              </w:rPr>
              <w:t>Sale</w:t>
            </w:r>
          </w:p>
        </w:tc>
        <w:tc>
          <w:tcPr>
            <w:tcW w:w="120" w:type="dxa"/>
            <w:vAlign w:val="bottom"/>
          </w:tcPr>
          <w:p>
            <w:pPr>
              <w:spacing w:after="0"/>
              <w:rPr>
                <w:sz w:val="10"/>
                <w:szCs w:val="10"/>
                <w:color w:val="auto"/>
              </w:rPr>
            </w:pPr>
          </w:p>
        </w:tc>
        <w:tc>
          <w:tcPr>
            <w:tcW w:w="760" w:type="dxa"/>
            <w:vAlign w:val="bottom"/>
          </w:tcPr>
          <w:p>
            <w:pPr>
              <w:jc w:val="center"/>
              <w:ind w:right="71"/>
              <w:spacing w:after="0" w:line="122" w:lineRule="exact"/>
              <w:rPr>
                <w:sz w:val="20"/>
                <w:szCs w:val="20"/>
                <w:color w:val="auto"/>
              </w:rPr>
            </w:pPr>
            <w:r>
              <w:rPr>
                <w:rFonts w:ascii="Arial" w:cs="Arial" w:eastAsia="Arial" w:hAnsi="Arial"/>
                <w:sz w:val="13"/>
                <w:szCs w:val="13"/>
                <w:b w:val="1"/>
                <w:bCs w:val="1"/>
                <w:color w:val="auto"/>
                <w:w w:val="90"/>
              </w:rPr>
              <w:t>Option</w:t>
            </w: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780" w:type="dxa"/>
            <w:vAlign w:val="bottom"/>
            <w:gridSpan w:val="2"/>
            <w:vMerge w:val="restart"/>
          </w:tcPr>
          <w:p>
            <w:pPr>
              <w:ind w:left="100"/>
              <w:spacing w:after="0"/>
              <w:rPr>
                <w:sz w:val="20"/>
                <w:szCs w:val="20"/>
                <w:color w:val="auto"/>
              </w:rPr>
            </w:pPr>
            <w:r>
              <w:rPr>
                <w:rFonts w:ascii="Arial" w:cs="Arial" w:eastAsia="Arial" w:hAnsi="Arial"/>
                <w:sz w:val="13"/>
                <w:szCs w:val="13"/>
                <w:b w:val="1"/>
                <w:bCs w:val="1"/>
                <w:color w:val="auto"/>
              </w:rPr>
              <w:t>Total</w:t>
            </w:r>
          </w:p>
        </w:tc>
        <w:tc>
          <w:tcPr>
            <w:tcW w:w="120" w:type="dxa"/>
            <w:vAlign w:val="bottom"/>
          </w:tcPr>
          <w:p>
            <w:pPr>
              <w:spacing w:after="0"/>
              <w:rPr>
                <w:sz w:val="10"/>
                <w:szCs w:val="10"/>
                <w:color w:val="auto"/>
              </w:rPr>
            </w:pPr>
          </w:p>
        </w:tc>
        <w:tc>
          <w:tcPr>
            <w:tcW w:w="860" w:type="dxa"/>
            <w:vAlign w:val="bottom"/>
            <w:gridSpan w:val="2"/>
          </w:tcPr>
          <w:p>
            <w:pPr>
              <w:jc w:val="center"/>
              <w:ind w:right="240"/>
              <w:spacing w:after="0" w:line="122" w:lineRule="exact"/>
              <w:rPr>
                <w:sz w:val="20"/>
                <w:szCs w:val="20"/>
                <w:color w:val="auto"/>
              </w:rPr>
            </w:pPr>
            <w:r>
              <w:rPr>
                <w:rFonts w:ascii="Arial" w:cs="Arial" w:eastAsia="Arial" w:hAnsi="Arial"/>
                <w:sz w:val="13"/>
                <w:szCs w:val="13"/>
                <w:b w:val="1"/>
                <w:bCs w:val="1"/>
                <w:color w:val="auto"/>
                <w:w w:val="82"/>
              </w:rPr>
              <w:t>Sale</w:t>
            </w:r>
          </w:p>
        </w:tc>
        <w:tc>
          <w:tcPr>
            <w:tcW w:w="120" w:type="dxa"/>
            <w:vAlign w:val="bottom"/>
          </w:tcPr>
          <w:p>
            <w:pPr>
              <w:spacing w:after="0"/>
              <w:rPr>
                <w:sz w:val="10"/>
                <w:szCs w:val="10"/>
                <w:color w:val="auto"/>
              </w:rPr>
            </w:pPr>
          </w:p>
        </w:tc>
        <w:tc>
          <w:tcPr>
            <w:tcW w:w="840" w:type="dxa"/>
            <w:vAlign w:val="bottom"/>
            <w:gridSpan w:val="2"/>
          </w:tcPr>
          <w:p>
            <w:pPr>
              <w:jc w:val="center"/>
              <w:ind w:right="220"/>
              <w:spacing w:after="0" w:line="122" w:lineRule="exact"/>
              <w:rPr>
                <w:sz w:val="20"/>
                <w:szCs w:val="20"/>
                <w:color w:val="auto"/>
              </w:rPr>
            </w:pPr>
            <w:r>
              <w:rPr>
                <w:rFonts w:ascii="Arial" w:cs="Arial" w:eastAsia="Arial" w:hAnsi="Arial"/>
                <w:sz w:val="13"/>
                <w:szCs w:val="13"/>
                <w:b w:val="1"/>
                <w:bCs w:val="1"/>
                <w:color w:val="auto"/>
                <w:w w:val="90"/>
              </w:rPr>
              <w:t>Option</w:t>
            </w:r>
          </w:p>
        </w:tc>
        <w:tc>
          <w:tcPr>
            <w:tcW w:w="200" w:type="dxa"/>
            <w:vAlign w:val="bottom"/>
          </w:tcPr>
          <w:p>
            <w:pPr>
              <w:spacing w:after="0"/>
              <w:rPr>
                <w:sz w:val="10"/>
                <w:szCs w:val="10"/>
                <w:color w:val="auto"/>
              </w:rPr>
            </w:pPr>
          </w:p>
        </w:tc>
        <w:tc>
          <w:tcPr>
            <w:tcW w:w="680" w:type="dxa"/>
            <w:vAlign w:val="bottom"/>
            <w:vMerge w:val="restart"/>
          </w:tcPr>
          <w:p>
            <w:pPr>
              <w:jc w:val="right"/>
              <w:ind w:right="229"/>
              <w:spacing w:after="0"/>
              <w:rPr>
                <w:sz w:val="20"/>
                <w:szCs w:val="20"/>
                <w:color w:val="auto"/>
              </w:rPr>
            </w:pPr>
            <w:r>
              <w:rPr>
                <w:rFonts w:ascii="Arial" w:cs="Arial" w:eastAsia="Arial" w:hAnsi="Arial"/>
                <w:sz w:val="13"/>
                <w:szCs w:val="13"/>
                <w:b w:val="1"/>
                <w:bCs w:val="1"/>
                <w:color w:val="auto"/>
              </w:rPr>
              <w:t>Total</w:t>
            </w:r>
          </w:p>
        </w:tc>
        <w:tc>
          <w:tcPr>
            <w:tcW w:w="0" w:type="dxa"/>
            <w:vAlign w:val="bottom"/>
          </w:tcPr>
          <w:p>
            <w:pPr>
              <w:spacing w:after="0"/>
              <w:rPr>
                <w:sz w:val="1"/>
                <w:szCs w:val="1"/>
                <w:color w:val="auto"/>
              </w:rPr>
            </w:pPr>
          </w:p>
        </w:tc>
      </w:tr>
      <w:tr>
        <w:trPr>
          <w:trHeight w:val="175"/>
        </w:trPr>
        <w:tc>
          <w:tcPr>
            <w:tcW w:w="550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gridSpan w:val="2"/>
          </w:tcPr>
          <w:p>
            <w:pPr>
              <w:jc w:val="center"/>
              <w:ind w:right="220"/>
              <w:spacing w:after="0" w:line="175" w:lineRule="exact"/>
              <w:rPr>
                <w:sz w:val="20"/>
                <w:szCs w:val="20"/>
                <w:color w:val="auto"/>
              </w:rPr>
            </w:pPr>
            <w:r>
              <w:rPr>
                <w:rFonts w:ascii="Arial" w:cs="Arial" w:eastAsia="Arial" w:hAnsi="Arial"/>
                <w:sz w:val="13"/>
                <w:szCs w:val="13"/>
                <w:b w:val="1"/>
                <w:bCs w:val="1"/>
                <w:color w:val="auto"/>
                <w:w w:val="83"/>
              </w:rPr>
              <w:t xml:space="preserve">Securities </w:t>
            </w:r>
            <w:r>
              <w:rPr>
                <w:rFonts w:ascii="Arial" w:cs="Arial" w:eastAsia="Arial" w:hAnsi="Arial"/>
                <w:sz w:val="16"/>
                <w:szCs w:val="16"/>
                <w:b w:val="1"/>
                <w:bCs w:val="1"/>
                <w:color w:val="auto"/>
                <w:w w:val="83"/>
                <w:vertAlign w:val="superscript"/>
              </w:rPr>
              <w:t>2</w:t>
            </w:r>
          </w:p>
        </w:tc>
        <w:tc>
          <w:tcPr>
            <w:tcW w:w="120" w:type="dxa"/>
            <w:vAlign w:val="bottom"/>
          </w:tcPr>
          <w:p>
            <w:pPr>
              <w:spacing w:after="0"/>
              <w:rPr>
                <w:sz w:val="15"/>
                <w:szCs w:val="15"/>
                <w:color w:val="auto"/>
              </w:rPr>
            </w:pPr>
          </w:p>
        </w:tc>
        <w:tc>
          <w:tcPr>
            <w:tcW w:w="760" w:type="dxa"/>
            <w:vAlign w:val="bottom"/>
          </w:tcPr>
          <w:p>
            <w:pPr>
              <w:jc w:val="center"/>
              <w:ind w:right="51"/>
              <w:spacing w:after="0"/>
              <w:rPr>
                <w:sz w:val="20"/>
                <w:szCs w:val="20"/>
                <w:color w:val="auto"/>
              </w:rPr>
            </w:pPr>
            <w:r>
              <w:rPr>
                <w:rFonts w:ascii="Arial" w:cs="Arial" w:eastAsia="Arial" w:hAnsi="Arial"/>
                <w:sz w:val="13"/>
                <w:szCs w:val="13"/>
                <w:b w:val="1"/>
                <w:bCs w:val="1"/>
                <w:color w:val="auto"/>
                <w:w w:val="83"/>
              </w:rPr>
              <w:t>Securities</w:t>
            </w: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8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gridSpan w:val="2"/>
          </w:tcPr>
          <w:p>
            <w:pPr>
              <w:jc w:val="center"/>
              <w:ind w:right="220"/>
              <w:spacing w:after="0" w:line="175" w:lineRule="exact"/>
              <w:rPr>
                <w:sz w:val="20"/>
                <w:szCs w:val="20"/>
                <w:color w:val="auto"/>
              </w:rPr>
            </w:pPr>
            <w:r>
              <w:rPr>
                <w:rFonts w:ascii="Arial" w:cs="Arial" w:eastAsia="Arial" w:hAnsi="Arial"/>
                <w:sz w:val="13"/>
                <w:szCs w:val="13"/>
                <w:b w:val="1"/>
                <w:bCs w:val="1"/>
                <w:color w:val="auto"/>
                <w:w w:val="83"/>
              </w:rPr>
              <w:t xml:space="preserve">Securities </w:t>
            </w:r>
            <w:r>
              <w:rPr>
                <w:rFonts w:ascii="Arial" w:cs="Arial" w:eastAsia="Arial" w:hAnsi="Arial"/>
                <w:sz w:val="16"/>
                <w:szCs w:val="16"/>
                <w:b w:val="1"/>
                <w:bCs w:val="1"/>
                <w:color w:val="auto"/>
                <w:w w:val="83"/>
                <w:vertAlign w:val="superscript"/>
              </w:rPr>
              <w:t>2</w:t>
            </w:r>
          </w:p>
        </w:tc>
        <w:tc>
          <w:tcPr>
            <w:tcW w:w="120" w:type="dxa"/>
            <w:vAlign w:val="bottom"/>
          </w:tcPr>
          <w:p>
            <w:pPr>
              <w:spacing w:after="0"/>
              <w:rPr>
                <w:sz w:val="15"/>
                <w:szCs w:val="15"/>
                <w:color w:val="auto"/>
              </w:rPr>
            </w:pPr>
          </w:p>
        </w:tc>
        <w:tc>
          <w:tcPr>
            <w:tcW w:w="84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86"/>
              </w:rPr>
              <w:t>Securities</w:t>
            </w:r>
          </w:p>
        </w:tc>
        <w:tc>
          <w:tcPr>
            <w:tcW w:w="200" w:type="dxa"/>
            <w:vAlign w:val="bottom"/>
          </w:tcPr>
          <w:p>
            <w:pPr>
              <w:spacing w:after="0"/>
              <w:rPr>
                <w:sz w:val="15"/>
                <w:szCs w:val="15"/>
                <w:color w:val="auto"/>
              </w:rPr>
            </w:pPr>
          </w:p>
        </w:tc>
        <w:tc>
          <w:tcPr>
            <w:tcW w:w="6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79"/>
        </w:trPr>
        <w:tc>
          <w:tcPr>
            <w:tcW w:w="5400" w:type="dxa"/>
            <w:vAlign w:val="bottom"/>
            <w:tcBorders>
              <w:top w:val="single" w:sz="8" w:color="auto"/>
            </w:tcBorders>
          </w:tcPr>
          <w:p>
            <w:pPr>
              <w:ind w:left="20"/>
              <w:spacing w:after="0"/>
              <w:rPr>
                <w:sz w:val="20"/>
                <w:szCs w:val="20"/>
                <w:color w:val="auto"/>
              </w:rPr>
            </w:pPr>
            <w:r>
              <w:rPr>
                <w:rFonts w:ascii="Arial" w:cs="Arial" w:eastAsia="Arial" w:hAnsi="Arial"/>
                <w:sz w:val="14"/>
                <w:szCs w:val="14"/>
                <w:color w:val="auto"/>
              </w:rPr>
              <w:t>Investment securities sold, at cost</w:t>
            </w:r>
          </w:p>
        </w:tc>
        <w:tc>
          <w:tcPr>
            <w:tcW w:w="100" w:type="dxa"/>
            <w:vAlign w:val="bottom"/>
          </w:tcPr>
          <w:p>
            <w:pPr>
              <w:spacing w:after="0"/>
              <w:rPr>
                <w:sz w:val="15"/>
                <w:szCs w:val="15"/>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(603)</w:t>
            </w:r>
          </w:p>
        </w:tc>
        <w:tc>
          <w:tcPr>
            <w:tcW w:w="100" w:type="dxa"/>
            <w:vAlign w:val="bottom"/>
          </w:tcPr>
          <w:p>
            <w:pPr>
              <w:spacing w:after="0"/>
              <w:rPr>
                <w:sz w:val="15"/>
                <w:szCs w:val="15"/>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(15,457)</w:t>
            </w:r>
          </w:p>
        </w:tc>
        <w:tc>
          <w:tcPr>
            <w:tcW w:w="80" w:type="dxa"/>
            <w:vAlign w:val="bottom"/>
          </w:tcPr>
          <w:p>
            <w:pPr>
              <w:spacing w:after="0"/>
              <w:rPr>
                <w:sz w:val="15"/>
                <w:szCs w:val="15"/>
                <w:color w:val="auto"/>
              </w:rPr>
            </w:pPr>
          </w:p>
        </w:tc>
        <w:tc>
          <w:tcPr>
            <w:tcW w:w="20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(16,060)</w:t>
            </w:r>
          </w:p>
        </w:tc>
        <w:tc>
          <w:tcPr>
            <w:tcW w:w="100" w:type="dxa"/>
            <w:vAlign w:val="bottom"/>
          </w:tcPr>
          <w:p>
            <w:pPr>
              <w:spacing w:after="0"/>
              <w:rPr>
                <w:sz w:val="15"/>
                <w:szCs w:val="15"/>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(4,644)</w:t>
            </w:r>
          </w:p>
        </w:tc>
        <w:tc>
          <w:tcPr>
            <w:tcW w:w="100" w:type="dxa"/>
            <w:vAlign w:val="bottom"/>
          </w:tcPr>
          <w:p>
            <w:pPr>
              <w:spacing w:after="0"/>
              <w:rPr>
                <w:sz w:val="15"/>
                <w:szCs w:val="15"/>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(14,523)</w:t>
            </w:r>
          </w:p>
        </w:tc>
        <w:tc>
          <w:tcPr>
            <w:tcW w:w="100" w:type="dxa"/>
            <w:vAlign w:val="bottom"/>
          </w:tcPr>
          <w:p>
            <w:pPr>
              <w:spacing w:after="0"/>
              <w:rPr>
                <w:sz w:val="15"/>
                <w:szCs w:val="15"/>
                <w:color w:val="auto"/>
              </w:rPr>
            </w:pPr>
          </w:p>
        </w:tc>
        <w:tc>
          <w:tcPr>
            <w:tcW w:w="20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(19,167)</w:t>
            </w:r>
          </w:p>
        </w:tc>
        <w:tc>
          <w:tcPr>
            <w:tcW w:w="0" w:type="dxa"/>
            <w:vAlign w:val="bottom"/>
          </w:tcPr>
          <w:p>
            <w:pPr>
              <w:spacing w:after="0"/>
              <w:rPr>
                <w:sz w:val="1"/>
                <w:szCs w:val="1"/>
                <w:color w:val="auto"/>
              </w:rPr>
            </w:pPr>
          </w:p>
        </w:tc>
      </w:tr>
      <w:tr>
        <w:trPr>
          <w:trHeight w:val="192"/>
        </w:trPr>
        <w:tc>
          <w:tcPr>
            <w:tcW w:w="55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 xml:space="preserve">Proceeds from investment securities sold </w:t>
            </w:r>
            <w:r>
              <w:rPr>
                <w:rFonts w:ascii="Arial" w:cs="Arial" w:eastAsia="Arial" w:hAnsi="Arial"/>
                <w:sz w:val="9"/>
                <w:szCs w:val="9"/>
                <w:color w:val="auto"/>
              </w:rPr>
              <w:t>1</w:t>
            </w:r>
          </w:p>
        </w:tc>
        <w:tc>
          <w:tcPr>
            <w:tcW w:w="120" w:type="dxa"/>
            <w:vAlign w:val="bottom"/>
            <w:tcBorders>
              <w:bottom w:val="single" w:sz="8" w:color="auto"/>
            </w:tcBorders>
            <w:shd w:val="clear" w:color="auto" w:fill="CCEEFF"/>
          </w:tcPr>
          <w:p>
            <w:pPr>
              <w:spacing w:after="0"/>
              <w:rPr>
                <w:sz w:val="16"/>
                <w:szCs w:val="16"/>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579</w:t>
            </w:r>
          </w:p>
        </w:tc>
        <w:tc>
          <w:tcPr>
            <w:tcW w:w="100" w:type="dxa"/>
            <w:vAlign w:val="bottom"/>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spacing w:after="0"/>
              <w:rPr>
                <w:sz w:val="16"/>
                <w:szCs w:val="16"/>
                <w:color w:val="auto"/>
              </w:rPr>
            </w:pPr>
          </w:p>
        </w:tc>
        <w:tc>
          <w:tcPr>
            <w:tcW w:w="76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4"/>
                <w:szCs w:val="14"/>
                <w:color w:val="auto"/>
              </w:rPr>
              <w:t>14,193</w:t>
            </w:r>
          </w:p>
        </w:tc>
        <w:tc>
          <w:tcPr>
            <w:tcW w:w="80" w:type="dxa"/>
            <w:vAlign w:val="bottom"/>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spacing w:after="0"/>
              <w:rPr>
                <w:sz w:val="16"/>
                <w:szCs w:val="16"/>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14,772</w:t>
            </w:r>
          </w:p>
        </w:tc>
        <w:tc>
          <w:tcPr>
            <w:tcW w:w="100" w:type="dxa"/>
            <w:vAlign w:val="bottom"/>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spacing w:after="0"/>
              <w:rPr>
                <w:sz w:val="16"/>
                <w:szCs w:val="16"/>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4,676</w:t>
            </w:r>
          </w:p>
        </w:tc>
        <w:tc>
          <w:tcPr>
            <w:tcW w:w="100" w:type="dxa"/>
            <w:vAlign w:val="bottom"/>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spacing w:after="0"/>
              <w:rPr>
                <w:sz w:val="16"/>
                <w:szCs w:val="16"/>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14,503</w:t>
            </w:r>
          </w:p>
        </w:tc>
        <w:tc>
          <w:tcPr>
            <w:tcW w:w="100" w:type="dxa"/>
            <w:vAlign w:val="bottom"/>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spacing w:after="0"/>
              <w:rPr>
                <w:sz w:val="16"/>
                <w:szCs w:val="16"/>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19,179</w:t>
            </w:r>
          </w:p>
        </w:tc>
        <w:tc>
          <w:tcPr>
            <w:tcW w:w="0" w:type="dxa"/>
            <w:vAlign w:val="bottom"/>
          </w:tcPr>
          <w:p>
            <w:pPr>
              <w:spacing w:after="0"/>
              <w:rPr>
                <w:sz w:val="1"/>
                <w:szCs w:val="1"/>
                <w:color w:val="auto"/>
              </w:rPr>
            </w:pPr>
          </w:p>
        </w:tc>
      </w:tr>
      <w:tr>
        <w:trPr>
          <w:trHeight w:val="182"/>
        </w:trPr>
        <w:tc>
          <w:tcPr>
            <w:tcW w:w="5500" w:type="dxa"/>
            <w:vAlign w:val="bottom"/>
            <w:gridSpan w:val="2"/>
          </w:tcPr>
          <w:p>
            <w:pPr>
              <w:ind w:left="20"/>
              <w:spacing w:after="0"/>
              <w:rPr>
                <w:sz w:val="20"/>
                <w:szCs w:val="20"/>
                <w:color w:val="auto"/>
              </w:rPr>
            </w:pPr>
            <w:r>
              <w:rPr>
                <w:rFonts w:ascii="Arial" w:cs="Arial" w:eastAsia="Arial" w:hAnsi="Arial"/>
                <w:sz w:val="14"/>
                <w:szCs w:val="14"/>
                <w:color w:val="auto"/>
              </w:rPr>
              <w:t>Net gain (loss) on sale of investment securities</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(24)</w:t>
            </w:r>
          </w:p>
        </w:tc>
        <w:tc>
          <w:tcPr>
            <w:tcW w:w="100" w:type="dxa"/>
            <w:vAlign w:val="bottom"/>
          </w:tcPr>
          <w:p>
            <w:pPr>
              <w:spacing w:after="0"/>
              <w:rPr>
                <w:sz w:val="15"/>
                <w:szCs w:val="15"/>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(1,264)</w:t>
            </w:r>
          </w:p>
        </w:tc>
        <w:tc>
          <w:tcPr>
            <w:tcW w:w="80" w:type="dxa"/>
            <w:vAlign w:val="bottom"/>
          </w:tcPr>
          <w:p>
            <w:pPr>
              <w:spacing w:after="0"/>
              <w:rPr>
                <w:sz w:val="15"/>
                <w:szCs w:val="15"/>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(1,288)</w:t>
            </w:r>
          </w:p>
        </w:tc>
        <w:tc>
          <w:tcPr>
            <w:tcW w:w="100" w:type="dxa"/>
            <w:vAlign w:val="bottom"/>
          </w:tcPr>
          <w:p>
            <w:pPr>
              <w:spacing w:after="0"/>
              <w:rPr>
                <w:sz w:val="15"/>
                <w:szCs w:val="15"/>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32</w:t>
            </w:r>
          </w:p>
        </w:tc>
        <w:tc>
          <w:tcPr>
            <w:tcW w:w="100" w:type="dxa"/>
            <w:vAlign w:val="bottom"/>
          </w:tcPr>
          <w:p>
            <w:pPr>
              <w:spacing w:after="0"/>
              <w:rPr>
                <w:sz w:val="15"/>
                <w:szCs w:val="15"/>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w:t>
            </w:r>
          </w:p>
        </w:tc>
        <w:tc>
          <w:tcPr>
            <w:tcW w:w="100" w:type="dxa"/>
            <w:vAlign w:val="bottom"/>
          </w:tcPr>
          <w:p>
            <w:pPr>
              <w:spacing w:after="0"/>
              <w:rPr>
                <w:sz w:val="15"/>
                <w:szCs w:val="15"/>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w:t>
            </w:r>
          </w:p>
        </w:tc>
        <w:tc>
          <w:tcPr>
            <w:tcW w:w="0" w:type="dxa"/>
            <w:vAlign w:val="bottom"/>
          </w:tcPr>
          <w:p>
            <w:pPr>
              <w:spacing w:after="0"/>
              <w:rPr>
                <w:sz w:val="1"/>
                <w:szCs w:val="1"/>
                <w:color w:val="auto"/>
              </w:rPr>
            </w:pPr>
          </w:p>
        </w:tc>
      </w:tr>
      <w:tr>
        <w:trPr>
          <w:trHeight w:val="20"/>
        </w:trPr>
        <w:tc>
          <w:tcPr>
            <w:tcW w:w="54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54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6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68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6"/>
        </w:trPr>
        <w:tc>
          <w:tcPr>
            <w:tcW w:w="5500" w:type="dxa"/>
            <w:vAlign w:val="bottom"/>
            <w:gridSpan w:val="2"/>
          </w:tcPr>
          <w:p>
            <w:pPr>
              <w:ind w:left="20"/>
              <w:spacing w:after="0"/>
              <w:rPr>
                <w:sz w:val="20"/>
                <w:szCs w:val="20"/>
                <w:color w:val="auto"/>
              </w:rPr>
            </w:pPr>
            <w:r>
              <w:rPr>
                <w:rFonts w:ascii="Arial" w:cs="Arial" w:eastAsia="Arial" w:hAnsi="Arial"/>
                <w:sz w:val="14"/>
                <w:szCs w:val="14"/>
                <w:color w:val="auto"/>
              </w:rPr>
              <w:t>Gross gain on sale of investment securities</w:t>
            </w: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760" w:type="dxa"/>
            <w:vAlign w:val="bottom"/>
          </w:tcPr>
          <w:p>
            <w:pPr>
              <w:jc w:val="right"/>
              <w:spacing w:after="0"/>
              <w:rPr>
                <w:sz w:val="20"/>
                <w:szCs w:val="20"/>
                <w:color w:val="auto"/>
              </w:rPr>
            </w:pPr>
            <w:r>
              <w:rPr>
                <w:rFonts w:ascii="Arial" w:cs="Arial" w:eastAsia="Arial" w:hAnsi="Arial"/>
                <w:sz w:val="14"/>
                <w:szCs w:val="14"/>
                <w:color w:val="auto"/>
              </w:rPr>
              <w:t>2</w:t>
            </w:r>
          </w:p>
        </w:tc>
        <w:tc>
          <w:tcPr>
            <w:tcW w:w="100" w:type="dxa"/>
            <w:vAlign w:val="bottom"/>
          </w:tcPr>
          <w:p>
            <w:pPr>
              <w:spacing w:after="0"/>
              <w:rPr>
                <w:sz w:val="16"/>
                <w:szCs w:val="16"/>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60" w:type="dxa"/>
            <w:vAlign w:val="bottom"/>
          </w:tcPr>
          <w:p>
            <w:pPr>
              <w:jc w:val="right"/>
              <w:ind w:right="11"/>
              <w:spacing w:after="0"/>
              <w:rPr>
                <w:sz w:val="20"/>
                <w:szCs w:val="20"/>
                <w:color w:val="auto"/>
              </w:rPr>
            </w:pPr>
            <w:r>
              <w:rPr>
                <w:rFonts w:ascii="Arial" w:cs="Arial" w:eastAsia="Arial" w:hAnsi="Arial"/>
                <w:sz w:val="14"/>
                <w:szCs w:val="14"/>
                <w:color w:val="auto"/>
              </w:rPr>
              <w:t>4</w:t>
            </w:r>
          </w:p>
        </w:tc>
        <w:tc>
          <w:tcPr>
            <w:tcW w:w="280" w:type="dxa"/>
            <w:vAlign w:val="bottom"/>
            <w:gridSpan w:val="2"/>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6</w:t>
            </w:r>
          </w:p>
        </w:tc>
        <w:tc>
          <w:tcPr>
            <w:tcW w:w="100" w:type="dxa"/>
            <w:vAlign w:val="bottom"/>
          </w:tcPr>
          <w:p>
            <w:pPr>
              <w:spacing w:after="0"/>
              <w:rPr>
                <w:sz w:val="16"/>
                <w:szCs w:val="16"/>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60" w:type="dxa"/>
            <w:vAlign w:val="bottom"/>
          </w:tcPr>
          <w:p>
            <w:pPr>
              <w:jc w:val="right"/>
              <w:spacing w:after="0"/>
              <w:rPr>
                <w:sz w:val="20"/>
                <w:szCs w:val="20"/>
                <w:color w:val="auto"/>
              </w:rPr>
            </w:pPr>
            <w:r>
              <w:rPr>
                <w:rFonts w:ascii="Arial" w:cs="Arial" w:eastAsia="Arial" w:hAnsi="Arial"/>
                <w:sz w:val="14"/>
                <w:szCs w:val="14"/>
                <w:color w:val="auto"/>
              </w:rPr>
              <w:t>32</w:t>
            </w:r>
          </w:p>
        </w:tc>
        <w:tc>
          <w:tcPr>
            <w:tcW w:w="100" w:type="dxa"/>
            <w:vAlign w:val="bottom"/>
          </w:tcPr>
          <w:p>
            <w:pPr>
              <w:spacing w:after="0"/>
              <w:rPr>
                <w:sz w:val="16"/>
                <w:szCs w:val="16"/>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tcPr>
          <w:p>
            <w:pPr>
              <w:jc w:val="right"/>
              <w:spacing w:after="0"/>
              <w:rPr>
                <w:sz w:val="20"/>
                <w:szCs w:val="20"/>
                <w:color w:val="auto"/>
              </w:rPr>
            </w:pPr>
            <w:r>
              <w:rPr>
                <w:rFonts w:ascii="Arial" w:cs="Arial" w:eastAsia="Arial" w:hAnsi="Arial"/>
                <w:sz w:val="14"/>
                <w:szCs w:val="14"/>
                <w:color w:val="auto"/>
              </w:rPr>
              <w:t>97</w:t>
            </w:r>
          </w:p>
        </w:tc>
        <w:tc>
          <w:tcPr>
            <w:tcW w:w="100" w:type="dxa"/>
            <w:vAlign w:val="bottom"/>
          </w:tcPr>
          <w:p>
            <w:pPr>
              <w:spacing w:after="0"/>
              <w:rPr>
                <w:sz w:val="16"/>
                <w:szCs w:val="16"/>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129</w:t>
            </w:r>
          </w:p>
        </w:tc>
        <w:tc>
          <w:tcPr>
            <w:tcW w:w="0" w:type="dxa"/>
            <w:vAlign w:val="bottom"/>
          </w:tcPr>
          <w:p>
            <w:pPr>
              <w:spacing w:after="0"/>
              <w:rPr>
                <w:sz w:val="1"/>
                <w:szCs w:val="1"/>
                <w:color w:val="auto"/>
              </w:rPr>
            </w:pPr>
          </w:p>
        </w:tc>
      </w:tr>
      <w:tr>
        <w:trPr>
          <w:trHeight w:val="192"/>
        </w:trPr>
        <w:tc>
          <w:tcPr>
            <w:tcW w:w="55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Gross loss on sale of investment securities</w:t>
            </w:r>
          </w:p>
        </w:tc>
        <w:tc>
          <w:tcPr>
            <w:tcW w:w="12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(1,268)</w:t>
            </w:r>
          </w:p>
        </w:tc>
        <w:tc>
          <w:tcPr>
            <w:tcW w:w="8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(1,294)</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(117)</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(117)</w:t>
            </w:r>
          </w:p>
        </w:tc>
        <w:tc>
          <w:tcPr>
            <w:tcW w:w="0" w:type="dxa"/>
            <w:vAlign w:val="bottom"/>
          </w:tcPr>
          <w:p>
            <w:pPr>
              <w:spacing w:after="0"/>
              <w:rPr>
                <w:sz w:val="1"/>
                <w:szCs w:val="1"/>
                <w:color w:val="auto"/>
              </w:rPr>
            </w:pPr>
          </w:p>
        </w:tc>
      </w:tr>
      <w:tr>
        <w:trPr>
          <w:trHeight w:val="183"/>
        </w:trPr>
        <w:tc>
          <w:tcPr>
            <w:tcW w:w="5500" w:type="dxa"/>
            <w:vAlign w:val="bottom"/>
            <w:gridSpan w:val="2"/>
          </w:tcPr>
          <w:p>
            <w:pPr>
              <w:ind w:left="20"/>
              <w:spacing w:after="0"/>
              <w:rPr>
                <w:sz w:val="20"/>
                <w:szCs w:val="20"/>
                <w:color w:val="auto"/>
              </w:rPr>
            </w:pPr>
            <w:r>
              <w:rPr>
                <w:rFonts w:ascii="Arial" w:cs="Arial" w:eastAsia="Arial" w:hAnsi="Arial"/>
                <w:sz w:val="14"/>
                <w:szCs w:val="14"/>
                <w:color w:val="auto"/>
              </w:rPr>
              <w:t>Net gain (loss) on sale of investment securities</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(24)</w:t>
            </w:r>
          </w:p>
        </w:tc>
        <w:tc>
          <w:tcPr>
            <w:tcW w:w="100" w:type="dxa"/>
            <w:vAlign w:val="bottom"/>
          </w:tcPr>
          <w:p>
            <w:pPr>
              <w:spacing w:after="0"/>
              <w:rPr>
                <w:sz w:val="15"/>
                <w:szCs w:val="15"/>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(1,264)</w:t>
            </w:r>
          </w:p>
        </w:tc>
        <w:tc>
          <w:tcPr>
            <w:tcW w:w="80" w:type="dxa"/>
            <w:vAlign w:val="bottom"/>
          </w:tcPr>
          <w:p>
            <w:pPr>
              <w:spacing w:after="0"/>
              <w:rPr>
                <w:sz w:val="15"/>
                <w:szCs w:val="15"/>
                <w:color w:val="auto"/>
              </w:rPr>
            </w:pPr>
          </w:p>
        </w:tc>
        <w:tc>
          <w:tcPr>
            <w:tcW w:w="20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(1,288)</w:t>
            </w:r>
          </w:p>
        </w:tc>
        <w:tc>
          <w:tcPr>
            <w:tcW w:w="100" w:type="dxa"/>
            <w:vAlign w:val="bottom"/>
          </w:tcPr>
          <w:p>
            <w:pPr>
              <w:spacing w:after="0"/>
              <w:rPr>
                <w:sz w:val="15"/>
                <w:szCs w:val="15"/>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32</w:t>
            </w:r>
          </w:p>
        </w:tc>
        <w:tc>
          <w:tcPr>
            <w:tcW w:w="100" w:type="dxa"/>
            <w:vAlign w:val="bottom"/>
          </w:tcPr>
          <w:p>
            <w:pPr>
              <w:spacing w:after="0"/>
              <w:rPr>
                <w:sz w:val="15"/>
                <w:szCs w:val="15"/>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(20)</w:t>
            </w:r>
          </w:p>
        </w:tc>
        <w:tc>
          <w:tcPr>
            <w:tcW w:w="100" w:type="dxa"/>
            <w:vAlign w:val="bottom"/>
          </w:tcPr>
          <w:p>
            <w:pPr>
              <w:spacing w:after="0"/>
              <w:rPr>
                <w:sz w:val="15"/>
                <w:szCs w:val="15"/>
                <w:color w:val="auto"/>
              </w:rPr>
            </w:pPr>
          </w:p>
        </w:tc>
        <w:tc>
          <w:tcPr>
            <w:tcW w:w="20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12</w:t>
            </w:r>
          </w:p>
        </w:tc>
        <w:tc>
          <w:tcPr>
            <w:tcW w:w="0" w:type="dxa"/>
            <w:vAlign w:val="bottom"/>
          </w:tcPr>
          <w:p>
            <w:pPr>
              <w:spacing w:after="0"/>
              <w:rPr>
                <w:sz w:val="1"/>
                <w:szCs w:val="1"/>
                <w:color w:val="auto"/>
              </w:rPr>
            </w:pPr>
          </w:p>
        </w:tc>
      </w:tr>
      <w:tr>
        <w:trPr>
          <w:trHeight w:val="20"/>
        </w:trPr>
        <w:tc>
          <w:tcPr>
            <w:tcW w:w="54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85" w:lineRule="exact"/>
        <w:rPr>
          <w:sz w:val="20"/>
          <w:szCs w:val="20"/>
          <w:color w:val="auto"/>
        </w:rPr>
      </w:pPr>
    </w:p>
    <w:p>
      <w:pPr>
        <w:ind w:left="40"/>
        <w:spacing w:after="0"/>
        <w:rPr>
          <w:sz w:val="20"/>
          <w:szCs w:val="20"/>
          <w:color w:val="auto"/>
        </w:rPr>
      </w:pPr>
      <w:r>
        <w:rPr>
          <w:rFonts w:ascii="Arial" w:cs="Arial" w:eastAsia="Arial" w:hAnsi="Arial"/>
          <w:sz w:val="11"/>
          <w:szCs w:val="11"/>
          <w:color w:val="auto"/>
        </w:rPr>
        <w:t>________________________________</w:t>
      </w:r>
    </w:p>
    <w:p>
      <w:pPr>
        <w:spacing w:after="0" w:line="40" w:lineRule="exact"/>
        <w:rPr>
          <w:sz w:val="20"/>
          <w:szCs w:val="20"/>
          <w:color w:val="auto"/>
        </w:rPr>
      </w:pPr>
    </w:p>
    <w:p>
      <w:pPr>
        <w:ind w:left="660" w:hanging="328"/>
        <w:spacing w:after="0"/>
        <w:tabs>
          <w:tab w:leader="none" w:pos="660" w:val="left"/>
        </w:tabs>
        <w:numPr>
          <w:ilvl w:val="0"/>
          <w:numId w:val="5"/>
        </w:numPr>
        <w:rPr>
          <w:rFonts w:ascii="Arial" w:cs="Arial" w:eastAsia="Arial" w:hAnsi="Arial"/>
          <w:sz w:val="14"/>
          <w:szCs w:val="14"/>
          <w:color w:val="auto"/>
        </w:rPr>
      </w:pPr>
      <w:r>
        <w:rPr>
          <w:rFonts w:ascii="Arial" w:cs="Arial" w:eastAsia="Arial" w:hAnsi="Arial"/>
          <w:sz w:val="14"/>
          <w:szCs w:val="14"/>
          <w:color w:val="auto"/>
        </w:rPr>
        <w:t>Proceeds include cash received during the period, plus receivable for investment securities sold during the period as of period end.</w:t>
      </w:r>
    </w:p>
    <w:p>
      <w:pPr>
        <w:spacing w:after="0" w:line="55" w:lineRule="exact"/>
        <w:rPr>
          <w:rFonts w:ascii="Arial" w:cs="Arial" w:eastAsia="Arial" w:hAnsi="Arial"/>
          <w:sz w:val="14"/>
          <w:szCs w:val="14"/>
          <w:color w:val="auto"/>
        </w:rPr>
      </w:pPr>
    </w:p>
    <w:p>
      <w:pPr>
        <w:ind w:left="660" w:hanging="328"/>
        <w:spacing w:after="0"/>
        <w:tabs>
          <w:tab w:leader="none" w:pos="660" w:val="left"/>
        </w:tabs>
        <w:numPr>
          <w:ilvl w:val="0"/>
          <w:numId w:val="5"/>
        </w:numPr>
        <w:rPr>
          <w:rFonts w:ascii="Arial" w:cs="Arial" w:eastAsia="Arial" w:hAnsi="Arial"/>
          <w:sz w:val="14"/>
          <w:szCs w:val="14"/>
          <w:color w:val="auto"/>
        </w:rPr>
      </w:pPr>
      <w:r>
        <w:rPr>
          <w:rFonts w:ascii="Arial" w:cs="Arial" w:eastAsia="Arial" w:hAnsi="Arial"/>
          <w:sz w:val="14"/>
          <w:szCs w:val="14"/>
          <w:color w:val="auto"/>
        </w:rPr>
        <w:t>See Note 9 for a summary of changes in accumulated OCI.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27" w:right="339" w:bottom="1440" w:gutter="0" w:footer="0" w:header="0"/>
        </w:sectPr>
      </w:pPr>
    </w:p>
    <w:bookmarkStart w:id="14" w:name="page15"/>
    <w:bookmarkEnd w:id="14"/>
    <w:p>
      <w:pPr>
        <w:spacing w:after="0"/>
        <w:rPr>
          <w:sz w:val="20"/>
          <w:szCs w:val="20"/>
          <w:color w:val="auto"/>
        </w:rPr>
      </w:pPr>
      <w:r>
        <w:rPr>
          <w:rFonts w:ascii="Arial" w:cs="Arial" w:eastAsia="Arial" w:hAnsi="Arial"/>
          <w:sz w:val="18"/>
          <w:szCs w:val="18"/>
          <w:b w:val="1"/>
          <w:bCs w:val="1"/>
          <w:color w:val="auto"/>
        </w:rPr>
        <w:t>Note 4. Repurchase Agreements and Reverse Repurchase Agreements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Repurchase Agreements</w:t>
      </w:r>
    </w:p>
    <w:p>
      <w:pPr>
        <w:spacing w:after="0" w:line="171" w:lineRule="exact"/>
        <w:rPr>
          <w:sz w:val="20"/>
          <w:szCs w:val="20"/>
          <w:color w:val="auto"/>
        </w:rPr>
      </w:pPr>
    </w:p>
    <w:p>
      <w:pPr>
        <w:jc w:val="both"/>
        <w:ind w:firstLine="445"/>
        <w:spacing w:after="0" w:line="273" w:lineRule="auto"/>
        <w:rPr>
          <w:sz w:val="20"/>
          <w:szCs w:val="20"/>
          <w:color w:val="auto"/>
        </w:rPr>
      </w:pPr>
      <w:r>
        <w:rPr>
          <w:rFonts w:ascii="Arial" w:cs="Arial" w:eastAsia="Arial" w:hAnsi="Arial"/>
          <w:sz w:val="17"/>
          <w:szCs w:val="17"/>
          <w:color w:val="auto"/>
        </w:rPr>
        <w:t>We pledge our securities as collateral under our borrowings structured as repurchase agreements with financial institutions. Amounts available to be borrowed are dependent upon the fair value of the securities pledged as collateral, which fluctuates with changes in interest rates, type of security and liquidity conditions within the banking, mortgage finance and real estate industries. If the fair value of our pledged securities declines, lenders will typically require us to post additional collateral or pay down borrowings to re-establish agreed upon collateral requirements, referred to as "margin calls." Similarly, if the fair value of our pledged securities increases, lenders may release collateral back to us. As of June 30, 2022, we had met all margin call requirements. For additional information regarding our pledged assets, please refer to Note 6.</w:t>
      </w:r>
    </w:p>
    <w:p>
      <w:pPr>
        <w:spacing w:after="0" w:line="124" w:lineRule="exact"/>
        <w:rPr>
          <w:sz w:val="20"/>
          <w:szCs w:val="20"/>
          <w:color w:val="auto"/>
        </w:rPr>
      </w:pPr>
    </w:p>
    <w:p>
      <w:pPr>
        <w:jc w:val="both"/>
        <w:ind w:firstLine="445"/>
        <w:spacing w:after="0" w:line="257" w:lineRule="auto"/>
        <w:rPr>
          <w:sz w:val="20"/>
          <w:szCs w:val="20"/>
          <w:color w:val="auto"/>
        </w:rPr>
      </w:pPr>
      <w:r>
        <w:rPr>
          <w:rFonts w:ascii="Arial" w:cs="Arial" w:eastAsia="Arial" w:hAnsi="Arial"/>
          <w:sz w:val="18"/>
          <w:szCs w:val="18"/>
          <w:color w:val="auto"/>
        </w:rPr>
        <w:t>As of June 30, 2022 and December 31, 2021, we had $43.2 billion and $47.4 billion, respectively, of repurchase agreements outstanding used to fund our investment portfolio and temporary holdings of U.S. Treasury securities. The terms and conditions of our repurchase agreements are typically negotiated on a transaction-by-transaction basis. Our repurchase agreements with original maturities greater than one year may have floating interest rates based on an index plus or minus a fixed spread. The following table summarizes our borrowings under repurchase agreements by their remaining maturities as of June 30, 2022 and December 31, 2021 (dollars in millions):</w:t>
      </w:r>
    </w:p>
    <w:p>
      <w:pPr>
        <w:spacing w:after="0" w:line="166" w:lineRule="exact"/>
        <w:rPr>
          <w:sz w:val="20"/>
          <w:szCs w:val="20"/>
          <w:color w:val="auto"/>
        </w:rPr>
      </w:pPr>
    </w:p>
    <w:tbl>
      <w:tblPr>
        <w:tblLayout w:type="fixed"/>
        <w:tblInd w:w="60" w:type="dxa"/>
        <w:tblCellMar>
          <w:top w:w="0" w:type="dxa"/>
          <w:left w:w="0" w:type="dxa"/>
          <w:bottom w:w="0" w:type="dxa"/>
          <w:right w:w="0" w:type="dxa"/>
        </w:tblCellMar>
      </w:tblPr>
      <w:tr>
        <w:trPr>
          <w:trHeight w:val="192"/>
        </w:trPr>
        <w:tc>
          <w:tcPr>
            <w:tcW w:w="248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gridSpan w:val="2"/>
          </w:tcPr>
          <w:p>
            <w:pPr>
              <w:jc w:val="center"/>
              <w:ind w:right="120"/>
              <w:spacing w:after="0"/>
              <w:rPr>
                <w:sz w:val="20"/>
                <w:szCs w:val="20"/>
                <w:color w:val="auto"/>
              </w:rPr>
            </w:pPr>
            <w:r>
              <w:rPr>
                <w:rFonts w:ascii="Arial" w:cs="Arial" w:eastAsia="Arial" w:hAnsi="Arial"/>
                <w:sz w:val="14"/>
                <w:szCs w:val="14"/>
                <w:b w:val="1"/>
                <w:bCs w:val="1"/>
                <w:color w:val="auto"/>
                <w:w w:val="92"/>
              </w:rPr>
              <w:t>June 30, 2022</w:t>
            </w:r>
          </w:p>
        </w:tc>
        <w:tc>
          <w:tcPr>
            <w:tcW w:w="1180" w:type="dxa"/>
            <w:vAlign w:val="bottom"/>
            <w:tcBorders>
              <w:bottom w:val="single" w:sz="8" w:color="auto"/>
            </w:tcBorders>
          </w:tcPr>
          <w:p>
            <w:pPr>
              <w:spacing w:after="0"/>
              <w:rPr>
                <w:sz w:val="16"/>
                <w:szCs w:val="16"/>
                <w:color w:val="auto"/>
              </w:rPr>
            </w:pPr>
          </w:p>
        </w:tc>
        <w:tc>
          <w:tcPr>
            <w:tcW w:w="4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gridSpan w:val="2"/>
          </w:tcPr>
          <w:p>
            <w:pPr>
              <w:jc w:val="center"/>
              <w:ind w:right="120"/>
              <w:spacing w:after="0"/>
              <w:rPr>
                <w:sz w:val="20"/>
                <w:szCs w:val="20"/>
                <w:color w:val="auto"/>
              </w:rPr>
            </w:pPr>
            <w:r>
              <w:rPr>
                <w:rFonts w:ascii="Arial" w:cs="Arial" w:eastAsia="Arial" w:hAnsi="Arial"/>
                <w:sz w:val="14"/>
                <w:szCs w:val="14"/>
                <w:b w:val="1"/>
                <w:bCs w:val="1"/>
                <w:color w:val="auto"/>
                <w:w w:val="91"/>
              </w:rPr>
              <w:t>December 31, 2021</w:t>
            </w:r>
          </w:p>
        </w:tc>
        <w:tc>
          <w:tcPr>
            <w:tcW w:w="11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4"/>
        </w:trPr>
        <w:tc>
          <w:tcPr>
            <w:tcW w:w="2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40" w:type="dxa"/>
            <w:vAlign w:val="bottom"/>
            <w:gridSpan w:val="2"/>
          </w:tcPr>
          <w:p>
            <w:pPr>
              <w:jc w:val="center"/>
              <w:ind w:right="140"/>
              <w:spacing w:after="0" w:line="135" w:lineRule="exact"/>
              <w:rPr>
                <w:sz w:val="20"/>
                <w:szCs w:val="20"/>
                <w:color w:val="auto"/>
              </w:rPr>
            </w:pPr>
            <w:r>
              <w:rPr>
                <w:rFonts w:ascii="Arial" w:cs="Arial" w:eastAsia="Arial" w:hAnsi="Arial"/>
                <w:sz w:val="14"/>
                <w:szCs w:val="14"/>
                <w:b w:val="1"/>
                <w:bCs w:val="1"/>
                <w:color w:val="auto"/>
                <w:w w:val="91"/>
              </w:rPr>
              <w:t>Weighted</w:t>
            </w:r>
          </w:p>
        </w:tc>
        <w:tc>
          <w:tcPr>
            <w:tcW w:w="1600" w:type="dxa"/>
            <w:vAlign w:val="bottom"/>
            <w:gridSpan w:val="2"/>
            <w:vMerge w:val="restart"/>
          </w:tcPr>
          <w:p>
            <w:pPr>
              <w:jc w:val="center"/>
              <w:ind w:right="440"/>
              <w:spacing w:after="0"/>
              <w:rPr>
                <w:sz w:val="20"/>
                <w:szCs w:val="20"/>
                <w:color w:val="auto"/>
              </w:rPr>
            </w:pPr>
            <w:r>
              <w:rPr>
                <w:rFonts w:ascii="Arial" w:cs="Arial" w:eastAsia="Arial" w:hAnsi="Arial"/>
                <w:sz w:val="14"/>
                <w:szCs w:val="14"/>
                <w:b w:val="1"/>
                <w:bCs w:val="1"/>
                <w:color w:val="auto"/>
                <w:w w:val="95"/>
              </w:rPr>
              <w:t>Weighted</w:t>
            </w:r>
          </w:p>
        </w:tc>
        <w:tc>
          <w:tcPr>
            <w:tcW w:w="16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40" w:type="dxa"/>
            <w:vAlign w:val="bottom"/>
            <w:gridSpan w:val="2"/>
          </w:tcPr>
          <w:p>
            <w:pPr>
              <w:jc w:val="center"/>
              <w:ind w:right="140"/>
              <w:spacing w:after="0" w:line="135" w:lineRule="exact"/>
              <w:rPr>
                <w:sz w:val="20"/>
                <w:szCs w:val="20"/>
                <w:color w:val="auto"/>
              </w:rPr>
            </w:pPr>
            <w:r>
              <w:rPr>
                <w:rFonts w:ascii="Arial" w:cs="Arial" w:eastAsia="Arial" w:hAnsi="Arial"/>
                <w:sz w:val="14"/>
                <w:szCs w:val="14"/>
                <w:b w:val="1"/>
                <w:bCs w:val="1"/>
                <w:color w:val="auto"/>
                <w:w w:val="91"/>
              </w:rPr>
              <w:t>Weighted</w:t>
            </w:r>
          </w:p>
        </w:tc>
        <w:tc>
          <w:tcPr>
            <w:tcW w:w="11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1"/>
              </w:rPr>
              <w:t>Weighted</w:t>
            </w:r>
          </w:p>
        </w:tc>
        <w:tc>
          <w:tcPr>
            <w:tcW w:w="0" w:type="dxa"/>
            <w:vAlign w:val="bottom"/>
          </w:tcPr>
          <w:p>
            <w:pPr>
              <w:spacing w:after="0"/>
              <w:rPr>
                <w:sz w:val="1"/>
                <w:szCs w:val="1"/>
                <w:color w:val="auto"/>
              </w:rPr>
            </w:pPr>
          </w:p>
        </w:tc>
      </w:tr>
      <w:tr>
        <w:trPr>
          <w:trHeight w:val="135"/>
        </w:trPr>
        <w:tc>
          <w:tcPr>
            <w:tcW w:w="2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4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Repurchase</w:t>
            </w:r>
          </w:p>
        </w:tc>
        <w:tc>
          <w:tcPr>
            <w:tcW w:w="1440" w:type="dxa"/>
            <w:vAlign w:val="bottom"/>
            <w:gridSpan w:val="2"/>
          </w:tcPr>
          <w:p>
            <w:pPr>
              <w:jc w:val="center"/>
              <w:ind w:right="140"/>
              <w:spacing w:after="0" w:line="135" w:lineRule="exact"/>
              <w:rPr>
                <w:sz w:val="20"/>
                <w:szCs w:val="20"/>
                <w:color w:val="auto"/>
              </w:rPr>
            </w:pPr>
            <w:r>
              <w:rPr>
                <w:rFonts w:ascii="Arial" w:cs="Arial" w:eastAsia="Arial" w:hAnsi="Arial"/>
                <w:sz w:val="14"/>
                <w:szCs w:val="14"/>
                <w:b w:val="1"/>
                <w:bCs w:val="1"/>
                <w:color w:val="auto"/>
                <w:w w:val="90"/>
              </w:rPr>
              <w:t>Average</w:t>
            </w:r>
          </w:p>
        </w:tc>
        <w:tc>
          <w:tcPr>
            <w:tcW w:w="1600" w:type="dxa"/>
            <w:vAlign w:val="bottom"/>
            <w:gridSpan w:val="2"/>
            <w:vMerge w:val="continue"/>
          </w:tcPr>
          <w:p>
            <w:pPr>
              <w:spacing w:after="0"/>
              <w:rPr>
                <w:sz w:val="11"/>
                <w:szCs w:val="11"/>
                <w:color w:val="auto"/>
              </w:rPr>
            </w:pPr>
          </w:p>
        </w:tc>
        <w:tc>
          <w:tcPr>
            <w:tcW w:w="160" w:type="dxa"/>
            <w:vAlign w:val="bottom"/>
          </w:tcPr>
          <w:p>
            <w:pPr>
              <w:spacing w:after="0"/>
              <w:rPr>
                <w:sz w:val="11"/>
                <w:szCs w:val="11"/>
                <w:color w:val="auto"/>
              </w:rPr>
            </w:pPr>
          </w:p>
        </w:tc>
        <w:tc>
          <w:tcPr>
            <w:tcW w:w="114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Repurchase</w:t>
            </w:r>
          </w:p>
        </w:tc>
        <w:tc>
          <w:tcPr>
            <w:tcW w:w="1440" w:type="dxa"/>
            <w:vAlign w:val="bottom"/>
            <w:gridSpan w:val="2"/>
          </w:tcPr>
          <w:p>
            <w:pPr>
              <w:jc w:val="center"/>
              <w:ind w:right="140"/>
              <w:spacing w:after="0" w:line="135" w:lineRule="exact"/>
              <w:rPr>
                <w:sz w:val="20"/>
                <w:szCs w:val="20"/>
                <w:color w:val="auto"/>
              </w:rPr>
            </w:pPr>
            <w:r>
              <w:rPr>
                <w:rFonts w:ascii="Arial" w:cs="Arial" w:eastAsia="Arial" w:hAnsi="Arial"/>
                <w:sz w:val="14"/>
                <w:szCs w:val="14"/>
                <w:b w:val="1"/>
                <w:bCs w:val="1"/>
                <w:color w:val="auto"/>
                <w:w w:val="90"/>
              </w:rPr>
              <w:t>Average</w:t>
            </w:r>
          </w:p>
        </w:tc>
        <w:tc>
          <w:tcPr>
            <w:tcW w:w="118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48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Remaining Maturity</w:t>
            </w:r>
          </w:p>
        </w:tc>
        <w:tc>
          <w:tcPr>
            <w:tcW w:w="420" w:type="dxa"/>
            <w:vAlign w:val="bottom"/>
            <w:vMerge w:val="restart"/>
          </w:tcPr>
          <w:p>
            <w:pPr>
              <w:spacing w:after="0"/>
              <w:rPr>
                <w:sz w:val="11"/>
                <w:szCs w:val="11"/>
                <w:color w:val="auto"/>
              </w:rPr>
            </w:pPr>
          </w:p>
        </w:tc>
        <w:tc>
          <w:tcPr>
            <w:tcW w:w="140" w:type="dxa"/>
            <w:vAlign w:val="bottom"/>
          </w:tcPr>
          <w:p>
            <w:pPr>
              <w:spacing w:after="0"/>
              <w:rPr>
                <w:sz w:val="11"/>
                <w:szCs w:val="11"/>
                <w:color w:val="auto"/>
              </w:rPr>
            </w:pPr>
          </w:p>
        </w:tc>
        <w:tc>
          <w:tcPr>
            <w:tcW w:w="1140" w:type="dxa"/>
            <w:vAlign w:val="bottom"/>
            <w:gridSpan w:val="2"/>
            <w:vMerge w:val="continue"/>
          </w:tcPr>
          <w:p>
            <w:pPr>
              <w:spacing w:after="0"/>
              <w:rPr>
                <w:sz w:val="11"/>
                <w:szCs w:val="11"/>
                <w:color w:val="auto"/>
              </w:rPr>
            </w:pPr>
          </w:p>
        </w:tc>
        <w:tc>
          <w:tcPr>
            <w:tcW w:w="1440" w:type="dxa"/>
            <w:vAlign w:val="bottom"/>
            <w:gridSpan w:val="2"/>
          </w:tcPr>
          <w:p>
            <w:pPr>
              <w:jc w:val="center"/>
              <w:ind w:right="160"/>
              <w:spacing w:after="0" w:line="135" w:lineRule="exact"/>
              <w:rPr>
                <w:sz w:val="20"/>
                <w:szCs w:val="20"/>
                <w:color w:val="auto"/>
              </w:rPr>
            </w:pPr>
            <w:r>
              <w:rPr>
                <w:rFonts w:ascii="Arial" w:cs="Arial" w:eastAsia="Arial" w:hAnsi="Arial"/>
                <w:sz w:val="14"/>
                <w:szCs w:val="14"/>
                <w:b w:val="1"/>
                <w:bCs w:val="1"/>
                <w:color w:val="auto"/>
                <w:w w:val="94"/>
              </w:rPr>
              <w:t>Interest</w:t>
            </w:r>
          </w:p>
        </w:tc>
        <w:tc>
          <w:tcPr>
            <w:tcW w:w="1600" w:type="dxa"/>
            <w:vAlign w:val="bottom"/>
            <w:gridSpan w:val="2"/>
          </w:tcPr>
          <w:p>
            <w:pPr>
              <w:jc w:val="center"/>
              <w:ind w:right="440"/>
              <w:spacing w:after="0" w:line="135" w:lineRule="exact"/>
              <w:rPr>
                <w:sz w:val="20"/>
                <w:szCs w:val="20"/>
                <w:color w:val="auto"/>
              </w:rPr>
            </w:pPr>
            <w:r>
              <w:rPr>
                <w:rFonts w:ascii="Arial" w:cs="Arial" w:eastAsia="Arial" w:hAnsi="Arial"/>
                <w:sz w:val="14"/>
                <w:szCs w:val="14"/>
                <w:b w:val="1"/>
                <w:bCs w:val="1"/>
                <w:color w:val="auto"/>
                <w:w w:val="90"/>
              </w:rPr>
              <w:t>Average Days</w:t>
            </w:r>
          </w:p>
        </w:tc>
        <w:tc>
          <w:tcPr>
            <w:tcW w:w="160" w:type="dxa"/>
            <w:vAlign w:val="bottom"/>
          </w:tcPr>
          <w:p>
            <w:pPr>
              <w:spacing w:after="0"/>
              <w:rPr>
                <w:sz w:val="11"/>
                <w:szCs w:val="11"/>
                <w:color w:val="auto"/>
              </w:rPr>
            </w:pPr>
          </w:p>
        </w:tc>
        <w:tc>
          <w:tcPr>
            <w:tcW w:w="1140" w:type="dxa"/>
            <w:vAlign w:val="bottom"/>
            <w:gridSpan w:val="2"/>
            <w:vMerge w:val="continue"/>
          </w:tcPr>
          <w:p>
            <w:pPr>
              <w:spacing w:after="0"/>
              <w:rPr>
                <w:sz w:val="11"/>
                <w:szCs w:val="11"/>
                <w:color w:val="auto"/>
              </w:rPr>
            </w:pPr>
          </w:p>
        </w:tc>
        <w:tc>
          <w:tcPr>
            <w:tcW w:w="1440" w:type="dxa"/>
            <w:vAlign w:val="bottom"/>
            <w:gridSpan w:val="2"/>
          </w:tcPr>
          <w:p>
            <w:pPr>
              <w:jc w:val="center"/>
              <w:ind w:right="140"/>
              <w:spacing w:after="0" w:line="135" w:lineRule="exact"/>
              <w:rPr>
                <w:sz w:val="20"/>
                <w:szCs w:val="20"/>
                <w:color w:val="auto"/>
              </w:rPr>
            </w:pPr>
            <w:r>
              <w:rPr>
                <w:rFonts w:ascii="Arial" w:cs="Arial" w:eastAsia="Arial" w:hAnsi="Arial"/>
                <w:sz w:val="14"/>
                <w:szCs w:val="14"/>
                <w:b w:val="1"/>
                <w:bCs w:val="1"/>
                <w:color w:val="auto"/>
                <w:w w:val="90"/>
              </w:rPr>
              <w:t>Interest</w:t>
            </w:r>
          </w:p>
        </w:tc>
        <w:tc>
          <w:tcPr>
            <w:tcW w:w="118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0"/>
              </w:rPr>
              <w:t>Average Days</w:t>
            </w:r>
          </w:p>
        </w:tc>
        <w:tc>
          <w:tcPr>
            <w:tcW w:w="0" w:type="dxa"/>
            <w:vAlign w:val="bottom"/>
          </w:tcPr>
          <w:p>
            <w:pPr>
              <w:spacing w:after="0"/>
              <w:rPr>
                <w:sz w:val="1"/>
                <w:szCs w:val="1"/>
                <w:color w:val="auto"/>
              </w:rPr>
            </w:pPr>
          </w:p>
        </w:tc>
      </w:tr>
      <w:tr>
        <w:trPr>
          <w:trHeight w:val="188"/>
        </w:trPr>
        <w:tc>
          <w:tcPr>
            <w:tcW w:w="2480" w:type="dxa"/>
            <w:vAlign w:val="bottom"/>
            <w:tcBorders>
              <w:bottom w:val="single" w:sz="8" w:color="auto"/>
            </w:tcBorders>
            <w:vMerge w:val="continue"/>
          </w:tcPr>
          <w:p>
            <w:pPr>
              <w:spacing w:after="0"/>
              <w:rPr>
                <w:sz w:val="16"/>
                <w:szCs w:val="16"/>
                <w:color w:val="auto"/>
              </w:rPr>
            </w:pPr>
          </w:p>
        </w:tc>
        <w:tc>
          <w:tcPr>
            <w:tcW w:w="42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Agreements</w:t>
            </w:r>
          </w:p>
        </w:tc>
        <w:tc>
          <w:tcPr>
            <w:tcW w:w="120" w:type="dxa"/>
            <w:vAlign w:val="bottom"/>
            <w:tcBorders>
              <w:bottom w:val="single" w:sz="8" w:color="CCEEFF"/>
            </w:tcBorders>
          </w:tcPr>
          <w:p>
            <w:pPr>
              <w:spacing w:after="0"/>
              <w:rPr>
                <w:sz w:val="16"/>
                <w:szCs w:val="16"/>
                <w:color w:val="auto"/>
              </w:rPr>
            </w:pP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Rate</w:t>
            </w:r>
          </w:p>
        </w:tc>
        <w:tc>
          <w:tcPr>
            <w:tcW w:w="140" w:type="dxa"/>
            <w:vAlign w:val="bottom"/>
            <w:tcBorders>
              <w:bottom w:val="single" w:sz="8" w:color="CCEEFF"/>
            </w:tcBorders>
          </w:tcPr>
          <w:p>
            <w:pPr>
              <w:spacing w:after="0"/>
              <w:rPr>
                <w:sz w:val="16"/>
                <w:szCs w:val="16"/>
                <w:color w:val="auto"/>
              </w:rPr>
            </w:pPr>
          </w:p>
        </w:tc>
        <w:tc>
          <w:tcPr>
            <w:tcW w:w="11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to Maturity</w:t>
            </w:r>
          </w:p>
        </w:tc>
        <w:tc>
          <w:tcPr>
            <w:tcW w:w="4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Agreements</w:t>
            </w:r>
          </w:p>
        </w:tc>
        <w:tc>
          <w:tcPr>
            <w:tcW w:w="140" w:type="dxa"/>
            <w:vAlign w:val="bottom"/>
            <w:tcBorders>
              <w:bottom w:val="single" w:sz="8" w:color="CCEEFF"/>
            </w:tcBorders>
          </w:tcPr>
          <w:p>
            <w:pPr>
              <w:spacing w:after="0"/>
              <w:rPr>
                <w:sz w:val="16"/>
                <w:szCs w:val="16"/>
                <w:color w:val="auto"/>
              </w:rPr>
            </w:pP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Rate</w:t>
            </w:r>
          </w:p>
        </w:tc>
        <w:tc>
          <w:tcPr>
            <w:tcW w:w="140" w:type="dxa"/>
            <w:vAlign w:val="bottom"/>
            <w:tcBorders>
              <w:bottom w:val="single" w:sz="8" w:color="CCEEFF"/>
            </w:tcBorders>
          </w:tcPr>
          <w:p>
            <w:pPr>
              <w:spacing w:after="0"/>
              <w:rPr>
                <w:sz w:val="16"/>
                <w:szCs w:val="16"/>
                <w:color w:val="auto"/>
              </w:rPr>
            </w:pPr>
          </w:p>
        </w:tc>
        <w:tc>
          <w:tcPr>
            <w:tcW w:w="11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to Maturity</w:t>
            </w:r>
          </w:p>
        </w:tc>
        <w:tc>
          <w:tcPr>
            <w:tcW w:w="0" w:type="dxa"/>
            <w:vAlign w:val="bottom"/>
          </w:tcPr>
          <w:p>
            <w:pPr>
              <w:spacing w:after="0"/>
              <w:rPr>
                <w:sz w:val="1"/>
                <w:szCs w:val="1"/>
                <w:color w:val="auto"/>
              </w:rPr>
            </w:pPr>
          </w:p>
        </w:tc>
      </w:tr>
      <w:tr>
        <w:trPr>
          <w:trHeight w:val="211"/>
        </w:trPr>
        <w:tc>
          <w:tcPr>
            <w:tcW w:w="290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Agency repo:</w:t>
            </w:r>
          </w:p>
        </w:tc>
        <w:tc>
          <w:tcPr>
            <w:tcW w:w="1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900" w:type="dxa"/>
            <w:vAlign w:val="bottom"/>
            <w:gridSpan w:val="2"/>
          </w:tcPr>
          <w:p>
            <w:pPr>
              <w:ind w:left="140"/>
              <w:spacing w:after="0"/>
              <w:rPr>
                <w:sz w:val="20"/>
                <w:szCs w:val="20"/>
                <w:color w:val="auto"/>
              </w:rPr>
            </w:pPr>
            <w:r>
              <w:rPr>
                <w:rFonts w:ascii="Arial" w:cs="Arial" w:eastAsia="Arial" w:hAnsi="Arial"/>
                <w:sz w:val="16"/>
                <w:szCs w:val="16"/>
                <w:color w:val="auto"/>
              </w:rPr>
              <w:t>≤ 1 month</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tcPr>
          <w:p>
            <w:pPr>
              <w:jc w:val="right"/>
              <w:ind w:right="1"/>
              <w:spacing w:after="0"/>
              <w:rPr>
                <w:sz w:val="20"/>
                <w:szCs w:val="20"/>
                <w:color w:val="auto"/>
              </w:rPr>
            </w:pPr>
            <w:r>
              <w:rPr>
                <w:rFonts w:ascii="Arial" w:cs="Arial" w:eastAsia="Arial" w:hAnsi="Arial"/>
                <w:sz w:val="16"/>
                <w:szCs w:val="16"/>
                <w:color w:val="auto"/>
              </w:rPr>
              <w:t>26,620</w:t>
            </w:r>
          </w:p>
        </w:tc>
        <w:tc>
          <w:tcPr>
            <w:tcW w:w="12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1.38 %</w:t>
            </w:r>
          </w:p>
        </w:tc>
        <w:tc>
          <w:tcPr>
            <w:tcW w:w="140" w:type="dxa"/>
            <w:vAlign w:val="bottom"/>
          </w:tcPr>
          <w:p>
            <w:pPr>
              <w:spacing w:after="0"/>
              <w:rPr>
                <w:sz w:val="18"/>
                <w:szCs w:val="18"/>
                <w:color w:val="auto"/>
              </w:rPr>
            </w:pPr>
          </w:p>
        </w:tc>
        <w:tc>
          <w:tcPr>
            <w:tcW w:w="1180" w:type="dxa"/>
            <w:vAlign w:val="bottom"/>
          </w:tcPr>
          <w:p>
            <w:pPr>
              <w:jc w:val="right"/>
              <w:ind w:right="1"/>
              <w:spacing w:after="0"/>
              <w:rPr>
                <w:sz w:val="20"/>
                <w:szCs w:val="20"/>
                <w:color w:val="auto"/>
              </w:rPr>
            </w:pPr>
            <w:r>
              <w:rPr>
                <w:rFonts w:ascii="Arial" w:cs="Arial" w:eastAsia="Arial" w:hAnsi="Arial"/>
                <w:sz w:val="16"/>
                <w:szCs w:val="16"/>
                <w:color w:val="auto"/>
              </w:rPr>
              <w:t>12</w:t>
            </w:r>
          </w:p>
        </w:tc>
        <w:tc>
          <w:tcPr>
            <w:tcW w:w="42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23,747</w:t>
            </w:r>
          </w:p>
        </w:tc>
        <w:tc>
          <w:tcPr>
            <w:tcW w:w="1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0.14 %</w:t>
            </w:r>
          </w:p>
        </w:tc>
        <w:tc>
          <w:tcPr>
            <w:tcW w:w="140" w:type="dxa"/>
            <w:vAlign w:val="bottom"/>
          </w:tcPr>
          <w:p>
            <w:pPr>
              <w:spacing w:after="0"/>
              <w:rPr>
                <w:sz w:val="18"/>
                <w:szCs w:val="18"/>
                <w:color w:val="auto"/>
              </w:rPr>
            </w:pPr>
          </w:p>
        </w:tc>
        <w:tc>
          <w:tcPr>
            <w:tcW w:w="1180" w:type="dxa"/>
            <w:vAlign w:val="bottom"/>
          </w:tcPr>
          <w:p>
            <w:pPr>
              <w:jc w:val="right"/>
              <w:ind w:right="1"/>
              <w:spacing w:after="0"/>
              <w:rPr>
                <w:sz w:val="20"/>
                <w:szCs w:val="20"/>
                <w:color w:val="auto"/>
              </w:rPr>
            </w:pPr>
            <w:r>
              <w:rPr>
                <w:rFonts w:ascii="Arial" w:cs="Arial" w:eastAsia="Arial" w:hAnsi="Arial"/>
                <w:sz w:val="16"/>
                <w:szCs w:val="16"/>
                <w:color w:val="auto"/>
              </w:rPr>
              <w:t>13</w:t>
            </w:r>
          </w:p>
        </w:tc>
        <w:tc>
          <w:tcPr>
            <w:tcW w:w="0" w:type="dxa"/>
            <w:vAlign w:val="bottom"/>
          </w:tcPr>
          <w:p>
            <w:pPr>
              <w:spacing w:after="0"/>
              <w:rPr>
                <w:sz w:val="1"/>
                <w:szCs w:val="1"/>
                <w:color w:val="auto"/>
              </w:rPr>
            </w:pPr>
          </w:p>
        </w:tc>
      </w:tr>
      <w:tr>
        <w:trPr>
          <w:trHeight w:val="219"/>
        </w:trPr>
        <w:tc>
          <w:tcPr>
            <w:tcW w:w="290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&gt; 1 to ≤ 3 months</w:t>
            </w:r>
          </w:p>
        </w:tc>
        <w:tc>
          <w:tcPr>
            <w:tcW w:w="140" w:type="dxa"/>
            <w:vAlign w:val="bottom"/>
            <w:shd w:val="clear" w:color="auto" w:fill="CCEEFF"/>
          </w:tcPr>
          <w:p>
            <w:pPr>
              <w:spacing w:after="0"/>
              <w:rPr>
                <w:sz w:val="19"/>
                <w:szCs w:val="19"/>
                <w:color w:val="auto"/>
              </w:rPr>
            </w:pPr>
          </w:p>
        </w:tc>
        <w:tc>
          <w:tcPr>
            <w:tcW w:w="102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10,223</w:t>
            </w:r>
          </w:p>
        </w:tc>
        <w:tc>
          <w:tcPr>
            <w:tcW w:w="12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0.97 %</w:t>
            </w:r>
          </w:p>
        </w:tc>
        <w:tc>
          <w:tcPr>
            <w:tcW w:w="140" w:type="dxa"/>
            <w:vAlign w:val="bottom"/>
            <w:shd w:val="clear" w:color="auto" w:fill="CCEEFF"/>
          </w:tcPr>
          <w:p>
            <w:pPr>
              <w:spacing w:after="0"/>
              <w:rPr>
                <w:sz w:val="19"/>
                <w:szCs w:val="19"/>
                <w:color w:val="auto"/>
              </w:rPr>
            </w:pPr>
          </w:p>
        </w:tc>
        <w:tc>
          <w:tcPr>
            <w:tcW w:w="118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65</w:t>
            </w:r>
          </w:p>
        </w:tc>
        <w:tc>
          <w:tcPr>
            <w:tcW w:w="4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14,781</w:t>
            </w:r>
          </w:p>
        </w:tc>
        <w:tc>
          <w:tcPr>
            <w:tcW w:w="14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0.15 %</w:t>
            </w:r>
          </w:p>
        </w:tc>
        <w:tc>
          <w:tcPr>
            <w:tcW w:w="140" w:type="dxa"/>
            <w:vAlign w:val="bottom"/>
            <w:shd w:val="clear" w:color="auto" w:fill="CCEEFF"/>
          </w:tcPr>
          <w:p>
            <w:pPr>
              <w:spacing w:after="0"/>
              <w:rPr>
                <w:sz w:val="19"/>
                <w:szCs w:val="19"/>
                <w:color w:val="auto"/>
              </w:rPr>
            </w:pPr>
          </w:p>
        </w:tc>
        <w:tc>
          <w:tcPr>
            <w:tcW w:w="118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61</w:t>
            </w:r>
          </w:p>
        </w:tc>
        <w:tc>
          <w:tcPr>
            <w:tcW w:w="0" w:type="dxa"/>
            <w:vAlign w:val="bottom"/>
          </w:tcPr>
          <w:p>
            <w:pPr>
              <w:spacing w:after="0"/>
              <w:rPr>
                <w:sz w:val="1"/>
                <w:szCs w:val="1"/>
                <w:color w:val="auto"/>
              </w:rPr>
            </w:pPr>
          </w:p>
        </w:tc>
      </w:tr>
      <w:tr>
        <w:trPr>
          <w:trHeight w:val="213"/>
        </w:trPr>
        <w:tc>
          <w:tcPr>
            <w:tcW w:w="2900" w:type="dxa"/>
            <w:vAlign w:val="bottom"/>
            <w:gridSpan w:val="2"/>
          </w:tcPr>
          <w:p>
            <w:pPr>
              <w:ind w:left="140"/>
              <w:spacing w:after="0"/>
              <w:rPr>
                <w:sz w:val="20"/>
                <w:szCs w:val="20"/>
                <w:color w:val="auto"/>
              </w:rPr>
            </w:pPr>
            <w:r>
              <w:rPr>
                <w:rFonts w:ascii="Arial" w:cs="Arial" w:eastAsia="Arial" w:hAnsi="Arial"/>
                <w:sz w:val="16"/>
                <w:szCs w:val="16"/>
                <w:color w:val="auto"/>
              </w:rPr>
              <w:t>&gt; 3 to ≤ 6 months</w:t>
            </w:r>
          </w:p>
        </w:tc>
        <w:tc>
          <w:tcPr>
            <w:tcW w:w="140" w:type="dxa"/>
            <w:vAlign w:val="bottom"/>
          </w:tcPr>
          <w:p>
            <w:pPr>
              <w:spacing w:after="0"/>
              <w:rPr>
                <w:sz w:val="18"/>
                <w:szCs w:val="18"/>
                <w:color w:val="auto"/>
              </w:rPr>
            </w:pPr>
          </w:p>
        </w:tc>
        <w:tc>
          <w:tcPr>
            <w:tcW w:w="1020" w:type="dxa"/>
            <w:vAlign w:val="bottom"/>
          </w:tcPr>
          <w:p>
            <w:pPr>
              <w:jc w:val="right"/>
              <w:ind w:right="1"/>
              <w:spacing w:after="0"/>
              <w:rPr>
                <w:sz w:val="20"/>
                <w:szCs w:val="20"/>
                <w:color w:val="auto"/>
              </w:rPr>
            </w:pPr>
            <w:r>
              <w:rPr>
                <w:rFonts w:ascii="Arial" w:cs="Arial" w:eastAsia="Arial" w:hAnsi="Arial"/>
                <w:sz w:val="16"/>
                <w:szCs w:val="16"/>
                <w:color w:val="auto"/>
              </w:rPr>
              <w:t>3,024</w:t>
            </w:r>
          </w:p>
        </w:tc>
        <w:tc>
          <w:tcPr>
            <w:tcW w:w="12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0.90 %</w:t>
            </w:r>
          </w:p>
        </w:tc>
        <w:tc>
          <w:tcPr>
            <w:tcW w:w="140" w:type="dxa"/>
            <w:vAlign w:val="bottom"/>
          </w:tcPr>
          <w:p>
            <w:pPr>
              <w:spacing w:after="0"/>
              <w:rPr>
                <w:sz w:val="18"/>
                <w:szCs w:val="18"/>
                <w:color w:val="auto"/>
              </w:rPr>
            </w:pPr>
          </w:p>
        </w:tc>
        <w:tc>
          <w:tcPr>
            <w:tcW w:w="1180" w:type="dxa"/>
            <w:vAlign w:val="bottom"/>
          </w:tcPr>
          <w:p>
            <w:pPr>
              <w:jc w:val="right"/>
              <w:ind w:right="1"/>
              <w:spacing w:after="0"/>
              <w:rPr>
                <w:sz w:val="20"/>
                <w:szCs w:val="20"/>
                <w:color w:val="auto"/>
              </w:rPr>
            </w:pPr>
            <w:r>
              <w:rPr>
                <w:rFonts w:ascii="Arial" w:cs="Arial" w:eastAsia="Arial" w:hAnsi="Arial"/>
                <w:sz w:val="16"/>
                <w:szCs w:val="16"/>
                <w:color w:val="auto"/>
              </w:rPr>
              <w:t>145</w:t>
            </w:r>
          </w:p>
        </w:tc>
        <w:tc>
          <w:tcPr>
            <w:tcW w:w="4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4,576</w:t>
            </w:r>
          </w:p>
        </w:tc>
        <w:tc>
          <w:tcPr>
            <w:tcW w:w="1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0.19 %</w:t>
            </w:r>
          </w:p>
        </w:tc>
        <w:tc>
          <w:tcPr>
            <w:tcW w:w="140" w:type="dxa"/>
            <w:vAlign w:val="bottom"/>
          </w:tcPr>
          <w:p>
            <w:pPr>
              <w:spacing w:after="0"/>
              <w:rPr>
                <w:sz w:val="18"/>
                <w:szCs w:val="18"/>
                <w:color w:val="auto"/>
              </w:rPr>
            </w:pPr>
          </w:p>
        </w:tc>
        <w:tc>
          <w:tcPr>
            <w:tcW w:w="1180" w:type="dxa"/>
            <w:vAlign w:val="bottom"/>
          </w:tcPr>
          <w:p>
            <w:pPr>
              <w:jc w:val="right"/>
              <w:ind w:right="1"/>
              <w:spacing w:after="0"/>
              <w:rPr>
                <w:sz w:val="20"/>
                <w:szCs w:val="20"/>
                <w:color w:val="auto"/>
              </w:rPr>
            </w:pPr>
            <w:r>
              <w:rPr>
                <w:rFonts w:ascii="Arial" w:cs="Arial" w:eastAsia="Arial" w:hAnsi="Arial"/>
                <w:sz w:val="16"/>
                <w:szCs w:val="16"/>
                <w:color w:val="auto"/>
              </w:rPr>
              <w:t>154</w:t>
            </w:r>
          </w:p>
        </w:tc>
        <w:tc>
          <w:tcPr>
            <w:tcW w:w="0" w:type="dxa"/>
            <w:vAlign w:val="bottom"/>
          </w:tcPr>
          <w:p>
            <w:pPr>
              <w:spacing w:after="0"/>
              <w:rPr>
                <w:sz w:val="1"/>
                <w:szCs w:val="1"/>
                <w:color w:val="auto"/>
              </w:rPr>
            </w:pPr>
          </w:p>
        </w:tc>
      </w:tr>
      <w:tr>
        <w:trPr>
          <w:trHeight w:val="219"/>
        </w:trPr>
        <w:tc>
          <w:tcPr>
            <w:tcW w:w="290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&gt; 6 to ≤ 9 months</w:t>
            </w:r>
          </w:p>
        </w:tc>
        <w:tc>
          <w:tcPr>
            <w:tcW w:w="140" w:type="dxa"/>
            <w:vAlign w:val="bottom"/>
            <w:shd w:val="clear" w:color="auto" w:fill="CCEEFF"/>
          </w:tcPr>
          <w:p>
            <w:pPr>
              <w:spacing w:after="0"/>
              <w:rPr>
                <w:sz w:val="19"/>
                <w:szCs w:val="19"/>
                <w:color w:val="auto"/>
              </w:rPr>
            </w:pPr>
          </w:p>
        </w:tc>
        <w:tc>
          <w:tcPr>
            <w:tcW w:w="114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 %</w:t>
            </w:r>
          </w:p>
        </w:tc>
        <w:tc>
          <w:tcPr>
            <w:tcW w:w="1600" w:type="dxa"/>
            <w:vAlign w:val="bottom"/>
            <w:gridSpan w:val="2"/>
            <w:shd w:val="clear" w:color="auto" w:fill="CCEEFF"/>
          </w:tcPr>
          <w:p>
            <w:pPr>
              <w:jc w:val="right"/>
              <w:ind w:right="500"/>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2,445</w:t>
            </w:r>
          </w:p>
        </w:tc>
        <w:tc>
          <w:tcPr>
            <w:tcW w:w="14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0.21 %</w:t>
            </w:r>
          </w:p>
        </w:tc>
        <w:tc>
          <w:tcPr>
            <w:tcW w:w="140" w:type="dxa"/>
            <w:vAlign w:val="bottom"/>
            <w:shd w:val="clear" w:color="auto" w:fill="CCEEFF"/>
          </w:tcPr>
          <w:p>
            <w:pPr>
              <w:spacing w:after="0"/>
              <w:rPr>
                <w:sz w:val="19"/>
                <w:szCs w:val="19"/>
                <w:color w:val="auto"/>
              </w:rPr>
            </w:pPr>
          </w:p>
        </w:tc>
        <w:tc>
          <w:tcPr>
            <w:tcW w:w="118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264</w:t>
            </w:r>
          </w:p>
        </w:tc>
        <w:tc>
          <w:tcPr>
            <w:tcW w:w="0" w:type="dxa"/>
            <w:vAlign w:val="bottom"/>
          </w:tcPr>
          <w:p>
            <w:pPr>
              <w:spacing w:after="0"/>
              <w:rPr>
                <w:sz w:val="1"/>
                <w:szCs w:val="1"/>
                <w:color w:val="auto"/>
              </w:rPr>
            </w:pPr>
          </w:p>
        </w:tc>
      </w:tr>
      <w:tr>
        <w:trPr>
          <w:trHeight w:val="213"/>
        </w:trPr>
        <w:tc>
          <w:tcPr>
            <w:tcW w:w="2900" w:type="dxa"/>
            <w:vAlign w:val="bottom"/>
            <w:tcBorders>
              <w:bottom w:val="single" w:sz="8" w:color="CCEEFF"/>
            </w:tcBorders>
            <w:gridSpan w:val="2"/>
          </w:tcPr>
          <w:p>
            <w:pPr>
              <w:ind w:left="140"/>
              <w:spacing w:after="0"/>
              <w:rPr>
                <w:sz w:val="20"/>
                <w:szCs w:val="20"/>
                <w:color w:val="auto"/>
              </w:rPr>
            </w:pPr>
            <w:r>
              <w:rPr>
                <w:rFonts w:ascii="Arial" w:cs="Arial" w:eastAsia="Arial" w:hAnsi="Arial"/>
                <w:sz w:val="16"/>
                <w:szCs w:val="16"/>
                <w:color w:val="auto"/>
              </w:rPr>
              <w:t>&gt; 9 to ≤ 12 months</w:t>
            </w:r>
          </w:p>
        </w:tc>
        <w:tc>
          <w:tcPr>
            <w:tcW w:w="14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1,432</w:t>
            </w:r>
          </w:p>
        </w:tc>
        <w:tc>
          <w:tcPr>
            <w:tcW w:w="120" w:type="dxa"/>
            <w:vAlign w:val="bottom"/>
            <w:tcBorders>
              <w:bottom w:val="single" w:sz="8" w:color="CCEEFF"/>
            </w:tcBorders>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1.42 %</w:t>
            </w:r>
          </w:p>
        </w:tc>
        <w:tc>
          <w:tcPr>
            <w:tcW w:w="140" w:type="dxa"/>
            <w:vAlign w:val="bottom"/>
            <w:tcBorders>
              <w:bottom w:val="single" w:sz="8" w:color="CCEEFF"/>
            </w:tcBorders>
          </w:tcPr>
          <w:p>
            <w:pPr>
              <w:spacing w:after="0"/>
              <w:rPr>
                <w:sz w:val="18"/>
                <w:szCs w:val="18"/>
                <w:color w:val="auto"/>
              </w:rPr>
            </w:pPr>
          </w:p>
        </w:tc>
        <w:tc>
          <w:tcPr>
            <w:tcW w:w="118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325</w:t>
            </w:r>
          </w:p>
        </w:tc>
        <w:tc>
          <w:tcPr>
            <w:tcW w:w="42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1,362</w:t>
            </w:r>
          </w:p>
        </w:tc>
        <w:tc>
          <w:tcPr>
            <w:tcW w:w="140" w:type="dxa"/>
            <w:vAlign w:val="bottom"/>
            <w:tcBorders>
              <w:bottom w:val="single" w:sz="8" w:color="CCEEFF"/>
            </w:tcBorders>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0.23 %</w:t>
            </w:r>
          </w:p>
        </w:tc>
        <w:tc>
          <w:tcPr>
            <w:tcW w:w="140" w:type="dxa"/>
            <w:vAlign w:val="bottom"/>
            <w:tcBorders>
              <w:bottom w:val="single" w:sz="8" w:color="CCEEFF"/>
            </w:tcBorders>
          </w:tcPr>
          <w:p>
            <w:pPr>
              <w:spacing w:after="0"/>
              <w:rPr>
                <w:sz w:val="18"/>
                <w:szCs w:val="18"/>
                <w:color w:val="auto"/>
              </w:rPr>
            </w:pPr>
          </w:p>
        </w:tc>
        <w:tc>
          <w:tcPr>
            <w:tcW w:w="118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307</w:t>
            </w:r>
          </w:p>
        </w:tc>
        <w:tc>
          <w:tcPr>
            <w:tcW w:w="0" w:type="dxa"/>
            <w:vAlign w:val="bottom"/>
          </w:tcPr>
          <w:p>
            <w:pPr>
              <w:spacing w:after="0"/>
              <w:rPr>
                <w:sz w:val="1"/>
                <w:szCs w:val="1"/>
                <w:color w:val="auto"/>
              </w:rPr>
            </w:pPr>
          </w:p>
        </w:tc>
      </w:tr>
      <w:tr>
        <w:trPr>
          <w:trHeight w:val="212"/>
        </w:trPr>
        <w:tc>
          <w:tcPr>
            <w:tcW w:w="290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Total Agency repo</w:t>
            </w:r>
          </w:p>
        </w:tc>
        <w:tc>
          <w:tcPr>
            <w:tcW w:w="14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41,299</w:t>
            </w:r>
          </w:p>
        </w:tc>
        <w:tc>
          <w:tcPr>
            <w:tcW w:w="120" w:type="dxa"/>
            <w:vAlign w:val="bottom"/>
            <w:shd w:val="clear" w:color="auto" w:fill="CCEEFF"/>
          </w:tcPr>
          <w:p>
            <w:pPr>
              <w:spacing w:after="0"/>
              <w:rPr>
                <w:sz w:val="18"/>
                <w:szCs w:val="18"/>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1.25 %</w:t>
            </w:r>
          </w:p>
        </w:tc>
        <w:tc>
          <w:tcPr>
            <w:tcW w:w="140" w:type="dxa"/>
            <w:vAlign w:val="bottom"/>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46</w:t>
            </w:r>
          </w:p>
        </w:tc>
        <w:tc>
          <w:tcPr>
            <w:tcW w:w="42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46,911</w:t>
            </w:r>
          </w:p>
        </w:tc>
        <w:tc>
          <w:tcPr>
            <w:tcW w:w="140" w:type="dxa"/>
            <w:vAlign w:val="bottom"/>
            <w:shd w:val="clear" w:color="auto" w:fill="CCEEFF"/>
          </w:tcPr>
          <w:p>
            <w:pPr>
              <w:spacing w:after="0"/>
              <w:rPr>
                <w:sz w:val="18"/>
                <w:szCs w:val="18"/>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0.15 %</w:t>
            </w:r>
          </w:p>
        </w:tc>
        <w:tc>
          <w:tcPr>
            <w:tcW w:w="140" w:type="dxa"/>
            <w:vAlign w:val="bottom"/>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63</w:t>
            </w:r>
          </w:p>
        </w:tc>
        <w:tc>
          <w:tcPr>
            <w:tcW w:w="0" w:type="dxa"/>
            <w:vAlign w:val="bottom"/>
          </w:tcPr>
          <w:p>
            <w:pPr>
              <w:spacing w:after="0"/>
              <w:rPr>
                <w:sz w:val="1"/>
                <w:szCs w:val="1"/>
                <w:color w:val="auto"/>
              </w:rPr>
            </w:pPr>
          </w:p>
        </w:tc>
      </w:tr>
      <w:tr>
        <w:trPr>
          <w:trHeight w:val="193"/>
        </w:trPr>
        <w:tc>
          <w:tcPr>
            <w:tcW w:w="2900" w:type="dxa"/>
            <w:vAlign w:val="bottom"/>
            <w:gridSpan w:val="2"/>
          </w:tcPr>
          <w:p>
            <w:pPr>
              <w:ind w:left="20"/>
              <w:spacing w:after="0"/>
              <w:rPr>
                <w:sz w:val="20"/>
                <w:szCs w:val="20"/>
                <w:color w:val="auto"/>
              </w:rPr>
            </w:pPr>
            <w:r>
              <w:rPr>
                <w:rFonts w:ascii="Arial" w:cs="Arial" w:eastAsia="Arial" w:hAnsi="Arial"/>
                <w:sz w:val="16"/>
                <w:szCs w:val="16"/>
                <w:color w:val="auto"/>
              </w:rPr>
              <w:t>U.S. Treasury repo:</w:t>
            </w:r>
          </w:p>
        </w:tc>
        <w:tc>
          <w:tcPr>
            <w:tcW w:w="14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90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 1 month</w:t>
            </w:r>
          </w:p>
        </w:tc>
        <w:tc>
          <w:tcPr>
            <w:tcW w:w="14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1,854</w:t>
            </w:r>
          </w:p>
        </w:tc>
        <w:tc>
          <w:tcPr>
            <w:tcW w:w="120" w:type="dxa"/>
            <w:vAlign w:val="bottom"/>
            <w:shd w:val="clear" w:color="auto" w:fill="CCEEFF"/>
          </w:tcPr>
          <w:p>
            <w:pPr>
              <w:spacing w:after="0"/>
              <w:rPr>
                <w:sz w:val="18"/>
                <w:szCs w:val="18"/>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1.46 %</w:t>
            </w:r>
          </w:p>
        </w:tc>
        <w:tc>
          <w:tcPr>
            <w:tcW w:w="140" w:type="dxa"/>
            <w:vAlign w:val="bottom"/>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1</w:t>
            </w:r>
          </w:p>
        </w:tc>
        <w:tc>
          <w:tcPr>
            <w:tcW w:w="42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470</w:t>
            </w:r>
          </w:p>
        </w:tc>
        <w:tc>
          <w:tcPr>
            <w:tcW w:w="140" w:type="dxa"/>
            <w:vAlign w:val="bottom"/>
            <w:shd w:val="clear" w:color="auto" w:fill="CCEEFF"/>
          </w:tcPr>
          <w:p>
            <w:pPr>
              <w:spacing w:after="0"/>
              <w:rPr>
                <w:sz w:val="18"/>
                <w:szCs w:val="18"/>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(0.05)%</w:t>
            </w:r>
          </w:p>
        </w:tc>
        <w:tc>
          <w:tcPr>
            <w:tcW w:w="140" w:type="dxa"/>
            <w:vAlign w:val="bottom"/>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4</w:t>
            </w:r>
          </w:p>
        </w:tc>
        <w:tc>
          <w:tcPr>
            <w:tcW w:w="0" w:type="dxa"/>
            <w:vAlign w:val="bottom"/>
          </w:tcPr>
          <w:p>
            <w:pPr>
              <w:spacing w:after="0"/>
              <w:rPr>
                <w:sz w:val="1"/>
                <w:szCs w:val="1"/>
                <w:color w:val="auto"/>
              </w:rPr>
            </w:pPr>
          </w:p>
        </w:tc>
      </w:tr>
      <w:tr>
        <w:trPr>
          <w:trHeight w:val="213"/>
        </w:trPr>
        <w:tc>
          <w:tcPr>
            <w:tcW w:w="2900" w:type="dxa"/>
            <w:vAlign w:val="bottom"/>
            <w:gridSpan w:val="2"/>
          </w:tcPr>
          <w:p>
            <w:pPr>
              <w:ind w:left="20"/>
              <w:spacing w:after="0"/>
              <w:rPr>
                <w:sz w:val="20"/>
                <w:szCs w:val="20"/>
                <w:color w:val="auto"/>
              </w:rPr>
            </w:pPr>
            <w:r>
              <w:rPr>
                <w:rFonts w:ascii="Arial" w:cs="Arial" w:eastAsia="Arial" w:hAnsi="Arial"/>
                <w:sz w:val="16"/>
                <w:szCs w:val="16"/>
                <w:color w:val="auto"/>
              </w:rPr>
              <w:t>Total</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43,153</w:t>
            </w:r>
          </w:p>
        </w:tc>
        <w:tc>
          <w:tcPr>
            <w:tcW w:w="120" w:type="dxa"/>
            <w:vAlign w:val="bottom"/>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1.26 %</w:t>
            </w:r>
          </w:p>
        </w:tc>
        <w:tc>
          <w:tcPr>
            <w:tcW w:w="140" w:type="dxa"/>
            <w:vAlign w:val="bottom"/>
          </w:tcPr>
          <w:p>
            <w:pPr>
              <w:spacing w:after="0"/>
              <w:rPr>
                <w:sz w:val="18"/>
                <w:szCs w:val="18"/>
                <w:color w:val="auto"/>
              </w:rPr>
            </w:pPr>
          </w:p>
        </w:tc>
        <w:tc>
          <w:tcPr>
            <w:tcW w:w="118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44</w:t>
            </w:r>
          </w:p>
        </w:tc>
        <w:tc>
          <w:tcPr>
            <w:tcW w:w="42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47,381</w:t>
            </w:r>
          </w:p>
        </w:tc>
        <w:tc>
          <w:tcPr>
            <w:tcW w:w="140" w:type="dxa"/>
            <w:vAlign w:val="bottom"/>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0.15 %</w:t>
            </w:r>
          </w:p>
        </w:tc>
        <w:tc>
          <w:tcPr>
            <w:tcW w:w="140" w:type="dxa"/>
            <w:vAlign w:val="bottom"/>
          </w:tcPr>
          <w:p>
            <w:pPr>
              <w:spacing w:after="0"/>
              <w:rPr>
                <w:sz w:val="18"/>
                <w:szCs w:val="18"/>
                <w:color w:val="auto"/>
              </w:rPr>
            </w:pPr>
          </w:p>
        </w:tc>
        <w:tc>
          <w:tcPr>
            <w:tcW w:w="118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63</w:t>
            </w:r>
          </w:p>
        </w:tc>
        <w:tc>
          <w:tcPr>
            <w:tcW w:w="0" w:type="dxa"/>
            <w:vAlign w:val="bottom"/>
          </w:tcPr>
          <w:p>
            <w:pPr>
              <w:spacing w:after="0"/>
              <w:rPr>
                <w:sz w:val="1"/>
                <w:szCs w:val="1"/>
                <w:color w:val="auto"/>
              </w:rPr>
            </w:pPr>
          </w:p>
        </w:tc>
      </w:tr>
      <w:tr>
        <w:trPr>
          <w:trHeight w:val="21"/>
        </w:trPr>
        <w:tc>
          <w:tcPr>
            <w:tcW w:w="24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56" w:lineRule="exact"/>
        <w:rPr>
          <w:sz w:val="20"/>
          <w:szCs w:val="20"/>
          <w:color w:val="auto"/>
        </w:rPr>
      </w:pPr>
    </w:p>
    <w:p>
      <w:pPr>
        <w:jc w:val="both"/>
        <w:ind w:firstLine="405"/>
        <w:spacing w:after="0" w:line="290" w:lineRule="auto"/>
        <w:rPr>
          <w:sz w:val="20"/>
          <w:szCs w:val="20"/>
          <w:color w:val="auto"/>
        </w:rPr>
      </w:pPr>
      <w:r>
        <w:rPr>
          <w:rFonts w:ascii="Arial" w:cs="Arial" w:eastAsia="Arial" w:hAnsi="Arial"/>
          <w:sz w:val="16"/>
          <w:szCs w:val="16"/>
          <w:color w:val="auto"/>
        </w:rPr>
        <w:t>As of June 30, 2022 and December 31, 2021, $6.8 billion and $0.8 billion, respectively, of our Agency repurchase agreements had an overnight maturity of one business day and none of our repurchase agreements were due on demand. As of June 30, 2022, we had $5.5 billion of forward commitments to enter into repurchase agreements with a weighted average forward start date of 1 day and a weighted average interest rate of 1.58%. As of December 31, 2021, we had $9.8 billion of forward commitments to enter into repurchase agreements, with a weighted average forward start date of 3 days and a weighted average interest rate of 0.08%. As of June 30, 2022 and December 31, 2021, 43% and 43%, respectively, of our repurchase agreement funding was sourced through our wholly-owned captive broker-dealer subsidiary, Bethesda Securities, LLC ("BES"). Amounts sourced through BES include funding from the General Collateral Finance Repo service ("GCF Repo") offered by the Fixed Income Clearing Corporation ("FICC"), which totaled 41% and 42% of our repurchase agreement funding outstanding as of June 30, 2022 and December 31, 2021, respectively.</w:t>
      </w:r>
    </w:p>
    <w:p>
      <w:pPr>
        <w:spacing w:after="0" w:line="1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Reverse Repurchase Agreements</w:t>
      </w:r>
    </w:p>
    <w:p>
      <w:pPr>
        <w:spacing w:after="0" w:line="171"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As of June 30, 2022 and December 31, 2021, we had $8.4 billion and $10.5 billion, respectively, of reverse repurchase agreements outstanding used primarily to borrow securities to cover short sales of U.S. Treasury securities, for which we had associated obligations to return borrowed securities at fair value of $8.3 billion and $9.7 billion, respectively. As of June 30, 2022 and December 31, 2021, $2.4 billion and $3.0 billion, respectively, of our reverse repurchase agreements were with the FICC sourced through BES.</w:t>
      </w: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5. Derivative and Other Hedging Instruments</w:t>
      </w:r>
    </w:p>
    <w:p>
      <w:pPr>
        <w:spacing w:after="0" w:line="175" w:lineRule="exact"/>
        <w:rPr>
          <w:sz w:val="20"/>
          <w:szCs w:val="20"/>
          <w:color w:val="auto"/>
        </w:rPr>
      </w:pPr>
    </w:p>
    <w:p>
      <w:pPr>
        <w:jc w:val="both"/>
        <w:ind w:firstLine="445"/>
        <w:spacing w:after="0" w:line="277" w:lineRule="auto"/>
        <w:rPr>
          <w:sz w:val="20"/>
          <w:szCs w:val="20"/>
          <w:color w:val="auto"/>
        </w:rPr>
      </w:pPr>
      <w:r>
        <w:rPr>
          <w:rFonts w:ascii="Arial" w:cs="Arial" w:eastAsia="Arial" w:hAnsi="Arial"/>
          <w:sz w:val="18"/>
          <w:szCs w:val="18"/>
          <w:color w:val="auto"/>
        </w:rPr>
        <w:t>We hedge a portion of our interest rate risk primarily utilizing interest rate swaps, interest rate swaptions, U.S. Treasury securities and U.S. Treasury futures contracts. We utilize TBA securities primarily as a means of investing in the Agency</w:t>
      </w:r>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15" w:name="page16"/>
    <w:bookmarkEnd w:id="15"/>
    <w:p>
      <w:pPr>
        <w:spacing w:after="0" w:line="277" w:lineRule="auto"/>
        <w:rPr>
          <w:sz w:val="20"/>
          <w:szCs w:val="20"/>
          <w:color w:val="auto"/>
        </w:rPr>
      </w:pPr>
      <w:r>
        <w:rPr>
          <w:rFonts w:ascii="Arial" w:cs="Arial" w:eastAsia="Arial" w:hAnsi="Arial"/>
          <w:sz w:val="18"/>
          <w:szCs w:val="18"/>
          <w:color w:val="auto"/>
        </w:rPr>
        <w:t>securities market. For additional information regarding our derivative instruments and our overall risk management strategy, please refer to the discussion of derivative and other hedging instruments in Note 2.</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 and Other Hedging Instrument Assets (Liabilities), at Fair Value</w:t>
      </w:r>
    </w:p>
    <w:p>
      <w:pPr>
        <w:spacing w:after="0" w:line="171" w:lineRule="exact"/>
        <w:rPr>
          <w:sz w:val="20"/>
          <w:szCs w:val="20"/>
          <w:color w:val="auto"/>
        </w:rPr>
      </w:pPr>
    </w:p>
    <w:p>
      <w:pPr>
        <w:ind w:left="420"/>
        <w:spacing w:after="0"/>
        <w:rPr>
          <w:sz w:val="20"/>
          <w:szCs w:val="20"/>
          <w:color w:val="auto"/>
        </w:rPr>
      </w:pPr>
      <w:r>
        <w:rPr>
          <w:rFonts w:ascii="Arial" w:cs="Arial" w:eastAsia="Arial" w:hAnsi="Arial"/>
          <w:sz w:val="17"/>
          <w:szCs w:val="17"/>
          <w:color w:val="auto"/>
        </w:rPr>
        <w:t>The table below summarizes fair value information about our derivative and other hedging instrument assets/(liabilities) as of June 30, 2022 and</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December 31, 2021 (in millions):</w:t>
      </w:r>
    </w:p>
    <w:p>
      <w:pPr>
        <w:spacing w:after="0" w:line="10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34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Derivative and Other Hedging Instruments</w:t>
            </w:r>
          </w:p>
        </w:tc>
        <w:tc>
          <w:tcPr>
            <w:tcW w:w="100" w:type="dxa"/>
            <w:vAlign w:val="bottom"/>
            <w:vMerge w:val="restart"/>
          </w:tcPr>
          <w:p>
            <w:pPr>
              <w:spacing w:after="0"/>
              <w:rPr>
                <w:sz w:val="14"/>
                <w:szCs w:val="14"/>
                <w:color w:val="auto"/>
              </w:rPr>
            </w:pPr>
          </w:p>
        </w:tc>
        <w:tc>
          <w:tcPr>
            <w:tcW w:w="4200" w:type="dxa"/>
            <w:vAlign w:val="bottom"/>
            <w:vMerge w:val="restart"/>
          </w:tcPr>
          <w:p>
            <w:pPr>
              <w:ind w:left="1380"/>
              <w:spacing w:after="0"/>
              <w:rPr>
                <w:sz w:val="20"/>
                <w:szCs w:val="20"/>
                <w:color w:val="auto"/>
              </w:rPr>
            </w:pPr>
            <w:r>
              <w:rPr>
                <w:rFonts w:ascii="Arial" w:cs="Arial" w:eastAsia="Arial" w:hAnsi="Arial"/>
                <w:sz w:val="14"/>
                <w:szCs w:val="14"/>
                <w:b w:val="1"/>
                <w:bCs w:val="1"/>
                <w:color w:val="auto"/>
              </w:rPr>
              <w:t>Balance Sheet Location</w:t>
            </w:r>
          </w:p>
        </w:tc>
        <w:tc>
          <w:tcPr>
            <w:tcW w:w="120" w:type="dxa"/>
            <w:vAlign w:val="bottom"/>
            <w:vMerge w:val="restart"/>
          </w:tcPr>
          <w:p>
            <w:pPr>
              <w:spacing w:after="0"/>
              <w:rPr>
                <w:sz w:val="14"/>
                <w:szCs w:val="14"/>
                <w:color w:val="auto"/>
              </w:rPr>
            </w:pPr>
          </w:p>
        </w:tc>
        <w:tc>
          <w:tcPr>
            <w:tcW w:w="220" w:type="dxa"/>
            <w:vAlign w:val="bottom"/>
          </w:tcPr>
          <w:p>
            <w:pPr>
              <w:spacing w:after="0"/>
              <w:rPr>
                <w:sz w:val="14"/>
                <w:szCs w:val="14"/>
                <w:color w:val="auto"/>
              </w:rPr>
            </w:pPr>
          </w:p>
        </w:tc>
        <w:tc>
          <w:tcPr>
            <w:tcW w:w="1080" w:type="dxa"/>
            <w:vAlign w:val="bottom"/>
            <w:gridSpan w:val="2"/>
          </w:tcPr>
          <w:p>
            <w:pPr>
              <w:ind w:left="120"/>
              <w:spacing w:after="0"/>
              <w:rPr>
                <w:sz w:val="20"/>
                <w:szCs w:val="20"/>
                <w:color w:val="auto"/>
              </w:rPr>
            </w:pPr>
            <w:r>
              <w:rPr>
                <w:rFonts w:ascii="Arial" w:cs="Arial" w:eastAsia="Arial" w:hAnsi="Arial"/>
                <w:sz w:val="14"/>
                <w:szCs w:val="14"/>
                <w:b w:val="1"/>
                <w:bCs w:val="1"/>
                <w:color w:val="auto"/>
              </w:rPr>
              <w:t>June 30,</w:t>
            </w:r>
          </w:p>
        </w:tc>
        <w:tc>
          <w:tcPr>
            <w:tcW w:w="120" w:type="dxa"/>
            <w:vAlign w:val="bottom"/>
          </w:tcPr>
          <w:p>
            <w:pPr>
              <w:spacing w:after="0"/>
              <w:rPr>
                <w:sz w:val="14"/>
                <w:szCs w:val="14"/>
                <w:color w:val="auto"/>
              </w:rPr>
            </w:pPr>
          </w:p>
        </w:tc>
        <w:tc>
          <w:tcPr>
            <w:tcW w:w="1060" w:type="dxa"/>
            <w:vAlign w:val="bottom"/>
          </w:tcPr>
          <w:p>
            <w:pPr>
              <w:jc w:val="right"/>
              <w:ind w:right="100"/>
              <w:spacing w:after="0"/>
              <w:rPr>
                <w:sz w:val="20"/>
                <w:szCs w:val="20"/>
                <w:color w:val="auto"/>
              </w:rPr>
            </w:pPr>
            <w:r>
              <w:rPr>
                <w:rFonts w:ascii="Arial" w:cs="Arial" w:eastAsia="Arial" w:hAnsi="Arial"/>
                <w:sz w:val="14"/>
                <w:szCs w:val="14"/>
                <w:b w:val="1"/>
                <w:bCs w:val="1"/>
                <w:color w:val="auto"/>
                <w:w w:val="94"/>
              </w:rPr>
              <w:t>December 31,</w:t>
            </w:r>
          </w:p>
        </w:tc>
        <w:tc>
          <w:tcPr>
            <w:tcW w:w="0" w:type="dxa"/>
            <w:vAlign w:val="bottom"/>
          </w:tcPr>
          <w:p>
            <w:pPr>
              <w:spacing w:after="0"/>
              <w:rPr>
                <w:sz w:val="1"/>
                <w:szCs w:val="1"/>
                <w:color w:val="auto"/>
              </w:rPr>
            </w:pPr>
          </w:p>
        </w:tc>
      </w:tr>
      <w:tr>
        <w:trPr>
          <w:trHeight w:val="188"/>
        </w:trPr>
        <w:tc>
          <w:tcPr>
            <w:tcW w:w="43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42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360"/>
              <w:spacing w:after="0"/>
              <w:rPr>
                <w:sz w:val="20"/>
                <w:szCs w:val="20"/>
                <w:color w:val="auto"/>
              </w:rPr>
            </w:pPr>
            <w:r>
              <w:rPr>
                <w:rFonts w:ascii="Arial" w:cs="Arial" w:eastAsia="Arial" w:hAnsi="Arial"/>
                <w:sz w:val="14"/>
                <w:szCs w:val="14"/>
                <w:b w:val="1"/>
                <w:bCs w:val="1"/>
                <w:color w:val="auto"/>
              </w:rPr>
              <w:t>2022</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380"/>
              <w:spacing w:after="0"/>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211"/>
        </w:trPr>
        <w:tc>
          <w:tcPr>
            <w:tcW w:w="4340" w:type="dxa"/>
            <w:vAlign w:val="bottom"/>
            <w:shd w:val="clear" w:color="auto" w:fill="CCEEFF"/>
          </w:tcPr>
          <w:p>
            <w:pPr>
              <w:ind w:left="20"/>
              <w:spacing w:after="0" w:line="211" w:lineRule="exact"/>
              <w:rPr>
                <w:sz w:val="20"/>
                <w:szCs w:val="20"/>
                <w:color w:val="auto"/>
              </w:rPr>
            </w:pPr>
            <w:r>
              <w:rPr>
                <w:rFonts w:ascii="Arial" w:cs="Arial" w:eastAsia="Arial" w:hAnsi="Arial"/>
                <w:sz w:val="16"/>
                <w:szCs w:val="16"/>
                <w:color w:val="auto"/>
              </w:rPr>
              <w:t xml:space="preserve">Interest rate swaps </w:t>
            </w:r>
            <w:r>
              <w:rPr>
                <w:rFonts w:ascii="Arial" w:cs="Arial" w:eastAsia="Arial" w:hAnsi="Arial"/>
                <w:sz w:val="21"/>
                <w:szCs w:val="21"/>
                <w:color w:val="auto"/>
                <w:vertAlign w:val="superscript"/>
              </w:rPr>
              <w:t>1</w:t>
            </w:r>
          </w:p>
        </w:tc>
        <w:tc>
          <w:tcPr>
            <w:tcW w:w="100" w:type="dxa"/>
            <w:vAlign w:val="bottom"/>
            <w:shd w:val="clear" w:color="auto" w:fill="CCEEFF"/>
          </w:tcPr>
          <w:p>
            <w:pPr>
              <w:spacing w:after="0"/>
              <w:rPr>
                <w:sz w:val="18"/>
                <w:szCs w:val="18"/>
                <w:color w:val="auto"/>
              </w:rPr>
            </w:pPr>
          </w:p>
        </w:tc>
        <w:tc>
          <w:tcPr>
            <w:tcW w:w="432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Derivative assets, at fair value</w:t>
            </w:r>
          </w:p>
        </w:tc>
        <w:tc>
          <w:tcPr>
            <w:tcW w:w="22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108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3"/>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Swaptions</w:t>
            </w:r>
          </w:p>
        </w:tc>
        <w:tc>
          <w:tcPr>
            <w:tcW w:w="4320" w:type="dxa"/>
            <w:vAlign w:val="bottom"/>
            <w:gridSpan w:val="2"/>
          </w:tcPr>
          <w:p>
            <w:pPr>
              <w:ind w:left="20"/>
              <w:spacing w:after="0"/>
              <w:rPr>
                <w:sz w:val="20"/>
                <w:szCs w:val="20"/>
                <w:color w:val="auto"/>
              </w:rPr>
            </w:pPr>
            <w:r>
              <w:rPr>
                <w:rFonts w:ascii="Arial" w:cs="Arial" w:eastAsia="Arial" w:hAnsi="Arial"/>
                <w:sz w:val="16"/>
                <w:szCs w:val="16"/>
                <w:color w:val="auto"/>
              </w:rPr>
              <w:t>Derivative assets, at fair value</w:t>
            </w:r>
          </w:p>
        </w:tc>
        <w:tc>
          <w:tcPr>
            <w:tcW w:w="2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412</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290</w:t>
            </w:r>
          </w:p>
        </w:tc>
        <w:tc>
          <w:tcPr>
            <w:tcW w:w="0" w:type="dxa"/>
            <w:vAlign w:val="bottom"/>
          </w:tcPr>
          <w:p>
            <w:pPr>
              <w:spacing w:after="0"/>
              <w:rPr>
                <w:sz w:val="1"/>
                <w:szCs w:val="1"/>
                <w:color w:val="auto"/>
              </w:rPr>
            </w:pPr>
          </w:p>
        </w:tc>
      </w:tr>
      <w:tr>
        <w:trPr>
          <w:trHeight w:val="219"/>
        </w:trPr>
        <w:tc>
          <w:tcPr>
            <w:tcW w:w="444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TBA and forward settling non-Agency securities</w:t>
            </w:r>
          </w:p>
        </w:tc>
        <w:tc>
          <w:tcPr>
            <w:tcW w:w="432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Derivative assets, at fair value</w:t>
            </w:r>
          </w:p>
        </w:tc>
        <w:tc>
          <w:tcPr>
            <w:tcW w:w="22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96</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w:t>
            </w:r>
          </w:p>
        </w:tc>
        <w:tc>
          <w:tcPr>
            <w:tcW w:w="0" w:type="dxa"/>
            <w:vAlign w:val="bottom"/>
          </w:tcPr>
          <w:p>
            <w:pPr>
              <w:spacing w:after="0"/>
              <w:rPr>
                <w:sz w:val="1"/>
                <w:szCs w:val="1"/>
                <w:color w:val="auto"/>
              </w:rPr>
            </w:pPr>
          </w:p>
        </w:tc>
      </w:tr>
      <w:tr>
        <w:trPr>
          <w:trHeight w:val="213"/>
        </w:trPr>
        <w:tc>
          <w:tcPr>
            <w:tcW w:w="4440" w:type="dxa"/>
            <w:vAlign w:val="bottom"/>
            <w:tcBorders>
              <w:bottom w:val="single" w:sz="8" w:color="CCEEFF"/>
            </w:tcBorders>
            <w:gridSpan w:val="2"/>
          </w:tcPr>
          <w:p>
            <w:pPr>
              <w:ind w:left="20"/>
              <w:spacing w:after="0"/>
              <w:rPr>
                <w:sz w:val="20"/>
                <w:szCs w:val="20"/>
                <w:color w:val="auto"/>
              </w:rPr>
            </w:pPr>
            <w:r>
              <w:rPr>
                <w:rFonts w:ascii="Arial" w:cs="Arial" w:eastAsia="Arial" w:hAnsi="Arial"/>
                <w:sz w:val="16"/>
                <w:szCs w:val="16"/>
                <w:color w:val="auto"/>
              </w:rPr>
              <w:t>U.S. Treasury futures - short</w:t>
            </w:r>
          </w:p>
        </w:tc>
        <w:tc>
          <w:tcPr>
            <w:tcW w:w="4320" w:type="dxa"/>
            <w:vAlign w:val="bottom"/>
            <w:tcBorders>
              <w:bottom w:val="single" w:sz="8" w:color="CCEEFF"/>
            </w:tcBorders>
            <w:gridSpan w:val="2"/>
          </w:tcPr>
          <w:p>
            <w:pPr>
              <w:ind w:left="20"/>
              <w:spacing w:after="0"/>
              <w:rPr>
                <w:sz w:val="20"/>
                <w:szCs w:val="20"/>
                <w:color w:val="auto"/>
              </w:rPr>
            </w:pPr>
            <w:r>
              <w:rPr>
                <w:rFonts w:ascii="Arial" w:cs="Arial" w:eastAsia="Arial" w:hAnsi="Arial"/>
                <w:sz w:val="16"/>
                <w:szCs w:val="16"/>
                <w:color w:val="auto"/>
              </w:rPr>
              <w:t>Derivative assets, at fair value</w:t>
            </w:r>
          </w:p>
        </w:tc>
        <w:tc>
          <w:tcPr>
            <w:tcW w:w="22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28</w:t>
            </w:r>
          </w:p>
        </w:tc>
        <w:tc>
          <w:tcPr>
            <w:tcW w:w="1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8"/>
        </w:trPr>
        <w:tc>
          <w:tcPr>
            <w:tcW w:w="44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6"/>
                <w:szCs w:val="16"/>
                <w:color w:val="auto"/>
              </w:rPr>
              <w:t>Total derivative assets, at fair value</w:t>
            </w:r>
          </w:p>
        </w:tc>
        <w:tc>
          <w:tcPr>
            <w:tcW w:w="42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536</w:t>
            </w:r>
          </w:p>
        </w:tc>
        <w:tc>
          <w:tcPr>
            <w:tcW w:w="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317</w:t>
            </w:r>
          </w:p>
        </w:tc>
        <w:tc>
          <w:tcPr>
            <w:tcW w:w="0" w:type="dxa"/>
            <w:vAlign w:val="bottom"/>
          </w:tcPr>
          <w:p>
            <w:pPr>
              <w:spacing w:after="0"/>
              <w:rPr>
                <w:sz w:val="1"/>
                <w:szCs w:val="1"/>
                <w:color w:val="auto"/>
              </w:rPr>
            </w:pPr>
          </w:p>
        </w:tc>
      </w:tr>
      <w:tr>
        <w:trPr>
          <w:trHeight w:val="20"/>
        </w:trPr>
        <w:tc>
          <w:tcPr>
            <w:tcW w:w="43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2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4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440" w:type="dxa"/>
            <w:vAlign w:val="bottom"/>
            <w:gridSpan w:val="2"/>
            <w:shd w:val="clear" w:color="auto" w:fill="CCEEFF"/>
          </w:tcPr>
          <w:p>
            <w:pPr>
              <w:ind w:left="20"/>
              <w:spacing w:after="0" w:line="216" w:lineRule="exact"/>
              <w:rPr>
                <w:sz w:val="20"/>
                <w:szCs w:val="20"/>
                <w:color w:val="auto"/>
              </w:rPr>
            </w:pPr>
            <w:r>
              <w:rPr>
                <w:rFonts w:ascii="Arial" w:cs="Arial" w:eastAsia="Arial" w:hAnsi="Arial"/>
                <w:sz w:val="16"/>
                <w:szCs w:val="16"/>
                <w:color w:val="auto"/>
              </w:rPr>
              <w:t xml:space="preserve">Interest rate swaps </w:t>
            </w:r>
            <w:r>
              <w:rPr>
                <w:rFonts w:ascii="Arial" w:cs="Arial" w:eastAsia="Arial" w:hAnsi="Arial"/>
                <w:sz w:val="21"/>
                <w:szCs w:val="21"/>
                <w:color w:val="auto"/>
                <w:vertAlign w:val="superscript"/>
              </w:rPr>
              <w:t>1</w:t>
            </w:r>
          </w:p>
        </w:tc>
        <w:tc>
          <w:tcPr>
            <w:tcW w:w="432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Derivative liabilities, at fair value</w:t>
            </w:r>
          </w:p>
        </w:tc>
        <w:tc>
          <w:tcPr>
            <w:tcW w:w="22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108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3"/>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TBA and forward settling non-Agency securities</w:t>
            </w:r>
          </w:p>
        </w:tc>
        <w:tc>
          <w:tcPr>
            <w:tcW w:w="4320" w:type="dxa"/>
            <w:vAlign w:val="bottom"/>
            <w:gridSpan w:val="2"/>
          </w:tcPr>
          <w:p>
            <w:pPr>
              <w:ind w:left="20"/>
              <w:spacing w:after="0"/>
              <w:rPr>
                <w:sz w:val="20"/>
                <w:szCs w:val="20"/>
                <w:color w:val="auto"/>
              </w:rPr>
            </w:pPr>
            <w:r>
              <w:rPr>
                <w:rFonts w:ascii="Arial" w:cs="Arial" w:eastAsia="Arial" w:hAnsi="Arial"/>
                <w:sz w:val="16"/>
                <w:szCs w:val="16"/>
                <w:color w:val="auto"/>
              </w:rPr>
              <w:t>Derivative liabilities, at fair value</w:t>
            </w:r>
          </w:p>
        </w:tc>
        <w:tc>
          <w:tcPr>
            <w:tcW w:w="2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(204)</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(71)</w:t>
            </w:r>
          </w:p>
        </w:tc>
        <w:tc>
          <w:tcPr>
            <w:tcW w:w="0" w:type="dxa"/>
            <w:vAlign w:val="bottom"/>
          </w:tcPr>
          <w:p>
            <w:pPr>
              <w:spacing w:after="0"/>
              <w:rPr>
                <w:sz w:val="1"/>
                <w:szCs w:val="1"/>
                <w:color w:val="auto"/>
              </w:rPr>
            </w:pPr>
          </w:p>
        </w:tc>
      </w:tr>
      <w:tr>
        <w:trPr>
          <w:trHeight w:val="219"/>
        </w:trPr>
        <w:tc>
          <w:tcPr>
            <w:tcW w:w="444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U.S. Treasury futures - short</w:t>
            </w:r>
          </w:p>
        </w:tc>
        <w:tc>
          <w:tcPr>
            <w:tcW w:w="432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Derivative liabilities, at fair value</w:t>
            </w:r>
          </w:p>
        </w:tc>
        <w:tc>
          <w:tcPr>
            <w:tcW w:w="22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(33)</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w:t>
            </w:r>
          </w:p>
        </w:tc>
        <w:tc>
          <w:tcPr>
            <w:tcW w:w="0" w:type="dxa"/>
            <w:vAlign w:val="bottom"/>
          </w:tcPr>
          <w:p>
            <w:pPr>
              <w:spacing w:after="0"/>
              <w:rPr>
                <w:sz w:val="1"/>
                <w:szCs w:val="1"/>
                <w:color w:val="auto"/>
              </w:rPr>
            </w:pPr>
          </w:p>
        </w:tc>
      </w:tr>
      <w:tr>
        <w:trPr>
          <w:trHeight w:val="216"/>
        </w:trPr>
        <w:tc>
          <w:tcPr>
            <w:tcW w:w="4440" w:type="dxa"/>
            <w:vAlign w:val="bottom"/>
            <w:gridSpan w:val="2"/>
          </w:tcPr>
          <w:p>
            <w:pPr>
              <w:ind w:left="20"/>
              <w:spacing w:after="0" w:line="216" w:lineRule="exact"/>
              <w:rPr>
                <w:sz w:val="20"/>
                <w:szCs w:val="20"/>
                <w:color w:val="auto"/>
              </w:rPr>
            </w:pPr>
            <w:r>
              <w:rPr>
                <w:rFonts w:ascii="Arial" w:cs="Arial" w:eastAsia="Arial" w:hAnsi="Arial"/>
                <w:sz w:val="16"/>
                <w:szCs w:val="16"/>
                <w:color w:val="auto"/>
              </w:rPr>
              <w:t xml:space="preserve">Credit default swaps </w:t>
            </w:r>
            <w:r>
              <w:rPr>
                <w:rFonts w:ascii="Arial" w:cs="Arial" w:eastAsia="Arial" w:hAnsi="Arial"/>
                <w:sz w:val="21"/>
                <w:szCs w:val="21"/>
                <w:color w:val="auto"/>
                <w:vertAlign w:val="superscript"/>
              </w:rPr>
              <w:t>1</w:t>
            </w:r>
          </w:p>
        </w:tc>
        <w:tc>
          <w:tcPr>
            <w:tcW w:w="4320" w:type="dxa"/>
            <w:vAlign w:val="bottom"/>
            <w:gridSpan w:val="2"/>
          </w:tcPr>
          <w:p>
            <w:pPr>
              <w:ind w:left="20"/>
              <w:spacing w:after="0"/>
              <w:rPr>
                <w:sz w:val="20"/>
                <w:szCs w:val="20"/>
                <w:color w:val="auto"/>
              </w:rPr>
            </w:pPr>
            <w:r>
              <w:rPr>
                <w:rFonts w:ascii="Arial" w:cs="Arial" w:eastAsia="Arial" w:hAnsi="Arial"/>
                <w:sz w:val="16"/>
                <w:szCs w:val="16"/>
                <w:color w:val="auto"/>
              </w:rPr>
              <w:t>Derivative liabilities, at fair value</w:t>
            </w:r>
          </w:p>
        </w:tc>
        <w:tc>
          <w:tcPr>
            <w:tcW w:w="220" w:type="dxa"/>
            <w:vAlign w:val="bottom"/>
          </w:tcPr>
          <w:p>
            <w:pPr>
              <w:spacing w:after="0"/>
              <w:rPr>
                <w:sz w:val="18"/>
                <w:szCs w:val="18"/>
                <w:color w:val="auto"/>
              </w:rPr>
            </w:pPr>
          </w:p>
        </w:tc>
        <w:tc>
          <w:tcPr>
            <w:tcW w:w="108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4"/>
        </w:trPr>
        <w:tc>
          <w:tcPr>
            <w:tcW w:w="4440" w:type="dxa"/>
            <w:vAlign w:val="bottom"/>
            <w:tcBorders>
              <w:top w:val="single" w:sz="8" w:color="CCEEFF"/>
              <w:bottom w:val="single" w:sz="8" w:color="CCEEFF"/>
            </w:tcBorders>
            <w:gridSpan w:val="2"/>
            <w:shd w:val="clear" w:color="auto" w:fill="CCEEFF"/>
          </w:tcPr>
          <w:p>
            <w:pPr>
              <w:ind w:left="180"/>
              <w:spacing w:after="0"/>
              <w:rPr>
                <w:sz w:val="20"/>
                <w:szCs w:val="20"/>
                <w:color w:val="auto"/>
              </w:rPr>
            </w:pPr>
            <w:r>
              <w:rPr>
                <w:rFonts w:ascii="Arial" w:cs="Arial" w:eastAsia="Arial" w:hAnsi="Arial"/>
                <w:sz w:val="16"/>
                <w:szCs w:val="16"/>
                <w:color w:val="auto"/>
              </w:rPr>
              <w:t>Total derivative liabilities, at fair value</w:t>
            </w:r>
          </w:p>
        </w:tc>
        <w:tc>
          <w:tcPr>
            <w:tcW w:w="420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CCEEFF"/>
              <w:bottom w:val="single" w:sz="8" w:color="CCEEFF"/>
            </w:tcBorders>
            <w:shd w:val="clear" w:color="auto" w:fill="CCEEFF"/>
          </w:tcPr>
          <w:p>
            <w:pPr>
              <w:spacing w:after="0"/>
              <w:rPr>
                <w:sz w:val="19"/>
                <w:szCs w:val="19"/>
                <w:color w:val="auto"/>
              </w:rPr>
            </w:pPr>
          </w:p>
        </w:tc>
        <w:tc>
          <w:tcPr>
            <w:tcW w:w="220" w:type="dxa"/>
            <w:vAlign w:val="bottom"/>
            <w:tcBorders>
              <w:top w:val="single" w:sz="8" w:color="auto"/>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(237)</w:t>
            </w:r>
          </w:p>
        </w:tc>
        <w:tc>
          <w:tcPr>
            <w:tcW w:w="12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(86)</w:t>
            </w:r>
          </w:p>
        </w:tc>
        <w:tc>
          <w:tcPr>
            <w:tcW w:w="0" w:type="dxa"/>
            <w:vAlign w:val="bottom"/>
          </w:tcPr>
          <w:p>
            <w:pPr>
              <w:spacing w:after="0"/>
              <w:rPr>
                <w:sz w:val="1"/>
                <w:szCs w:val="1"/>
                <w:color w:val="auto"/>
              </w:rPr>
            </w:pPr>
          </w:p>
        </w:tc>
      </w:tr>
      <w:tr>
        <w:trPr>
          <w:trHeight w:val="20"/>
        </w:trPr>
        <w:tc>
          <w:tcPr>
            <w:tcW w:w="43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2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4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44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U.S. Treasury securities - long</w:t>
            </w:r>
          </w:p>
        </w:tc>
        <w:tc>
          <w:tcPr>
            <w:tcW w:w="432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U.S. Treasury securities, at fair value</w:t>
            </w:r>
          </w:p>
        </w:tc>
        <w:tc>
          <w:tcPr>
            <w:tcW w:w="22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1,882</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471</w:t>
            </w:r>
          </w:p>
        </w:tc>
        <w:tc>
          <w:tcPr>
            <w:tcW w:w="0" w:type="dxa"/>
            <w:vAlign w:val="bottom"/>
          </w:tcPr>
          <w:p>
            <w:pPr>
              <w:spacing w:after="0"/>
              <w:rPr>
                <w:sz w:val="1"/>
                <w:szCs w:val="1"/>
                <w:color w:val="auto"/>
              </w:rPr>
            </w:pPr>
          </w:p>
        </w:tc>
      </w:tr>
      <w:tr>
        <w:trPr>
          <w:trHeight w:val="166"/>
        </w:trPr>
        <w:tc>
          <w:tcPr>
            <w:tcW w:w="4440" w:type="dxa"/>
            <w:vAlign w:val="bottom"/>
            <w:gridSpan w:val="2"/>
            <w:vMerge w:val="restart"/>
          </w:tcPr>
          <w:p>
            <w:pPr>
              <w:ind w:left="20"/>
              <w:spacing w:after="0"/>
              <w:rPr>
                <w:sz w:val="20"/>
                <w:szCs w:val="20"/>
                <w:color w:val="auto"/>
              </w:rPr>
            </w:pPr>
            <w:r>
              <w:rPr>
                <w:rFonts w:ascii="Arial" w:cs="Arial" w:eastAsia="Arial" w:hAnsi="Arial"/>
                <w:sz w:val="16"/>
                <w:szCs w:val="16"/>
                <w:color w:val="auto"/>
              </w:rPr>
              <w:t>U.S. Treasury securities - short</w:t>
            </w:r>
          </w:p>
        </w:tc>
        <w:tc>
          <w:tcPr>
            <w:tcW w:w="4320" w:type="dxa"/>
            <w:vAlign w:val="bottom"/>
            <w:gridSpan w:val="2"/>
          </w:tcPr>
          <w:p>
            <w:pPr>
              <w:ind w:left="20"/>
              <w:spacing w:after="0" w:line="166" w:lineRule="exact"/>
              <w:rPr>
                <w:sz w:val="20"/>
                <w:szCs w:val="20"/>
                <w:color w:val="auto"/>
              </w:rPr>
            </w:pPr>
            <w:r>
              <w:rPr>
                <w:rFonts w:ascii="Arial" w:cs="Arial" w:eastAsia="Arial" w:hAnsi="Arial"/>
                <w:sz w:val="16"/>
                <w:szCs w:val="16"/>
                <w:color w:val="auto"/>
              </w:rPr>
              <w:t>Obligation to return securities borrowed under reverse</w:t>
            </w:r>
          </w:p>
        </w:tc>
        <w:tc>
          <w:tcPr>
            <w:tcW w:w="220" w:type="dxa"/>
            <w:vAlign w:val="bottom"/>
          </w:tcPr>
          <w:p>
            <w:pPr>
              <w:spacing w:after="0"/>
              <w:rPr>
                <w:sz w:val="14"/>
                <w:szCs w:val="14"/>
                <w:color w:val="auto"/>
              </w:rPr>
            </w:pPr>
          </w:p>
        </w:tc>
        <w:tc>
          <w:tcPr>
            <w:tcW w:w="960" w:type="dxa"/>
            <w:vAlign w:val="bottom"/>
            <w:vMerge w:val="restart"/>
          </w:tcPr>
          <w:p>
            <w:pPr>
              <w:jc w:val="right"/>
              <w:spacing w:after="0"/>
              <w:rPr>
                <w:sz w:val="20"/>
                <w:szCs w:val="20"/>
                <w:color w:val="auto"/>
              </w:rPr>
            </w:pPr>
            <w:r>
              <w:rPr>
                <w:rFonts w:ascii="Arial" w:cs="Arial" w:eastAsia="Arial" w:hAnsi="Arial"/>
                <w:sz w:val="16"/>
                <w:szCs w:val="16"/>
                <w:color w:val="auto"/>
              </w:rPr>
              <w:t>(8,265)</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60" w:type="dxa"/>
            <w:vAlign w:val="bottom"/>
            <w:vMerge w:val="restart"/>
          </w:tcPr>
          <w:p>
            <w:pPr>
              <w:jc w:val="right"/>
              <w:spacing w:after="0"/>
              <w:rPr>
                <w:sz w:val="20"/>
                <w:szCs w:val="20"/>
                <w:color w:val="auto"/>
              </w:rPr>
            </w:pPr>
            <w:r>
              <w:rPr>
                <w:rFonts w:ascii="Arial" w:cs="Arial" w:eastAsia="Arial" w:hAnsi="Arial"/>
                <w:sz w:val="16"/>
                <w:szCs w:val="16"/>
                <w:color w:val="auto"/>
              </w:rPr>
              <w:t>(9,697)</w:t>
            </w:r>
          </w:p>
        </w:tc>
        <w:tc>
          <w:tcPr>
            <w:tcW w:w="0" w:type="dxa"/>
            <w:vAlign w:val="bottom"/>
          </w:tcPr>
          <w:p>
            <w:pPr>
              <w:spacing w:after="0"/>
              <w:rPr>
                <w:sz w:val="1"/>
                <w:szCs w:val="1"/>
                <w:color w:val="auto"/>
              </w:rPr>
            </w:pPr>
          </w:p>
        </w:tc>
      </w:tr>
      <w:tr>
        <w:trPr>
          <w:trHeight w:val="209"/>
        </w:trPr>
        <w:tc>
          <w:tcPr>
            <w:tcW w:w="4440" w:type="dxa"/>
            <w:vAlign w:val="bottom"/>
            <w:tcBorders>
              <w:bottom w:val="single" w:sz="8" w:color="CCEEFF"/>
            </w:tcBorders>
            <w:gridSpan w:val="2"/>
            <w:vMerge w:val="continue"/>
          </w:tcPr>
          <w:p>
            <w:pPr>
              <w:spacing w:after="0"/>
              <w:rPr>
                <w:sz w:val="18"/>
                <w:szCs w:val="18"/>
                <w:color w:val="auto"/>
              </w:rPr>
            </w:pPr>
          </w:p>
        </w:tc>
        <w:tc>
          <w:tcPr>
            <w:tcW w:w="4320" w:type="dxa"/>
            <w:vAlign w:val="bottom"/>
            <w:tcBorders>
              <w:bottom w:val="single" w:sz="8" w:color="CCEEFF"/>
            </w:tcBorders>
            <w:gridSpan w:val="2"/>
          </w:tcPr>
          <w:p>
            <w:pPr>
              <w:ind w:left="20"/>
              <w:spacing w:after="0"/>
              <w:rPr>
                <w:sz w:val="20"/>
                <w:szCs w:val="20"/>
                <w:color w:val="auto"/>
              </w:rPr>
            </w:pPr>
            <w:r>
              <w:rPr>
                <w:rFonts w:ascii="Arial" w:cs="Arial" w:eastAsia="Arial" w:hAnsi="Arial"/>
                <w:sz w:val="16"/>
                <w:szCs w:val="16"/>
                <w:color w:val="auto"/>
              </w:rPr>
              <w:t>repurchase agreements, at fair value</w:t>
            </w:r>
          </w:p>
        </w:tc>
        <w:tc>
          <w:tcPr>
            <w:tcW w:w="22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vMerge w:val="continue"/>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44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6"/>
                <w:szCs w:val="16"/>
                <w:color w:val="auto"/>
              </w:rPr>
              <w:t>Total U.S. Treasury securities, net at fair value</w:t>
            </w:r>
          </w:p>
        </w:tc>
        <w:tc>
          <w:tcPr>
            <w:tcW w:w="42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(6,383)</w:t>
            </w:r>
          </w:p>
        </w:tc>
        <w:tc>
          <w:tcPr>
            <w:tcW w:w="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(9,226)</w:t>
            </w:r>
          </w:p>
        </w:tc>
        <w:tc>
          <w:tcPr>
            <w:tcW w:w="0" w:type="dxa"/>
            <w:vAlign w:val="bottom"/>
          </w:tcPr>
          <w:p>
            <w:pPr>
              <w:spacing w:after="0"/>
              <w:rPr>
                <w:sz w:val="1"/>
                <w:szCs w:val="1"/>
                <w:color w:val="auto"/>
              </w:rPr>
            </w:pPr>
          </w:p>
        </w:tc>
      </w:tr>
      <w:tr>
        <w:trPr>
          <w:trHeight w:val="20"/>
        </w:trPr>
        <w:tc>
          <w:tcPr>
            <w:tcW w:w="43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2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71"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spacing w:after="0" w:line="13" w:lineRule="exact"/>
        <w:rPr>
          <w:sz w:val="20"/>
          <w:szCs w:val="20"/>
          <w:color w:val="auto"/>
        </w:rPr>
      </w:pPr>
    </w:p>
    <w:p>
      <w:pPr>
        <w:jc w:val="both"/>
        <w:ind w:left="660" w:hanging="328"/>
        <w:spacing w:after="0" w:line="257" w:lineRule="auto"/>
        <w:tabs>
          <w:tab w:leader="none" w:pos="660" w:val="left"/>
        </w:tabs>
        <w:numPr>
          <w:ilvl w:val="0"/>
          <w:numId w:val="6"/>
        </w:numPr>
        <w:rPr>
          <w:rFonts w:ascii="Arial" w:cs="Arial" w:eastAsia="Arial" w:hAnsi="Arial"/>
          <w:sz w:val="14"/>
          <w:szCs w:val="14"/>
          <w:color w:val="auto"/>
        </w:rPr>
      </w:pPr>
      <w:r>
        <w:rPr>
          <w:rFonts w:ascii="Arial" w:cs="Arial" w:eastAsia="Arial" w:hAnsi="Arial"/>
          <w:sz w:val="14"/>
          <w:szCs w:val="14"/>
          <w:color w:val="auto"/>
        </w:rPr>
        <w:t>As of June 30, 2022 and December 31, 2021, the net fair value of our interest rate swaps excluding the recognition of variation margin settlements as a direct reduction of carrying value (see Note 2) was a net asset (liability) of $4.3 billion and $1.6 billion, respectively. As of June 30, 2022, the net fair value of our credit default swaps excluding the recognition of variation margin settlements was $39 thousand. We did not have credit default swaps outstanding as of December 31, 2021.</w:t>
      </w:r>
    </w:p>
    <w:p>
      <w:pPr>
        <w:spacing w:after="0" w:line="135" w:lineRule="exact"/>
        <w:rPr>
          <w:sz w:val="20"/>
          <w:szCs w:val="20"/>
          <w:color w:val="auto"/>
        </w:rPr>
      </w:pPr>
    </w:p>
    <w:p>
      <w:pPr>
        <w:ind w:firstLine="405"/>
        <w:spacing w:after="0" w:line="277" w:lineRule="auto"/>
        <w:rPr>
          <w:sz w:val="20"/>
          <w:szCs w:val="20"/>
          <w:color w:val="auto"/>
        </w:rPr>
      </w:pPr>
      <w:r>
        <w:rPr>
          <w:rFonts w:ascii="Arial" w:cs="Arial" w:eastAsia="Arial" w:hAnsi="Arial"/>
          <w:sz w:val="18"/>
          <w:szCs w:val="18"/>
          <w:color w:val="auto"/>
        </w:rPr>
        <w:t>The following tables summarize certain characteristics of our derivative and other hedging instruments outstanding as of June 30, 2022 and December 31, 2021 (dollars in millions):</w:t>
      </w:r>
    </w:p>
    <w:p>
      <w:pPr>
        <w:spacing w:after="0" w:line="67" w:lineRule="exact"/>
        <w:rPr>
          <w:sz w:val="20"/>
          <w:szCs w:val="20"/>
          <w:color w:val="auto"/>
        </w:rPr>
      </w:pPr>
    </w:p>
    <w:tbl>
      <w:tblPr>
        <w:tblLayout w:type="fixed"/>
        <w:tblInd w:w="20" w:type="dxa"/>
        <w:tblCellMar>
          <w:top w:w="0" w:type="dxa"/>
          <w:left w:w="0" w:type="dxa"/>
          <w:bottom w:w="0" w:type="dxa"/>
          <w:right w:w="0" w:type="dxa"/>
        </w:tblCellMar>
      </w:tblPr>
      <w:tr>
        <w:trPr>
          <w:trHeight w:val="192"/>
        </w:trPr>
        <w:tc>
          <w:tcPr>
            <w:tcW w:w="23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160" w:type="dxa"/>
            <w:vAlign w:val="bottom"/>
            <w:tcBorders>
              <w:bottom w:val="single" w:sz="8" w:color="auto"/>
            </w:tcBorders>
            <w:gridSpan w:val="4"/>
          </w:tcPr>
          <w:p>
            <w:pPr>
              <w:ind w:left="620"/>
              <w:spacing w:after="0"/>
              <w:rPr>
                <w:sz w:val="20"/>
                <w:szCs w:val="20"/>
                <w:color w:val="auto"/>
              </w:rPr>
            </w:pPr>
            <w:r>
              <w:rPr>
                <w:rFonts w:ascii="Arial" w:cs="Arial" w:eastAsia="Arial" w:hAnsi="Arial"/>
                <w:sz w:val="14"/>
                <w:szCs w:val="14"/>
                <w:b w:val="1"/>
                <w:bCs w:val="1"/>
                <w:color w:val="auto"/>
              </w:rPr>
              <w:t>June 30, 2022</w:t>
            </w:r>
          </w:p>
        </w:tc>
        <w:tc>
          <w:tcPr>
            <w:tcW w:w="980" w:type="dxa"/>
            <w:vAlign w:val="bottom"/>
            <w:tcBorders>
              <w:bottom w:val="single" w:sz="8" w:color="auto"/>
            </w:tcBorders>
          </w:tcPr>
          <w:p>
            <w:pPr>
              <w:spacing w:after="0"/>
              <w:rPr>
                <w:sz w:val="16"/>
                <w:szCs w:val="16"/>
                <w:color w:val="auto"/>
              </w:rPr>
            </w:pPr>
          </w:p>
        </w:tc>
        <w:tc>
          <w:tcPr>
            <w:tcW w:w="2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160" w:type="dxa"/>
            <w:vAlign w:val="bottom"/>
            <w:tcBorders>
              <w:bottom w:val="single" w:sz="8" w:color="auto"/>
            </w:tcBorders>
            <w:gridSpan w:val="4"/>
          </w:tcPr>
          <w:p>
            <w:pPr>
              <w:ind w:left="440"/>
              <w:spacing w:after="0"/>
              <w:rPr>
                <w:sz w:val="20"/>
                <w:szCs w:val="20"/>
                <w:color w:val="auto"/>
              </w:rPr>
            </w:pPr>
            <w:r>
              <w:rPr>
                <w:rFonts w:ascii="Arial" w:cs="Arial" w:eastAsia="Arial" w:hAnsi="Arial"/>
                <w:sz w:val="14"/>
                <w:szCs w:val="14"/>
                <w:b w:val="1"/>
                <w:bCs w:val="1"/>
                <w:color w:val="auto"/>
              </w:rPr>
              <w:t>December 31, 2021</w:t>
            </w:r>
          </w:p>
        </w:tc>
        <w:tc>
          <w:tcPr>
            <w:tcW w:w="9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4"/>
        </w:trPr>
        <w:tc>
          <w:tcPr>
            <w:tcW w:w="252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Pay Fixed / Receive Variable Interest</w:t>
            </w:r>
          </w:p>
        </w:tc>
        <w:tc>
          <w:tcPr>
            <w:tcW w:w="160" w:type="dxa"/>
            <w:vAlign w:val="bottom"/>
          </w:tcPr>
          <w:p>
            <w:pPr>
              <w:spacing w:after="0"/>
              <w:rPr>
                <w:sz w:val="11"/>
                <w:szCs w:val="11"/>
                <w:color w:val="auto"/>
              </w:rPr>
            </w:pPr>
          </w:p>
        </w:tc>
        <w:tc>
          <w:tcPr>
            <w:tcW w:w="92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Notional</w:t>
            </w:r>
          </w:p>
        </w:tc>
        <w:tc>
          <w:tcPr>
            <w:tcW w:w="108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0"/>
              </w:rPr>
              <w:t>Average</w:t>
            </w:r>
          </w:p>
        </w:tc>
        <w:tc>
          <w:tcPr>
            <w:tcW w:w="108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0"/>
              </w:rPr>
              <w:t>Average</w:t>
            </w:r>
          </w:p>
        </w:tc>
        <w:tc>
          <w:tcPr>
            <w:tcW w:w="98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0"/>
              </w:rPr>
              <w:t>Average</w:t>
            </w: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6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Notional</w:t>
            </w:r>
          </w:p>
        </w:tc>
        <w:tc>
          <w:tcPr>
            <w:tcW w:w="108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0"/>
              </w:rPr>
              <w:t>Average</w:t>
            </w:r>
          </w:p>
        </w:tc>
        <w:tc>
          <w:tcPr>
            <w:tcW w:w="108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0"/>
              </w:rPr>
              <w:t>Average</w:t>
            </w:r>
          </w:p>
        </w:tc>
        <w:tc>
          <w:tcPr>
            <w:tcW w:w="98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35"/>
        </w:trPr>
        <w:tc>
          <w:tcPr>
            <w:tcW w:w="2520" w:type="dxa"/>
            <w:vAlign w:val="bottom"/>
            <w:gridSpan w:val="2"/>
            <w:vMerge w:val="continue"/>
          </w:tcPr>
          <w:p>
            <w:pPr>
              <w:spacing w:after="0"/>
              <w:rPr>
                <w:sz w:val="11"/>
                <w:szCs w:val="11"/>
                <w:color w:val="auto"/>
              </w:rPr>
            </w:pPr>
          </w:p>
        </w:tc>
        <w:tc>
          <w:tcPr>
            <w:tcW w:w="160" w:type="dxa"/>
            <w:vAlign w:val="bottom"/>
          </w:tcPr>
          <w:p>
            <w:pPr>
              <w:spacing w:after="0"/>
              <w:rPr>
                <w:sz w:val="11"/>
                <w:szCs w:val="11"/>
                <w:color w:val="auto"/>
              </w:rPr>
            </w:pPr>
          </w:p>
        </w:tc>
        <w:tc>
          <w:tcPr>
            <w:tcW w:w="920" w:type="dxa"/>
            <w:vAlign w:val="bottom"/>
            <w:gridSpan w:val="2"/>
            <w:vMerge w:val="continue"/>
          </w:tcPr>
          <w:p>
            <w:pPr>
              <w:spacing w:after="0"/>
              <w:rPr>
                <w:sz w:val="11"/>
                <w:szCs w:val="11"/>
                <w:color w:val="auto"/>
              </w:rPr>
            </w:pPr>
          </w:p>
        </w:tc>
        <w:tc>
          <w:tcPr>
            <w:tcW w:w="1080" w:type="dxa"/>
            <w:vAlign w:val="bottom"/>
            <w:gridSpan w:val="2"/>
          </w:tcPr>
          <w:p>
            <w:pPr>
              <w:jc w:val="center"/>
              <w:ind w:right="140"/>
              <w:spacing w:after="0" w:line="135" w:lineRule="exact"/>
              <w:rPr>
                <w:sz w:val="20"/>
                <w:szCs w:val="20"/>
                <w:color w:val="auto"/>
              </w:rPr>
            </w:pPr>
            <w:r>
              <w:rPr>
                <w:rFonts w:ascii="Arial" w:cs="Arial" w:eastAsia="Arial" w:hAnsi="Arial"/>
                <w:sz w:val="14"/>
                <w:szCs w:val="14"/>
                <w:b w:val="1"/>
                <w:bCs w:val="1"/>
                <w:color w:val="auto"/>
                <w:w w:val="94"/>
              </w:rPr>
              <w:t>Fixed Pay</w:t>
            </w:r>
          </w:p>
        </w:tc>
        <w:tc>
          <w:tcPr>
            <w:tcW w:w="108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86"/>
              </w:rPr>
              <w:t>Receive</w:t>
            </w:r>
          </w:p>
        </w:tc>
        <w:tc>
          <w:tcPr>
            <w:tcW w:w="1180" w:type="dxa"/>
            <w:vAlign w:val="bottom"/>
            <w:gridSpan w:val="2"/>
          </w:tcPr>
          <w:p>
            <w:pPr>
              <w:jc w:val="center"/>
              <w:ind w:right="180"/>
              <w:spacing w:after="0" w:line="135" w:lineRule="exact"/>
              <w:rPr>
                <w:sz w:val="20"/>
                <w:szCs w:val="20"/>
                <w:color w:val="auto"/>
              </w:rPr>
            </w:pPr>
            <w:r>
              <w:rPr>
                <w:rFonts w:ascii="Arial" w:cs="Arial" w:eastAsia="Arial" w:hAnsi="Arial"/>
                <w:sz w:val="14"/>
                <w:szCs w:val="14"/>
                <w:b w:val="1"/>
                <w:bCs w:val="1"/>
                <w:color w:val="auto"/>
              </w:rPr>
              <w:t>Maturity</w:t>
            </w:r>
          </w:p>
        </w:tc>
        <w:tc>
          <w:tcPr>
            <w:tcW w:w="160" w:type="dxa"/>
            <w:vAlign w:val="bottom"/>
          </w:tcPr>
          <w:p>
            <w:pPr>
              <w:spacing w:after="0"/>
              <w:rPr>
                <w:sz w:val="11"/>
                <w:szCs w:val="11"/>
                <w:color w:val="auto"/>
              </w:rPr>
            </w:pPr>
          </w:p>
        </w:tc>
        <w:tc>
          <w:tcPr>
            <w:tcW w:w="960" w:type="dxa"/>
            <w:vAlign w:val="bottom"/>
            <w:gridSpan w:val="2"/>
            <w:vMerge w:val="continue"/>
          </w:tcPr>
          <w:p>
            <w:pPr>
              <w:spacing w:after="0"/>
              <w:rPr>
                <w:sz w:val="11"/>
                <w:szCs w:val="11"/>
                <w:color w:val="auto"/>
              </w:rPr>
            </w:pPr>
          </w:p>
        </w:tc>
        <w:tc>
          <w:tcPr>
            <w:tcW w:w="1080" w:type="dxa"/>
            <w:vAlign w:val="bottom"/>
            <w:gridSpan w:val="2"/>
          </w:tcPr>
          <w:p>
            <w:pPr>
              <w:jc w:val="center"/>
              <w:ind w:right="140"/>
              <w:spacing w:after="0" w:line="135" w:lineRule="exact"/>
              <w:rPr>
                <w:sz w:val="20"/>
                <w:szCs w:val="20"/>
                <w:color w:val="auto"/>
              </w:rPr>
            </w:pPr>
            <w:r>
              <w:rPr>
                <w:rFonts w:ascii="Arial" w:cs="Arial" w:eastAsia="Arial" w:hAnsi="Arial"/>
                <w:sz w:val="14"/>
                <w:szCs w:val="14"/>
                <w:b w:val="1"/>
                <w:bCs w:val="1"/>
                <w:color w:val="auto"/>
                <w:w w:val="94"/>
              </w:rPr>
              <w:t>Fixed Pay</w:t>
            </w:r>
          </w:p>
        </w:tc>
        <w:tc>
          <w:tcPr>
            <w:tcW w:w="108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86"/>
              </w:rPr>
              <w:t>Receive</w:t>
            </w:r>
          </w:p>
        </w:tc>
        <w:tc>
          <w:tcPr>
            <w:tcW w:w="98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rPr>
              <w:t>Maturity</w:t>
            </w:r>
          </w:p>
        </w:tc>
        <w:tc>
          <w:tcPr>
            <w:tcW w:w="0" w:type="dxa"/>
            <w:vAlign w:val="bottom"/>
          </w:tcPr>
          <w:p>
            <w:pPr>
              <w:spacing w:after="0"/>
              <w:rPr>
                <w:sz w:val="1"/>
                <w:szCs w:val="1"/>
                <w:color w:val="auto"/>
              </w:rPr>
            </w:pPr>
          </w:p>
        </w:tc>
      </w:tr>
      <w:tr>
        <w:trPr>
          <w:trHeight w:val="188"/>
        </w:trPr>
        <w:tc>
          <w:tcPr>
            <w:tcW w:w="232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Rate Swaps</w:t>
            </w:r>
          </w:p>
        </w:tc>
        <w:tc>
          <w:tcPr>
            <w:tcW w:w="2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ind w:right="161"/>
              <w:spacing w:after="0"/>
              <w:rPr>
                <w:sz w:val="20"/>
                <w:szCs w:val="20"/>
                <w:color w:val="auto"/>
              </w:rPr>
            </w:pPr>
            <w:r>
              <w:rPr>
                <w:rFonts w:ascii="Arial" w:cs="Arial" w:eastAsia="Arial" w:hAnsi="Arial"/>
                <w:sz w:val="14"/>
                <w:szCs w:val="14"/>
                <w:b w:val="1"/>
                <w:bCs w:val="1"/>
                <w:color w:val="auto"/>
              </w:rPr>
              <w:t>Amount</w:t>
            </w:r>
          </w:p>
        </w:tc>
        <w:tc>
          <w:tcPr>
            <w:tcW w:w="10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Rate</w:t>
            </w:r>
          </w:p>
        </w:tc>
        <w:tc>
          <w:tcPr>
            <w:tcW w:w="10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Rate</w:t>
            </w:r>
          </w:p>
        </w:tc>
        <w:tc>
          <w:tcPr>
            <w:tcW w:w="10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(Years)</w:t>
            </w:r>
          </w:p>
        </w:tc>
        <w:tc>
          <w:tcPr>
            <w:tcW w:w="2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ind w:right="161"/>
              <w:spacing w:after="0"/>
              <w:rPr>
                <w:sz w:val="20"/>
                <w:szCs w:val="20"/>
                <w:color w:val="auto"/>
              </w:rPr>
            </w:pPr>
            <w:r>
              <w:rPr>
                <w:rFonts w:ascii="Arial" w:cs="Arial" w:eastAsia="Arial" w:hAnsi="Arial"/>
                <w:sz w:val="14"/>
                <w:szCs w:val="14"/>
                <w:b w:val="1"/>
                <w:bCs w:val="1"/>
                <w:color w:val="auto"/>
              </w:rPr>
              <w:t>Amount</w:t>
            </w:r>
          </w:p>
        </w:tc>
        <w:tc>
          <w:tcPr>
            <w:tcW w:w="14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Rate</w:t>
            </w:r>
          </w:p>
        </w:tc>
        <w:tc>
          <w:tcPr>
            <w:tcW w:w="10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Rate</w:t>
            </w:r>
          </w:p>
        </w:tc>
        <w:tc>
          <w:tcPr>
            <w:tcW w:w="10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(Years)</w:t>
            </w:r>
          </w:p>
        </w:tc>
        <w:tc>
          <w:tcPr>
            <w:tcW w:w="0" w:type="dxa"/>
            <w:vAlign w:val="bottom"/>
          </w:tcPr>
          <w:p>
            <w:pPr>
              <w:spacing w:after="0"/>
              <w:rPr>
                <w:sz w:val="1"/>
                <w:szCs w:val="1"/>
                <w:color w:val="auto"/>
              </w:rPr>
            </w:pPr>
          </w:p>
        </w:tc>
      </w:tr>
      <w:tr>
        <w:trPr>
          <w:trHeight w:val="211"/>
        </w:trPr>
        <w:tc>
          <w:tcPr>
            <w:tcW w:w="252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 3 years</w:t>
            </w: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23,000</w:t>
            </w: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0.11%</w:t>
            </w: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1.52%</w:t>
            </w: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1.9</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22,500</w:t>
            </w: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0.10%</w:t>
            </w: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0.05%</w:t>
            </w: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2.0</w:t>
            </w:r>
          </w:p>
        </w:tc>
        <w:tc>
          <w:tcPr>
            <w:tcW w:w="0" w:type="dxa"/>
            <w:vAlign w:val="bottom"/>
          </w:tcPr>
          <w:p>
            <w:pPr>
              <w:spacing w:after="0"/>
              <w:rPr>
                <w:sz w:val="1"/>
                <w:szCs w:val="1"/>
                <w:color w:val="auto"/>
              </w:rPr>
            </w:pPr>
          </w:p>
        </w:tc>
      </w:tr>
      <w:tr>
        <w:trPr>
          <w:trHeight w:val="213"/>
        </w:trPr>
        <w:tc>
          <w:tcPr>
            <w:tcW w:w="2520" w:type="dxa"/>
            <w:vAlign w:val="bottom"/>
            <w:gridSpan w:val="2"/>
          </w:tcPr>
          <w:p>
            <w:pPr>
              <w:ind w:left="20"/>
              <w:spacing w:after="0"/>
              <w:rPr>
                <w:sz w:val="20"/>
                <w:szCs w:val="20"/>
                <w:color w:val="auto"/>
              </w:rPr>
            </w:pPr>
            <w:r>
              <w:rPr>
                <w:rFonts w:ascii="Arial" w:cs="Arial" w:eastAsia="Arial" w:hAnsi="Arial"/>
                <w:sz w:val="16"/>
                <w:szCs w:val="16"/>
                <w:color w:val="auto"/>
              </w:rPr>
              <w:t>&gt; 3 to ≤ 5 years</w:t>
            </w: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16,050</w:t>
            </w:r>
          </w:p>
        </w:tc>
        <w:tc>
          <w:tcPr>
            <w:tcW w:w="10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92"/>
              </w:rPr>
              <w:t>0.32%</w:t>
            </w:r>
          </w:p>
        </w:tc>
        <w:tc>
          <w:tcPr>
            <w:tcW w:w="10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92"/>
              </w:rPr>
              <w:t>1.51%</w:t>
            </w:r>
          </w:p>
        </w:tc>
        <w:tc>
          <w:tcPr>
            <w:tcW w:w="10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89"/>
              </w:rPr>
              <w:t>3.9</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16,800</w:t>
            </w:r>
          </w:p>
        </w:tc>
        <w:tc>
          <w:tcPr>
            <w:tcW w:w="14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92"/>
              </w:rPr>
              <w:t>0.22%</w:t>
            </w:r>
          </w:p>
        </w:tc>
        <w:tc>
          <w:tcPr>
            <w:tcW w:w="10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92"/>
              </w:rPr>
              <w:t>0.06%</w:t>
            </w:r>
          </w:p>
        </w:tc>
        <w:tc>
          <w:tcPr>
            <w:tcW w:w="10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89"/>
              </w:rPr>
              <w:t>4.0</w:t>
            </w:r>
          </w:p>
        </w:tc>
        <w:tc>
          <w:tcPr>
            <w:tcW w:w="0" w:type="dxa"/>
            <w:vAlign w:val="bottom"/>
          </w:tcPr>
          <w:p>
            <w:pPr>
              <w:spacing w:after="0"/>
              <w:rPr>
                <w:sz w:val="1"/>
                <w:szCs w:val="1"/>
                <w:color w:val="auto"/>
              </w:rPr>
            </w:pPr>
          </w:p>
        </w:tc>
      </w:tr>
      <w:tr>
        <w:trPr>
          <w:trHeight w:val="219"/>
        </w:trPr>
        <w:tc>
          <w:tcPr>
            <w:tcW w:w="252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&gt; 5 to ≤ 7 years</w:t>
            </w:r>
          </w:p>
        </w:tc>
        <w:tc>
          <w:tcPr>
            <w:tcW w:w="16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4,700</w:t>
            </w:r>
          </w:p>
        </w:tc>
        <w:tc>
          <w:tcPr>
            <w:tcW w:w="100" w:type="dxa"/>
            <w:vAlign w:val="bottom"/>
            <w:shd w:val="clear" w:color="auto" w:fill="CCEEFF"/>
          </w:tcPr>
          <w:p>
            <w:pPr>
              <w:spacing w:after="0"/>
              <w:rPr>
                <w:sz w:val="19"/>
                <w:szCs w:val="19"/>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0.59%</w:t>
            </w:r>
          </w:p>
        </w:tc>
        <w:tc>
          <w:tcPr>
            <w:tcW w:w="100" w:type="dxa"/>
            <w:vAlign w:val="bottom"/>
            <w:shd w:val="clear" w:color="auto" w:fill="CCEEFF"/>
          </w:tcPr>
          <w:p>
            <w:pPr>
              <w:spacing w:after="0"/>
              <w:rPr>
                <w:sz w:val="19"/>
                <w:szCs w:val="19"/>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1.50%</w:t>
            </w:r>
          </w:p>
        </w:tc>
        <w:tc>
          <w:tcPr>
            <w:tcW w:w="100" w:type="dxa"/>
            <w:vAlign w:val="bottom"/>
            <w:shd w:val="clear" w:color="auto" w:fill="CCEEFF"/>
          </w:tcPr>
          <w:p>
            <w:pPr>
              <w:spacing w:after="0"/>
              <w:rPr>
                <w:sz w:val="19"/>
                <w:szCs w:val="19"/>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6.1</w:t>
            </w:r>
          </w:p>
        </w:tc>
        <w:tc>
          <w:tcPr>
            <w:tcW w:w="2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6,050</w:t>
            </w:r>
          </w:p>
        </w:tc>
        <w:tc>
          <w:tcPr>
            <w:tcW w:w="140" w:type="dxa"/>
            <w:vAlign w:val="bottom"/>
            <w:shd w:val="clear" w:color="auto" w:fill="CCEEFF"/>
          </w:tcPr>
          <w:p>
            <w:pPr>
              <w:spacing w:after="0"/>
              <w:rPr>
                <w:sz w:val="19"/>
                <w:szCs w:val="19"/>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0.29%</w:t>
            </w:r>
          </w:p>
        </w:tc>
        <w:tc>
          <w:tcPr>
            <w:tcW w:w="100" w:type="dxa"/>
            <w:vAlign w:val="bottom"/>
            <w:shd w:val="clear" w:color="auto" w:fill="CCEEFF"/>
          </w:tcPr>
          <w:p>
            <w:pPr>
              <w:spacing w:after="0"/>
              <w:rPr>
                <w:sz w:val="19"/>
                <w:szCs w:val="19"/>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0.05%</w:t>
            </w:r>
          </w:p>
        </w:tc>
        <w:tc>
          <w:tcPr>
            <w:tcW w:w="100" w:type="dxa"/>
            <w:vAlign w:val="bottom"/>
            <w:shd w:val="clear" w:color="auto" w:fill="CCEEFF"/>
          </w:tcPr>
          <w:p>
            <w:pPr>
              <w:spacing w:after="0"/>
              <w:rPr>
                <w:sz w:val="19"/>
                <w:szCs w:val="19"/>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6.0</w:t>
            </w:r>
          </w:p>
        </w:tc>
        <w:tc>
          <w:tcPr>
            <w:tcW w:w="0" w:type="dxa"/>
            <w:vAlign w:val="bottom"/>
          </w:tcPr>
          <w:p>
            <w:pPr>
              <w:spacing w:after="0"/>
              <w:rPr>
                <w:sz w:val="1"/>
                <w:szCs w:val="1"/>
                <w:color w:val="auto"/>
              </w:rPr>
            </w:pPr>
          </w:p>
        </w:tc>
      </w:tr>
      <w:tr>
        <w:trPr>
          <w:trHeight w:val="213"/>
        </w:trPr>
        <w:tc>
          <w:tcPr>
            <w:tcW w:w="2520" w:type="dxa"/>
            <w:vAlign w:val="bottom"/>
            <w:gridSpan w:val="2"/>
          </w:tcPr>
          <w:p>
            <w:pPr>
              <w:ind w:left="20"/>
              <w:spacing w:after="0"/>
              <w:rPr>
                <w:sz w:val="20"/>
                <w:szCs w:val="20"/>
                <w:color w:val="auto"/>
              </w:rPr>
            </w:pPr>
            <w:r>
              <w:rPr>
                <w:rFonts w:ascii="Arial" w:cs="Arial" w:eastAsia="Arial" w:hAnsi="Arial"/>
                <w:sz w:val="16"/>
                <w:szCs w:val="16"/>
                <w:color w:val="auto"/>
              </w:rPr>
              <w:t>&gt; 7 to ≤ 10 years</w:t>
            </w: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4,710</w:t>
            </w:r>
          </w:p>
        </w:tc>
        <w:tc>
          <w:tcPr>
            <w:tcW w:w="10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92"/>
              </w:rPr>
              <w:t>0.61%</w:t>
            </w:r>
          </w:p>
        </w:tc>
        <w:tc>
          <w:tcPr>
            <w:tcW w:w="10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92"/>
              </w:rPr>
              <w:t>1.51%</w:t>
            </w:r>
          </w:p>
        </w:tc>
        <w:tc>
          <w:tcPr>
            <w:tcW w:w="10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89"/>
              </w:rPr>
              <w:t>8.1</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4,400</w:t>
            </w:r>
          </w:p>
        </w:tc>
        <w:tc>
          <w:tcPr>
            <w:tcW w:w="14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92"/>
              </w:rPr>
              <w:t>0.46%</w:t>
            </w:r>
          </w:p>
        </w:tc>
        <w:tc>
          <w:tcPr>
            <w:tcW w:w="10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92"/>
              </w:rPr>
              <w:t>0.05%</w:t>
            </w:r>
          </w:p>
        </w:tc>
        <w:tc>
          <w:tcPr>
            <w:tcW w:w="10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89"/>
              </w:rPr>
              <w:t>8.5</w:t>
            </w:r>
          </w:p>
        </w:tc>
        <w:tc>
          <w:tcPr>
            <w:tcW w:w="0" w:type="dxa"/>
            <w:vAlign w:val="bottom"/>
          </w:tcPr>
          <w:p>
            <w:pPr>
              <w:spacing w:after="0"/>
              <w:rPr>
                <w:sz w:val="1"/>
                <w:szCs w:val="1"/>
                <w:color w:val="auto"/>
              </w:rPr>
            </w:pPr>
          </w:p>
        </w:tc>
      </w:tr>
      <w:tr>
        <w:trPr>
          <w:trHeight w:val="216"/>
        </w:trPr>
        <w:tc>
          <w:tcPr>
            <w:tcW w:w="252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&gt; 10 years</w:t>
            </w:r>
          </w:p>
        </w:tc>
        <w:tc>
          <w:tcPr>
            <w:tcW w:w="16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1,475</w:t>
            </w:r>
          </w:p>
        </w:tc>
        <w:tc>
          <w:tcPr>
            <w:tcW w:w="100" w:type="dxa"/>
            <w:vAlign w:val="bottom"/>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92"/>
              </w:rPr>
              <w:t>0.47%</w:t>
            </w:r>
          </w:p>
        </w:tc>
        <w:tc>
          <w:tcPr>
            <w:tcW w:w="100" w:type="dxa"/>
            <w:vAlign w:val="bottom"/>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92"/>
              </w:rPr>
              <w:t>1.51%</w:t>
            </w:r>
          </w:p>
        </w:tc>
        <w:tc>
          <w:tcPr>
            <w:tcW w:w="100" w:type="dxa"/>
            <w:vAlign w:val="bottom"/>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89"/>
              </w:rPr>
              <w:t>12.7</w:t>
            </w:r>
          </w:p>
        </w:tc>
        <w:tc>
          <w:tcPr>
            <w:tcW w:w="2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1,475</w:t>
            </w:r>
          </w:p>
        </w:tc>
        <w:tc>
          <w:tcPr>
            <w:tcW w:w="140" w:type="dxa"/>
            <w:vAlign w:val="bottom"/>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92"/>
              </w:rPr>
              <w:t>0.47%</w:t>
            </w:r>
          </w:p>
        </w:tc>
        <w:tc>
          <w:tcPr>
            <w:tcW w:w="100" w:type="dxa"/>
            <w:vAlign w:val="bottom"/>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92"/>
              </w:rPr>
              <w:t>0.05%</w:t>
            </w:r>
          </w:p>
        </w:tc>
        <w:tc>
          <w:tcPr>
            <w:tcW w:w="100" w:type="dxa"/>
            <w:vAlign w:val="bottom"/>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89"/>
              </w:rPr>
              <w:t>13.2</w:t>
            </w:r>
          </w:p>
        </w:tc>
        <w:tc>
          <w:tcPr>
            <w:tcW w:w="0" w:type="dxa"/>
            <w:vAlign w:val="bottom"/>
          </w:tcPr>
          <w:p>
            <w:pPr>
              <w:spacing w:after="0"/>
              <w:rPr>
                <w:sz w:val="1"/>
                <w:szCs w:val="1"/>
                <w:color w:val="auto"/>
              </w:rPr>
            </w:pPr>
          </w:p>
        </w:tc>
      </w:tr>
      <w:tr>
        <w:trPr>
          <w:trHeight w:val="213"/>
        </w:trPr>
        <w:tc>
          <w:tcPr>
            <w:tcW w:w="2520" w:type="dxa"/>
            <w:vAlign w:val="bottom"/>
            <w:gridSpan w:val="2"/>
          </w:tcPr>
          <w:p>
            <w:pPr>
              <w:ind w:left="20"/>
              <w:spacing w:after="0"/>
              <w:rPr>
                <w:sz w:val="20"/>
                <w:szCs w:val="20"/>
                <w:color w:val="auto"/>
              </w:rPr>
            </w:pPr>
            <w:r>
              <w:rPr>
                <w:rFonts w:ascii="Arial" w:cs="Arial" w:eastAsia="Arial" w:hAnsi="Arial"/>
                <w:sz w:val="16"/>
                <w:szCs w:val="16"/>
                <w:color w:val="auto"/>
              </w:rPr>
              <w:t>Total</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49,935</w:t>
            </w:r>
          </w:p>
        </w:tc>
        <w:tc>
          <w:tcPr>
            <w:tcW w:w="100" w:type="dxa"/>
            <w:vAlign w:val="bottom"/>
          </w:tcPr>
          <w:p>
            <w:pPr>
              <w:spacing w:after="0"/>
              <w:rPr>
                <w:sz w:val="18"/>
                <w:szCs w:val="18"/>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2"/>
              </w:rPr>
              <w:t>0.28%</w:t>
            </w:r>
          </w:p>
        </w:tc>
        <w:tc>
          <w:tcPr>
            <w:tcW w:w="100" w:type="dxa"/>
            <w:vAlign w:val="bottom"/>
          </w:tcPr>
          <w:p>
            <w:pPr>
              <w:spacing w:after="0"/>
              <w:rPr>
                <w:sz w:val="18"/>
                <w:szCs w:val="18"/>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2"/>
              </w:rPr>
              <w:t>1.51%</w:t>
            </w:r>
          </w:p>
        </w:tc>
        <w:tc>
          <w:tcPr>
            <w:tcW w:w="100" w:type="dxa"/>
            <w:vAlign w:val="bottom"/>
          </w:tcPr>
          <w:p>
            <w:pPr>
              <w:spacing w:after="0"/>
              <w:rPr>
                <w:sz w:val="18"/>
                <w:szCs w:val="18"/>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89"/>
              </w:rPr>
              <w:t>3.9</w:t>
            </w:r>
          </w:p>
        </w:tc>
        <w:tc>
          <w:tcPr>
            <w:tcW w:w="20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51,225</w:t>
            </w:r>
          </w:p>
        </w:tc>
        <w:tc>
          <w:tcPr>
            <w:tcW w:w="140" w:type="dxa"/>
            <w:vAlign w:val="bottom"/>
          </w:tcPr>
          <w:p>
            <w:pPr>
              <w:spacing w:after="0"/>
              <w:rPr>
                <w:sz w:val="18"/>
                <w:szCs w:val="18"/>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2"/>
              </w:rPr>
              <w:t>0.20%</w:t>
            </w:r>
          </w:p>
        </w:tc>
        <w:tc>
          <w:tcPr>
            <w:tcW w:w="100" w:type="dxa"/>
            <w:vAlign w:val="bottom"/>
          </w:tcPr>
          <w:p>
            <w:pPr>
              <w:spacing w:after="0"/>
              <w:rPr>
                <w:sz w:val="18"/>
                <w:szCs w:val="18"/>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2"/>
              </w:rPr>
              <w:t>0.05%</w:t>
            </w:r>
          </w:p>
        </w:tc>
        <w:tc>
          <w:tcPr>
            <w:tcW w:w="100" w:type="dxa"/>
            <w:vAlign w:val="bottom"/>
          </w:tcPr>
          <w:p>
            <w:pPr>
              <w:spacing w:after="0"/>
              <w:rPr>
                <w:sz w:val="18"/>
                <w:szCs w:val="18"/>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89"/>
              </w:rPr>
              <w:t>4.0</w:t>
            </w:r>
          </w:p>
        </w:tc>
        <w:tc>
          <w:tcPr>
            <w:tcW w:w="0" w:type="dxa"/>
            <w:vAlign w:val="bottom"/>
          </w:tcPr>
          <w:p>
            <w:pPr>
              <w:spacing w:after="0"/>
              <w:rPr>
                <w:sz w:val="1"/>
                <w:szCs w:val="1"/>
                <w:color w:val="auto"/>
              </w:rPr>
            </w:pPr>
          </w:p>
        </w:tc>
      </w:tr>
      <w:tr>
        <w:trPr>
          <w:trHeight w:val="21"/>
        </w:trPr>
        <w:tc>
          <w:tcPr>
            <w:tcW w:w="23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47" w:lineRule="exact"/>
        <w:rPr>
          <w:sz w:val="20"/>
          <w:szCs w:val="20"/>
          <w:color w:val="auto"/>
        </w:rPr>
      </w:pPr>
    </w:p>
    <w:tbl>
      <w:tblPr>
        <w:tblLayout w:type="fixed"/>
        <w:tblInd w:w="2020" w:type="dxa"/>
        <w:tblCellMar>
          <w:top w:w="0" w:type="dxa"/>
          <w:left w:w="0" w:type="dxa"/>
          <w:bottom w:w="0" w:type="dxa"/>
          <w:right w:w="0" w:type="dxa"/>
        </w:tblCellMar>
      </w:tblPr>
      <w:tr>
        <w:trPr>
          <w:trHeight w:val="161"/>
        </w:trPr>
        <w:tc>
          <w:tcPr>
            <w:tcW w:w="3780" w:type="dxa"/>
            <w:vAlign w:val="bottom"/>
            <w:gridSpan w:val="2"/>
          </w:tcPr>
          <w:p>
            <w:pPr>
              <w:ind w:left="20"/>
              <w:spacing w:after="0"/>
              <w:rPr>
                <w:sz w:val="20"/>
                <w:szCs w:val="20"/>
                <w:color w:val="auto"/>
              </w:rPr>
            </w:pPr>
            <w:r>
              <w:rPr>
                <w:rFonts w:ascii="Arial" w:cs="Arial" w:eastAsia="Arial" w:hAnsi="Arial"/>
                <w:sz w:val="14"/>
                <w:szCs w:val="14"/>
                <w:b w:val="1"/>
                <w:bCs w:val="1"/>
                <w:color w:val="auto"/>
              </w:rPr>
              <w:t>Pay Fixed / Receive Variable Interest Rate Swaps by</w:t>
            </w:r>
          </w:p>
        </w:tc>
        <w:tc>
          <w:tcPr>
            <w:tcW w:w="1820" w:type="dxa"/>
            <w:vAlign w:val="bottom"/>
            <w:gridSpan w:val="2"/>
          </w:tcPr>
          <w:p>
            <w:pPr>
              <w:ind w:left="540"/>
              <w:spacing w:after="0"/>
              <w:rPr>
                <w:sz w:val="20"/>
                <w:szCs w:val="20"/>
                <w:color w:val="auto"/>
              </w:rPr>
            </w:pPr>
            <w:r>
              <w:rPr>
                <w:rFonts w:ascii="Arial" w:cs="Arial" w:eastAsia="Arial" w:hAnsi="Arial"/>
                <w:sz w:val="14"/>
                <w:szCs w:val="14"/>
                <w:b w:val="1"/>
                <w:bCs w:val="1"/>
                <w:color w:val="auto"/>
              </w:rPr>
              <w:t>June 30,</w:t>
            </w:r>
          </w:p>
        </w:tc>
        <w:tc>
          <w:tcPr>
            <w:tcW w:w="1620" w:type="dxa"/>
            <w:vAlign w:val="bottom"/>
            <w:vMerge w:val="restart"/>
          </w:tcPr>
          <w:p>
            <w:pPr>
              <w:jc w:val="right"/>
              <w:ind w:right="161"/>
              <w:spacing w:after="0"/>
              <w:rPr>
                <w:sz w:val="20"/>
                <w:szCs w:val="20"/>
                <w:color w:val="auto"/>
              </w:rPr>
            </w:pPr>
            <w:r>
              <w:rPr>
                <w:rFonts w:ascii="Arial" w:cs="Arial" w:eastAsia="Arial" w:hAnsi="Arial"/>
                <w:sz w:val="14"/>
                <w:szCs w:val="14"/>
                <w:b w:val="1"/>
                <w:bCs w:val="1"/>
                <w:color w:val="auto"/>
              </w:rPr>
              <w:t>December 31, 2021</w:t>
            </w:r>
          </w:p>
        </w:tc>
        <w:tc>
          <w:tcPr>
            <w:tcW w:w="0" w:type="dxa"/>
            <w:vAlign w:val="bottom"/>
          </w:tcPr>
          <w:p>
            <w:pPr>
              <w:spacing w:after="0"/>
              <w:rPr>
                <w:sz w:val="1"/>
                <w:szCs w:val="1"/>
                <w:color w:val="auto"/>
              </w:rPr>
            </w:pPr>
          </w:p>
        </w:tc>
      </w:tr>
      <w:tr>
        <w:trPr>
          <w:trHeight w:val="188"/>
        </w:trPr>
        <w:tc>
          <w:tcPr>
            <w:tcW w:w="356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Receive Index (% of Notional Amount)</w:t>
            </w:r>
          </w:p>
        </w:tc>
        <w:tc>
          <w:tcPr>
            <w:tcW w:w="220" w:type="dxa"/>
            <w:vAlign w:val="bottom"/>
          </w:tcPr>
          <w:p>
            <w:pPr>
              <w:spacing w:after="0"/>
              <w:rPr>
                <w:sz w:val="16"/>
                <w:szCs w:val="16"/>
                <w:color w:val="auto"/>
              </w:rPr>
            </w:pPr>
          </w:p>
        </w:tc>
        <w:tc>
          <w:tcPr>
            <w:tcW w:w="1600" w:type="dxa"/>
            <w:vAlign w:val="bottom"/>
            <w:tcBorders>
              <w:bottom w:val="single" w:sz="8" w:color="auto"/>
            </w:tcBorders>
          </w:tcPr>
          <w:p>
            <w:pPr>
              <w:jc w:val="right"/>
              <w:ind w:right="583"/>
              <w:spacing w:after="0"/>
              <w:rPr>
                <w:sz w:val="20"/>
                <w:szCs w:val="20"/>
                <w:color w:val="auto"/>
              </w:rPr>
            </w:pPr>
            <w:r>
              <w:rPr>
                <w:rFonts w:ascii="Arial" w:cs="Arial" w:eastAsia="Arial" w:hAnsi="Arial"/>
                <w:sz w:val="14"/>
                <w:szCs w:val="14"/>
                <w:b w:val="1"/>
                <w:bCs w:val="1"/>
                <w:color w:val="auto"/>
              </w:rPr>
              <w:t>2022</w:t>
            </w:r>
          </w:p>
        </w:tc>
        <w:tc>
          <w:tcPr>
            <w:tcW w:w="220" w:type="dxa"/>
            <w:vAlign w:val="bottom"/>
          </w:tcPr>
          <w:p>
            <w:pPr>
              <w:spacing w:after="0"/>
              <w:rPr>
                <w:sz w:val="16"/>
                <w:szCs w:val="16"/>
                <w:color w:val="auto"/>
              </w:rPr>
            </w:pPr>
          </w:p>
        </w:tc>
        <w:tc>
          <w:tcPr>
            <w:tcW w:w="162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8"/>
        </w:trPr>
        <w:tc>
          <w:tcPr>
            <w:tcW w:w="3780" w:type="dxa"/>
            <w:vAlign w:val="bottom"/>
            <w:gridSpan w:val="2"/>
          </w:tcPr>
          <w:p>
            <w:pPr>
              <w:ind w:left="20"/>
              <w:spacing w:after="0"/>
              <w:rPr>
                <w:sz w:val="20"/>
                <w:szCs w:val="20"/>
                <w:color w:val="auto"/>
              </w:rPr>
            </w:pPr>
            <w:r>
              <w:rPr>
                <w:rFonts w:ascii="Arial" w:cs="Arial" w:eastAsia="Arial" w:hAnsi="Arial"/>
                <w:sz w:val="16"/>
                <w:szCs w:val="16"/>
                <w:color w:val="auto"/>
              </w:rPr>
              <w:t>SOFR</w:t>
            </w:r>
          </w:p>
        </w:tc>
        <w:tc>
          <w:tcPr>
            <w:tcW w:w="1600" w:type="dxa"/>
            <w:vAlign w:val="bottom"/>
          </w:tcPr>
          <w:p>
            <w:pPr>
              <w:jc w:val="right"/>
              <w:spacing w:after="0"/>
              <w:rPr>
                <w:sz w:val="20"/>
                <w:szCs w:val="20"/>
                <w:color w:val="auto"/>
              </w:rPr>
            </w:pPr>
            <w:r>
              <w:rPr>
                <w:rFonts w:ascii="Arial" w:cs="Arial" w:eastAsia="Arial" w:hAnsi="Arial"/>
                <w:sz w:val="16"/>
                <w:szCs w:val="16"/>
                <w:color w:val="auto"/>
              </w:rPr>
              <w:t>81 %</w:t>
            </w:r>
          </w:p>
        </w:tc>
        <w:tc>
          <w:tcPr>
            <w:tcW w:w="220" w:type="dxa"/>
            <w:vAlign w:val="bottom"/>
          </w:tcPr>
          <w:p>
            <w:pPr>
              <w:spacing w:after="0"/>
              <w:rPr>
                <w:sz w:val="18"/>
                <w:szCs w:val="18"/>
                <w:color w:val="auto"/>
              </w:rPr>
            </w:pPr>
          </w:p>
        </w:tc>
        <w:tc>
          <w:tcPr>
            <w:tcW w:w="1620" w:type="dxa"/>
            <w:vAlign w:val="bottom"/>
          </w:tcPr>
          <w:p>
            <w:pPr>
              <w:jc w:val="right"/>
              <w:spacing w:after="0"/>
              <w:rPr>
                <w:sz w:val="20"/>
                <w:szCs w:val="20"/>
                <w:color w:val="auto"/>
              </w:rPr>
            </w:pPr>
            <w:r>
              <w:rPr>
                <w:rFonts w:ascii="Arial" w:cs="Arial" w:eastAsia="Arial" w:hAnsi="Arial"/>
                <w:sz w:val="16"/>
                <w:szCs w:val="16"/>
                <w:color w:val="auto"/>
              </w:rPr>
              <w:t>75 %</w:t>
            </w:r>
          </w:p>
        </w:tc>
        <w:tc>
          <w:tcPr>
            <w:tcW w:w="0" w:type="dxa"/>
            <w:vAlign w:val="bottom"/>
          </w:tcPr>
          <w:p>
            <w:pPr>
              <w:spacing w:after="0"/>
              <w:rPr>
                <w:sz w:val="1"/>
                <w:szCs w:val="1"/>
                <w:color w:val="auto"/>
              </w:rPr>
            </w:pPr>
          </w:p>
        </w:tc>
      </w:tr>
      <w:tr>
        <w:trPr>
          <w:trHeight w:val="216"/>
        </w:trPr>
        <w:tc>
          <w:tcPr>
            <w:tcW w:w="378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OIS</w:t>
            </w:r>
          </w:p>
        </w:tc>
        <w:tc>
          <w:tcPr>
            <w:tcW w:w="1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19 %</w:t>
            </w:r>
          </w:p>
        </w:tc>
        <w:tc>
          <w:tcPr>
            <w:tcW w:w="220" w:type="dxa"/>
            <w:vAlign w:val="bottom"/>
            <w:shd w:val="clear" w:color="auto" w:fill="CCEEFF"/>
          </w:tcPr>
          <w:p>
            <w:pPr>
              <w:spacing w:after="0"/>
              <w:rPr>
                <w:sz w:val="18"/>
                <w:szCs w:val="18"/>
                <w:color w:val="auto"/>
              </w:rPr>
            </w:pPr>
          </w:p>
        </w:tc>
        <w:tc>
          <w:tcPr>
            <w:tcW w:w="1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25 %</w:t>
            </w:r>
          </w:p>
        </w:tc>
        <w:tc>
          <w:tcPr>
            <w:tcW w:w="0" w:type="dxa"/>
            <w:vAlign w:val="bottom"/>
          </w:tcPr>
          <w:p>
            <w:pPr>
              <w:spacing w:after="0"/>
              <w:rPr>
                <w:sz w:val="1"/>
                <w:szCs w:val="1"/>
                <w:color w:val="auto"/>
              </w:rPr>
            </w:pPr>
          </w:p>
        </w:tc>
      </w:tr>
      <w:tr>
        <w:trPr>
          <w:trHeight w:val="212"/>
        </w:trPr>
        <w:tc>
          <w:tcPr>
            <w:tcW w:w="3780" w:type="dxa"/>
            <w:vAlign w:val="bottom"/>
            <w:gridSpan w:val="2"/>
          </w:tcPr>
          <w:p>
            <w:pPr>
              <w:ind w:left="20"/>
              <w:spacing w:after="0"/>
              <w:rPr>
                <w:sz w:val="20"/>
                <w:szCs w:val="20"/>
                <w:color w:val="auto"/>
              </w:rPr>
            </w:pPr>
            <w:r>
              <w:rPr>
                <w:rFonts w:ascii="Arial" w:cs="Arial" w:eastAsia="Arial" w:hAnsi="Arial"/>
                <w:sz w:val="16"/>
                <w:szCs w:val="16"/>
                <w:color w:val="auto"/>
              </w:rPr>
              <w:t>Total</w:t>
            </w: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100 %</w:t>
            </w:r>
          </w:p>
        </w:tc>
        <w:tc>
          <w:tcPr>
            <w:tcW w:w="220" w:type="dxa"/>
            <w:vAlign w:val="bottom"/>
          </w:tcPr>
          <w:p>
            <w:pPr>
              <w:spacing w:after="0"/>
              <w:rPr>
                <w:sz w:val="18"/>
                <w:szCs w:val="18"/>
                <w:color w:val="auto"/>
              </w:rPr>
            </w:pPr>
          </w:p>
        </w:tc>
        <w:tc>
          <w:tcPr>
            <w:tcW w:w="16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100 %</w:t>
            </w:r>
          </w:p>
        </w:tc>
        <w:tc>
          <w:tcPr>
            <w:tcW w:w="0" w:type="dxa"/>
            <w:vAlign w:val="bottom"/>
          </w:tcPr>
          <w:p>
            <w:pPr>
              <w:spacing w:after="0"/>
              <w:rPr>
                <w:sz w:val="1"/>
                <w:szCs w:val="1"/>
                <w:color w:val="auto"/>
              </w:rPr>
            </w:pPr>
          </w:p>
        </w:tc>
      </w:tr>
      <w:tr>
        <w:trPr>
          <w:trHeight w:val="21"/>
        </w:trPr>
        <w:tc>
          <w:tcPr>
            <w:tcW w:w="35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16" w:name="page17"/>
    <w:bookmarkEnd w:id="16"/>
    <w:tbl>
      <w:tblPr>
        <w:tblLayout w:type="fixed"/>
        <w:tblInd w:w="0" w:type="dxa"/>
        <w:tblCellMar>
          <w:top w:w="0" w:type="dxa"/>
          <w:left w:w="0" w:type="dxa"/>
          <w:bottom w:w="0" w:type="dxa"/>
          <w:right w:w="0" w:type="dxa"/>
        </w:tblCellMar>
      </w:tblPr>
      <w:tr>
        <w:trPr>
          <w:trHeight w:val="192"/>
        </w:trPr>
        <w:tc>
          <w:tcPr>
            <w:tcW w:w="4120" w:type="dxa"/>
            <w:vAlign w:val="bottom"/>
            <w:gridSpan w:val="2"/>
          </w:tcPr>
          <w:p>
            <w:pPr>
              <w:ind w:left="20"/>
              <w:spacing w:after="0"/>
              <w:rPr>
                <w:sz w:val="20"/>
                <w:szCs w:val="20"/>
                <w:color w:val="auto"/>
              </w:rPr>
            </w:pPr>
            <w:r>
              <w:rPr>
                <w:rFonts w:ascii="Arial" w:cs="Arial" w:eastAsia="Arial" w:hAnsi="Arial"/>
                <w:sz w:val="14"/>
                <w:szCs w:val="14"/>
                <w:b w:val="1"/>
                <w:bCs w:val="1"/>
                <w:color w:val="auto"/>
              </w:rPr>
              <w:t>Payer Swaptions</w:t>
            </w:r>
          </w:p>
        </w:tc>
        <w:tc>
          <w:tcPr>
            <w:tcW w:w="1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7"/>
              </w:rPr>
              <w:t>Option</w:t>
            </w:r>
          </w:p>
        </w:tc>
        <w:tc>
          <w:tcPr>
            <w:tcW w:w="1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400" w:type="dxa"/>
            <w:vAlign w:val="bottom"/>
            <w:gridSpan w:val="5"/>
          </w:tcPr>
          <w:p>
            <w:pPr>
              <w:jc w:val="center"/>
              <w:ind w:left="621"/>
              <w:spacing w:after="0"/>
              <w:rPr>
                <w:sz w:val="20"/>
                <w:szCs w:val="20"/>
                <w:color w:val="auto"/>
              </w:rPr>
            </w:pPr>
            <w:r>
              <w:rPr>
                <w:rFonts w:ascii="Arial" w:cs="Arial" w:eastAsia="Arial" w:hAnsi="Arial"/>
                <w:sz w:val="14"/>
                <w:szCs w:val="14"/>
                <w:b w:val="1"/>
                <w:bCs w:val="1"/>
                <w:color w:val="auto"/>
                <w:w w:val="93"/>
              </w:rPr>
              <w:t>Underlying Payer Swap</w:t>
            </w:r>
          </w:p>
        </w:tc>
        <w:tc>
          <w:tcPr>
            <w:tcW w:w="9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402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120" w:type="dxa"/>
            <w:vAlign w:val="bottom"/>
            <w:tcBorders>
              <w:top w:val="single" w:sz="8" w:color="auto"/>
            </w:tcBorders>
          </w:tcPr>
          <w:p>
            <w:pPr>
              <w:jc w:val="center"/>
              <w:spacing w:after="0" w:line="135" w:lineRule="exact"/>
              <w:rPr>
                <w:sz w:val="20"/>
                <w:szCs w:val="20"/>
                <w:color w:val="auto"/>
              </w:rPr>
            </w:pPr>
            <w:r>
              <w:rPr>
                <w:rFonts w:ascii="Arial" w:cs="Arial" w:eastAsia="Arial" w:hAnsi="Arial"/>
                <w:sz w:val="14"/>
                <w:szCs w:val="14"/>
                <w:b w:val="1"/>
                <w:bCs w:val="1"/>
                <w:color w:val="auto"/>
                <w:w w:val="90"/>
              </w:rPr>
              <w:t>Average</w:t>
            </w:r>
          </w:p>
        </w:tc>
        <w:tc>
          <w:tcPr>
            <w:tcW w:w="100" w:type="dxa"/>
            <w:vAlign w:val="bottom"/>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90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400" w:type="dxa"/>
            <w:vAlign w:val="bottom"/>
            <w:tcBorders>
              <w:top w:val="single" w:sz="8" w:color="auto"/>
            </w:tcBorders>
            <w:gridSpan w:val="3"/>
            <w:vMerge w:val="restart"/>
          </w:tcPr>
          <w:p>
            <w:pPr>
              <w:jc w:val="center"/>
              <w:ind w:right="280"/>
              <w:spacing w:after="0"/>
              <w:rPr>
                <w:sz w:val="20"/>
                <w:szCs w:val="20"/>
                <w:color w:val="auto"/>
              </w:rPr>
            </w:pPr>
            <w:r>
              <w:rPr>
                <w:rFonts w:ascii="Arial" w:cs="Arial" w:eastAsia="Arial" w:hAnsi="Arial"/>
                <w:sz w:val="14"/>
                <w:szCs w:val="14"/>
                <w:b w:val="1"/>
                <w:bCs w:val="1"/>
                <w:color w:val="auto"/>
                <w:w w:val="91"/>
              </w:rPr>
              <w:t>Average Fixed</w:t>
            </w:r>
          </w:p>
        </w:tc>
        <w:tc>
          <w:tcPr>
            <w:tcW w:w="900" w:type="dxa"/>
            <w:vAlign w:val="bottom"/>
            <w:tcBorders>
              <w:top w:val="single" w:sz="8" w:color="auto"/>
            </w:tcBorders>
            <w:vMerge w:val="restart"/>
          </w:tcPr>
          <w:p>
            <w:pPr>
              <w:jc w:val="center"/>
              <w:ind w:right="121"/>
              <w:spacing w:after="0"/>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35"/>
        </w:trPr>
        <w:tc>
          <w:tcPr>
            <w:tcW w:w="40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2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5"/>
              </w:rPr>
              <w:t>Months to</w:t>
            </w:r>
          </w:p>
        </w:tc>
        <w:tc>
          <w:tcPr>
            <w:tcW w:w="200" w:type="dxa"/>
            <w:vAlign w:val="bottom"/>
          </w:tcPr>
          <w:p>
            <w:pPr>
              <w:spacing w:after="0"/>
              <w:rPr>
                <w:sz w:val="11"/>
                <w:szCs w:val="11"/>
                <w:color w:val="auto"/>
              </w:rPr>
            </w:pPr>
          </w:p>
        </w:tc>
        <w:tc>
          <w:tcPr>
            <w:tcW w:w="100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Notional</w:t>
            </w:r>
          </w:p>
        </w:tc>
        <w:tc>
          <w:tcPr>
            <w:tcW w:w="1400" w:type="dxa"/>
            <w:vAlign w:val="bottom"/>
            <w:gridSpan w:val="3"/>
            <w:vMerge w:val="continue"/>
          </w:tcPr>
          <w:p>
            <w:pPr>
              <w:spacing w:after="0"/>
              <w:rPr>
                <w:sz w:val="11"/>
                <w:szCs w:val="11"/>
                <w:color w:val="auto"/>
              </w:rPr>
            </w:pPr>
          </w:p>
        </w:tc>
        <w:tc>
          <w:tcPr>
            <w:tcW w:w="9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412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Current Option Expiration Date</w:t>
            </w:r>
          </w:p>
        </w:tc>
        <w:tc>
          <w:tcPr>
            <w:tcW w:w="160" w:type="dxa"/>
            <w:vAlign w:val="bottom"/>
          </w:tcPr>
          <w:p>
            <w:pPr>
              <w:spacing w:after="0"/>
              <w:rPr>
                <w:sz w:val="11"/>
                <w:szCs w:val="11"/>
                <w:color w:val="auto"/>
              </w:rPr>
            </w:pPr>
          </w:p>
        </w:tc>
        <w:tc>
          <w:tcPr>
            <w:tcW w:w="104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Cost Basis</w:t>
            </w:r>
          </w:p>
        </w:tc>
        <w:tc>
          <w:tcPr>
            <w:tcW w:w="160" w:type="dxa"/>
            <w:vAlign w:val="bottom"/>
          </w:tcPr>
          <w:p>
            <w:pPr>
              <w:spacing w:after="0"/>
              <w:rPr>
                <w:sz w:val="11"/>
                <w:szCs w:val="11"/>
                <w:color w:val="auto"/>
              </w:rPr>
            </w:pPr>
          </w:p>
        </w:tc>
        <w:tc>
          <w:tcPr>
            <w:tcW w:w="104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5"/>
              </w:rPr>
              <w:t>Fair Value</w:t>
            </w:r>
          </w:p>
        </w:tc>
        <w:tc>
          <w:tcPr>
            <w:tcW w:w="122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6"/>
              </w:rPr>
              <w:t>Current Option</w:t>
            </w:r>
          </w:p>
        </w:tc>
        <w:tc>
          <w:tcPr>
            <w:tcW w:w="200" w:type="dxa"/>
            <w:vAlign w:val="bottom"/>
          </w:tcPr>
          <w:p>
            <w:pPr>
              <w:spacing w:after="0"/>
              <w:rPr>
                <w:sz w:val="11"/>
                <w:szCs w:val="11"/>
                <w:color w:val="auto"/>
              </w:rPr>
            </w:pPr>
          </w:p>
        </w:tc>
        <w:tc>
          <w:tcPr>
            <w:tcW w:w="1000" w:type="dxa"/>
            <w:vAlign w:val="bottom"/>
            <w:gridSpan w:val="2"/>
            <w:vMerge w:val="continue"/>
          </w:tcPr>
          <w:p>
            <w:pPr>
              <w:spacing w:after="0"/>
              <w:rPr>
                <w:sz w:val="11"/>
                <w:szCs w:val="11"/>
                <w:color w:val="auto"/>
              </w:rPr>
            </w:pPr>
          </w:p>
        </w:tc>
        <w:tc>
          <w:tcPr>
            <w:tcW w:w="1400" w:type="dxa"/>
            <w:vAlign w:val="bottom"/>
            <w:gridSpan w:val="3"/>
          </w:tcPr>
          <w:p>
            <w:pPr>
              <w:jc w:val="center"/>
              <w:ind w:right="300"/>
              <w:spacing w:after="0" w:line="135" w:lineRule="exact"/>
              <w:rPr>
                <w:sz w:val="20"/>
                <w:szCs w:val="20"/>
                <w:color w:val="auto"/>
              </w:rPr>
            </w:pPr>
            <w:r>
              <w:rPr>
                <w:rFonts w:ascii="Arial" w:cs="Arial" w:eastAsia="Arial" w:hAnsi="Arial"/>
                <w:sz w:val="14"/>
                <w:szCs w:val="14"/>
                <w:b w:val="1"/>
                <w:bCs w:val="1"/>
                <w:color w:val="auto"/>
                <w:w w:val="88"/>
              </w:rPr>
              <w:t>Pay</w:t>
            </w:r>
          </w:p>
        </w:tc>
        <w:tc>
          <w:tcPr>
            <w:tcW w:w="900" w:type="dxa"/>
            <w:vAlign w:val="bottom"/>
          </w:tcPr>
          <w:p>
            <w:pPr>
              <w:jc w:val="center"/>
              <w:ind w:right="121"/>
              <w:spacing w:after="0" w:line="135" w:lineRule="exact"/>
              <w:rPr>
                <w:sz w:val="20"/>
                <w:szCs w:val="20"/>
                <w:color w:val="auto"/>
              </w:rPr>
            </w:pPr>
            <w:r>
              <w:rPr>
                <w:rFonts w:ascii="Arial" w:cs="Arial" w:eastAsia="Arial" w:hAnsi="Arial"/>
                <w:sz w:val="14"/>
                <w:szCs w:val="14"/>
                <w:b w:val="1"/>
                <w:bCs w:val="1"/>
                <w:color w:val="auto"/>
                <w:w w:val="99"/>
              </w:rPr>
              <w:t>Term</w:t>
            </w:r>
          </w:p>
        </w:tc>
        <w:tc>
          <w:tcPr>
            <w:tcW w:w="0" w:type="dxa"/>
            <w:vAlign w:val="bottom"/>
          </w:tcPr>
          <w:p>
            <w:pPr>
              <w:spacing w:after="0"/>
              <w:rPr>
                <w:sz w:val="1"/>
                <w:szCs w:val="1"/>
                <w:color w:val="auto"/>
              </w:rPr>
            </w:pPr>
          </w:p>
        </w:tc>
      </w:tr>
      <w:tr>
        <w:trPr>
          <w:trHeight w:val="188"/>
        </w:trPr>
        <w:tc>
          <w:tcPr>
            <w:tcW w:w="4120" w:type="dxa"/>
            <w:vAlign w:val="bottom"/>
            <w:gridSpan w:val="2"/>
            <w:vMerge w:val="continue"/>
          </w:tcPr>
          <w:p>
            <w:pPr>
              <w:spacing w:after="0"/>
              <w:rPr>
                <w:sz w:val="16"/>
                <w:szCs w:val="16"/>
                <w:color w:val="auto"/>
              </w:rPr>
            </w:pPr>
          </w:p>
        </w:tc>
        <w:tc>
          <w:tcPr>
            <w:tcW w:w="160" w:type="dxa"/>
            <w:vAlign w:val="bottom"/>
          </w:tcPr>
          <w:p>
            <w:pPr>
              <w:spacing w:after="0"/>
              <w:rPr>
                <w:sz w:val="16"/>
                <w:szCs w:val="16"/>
                <w:color w:val="auto"/>
              </w:rPr>
            </w:pPr>
          </w:p>
        </w:tc>
        <w:tc>
          <w:tcPr>
            <w:tcW w:w="1040" w:type="dxa"/>
            <w:vAlign w:val="bottom"/>
            <w:gridSpan w:val="2"/>
            <w:vMerge w:val="continue"/>
          </w:tcPr>
          <w:p>
            <w:pPr>
              <w:spacing w:after="0"/>
              <w:rPr>
                <w:sz w:val="16"/>
                <w:szCs w:val="16"/>
                <w:color w:val="auto"/>
              </w:rPr>
            </w:pPr>
          </w:p>
        </w:tc>
        <w:tc>
          <w:tcPr>
            <w:tcW w:w="160" w:type="dxa"/>
            <w:vAlign w:val="bottom"/>
          </w:tcPr>
          <w:p>
            <w:pPr>
              <w:spacing w:after="0"/>
              <w:rPr>
                <w:sz w:val="16"/>
                <w:szCs w:val="16"/>
                <w:color w:val="auto"/>
              </w:rPr>
            </w:pPr>
          </w:p>
        </w:tc>
        <w:tc>
          <w:tcPr>
            <w:tcW w:w="1040" w:type="dxa"/>
            <w:vAlign w:val="bottom"/>
            <w:gridSpan w:val="2"/>
            <w:vMerge w:val="continue"/>
          </w:tcPr>
          <w:p>
            <w:pPr>
              <w:spacing w:after="0"/>
              <w:rPr>
                <w:sz w:val="16"/>
                <w:szCs w:val="16"/>
                <w:color w:val="auto"/>
              </w:rPr>
            </w:pPr>
          </w:p>
        </w:tc>
        <w:tc>
          <w:tcPr>
            <w:tcW w:w="12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6"/>
              </w:rPr>
              <w:t xml:space="preserve">Expiration Date </w:t>
            </w:r>
            <w:r>
              <w:rPr>
                <w:rFonts w:ascii="Arial" w:cs="Arial" w:eastAsia="Arial" w:hAnsi="Arial"/>
                <w:sz w:val="9"/>
                <w:szCs w:val="9"/>
                <w:b w:val="1"/>
                <w:bCs w:val="1"/>
                <w:color w:val="auto"/>
                <w:w w:val="96"/>
              </w:rPr>
              <w:t>1</w:t>
            </w:r>
          </w:p>
        </w:tc>
        <w:tc>
          <w:tcPr>
            <w:tcW w:w="200" w:type="dxa"/>
            <w:vAlign w:val="bottom"/>
          </w:tcPr>
          <w:p>
            <w:pPr>
              <w:spacing w:after="0"/>
              <w:rPr>
                <w:sz w:val="16"/>
                <w:szCs w:val="16"/>
                <w:color w:val="auto"/>
              </w:rPr>
            </w:pPr>
          </w:p>
        </w:tc>
        <w:tc>
          <w:tcPr>
            <w:tcW w:w="1000" w:type="dxa"/>
            <w:vAlign w:val="bottom"/>
            <w:gridSpan w:val="2"/>
          </w:tcPr>
          <w:p>
            <w:pPr>
              <w:ind w:left="100"/>
              <w:spacing w:after="0"/>
              <w:rPr>
                <w:sz w:val="20"/>
                <w:szCs w:val="20"/>
                <w:color w:val="auto"/>
              </w:rPr>
            </w:pPr>
            <w:r>
              <w:rPr>
                <w:rFonts w:ascii="Arial" w:cs="Arial" w:eastAsia="Arial" w:hAnsi="Arial"/>
                <w:sz w:val="14"/>
                <w:szCs w:val="14"/>
                <w:b w:val="1"/>
                <w:bCs w:val="1"/>
                <w:color w:val="auto"/>
              </w:rPr>
              <w:t>Amount</w:t>
            </w:r>
          </w:p>
        </w:tc>
        <w:tc>
          <w:tcPr>
            <w:tcW w:w="1400" w:type="dxa"/>
            <w:vAlign w:val="bottom"/>
            <w:gridSpan w:val="3"/>
          </w:tcPr>
          <w:p>
            <w:pPr>
              <w:jc w:val="center"/>
              <w:ind w:right="300"/>
              <w:spacing w:after="0"/>
              <w:rPr>
                <w:sz w:val="20"/>
                <w:szCs w:val="20"/>
                <w:color w:val="auto"/>
              </w:rPr>
            </w:pPr>
            <w:r>
              <w:rPr>
                <w:rFonts w:ascii="Arial" w:cs="Arial" w:eastAsia="Arial" w:hAnsi="Arial"/>
                <w:sz w:val="14"/>
                <w:szCs w:val="14"/>
                <w:b w:val="1"/>
                <w:bCs w:val="1"/>
                <w:color w:val="auto"/>
                <w:w w:val="96"/>
              </w:rPr>
              <w:t xml:space="preserve">Rate </w:t>
            </w:r>
            <w:r>
              <w:rPr>
                <w:rFonts w:ascii="Arial" w:cs="Arial" w:eastAsia="Arial" w:hAnsi="Arial"/>
                <w:sz w:val="9"/>
                <w:szCs w:val="9"/>
                <w:b w:val="1"/>
                <w:bCs w:val="1"/>
                <w:color w:val="auto"/>
                <w:w w:val="96"/>
              </w:rPr>
              <w:t>2</w:t>
            </w:r>
          </w:p>
        </w:tc>
        <w:tc>
          <w:tcPr>
            <w:tcW w:w="900" w:type="dxa"/>
            <w:vAlign w:val="bottom"/>
          </w:tcPr>
          <w:p>
            <w:pPr>
              <w:jc w:val="center"/>
              <w:ind w:right="101"/>
              <w:spacing w:after="0"/>
              <w:rPr>
                <w:sz w:val="20"/>
                <w:szCs w:val="20"/>
                <w:color w:val="auto"/>
              </w:rPr>
            </w:pPr>
            <w:r>
              <w:rPr>
                <w:rFonts w:ascii="Arial" w:cs="Arial" w:eastAsia="Arial" w:hAnsi="Arial"/>
                <w:sz w:val="14"/>
                <w:szCs w:val="14"/>
                <w:b w:val="1"/>
                <w:bCs w:val="1"/>
                <w:color w:val="auto"/>
                <w:w w:val="92"/>
              </w:rPr>
              <w:t>(Years)</w:t>
            </w:r>
          </w:p>
        </w:tc>
        <w:tc>
          <w:tcPr>
            <w:tcW w:w="0" w:type="dxa"/>
            <w:vAlign w:val="bottom"/>
          </w:tcPr>
          <w:p>
            <w:pPr>
              <w:spacing w:after="0"/>
              <w:rPr>
                <w:sz w:val="1"/>
                <w:szCs w:val="1"/>
                <w:color w:val="auto"/>
              </w:rPr>
            </w:pPr>
          </w:p>
        </w:tc>
      </w:tr>
      <w:tr>
        <w:trPr>
          <w:trHeight w:val="211"/>
        </w:trPr>
        <w:tc>
          <w:tcPr>
            <w:tcW w:w="40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June 30, 2022</w:t>
            </w:r>
          </w:p>
        </w:tc>
        <w:tc>
          <w:tcPr>
            <w:tcW w:w="10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10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4120" w:type="dxa"/>
            <w:vAlign w:val="bottom"/>
            <w:gridSpan w:val="2"/>
          </w:tcPr>
          <w:p>
            <w:pPr>
              <w:ind w:left="20"/>
              <w:spacing w:after="0"/>
              <w:rPr>
                <w:sz w:val="20"/>
                <w:szCs w:val="20"/>
                <w:color w:val="auto"/>
              </w:rPr>
            </w:pPr>
            <w:r>
              <w:rPr>
                <w:rFonts w:ascii="Arial" w:cs="Arial" w:eastAsia="Arial" w:hAnsi="Arial"/>
                <w:sz w:val="16"/>
                <w:szCs w:val="16"/>
                <w:color w:val="auto"/>
              </w:rPr>
              <w:t>≤ 1 year</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spacing w:after="0"/>
              <w:rPr>
                <w:sz w:val="20"/>
                <w:szCs w:val="20"/>
                <w:color w:val="auto"/>
              </w:rPr>
            </w:pPr>
            <w:r>
              <w:rPr>
                <w:rFonts w:ascii="Arial" w:cs="Arial" w:eastAsia="Arial" w:hAnsi="Arial"/>
                <w:sz w:val="16"/>
                <w:szCs w:val="16"/>
                <w:color w:val="auto"/>
              </w:rPr>
              <w:t>35</w:t>
            </w:r>
          </w:p>
        </w:tc>
        <w:tc>
          <w:tcPr>
            <w:tcW w:w="10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spacing w:after="0"/>
              <w:rPr>
                <w:sz w:val="20"/>
                <w:szCs w:val="20"/>
                <w:color w:val="auto"/>
              </w:rPr>
            </w:pPr>
            <w:r>
              <w:rPr>
                <w:rFonts w:ascii="Arial" w:cs="Arial" w:eastAsia="Arial" w:hAnsi="Arial"/>
                <w:sz w:val="16"/>
                <w:szCs w:val="16"/>
                <w:color w:val="auto"/>
              </w:rPr>
              <w:t>90</w:t>
            </w:r>
          </w:p>
        </w:tc>
        <w:tc>
          <w:tcPr>
            <w:tcW w:w="100" w:type="dxa"/>
            <w:vAlign w:val="bottom"/>
          </w:tcPr>
          <w:p>
            <w:pPr>
              <w:spacing w:after="0"/>
              <w:rPr>
                <w:sz w:val="18"/>
                <w:szCs w:val="18"/>
                <w:color w:val="auto"/>
              </w:rPr>
            </w:pPr>
          </w:p>
        </w:tc>
        <w:tc>
          <w:tcPr>
            <w:tcW w:w="1120" w:type="dxa"/>
            <w:vAlign w:val="bottom"/>
          </w:tcPr>
          <w:p>
            <w:pPr>
              <w:jc w:val="center"/>
              <w:spacing w:after="0"/>
              <w:rPr>
                <w:sz w:val="20"/>
                <w:szCs w:val="20"/>
                <w:color w:val="auto"/>
              </w:rPr>
            </w:pPr>
            <w:r>
              <w:rPr>
                <w:rFonts w:ascii="Arial" w:cs="Arial" w:eastAsia="Arial" w:hAnsi="Arial"/>
                <w:sz w:val="16"/>
                <w:szCs w:val="16"/>
                <w:color w:val="auto"/>
                <w:w w:val="89"/>
              </w:rPr>
              <w:t>6</w:t>
            </w:r>
          </w:p>
        </w:tc>
        <w:tc>
          <w:tcPr>
            <w:tcW w:w="100" w:type="dxa"/>
            <w:vAlign w:val="bottom"/>
          </w:tcPr>
          <w:p>
            <w:pPr>
              <w:spacing w:after="0"/>
              <w:rPr>
                <w:sz w:val="18"/>
                <w:szCs w:val="18"/>
                <w:color w:val="auto"/>
              </w:rPr>
            </w:pPr>
          </w:p>
        </w:tc>
        <w:tc>
          <w:tcPr>
            <w:tcW w:w="200" w:type="dxa"/>
            <w:vAlign w:val="bottom"/>
          </w:tcPr>
          <w:p>
            <w:pPr>
              <w:jc w:val="right"/>
              <w:ind w:right="19"/>
              <w:spacing w:after="0"/>
              <w:rPr>
                <w:sz w:val="20"/>
                <w:szCs w:val="20"/>
                <w:color w:val="auto"/>
              </w:rPr>
            </w:pPr>
            <w:r>
              <w:rPr>
                <w:rFonts w:ascii="Arial" w:cs="Arial" w:eastAsia="Arial" w:hAnsi="Arial"/>
                <w:sz w:val="16"/>
                <w:szCs w:val="16"/>
                <w:color w:val="auto"/>
                <w:w w:val="89"/>
              </w:rPr>
              <w:t>$</w:t>
            </w:r>
          </w:p>
        </w:tc>
        <w:tc>
          <w:tcPr>
            <w:tcW w:w="900" w:type="dxa"/>
            <w:vAlign w:val="bottom"/>
          </w:tcPr>
          <w:p>
            <w:pPr>
              <w:jc w:val="right"/>
              <w:ind w:right="1"/>
              <w:spacing w:after="0"/>
              <w:rPr>
                <w:sz w:val="20"/>
                <w:szCs w:val="20"/>
                <w:color w:val="auto"/>
              </w:rPr>
            </w:pPr>
            <w:r>
              <w:rPr>
                <w:rFonts w:ascii="Arial" w:cs="Arial" w:eastAsia="Arial" w:hAnsi="Arial"/>
                <w:sz w:val="16"/>
                <w:szCs w:val="16"/>
                <w:color w:val="auto"/>
              </w:rPr>
              <w:t>1,600</w:t>
            </w:r>
          </w:p>
        </w:tc>
        <w:tc>
          <w:tcPr>
            <w:tcW w:w="100" w:type="dxa"/>
            <w:vAlign w:val="bottom"/>
          </w:tcPr>
          <w:p>
            <w:pPr>
              <w:spacing w:after="0"/>
              <w:rPr>
                <w:sz w:val="18"/>
                <w:szCs w:val="18"/>
                <w:color w:val="auto"/>
              </w:rPr>
            </w:pPr>
          </w:p>
        </w:tc>
        <w:tc>
          <w:tcPr>
            <w:tcW w:w="1100" w:type="dxa"/>
            <w:vAlign w:val="bottom"/>
          </w:tcPr>
          <w:p>
            <w:pPr>
              <w:jc w:val="center"/>
              <w:spacing w:after="0"/>
              <w:rPr>
                <w:sz w:val="20"/>
                <w:szCs w:val="20"/>
                <w:color w:val="auto"/>
              </w:rPr>
            </w:pPr>
            <w:r>
              <w:rPr>
                <w:rFonts w:ascii="Arial" w:cs="Arial" w:eastAsia="Arial" w:hAnsi="Arial"/>
                <w:sz w:val="16"/>
                <w:szCs w:val="16"/>
                <w:color w:val="auto"/>
                <w:w w:val="92"/>
              </w:rPr>
              <w:t>2.14%</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jc w:val="center"/>
              <w:ind w:right="101"/>
              <w:spacing w:after="0"/>
              <w:rPr>
                <w:sz w:val="20"/>
                <w:szCs w:val="20"/>
                <w:color w:val="auto"/>
              </w:rPr>
            </w:pPr>
            <w:r>
              <w:rPr>
                <w:rFonts w:ascii="Arial" w:cs="Arial" w:eastAsia="Arial" w:hAnsi="Arial"/>
                <w:sz w:val="16"/>
                <w:szCs w:val="16"/>
                <w:color w:val="auto"/>
                <w:w w:val="89"/>
              </w:rPr>
              <w:t>7.3</w:t>
            </w:r>
          </w:p>
        </w:tc>
        <w:tc>
          <w:tcPr>
            <w:tcW w:w="0" w:type="dxa"/>
            <w:vAlign w:val="bottom"/>
          </w:tcPr>
          <w:p>
            <w:pPr>
              <w:spacing w:after="0"/>
              <w:rPr>
                <w:sz w:val="1"/>
                <w:szCs w:val="1"/>
                <w:color w:val="auto"/>
              </w:rPr>
            </w:pPr>
          </w:p>
        </w:tc>
      </w:tr>
      <w:tr>
        <w:trPr>
          <w:trHeight w:val="219"/>
        </w:trPr>
        <w:tc>
          <w:tcPr>
            <w:tcW w:w="412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&gt; 1 year ≤ 2 years</w:t>
            </w:r>
          </w:p>
        </w:tc>
        <w:tc>
          <w:tcPr>
            <w:tcW w:w="16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89</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230</w:t>
            </w:r>
          </w:p>
        </w:tc>
        <w:tc>
          <w:tcPr>
            <w:tcW w:w="100" w:type="dxa"/>
            <w:vAlign w:val="bottom"/>
            <w:shd w:val="clear" w:color="auto" w:fill="CCEEFF"/>
          </w:tcPr>
          <w:p>
            <w:pPr>
              <w:spacing w:after="0"/>
              <w:rPr>
                <w:sz w:val="19"/>
                <w:szCs w:val="19"/>
                <w:color w:val="auto"/>
              </w:rPr>
            </w:pPr>
          </w:p>
        </w:tc>
        <w:tc>
          <w:tcPr>
            <w:tcW w:w="11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18</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0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3,900</w:t>
            </w:r>
          </w:p>
        </w:tc>
        <w:tc>
          <w:tcPr>
            <w:tcW w:w="100" w:type="dxa"/>
            <w:vAlign w:val="bottom"/>
            <w:shd w:val="clear" w:color="auto" w:fill="CCEEFF"/>
          </w:tcPr>
          <w:p>
            <w:pPr>
              <w:spacing w:after="0"/>
              <w:rPr>
                <w:sz w:val="19"/>
                <w:szCs w:val="19"/>
                <w:color w:val="auto"/>
              </w:rPr>
            </w:pPr>
          </w:p>
        </w:tc>
        <w:tc>
          <w:tcPr>
            <w:tcW w:w="110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2.49%</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00" w:type="dxa"/>
            <w:vAlign w:val="bottom"/>
            <w:shd w:val="clear" w:color="auto" w:fill="CCEEFF"/>
          </w:tcPr>
          <w:p>
            <w:pPr>
              <w:jc w:val="center"/>
              <w:ind w:right="101"/>
              <w:spacing w:after="0"/>
              <w:rPr>
                <w:sz w:val="20"/>
                <w:szCs w:val="20"/>
                <w:color w:val="auto"/>
              </w:rPr>
            </w:pPr>
            <w:r>
              <w:rPr>
                <w:rFonts w:ascii="Arial" w:cs="Arial" w:eastAsia="Arial" w:hAnsi="Arial"/>
                <w:sz w:val="16"/>
                <w:szCs w:val="16"/>
                <w:color w:val="auto"/>
                <w:w w:val="89"/>
              </w:rPr>
              <w:t>10.0</w:t>
            </w:r>
          </w:p>
        </w:tc>
        <w:tc>
          <w:tcPr>
            <w:tcW w:w="0" w:type="dxa"/>
            <w:vAlign w:val="bottom"/>
          </w:tcPr>
          <w:p>
            <w:pPr>
              <w:spacing w:after="0"/>
              <w:rPr>
                <w:sz w:val="1"/>
                <w:szCs w:val="1"/>
                <w:color w:val="auto"/>
              </w:rPr>
            </w:pPr>
          </w:p>
        </w:tc>
      </w:tr>
      <w:tr>
        <w:trPr>
          <w:trHeight w:val="213"/>
        </w:trPr>
        <w:tc>
          <w:tcPr>
            <w:tcW w:w="4120" w:type="dxa"/>
            <w:vAlign w:val="bottom"/>
            <w:tcBorders>
              <w:bottom w:val="single" w:sz="8" w:color="CCEEFF"/>
            </w:tcBorders>
            <w:gridSpan w:val="2"/>
          </w:tcPr>
          <w:p>
            <w:pPr>
              <w:ind w:left="20"/>
              <w:spacing w:after="0"/>
              <w:rPr>
                <w:sz w:val="20"/>
                <w:szCs w:val="20"/>
                <w:color w:val="auto"/>
              </w:rPr>
            </w:pPr>
            <w:r>
              <w:rPr>
                <w:rFonts w:ascii="Arial" w:cs="Arial" w:eastAsia="Arial" w:hAnsi="Arial"/>
                <w:sz w:val="16"/>
                <w:szCs w:val="16"/>
                <w:color w:val="auto"/>
              </w:rPr>
              <w:t>&gt; 2 year ≤ 3 years</w:t>
            </w:r>
          </w:p>
        </w:tc>
        <w:tc>
          <w:tcPr>
            <w:tcW w:w="16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26</w:t>
            </w:r>
          </w:p>
        </w:tc>
        <w:tc>
          <w:tcPr>
            <w:tcW w:w="1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90</w:t>
            </w:r>
          </w:p>
        </w:tc>
        <w:tc>
          <w:tcPr>
            <w:tcW w:w="100" w:type="dxa"/>
            <w:vAlign w:val="bottom"/>
            <w:tcBorders>
              <w:bottom w:val="single" w:sz="8" w:color="CCEEFF"/>
            </w:tcBorders>
          </w:tcPr>
          <w:p>
            <w:pPr>
              <w:spacing w:after="0"/>
              <w:rPr>
                <w:sz w:val="18"/>
                <w:szCs w:val="18"/>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89"/>
              </w:rPr>
              <w:t>26</w:t>
            </w: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1,300</w:t>
            </w:r>
          </w:p>
        </w:tc>
        <w:tc>
          <w:tcPr>
            <w:tcW w:w="100" w:type="dxa"/>
            <w:vAlign w:val="bottom"/>
            <w:tcBorders>
              <w:bottom w:val="single" w:sz="8" w:color="CCEEFF"/>
            </w:tcBorders>
          </w:tcPr>
          <w:p>
            <w:pPr>
              <w:spacing w:after="0"/>
              <w:rPr>
                <w:sz w:val="18"/>
                <w:szCs w:val="18"/>
                <w:color w:val="auto"/>
              </w:rPr>
            </w:pPr>
          </w:p>
        </w:tc>
        <w:tc>
          <w:tcPr>
            <w:tcW w:w="110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2"/>
              </w:rPr>
              <w:t>2.32%</w:t>
            </w: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center"/>
              <w:ind w:right="101"/>
              <w:spacing w:after="0"/>
              <w:rPr>
                <w:sz w:val="20"/>
                <w:szCs w:val="20"/>
                <w:color w:val="auto"/>
              </w:rPr>
            </w:pPr>
            <w:r>
              <w:rPr>
                <w:rFonts w:ascii="Arial" w:cs="Arial" w:eastAsia="Arial" w:hAnsi="Arial"/>
                <w:sz w:val="16"/>
                <w:szCs w:val="16"/>
                <w:color w:val="auto"/>
                <w:w w:val="89"/>
              </w:rPr>
              <w:t>10.0</w:t>
            </w:r>
          </w:p>
        </w:tc>
        <w:tc>
          <w:tcPr>
            <w:tcW w:w="0" w:type="dxa"/>
            <w:vAlign w:val="bottom"/>
          </w:tcPr>
          <w:p>
            <w:pPr>
              <w:spacing w:after="0"/>
              <w:rPr>
                <w:sz w:val="1"/>
                <w:szCs w:val="1"/>
                <w:color w:val="auto"/>
              </w:rPr>
            </w:pPr>
          </w:p>
        </w:tc>
      </w:tr>
      <w:tr>
        <w:trPr>
          <w:trHeight w:val="238"/>
        </w:trPr>
        <w:tc>
          <w:tcPr>
            <w:tcW w:w="41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Total</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150</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410</w:t>
            </w:r>
          </w:p>
        </w:tc>
        <w:tc>
          <w:tcPr>
            <w:tcW w:w="10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89"/>
              </w:rPr>
              <w:t>17</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90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6,800</w:t>
            </w:r>
          </w:p>
        </w:tc>
        <w:tc>
          <w:tcPr>
            <w:tcW w:w="10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92"/>
              </w:rPr>
              <w:t>2.37%</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spacing w:after="0"/>
              <w:rPr>
                <w:sz w:val="20"/>
                <w:szCs w:val="20"/>
                <w:color w:val="auto"/>
              </w:rPr>
            </w:pPr>
          </w:p>
        </w:tc>
        <w:tc>
          <w:tcPr>
            <w:tcW w:w="900" w:type="dxa"/>
            <w:vAlign w:val="bottom"/>
            <w:tcBorders>
              <w:bottom w:val="single" w:sz="8" w:color="auto"/>
            </w:tcBorders>
            <w:shd w:val="clear" w:color="auto" w:fill="CCEEFF"/>
          </w:tcPr>
          <w:p>
            <w:pPr>
              <w:jc w:val="center"/>
              <w:ind w:right="101"/>
              <w:spacing w:after="0"/>
              <w:rPr>
                <w:sz w:val="20"/>
                <w:szCs w:val="20"/>
                <w:color w:val="auto"/>
              </w:rPr>
            </w:pPr>
            <w:r>
              <w:rPr>
                <w:rFonts w:ascii="Arial" w:cs="Arial" w:eastAsia="Arial" w:hAnsi="Arial"/>
                <w:sz w:val="16"/>
                <w:szCs w:val="16"/>
                <w:color w:val="auto"/>
                <w:w w:val="89"/>
              </w:rPr>
              <w:t>9.4</w:t>
            </w:r>
          </w:p>
        </w:tc>
        <w:tc>
          <w:tcPr>
            <w:tcW w:w="0" w:type="dxa"/>
            <w:vAlign w:val="bottom"/>
          </w:tcPr>
          <w:p>
            <w:pPr>
              <w:spacing w:after="0"/>
              <w:rPr>
                <w:sz w:val="1"/>
                <w:szCs w:val="1"/>
                <w:color w:val="auto"/>
              </w:rPr>
            </w:pPr>
          </w:p>
        </w:tc>
      </w:tr>
      <w:tr>
        <w:trPr>
          <w:trHeight w:val="20"/>
        </w:trPr>
        <w:tc>
          <w:tcPr>
            <w:tcW w:w="40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4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120" w:type="dxa"/>
            <w:vAlign w:val="bottom"/>
            <w:gridSpan w:val="2"/>
            <w:shd w:val="clear" w:color="auto" w:fill="CCEEFF"/>
          </w:tcPr>
          <w:p>
            <w:pPr>
              <w:ind w:left="20"/>
              <w:spacing w:after="0"/>
              <w:rPr>
                <w:sz w:val="20"/>
                <w:szCs w:val="20"/>
                <w:color w:val="auto"/>
              </w:rPr>
            </w:pPr>
            <w:r>
              <w:rPr>
                <w:rFonts w:ascii="Arial" w:cs="Arial" w:eastAsia="Arial" w:hAnsi="Arial"/>
                <w:sz w:val="16"/>
                <w:szCs w:val="16"/>
                <w:b w:val="1"/>
                <w:bCs w:val="1"/>
                <w:color w:val="auto"/>
              </w:rPr>
              <w:t>December 31, 2021</w:t>
            </w: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4120" w:type="dxa"/>
            <w:vAlign w:val="bottom"/>
            <w:gridSpan w:val="2"/>
          </w:tcPr>
          <w:p>
            <w:pPr>
              <w:ind w:left="20"/>
              <w:spacing w:after="0"/>
              <w:rPr>
                <w:sz w:val="20"/>
                <w:szCs w:val="20"/>
                <w:color w:val="auto"/>
              </w:rPr>
            </w:pPr>
            <w:r>
              <w:rPr>
                <w:rFonts w:ascii="Arial" w:cs="Arial" w:eastAsia="Arial" w:hAnsi="Arial"/>
                <w:sz w:val="16"/>
                <w:szCs w:val="16"/>
                <w:color w:val="auto"/>
              </w:rPr>
              <w:t>≤ 1 year</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spacing w:after="0"/>
              <w:rPr>
                <w:sz w:val="20"/>
                <w:szCs w:val="20"/>
                <w:color w:val="auto"/>
              </w:rPr>
            </w:pPr>
            <w:r>
              <w:rPr>
                <w:rFonts w:ascii="Arial" w:cs="Arial" w:eastAsia="Arial" w:hAnsi="Arial"/>
                <w:sz w:val="16"/>
                <w:szCs w:val="16"/>
                <w:color w:val="auto"/>
              </w:rPr>
              <w:t>101</w:t>
            </w:r>
          </w:p>
        </w:tc>
        <w:tc>
          <w:tcPr>
            <w:tcW w:w="10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spacing w:after="0"/>
              <w:rPr>
                <w:sz w:val="20"/>
                <w:szCs w:val="20"/>
                <w:color w:val="auto"/>
              </w:rPr>
            </w:pPr>
            <w:r>
              <w:rPr>
                <w:rFonts w:ascii="Arial" w:cs="Arial" w:eastAsia="Arial" w:hAnsi="Arial"/>
                <w:sz w:val="16"/>
                <w:szCs w:val="16"/>
                <w:color w:val="auto"/>
              </w:rPr>
              <w:t>64</w:t>
            </w:r>
          </w:p>
        </w:tc>
        <w:tc>
          <w:tcPr>
            <w:tcW w:w="100" w:type="dxa"/>
            <w:vAlign w:val="bottom"/>
          </w:tcPr>
          <w:p>
            <w:pPr>
              <w:spacing w:after="0"/>
              <w:rPr>
                <w:sz w:val="18"/>
                <w:szCs w:val="18"/>
                <w:color w:val="auto"/>
              </w:rPr>
            </w:pPr>
          </w:p>
        </w:tc>
        <w:tc>
          <w:tcPr>
            <w:tcW w:w="1120" w:type="dxa"/>
            <w:vAlign w:val="bottom"/>
          </w:tcPr>
          <w:p>
            <w:pPr>
              <w:jc w:val="center"/>
              <w:spacing w:after="0"/>
              <w:rPr>
                <w:sz w:val="20"/>
                <w:szCs w:val="20"/>
                <w:color w:val="auto"/>
              </w:rPr>
            </w:pPr>
            <w:r>
              <w:rPr>
                <w:rFonts w:ascii="Arial" w:cs="Arial" w:eastAsia="Arial" w:hAnsi="Arial"/>
                <w:sz w:val="16"/>
                <w:szCs w:val="16"/>
                <w:color w:val="auto"/>
                <w:w w:val="89"/>
              </w:rPr>
              <w:t>6</w:t>
            </w:r>
          </w:p>
        </w:tc>
        <w:tc>
          <w:tcPr>
            <w:tcW w:w="100" w:type="dxa"/>
            <w:vAlign w:val="bottom"/>
          </w:tcPr>
          <w:p>
            <w:pPr>
              <w:spacing w:after="0"/>
              <w:rPr>
                <w:sz w:val="18"/>
                <w:szCs w:val="18"/>
                <w:color w:val="auto"/>
              </w:rPr>
            </w:pPr>
          </w:p>
        </w:tc>
        <w:tc>
          <w:tcPr>
            <w:tcW w:w="200" w:type="dxa"/>
            <w:vAlign w:val="bottom"/>
          </w:tcPr>
          <w:p>
            <w:pPr>
              <w:jc w:val="right"/>
              <w:ind w:right="19"/>
              <w:spacing w:after="0"/>
              <w:rPr>
                <w:sz w:val="20"/>
                <w:szCs w:val="20"/>
                <w:color w:val="auto"/>
              </w:rPr>
            </w:pPr>
            <w:r>
              <w:rPr>
                <w:rFonts w:ascii="Arial" w:cs="Arial" w:eastAsia="Arial" w:hAnsi="Arial"/>
                <w:sz w:val="16"/>
                <w:szCs w:val="16"/>
                <w:color w:val="auto"/>
                <w:w w:val="89"/>
              </w:rPr>
              <w:t>$</w:t>
            </w:r>
          </w:p>
        </w:tc>
        <w:tc>
          <w:tcPr>
            <w:tcW w:w="900" w:type="dxa"/>
            <w:vAlign w:val="bottom"/>
          </w:tcPr>
          <w:p>
            <w:pPr>
              <w:jc w:val="right"/>
              <w:ind w:right="1"/>
              <w:spacing w:after="0"/>
              <w:rPr>
                <w:sz w:val="20"/>
                <w:szCs w:val="20"/>
                <w:color w:val="auto"/>
              </w:rPr>
            </w:pPr>
            <w:r>
              <w:rPr>
                <w:rFonts w:ascii="Arial" w:cs="Arial" w:eastAsia="Arial" w:hAnsi="Arial"/>
                <w:sz w:val="16"/>
                <w:szCs w:val="16"/>
                <w:color w:val="auto"/>
              </w:rPr>
              <w:t>3,800</w:t>
            </w:r>
          </w:p>
        </w:tc>
        <w:tc>
          <w:tcPr>
            <w:tcW w:w="100" w:type="dxa"/>
            <w:vAlign w:val="bottom"/>
          </w:tcPr>
          <w:p>
            <w:pPr>
              <w:spacing w:after="0"/>
              <w:rPr>
                <w:sz w:val="18"/>
                <w:szCs w:val="18"/>
                <w:color w:val="auto"/>
              </w:rPr>
            </w:pPr>
          </w:p>
        </w:tc>
        <w:tc>
          <w:tcPr>
            <w:tcW w:w="1100" w:type="dxa"/>
            <w:vAlign w:val="bottom"/>
          </w:tcPr>
          <w:p>
            <w:pPr>
              <w:jc w:val="center"/>
              <w:spacing w:after="0"/>
              <w:rPr>
                <w:sz w:val="20"/>
                <w:szCs w:val="20"/>
                <w:color w:val="auto"/>
              </w:rPr>
            </w:pPr>
            <w:r>
              <w:rPr>
                <w:rFonts w:ascii="Arial" w:cs="Arial" w:eastAsia="Arial" w:hAnsi="Arial"/>
                <w:sz w:val="16"/>
                <w:szCs w:val="16"/>
                <w:color w:val="auto"/>
                <w:w w:val="92"/>
              </w:rPr>
              <w:t>1.81%</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jc w:val="center"/>
              <w:ind w:right="101"/>
              <w:spacing w:after="0"/>
              <w:rPr>
                <w:sz w:val="20"/>
                <w:szCs w:val="20"/>
                <w:color w:val="auto"/>
              </w:rPr>
            </w:pPr>
            <w:r>
              <w:rPr>
                <w:rFonts w:ascii="Arial" w:cs="Arial" w:eastAsia="Arial" w:hAnsi="Arial"/>
                <w:sz w:val="16"/>
                <w:szCs w:val="16"/>
                <w:color w:val="auto"/>
                <w:w w:val="89"/>
              </w:rPr>
              <w:t>8.5</w:t>
            </w:r>
          </w:p>
        </w:tc>
        <w:tc>
          <w:tcPr>
            <w:tcW w:w="0" w:type="dxa"/>
            <w:vAlign w:val="bottom"/>
          </w:tcPr>
          <w:p>
            <w:pPr>
              <w:spacing w:after="0"/>
              <w:rPr>
                <w:sz w:val="1"/>
                <w:szCs w:val="1"/>
                <w:color w:val="auto"/>
              </w:rPr>
            </w:pPr>
          </w:p>
        </w:tc>
      </w:tr>
      <w:tr>
        <w:trPr>
          <w:trHeight w:val="219"/>
        </w:trPr>
        <w:tc>
          <w:tcPr>
            <w:tcW w:w="412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&gt; 1 year ≤ 2 years</w:t>
            </w:r>
          </w:p>
        </w:tc>
        <w:tc>
          <w:tcPr>
            <w:tcW w:w="16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128</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147</w:t>
            </w:r>
          </w:p>
        </w:tc>
        <w:tc>
          <w:tcPr>
            <w:tcW w:w="100" w:type="dxa"/>
            <w:vAlign w:val="bottom"/>
            <w:shd w:val="clear" w:color="auto" w:fill="CCEEFF"/>
          </w:tcPr>
          <w:p>
            <w:pPr>
              <w:spacing w:after="0"/>
              <w:rPr>
                <w:sz w:val="19"/>
                <w:szCs w:val="19"/>
                <w:color w:val="auto"/>
              </w:rPr>
            </w:pPr>
          </w:p>
        </w:tc>
        <w:tc>
          <w:tcPr>
            <w:tcW w:w="11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20</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0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5,150</w:t>
            </w:r>
          </w:p>
        </w:tc>
        <w:tc>
          <w:tcPr>
            <w:tcW w:w="100" w:type="dxa"/>
            <w:vAlign w:val="bottom"/>
            <w:shd w:val="clear" w:color="auto" w:fill="CCEEFF"/>
          </w:tcPr>
          <w:p>
            <w:pPr>
              <w:spacing w:after="0"/>
              <w:rPr>
                <w:sz w:val="19"/>
                <w:szCs w:val="19"/>
                <w:color w:val="auto"/>
              </w:rPr>
            </w:pPr>
          </w:p>
        </w:tc>
        <w:tc>
          <w:tcPr>
            <w:tcW w:w="110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1.69%</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00" w:type="dxa"/>
            <w:vAlign w:val="bottom"/>
            <w:shd w:val="clear" w:color="auto" w:fill="CCEEFF"/>
          </w:tcPr>
          <w:p>
            <w:pPr>
              <w:jc w:val="center"/>
              <w:ind w:right="101"/>
              <w:spacing w:after="0"/>
              <w:rPr>
                <w:sz w:val="20"/>
                <w:szCs w:val="20"/>
                <w:color w:val="auto"/>
              </w:rPr>
            </w:pPr>
            <w:r>
              <w:rPr>
                <w:rFonts w:ascii="Arial" w:cs="Arial" w:eastAsia="Arial" w:hAnsi="Arial"/>
                <w:sz w:val="16"/>
                <w:szCs w:val="16"/>
                <w:color w:val="auto"/>
                <w:w w:val="89"/>
              </w:rPr>
              <w:t>10.0</w:t>
            </w:r>
          </w:p>
        </w:tc>
        <w:tc>
          <w:tcPr>
            <w:tcW w:w="0" w:type="dxa"/>
            <w:vAlign w:val="bottom"/>
          </w:tcPr>
          <w:p>
            <w:pPr>
              <w:spacing w:after="0"/>
              <w:rPr>
                <w:sz w:val="1"/>
                <w:szCs w:val="1"/>
                <w:color w:val="auto"/>
              </w:rPr>
            </w:pPr>
          </w:p>
        </w:tc>
      </w:tr>
      <w:tr>
        <w:trPr>
          <w:trHeight w:val="213"/>
        </w:trPr>
        <w:tc>
          <w:tcPr>
            <w:tcW w:w="4120" w:type="dxa"/>
            <w:vAlign w:val="bottom"/>
            <w:tcBorders>
              <w:bottom w:val="single" w:sz="8" w:color="CCEEFF"/>
            </w:tcBorders>
            <w:gridSpan w:val="2"/>
          </w:tcPr>
          <w:p>
            <w:pPr>
              <w:ind w:left="20"/>
              <w:spacing w:after="0"/>
              <w:rPr>
                <w:sz w:val="20"/>
                <w:szCs w:val="20"/>
                <w:color w:val="auto"/>
              </w:rPr>
            </w:pPr>
            <w:r>
              <w:rPr>
                <w:rFonts w:ascii="Arial" w:cs="Arial" w:eastAsia="Arial" w:hAnsi="Arial"/>
                <w:sz w:val="16"/>
                <w:szCs w:val="16"/>
                <w:color w:val="auto"/>
              </w:rPr>
              <w:t>&gt; 2 year ≤ 3 years</w:t>
            </w:r>
          </w:p>
        </w:tc>
        <w:tc>
          <w:tcPr>
            <w:tcW w:w="16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99</w:t>
            </w:r>
          </w:p>
        </w:tc>
        <w:tc>
          <w:tcPr>
            <w:tcW w:w="1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79</w:t>
            </w:r>
          </w:p>
        </w:tc>
        <w:tc>
          <w:tcPr>
            <w:tcW w:w="100" w:type="dxa"/>
            <w:vAlign w:val="bottom"/>
            <w:tcBorders>
              <w:bottom w:val="single" w:sz="8" w:color="CCEEFF"/>
            </w:tcBorders>
          </w:tcPr>
          <w:p>
            <w:pPr>
              <w:spacing w:after="0"/>
              <w:rPr>
                <w:sz w:val="18"/>
                <w:szCs w:val="18"/>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89"/>
              </w:rPr>
              <w:t>28</w:t>
            </w: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4,050</w:t>
            </w:r>
          </w:p>
        </w:tc>
        <w:tc>
          <w:tcPr>
            <w:tcW w:w="100" w:type="dxa"/>
            <w:vAlign w:val="bottom"/>
            <w:tcBorders>
              <w:bottom w:val="single" w:sz="8" w:color="CCEEFF"/>
            </w:tcBorders>
          </w:tcPr>
          <w:p>
            <w:pPr>
              <w:spacing w:after="0"/>
              <w:rPr>
                <w:sz w:val="18"/>
                <w:szCs w:val="18"/>
                <w:color w:val="auto"/>
              </w:rPr>
            </w:pPr>
          </w:p>
        </w:tc>
        <w:tc>
          <w:tcPr>
            <w:tcW w:w="110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2"/>
              </w:rPr>
              <w:t>2.35%</w:t>
            </w: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center"/>
              <w:ind w:right="101"/>
              <w:spacing w:after="0"/>
              <w:rPr>
                <w:sz w:val="20"/>
                <w:szCs w:val="20"/>
                <w:color w:val="auto"/>
              </w:rPr>
            </w:pPr>
            <w:r>
              <w:rPr>
                <w:rFonts w:ascii="Arial" w:cs="Arial" w:eastAsia="Arial" w:hAnsi="Arial"/>
                <w:sz w:val="16"/>
                <w:szCs w:val="16"/>
                <w:color w:val="auto"/>
                <w:w w:val="89"/>
              </w:rPr>
              <w:t>10.0</w:t>
            </w:r>
          </w:p>
        </w:tc>
        <w:tc>
          <w:tcPr>
            <w:tcW w:w="0" w:type="dxa"/>
            <w:vAlign w:val="bottom"/>
          </w:tcPr>
          <w:p>
            <w:pPr>
              <w:spacing w:after="0"/>
              <w:rPr>
                <w:sz w:val="1"/>
                <w:szCs w:val="1"/>
                <w:color w:val="auto"/>
              </w:rPr>
            </w:pPr>
          </w:p>
        </w:tc>
      </w:tr>
      <w:tr>
        <w:trPr>
          <w:trHeight w:val="238"/>
        </w:trPr>
        <w:tc>
          <w:tcPr>
            <w:tcW w:w="41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Total</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328</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290</w:t>
            </w:r>
          </w:p>
        </w:tc>
        <w:tc>
          <w:tcPr>
            <w:tcW w:w="10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89"/>
              </w:rPr>
              <w:t>18</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90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13,000</w:t>
            </w:r>
          </w:p>
        </w:tc>
        <w:tc>
          <w:tcPr>
            <w:tcW w:w="10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92"/>
              </w:rPr>
              <w:t>1.93%</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spacing w:after="0"/>
              <w:rPr>
                <w:sz w:val="20"/>
                <w:szCs w:val="20"/>
                <w:color w:val="auto"/>
              </w:rPr>
            </w:pPr>
          </w:p>
        </w:tc>
        <w:tc>
          <w:tcPr>
            <w:tcW w:w="900" w:type="dxa"/>
            <w:vAlign w:val="bottom"/>
            <w:tcBorders>
              <w:bottom w:val="single" w:sz="8" w:color="auto"/>
            </w:tcBorders>
            <w:shd w:val="clear" w:color="auto" w:fill="CCEEFF"/>
          </w:tcPr>
          <w:p>
            <w:pPr>
              <w:jc w:val="center"/>
              <w:ind w:right="101"/>
              <w:spacing w:after="0"/>
              <w:rPr>
                <w:sz w:val="20"/>
                <w:szCs w:val="20"/>
                <w:color w:val="auto"/>
              </w:rPr>
            </w:pPr>
            <w:r>
              <w:rPr>
                <w:rFonts w:ascii="Arial" w:cs="Arial" w:eastAsia="Arial" w:hAnsi="Arial"/>
                <w:sz w:val="16"/>
                <w:szCs w:val="16"/>
                <w:color w:val="auto"/>
                <w:w w:val="89"/>
              </w:rPr>
              <w:t>9.6</w:t>
            </w:r>
          </w:p>
        </w:tc>
        <w:tc>
          <w:tcPr>
            <w:tcW w:w="0" w:type="dxa"/>
            <w:vAlign w:val="bottom"/>
          </w:tcPr>
          <w:p>
            <w:pPr>
              <w:spacing w:after="0"/>
              <w:rPr>
                <w:sz w:val="1"/>
                <w:szCs w:val="1"/>
                <w:color w:val="auto"/>
              </w:rPr>
            </w:pPr>
          </w:p>
        </w:tc>
      </w:tr>
      <w:tr>
        <w:trPr>
          <w:trHeight w:val="20"/>
        </w:trPr>
        <w:tc>
          <w:tcPr>
            <w:tcW w:w="40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6"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41" w:lineRule="auto"/>
        <w:tabs>
          <w:tab w:leader="none" w:pos="660" w:val="left"/>
        </w:tabs>
        <w:numPr>
          <w:ilvl w:val="0"/>
          <w:numId w:val="7"/>
        </w:numPr>
        <w:rPr>
          <w:rFonts w:ascii="Arial" w:cs="Arial" w:eastAsia="Arial" w:hAnsi="Arial"/>
          <w:sz w:val="14"/>
          <w:szCs w:val="14"/>
          <w:color w:val="auto"/>
        </w:rPr>
      </w:pPr>
      <w:r>
        <w:rPr>
          <w:rFonts w:ascii="Arial" w:cs="Arial" w:eastAsia="Arial" w:hAnsi="Arial"/>
          <w:sz w:val="14"/>
          <w:szCs w:val="14"/>
          <w:color w:val="auto"/>
        </w:rPr>
        <w:t>As of June 30, 2022 and December 31, 2021, ≤ 1 year notional amount includes $250 million and $700 million of Bermudan swaptions where the options may be exercised on predetermined dates up to their final exercise date, which is six months prior to the underlying swaps' maturity date.</w:t>
      </w:r>
    </w:p>
    <w:p>
      <w:pPr>
        <w:ind w:left="660" w:right="20" w:hanging="328"/>
        <w:spacing w:after="0" w:line="255" w:lineRule="auto"/>
        <w:tabs>
          <w:tab w:leader="none" w:pos="660" w:val="left"/>
        </w:tabs>
        <w:numPr>
          <w:ilvl w:val="0"/>
          <w:numId w:val="7"/>
        </w:numPr>
        <w:rPr>
          <w:rFonts w:ascii="Arial" w:cs="Arial" w:eastAsia="Arial" w:hAnsi="Arial"/>
          <w:sz w:val="14"/>
          <w:szCs w:val="14"/>
          <w:color w:val="auto"/>
        </w:rPr>
      </w:pPr>
      <w:r>
        <w:rPr>
          <w:rFonts w:ascii="Arial" w:cs="Arial" w:eastAsia="Arial" w:hAnsi="Arial"/>
          <w:sz w:val="14"/>
          <w:szCs w:val="14"/>
          <w:color w:val="auto"/>
        </w:rPr>
        <w:t>As of June 30, 2022, 96% and 4% of the underlying swap receive rates were tied to SOFR and 3-Month LIBOR, respectively. As of December 31, December 31, 2021, 95% and 5% of the underlying swap receive rates were tied to SOFR and 3-Month LIBOR, respectively.</w:t>
      </w:r>
    </w:p>
    <w:p>
      <w:pPr>
        <w:spacing w:after="0" w:line="200" w:lineRule="exact"/>
        <w:rPr>
          <w:sz w:val="20"/>
          <w:szCs w:val="20"/>
          <w:color w:val="auto"/>
        </w:rPr>
      </w:pPr>
    </w:p>
    <w:p>
      <w:pPr>
        <w:spacing w:after="0" w:line="37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120" w:type="dxa"/>
            <w:vAlign w:val="bottom"/>
            <w:gridSpan w:val="2"/>
          </w:tcPr>
          <w:p>
            <w:pPr>
              <w:ind w:left="20"/>
              <w:spacing w:after="0"/>
              <w:rPr>
                <w:sz w:val="20"/>
                <w:szCs w:val="20"/>
                <w:color w:val="auto"/>
              </w:rPr>
            </w:pPr>
            <w:r>
              <w:rPr>
                <w:rFonts w:ascii="Arial" w:cs="Arial" w:eastAsia="Arial" w:hAnsi="Arial"/>
                <w:sz w:val="14"/>
                <w:szCs w:val="14"/>
                <w:b w:val="1"/>
                <w:bCs w:val="1"/>
                <w:color w:val="auto"/>
              </w:rPr>
              <w:t>Receiver Swaptions</w:t>
            </w:r>
          </w:p>
        </w:tc>
        <w:tc>
          <w:tcPr>
            <w:tcW w:w="1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7"/>
              </w:rPr>
              <w:t>Option</w:t>
            </w:r>
          </w:p>
        </w:tc>
        <w:tc>
          <w:tcPr>
            <w:tcW w:w="1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440" w:type="dxa"/>
            <w:vAlign w:val="bottom"/>
            <w:gridSpan w:val="5"/>
          </w:tcPr>
          <w:p>
            <w:pPr>
              <w:jc w:val="center"/>
              <w:ind w:left="606"/>
              <w:spacing w:after="0"/>
              <w:rPr>
                <w:sz w:val="20"/>
                <w:szCs w:val="20"/>
                <w:color w:val="auto"/>
              </w:rPr>
            </w:pPr>
            <w:r>
              <w:rPr>
                <w:rFonts w:ascii="Arial" w:cs="Arial" w:eastAsia="Arial" w:hAnsi="Arial"/>
                <w:sz w:val="14"/>
                <w:szCs w:val="14"/>
                <w:b w:val="1"/>
                <w:bCs w:val="1"/>
                <w:color w:val="auto"/>
                <w:w w:val="93"/>
              </w:rPr>
              <w:t>Underlying Receiver Swap</w:t>
            </w:r>
          </w:p>
        </w:tc>
        <w:tc>
          <w:tcPr>
            <w:tcW w:w="8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4"/>
        </w:trPr>
        <w:tc>
          <w:tcPr>
            <w:tcW w:w="402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120" w:type="dxa"/>
            <w:vAlign w:val="bottom"/>
            <w:tcBorders>
              <w:top w:val="single" w:sz="8" w:color="auto"/>
            </w:tcBorders>
          </w:tcPr>
          <w:p>
            <w:pPr>
              <w:jc w:val="center"/>
              <w:spacing w:after="0" w:line="135" w:lineRule="exact"/>
              <w:rPr>
                <w:sz w:val="20"/>
                <w:szCs w:val="20"/>
                <w:color w:val="auto"/>
              </w:rPr>
            </w:pPr>
            <w:r>
              <w:rPr>
                <w:rFonts w:ascii="Arial" w:cs="Arial" w:eastAsia="Arial" w:hAnsi="Arial"/>
                <w:sz w:val="14"/>
                <w:szCs w:val="14"/>
                <w:b w:val="1"/>
                <w:bCs w:val="1"/>
                <w:color w:val="auto"/>
                <w:w w:val="90"/>
              </w:rPr>
              <w:t>Average</w:t>
            </w:r>
          </w:p>
        </w:tc>
        <w:tc>
          <w:tcPr>
            <w:tcW w:w="100" w:type="dxa"/>
            <w:vAlign w:val="bottom"/>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90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440" w:type="dxa"/>
            <w:vAlign w:val="bottom"/>
            <w:tcBorders>
              <w:top w:val="single" w:sz="8" w:color="auto"/>
            </w:tcBorders>
            <w:gridSpan w:val="3"/>
            <w:vMerge w:val="restart"/>
          </w:tcPr>
          <w:p>
            <w:pPr>
              <w:jc w:val="center"/>
              <w:ind w:right="320"/>
              <w:spacing w:after="0"/>
              <w:rPr>
                <w:sz w:val="20"/>
                <w:szCs w:val="20"/>
                <w:color w:val="auto"/>
              </w:rPr>
            </w:pPr>
            <w:r>
              <w:rPr>
                <w:rFonts w:ascii="Arial" w:cs="Arial" w:eastAsia="Arial" w:hAnsi="Arial"/>
                <w:sz w:val="14"/>
                <w:szCs w:val="14"/>
                <w:b w:val="1"/>
                <w:bCs w:val="1"/>
                <w:color w:val="auto"/>
                <w:w w:val="91"/>
              </w:rPr>
              <w:t>Average Fixed</w:t>
            </w:r>
          </w:p>
        </w:tc>
        <w:tc>
          <w:tcPr>
            <w:tcW w:w="860" w:type="dxa"/>
            <w:vAlign w:val="bottom"/>
            <w:tcBorders>
              <w:top w:val="single" w:sz="8" w:color="auto"/>
            </w:tcBorders>
            <w:vMerge w:val="restart"/>
          </w:tcPr>
          <w:p>
            <w:pPr>
              <w:jc w:val="center"/>
              <w:ind w:right="166"/>
              <w:spacing w:after="0"/>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35"/>
        </w:trPr>
        <w:tc>
          <w:tcPr>
            <w:tcW w:w="40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2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5"/>
              </w:rPr>
              <w:t>Months to</w:t>
            </w:r>
          </w:p>
        </w:tc>
        <w:tc>
          <w:tcPr>
            <w:tcW w:w="200" w:type="dxa"/>
            <w:vAlign w:val="bottom"/>
          </w:tcPr>
          <w:p>
            <w:pPr>
              <w:spacing w:after="0"/>
              <w:rPr>
                <w:sz w:val="11"/>
                <w:szCs w:val="11"/>
                <w:color w:val="auto"/>
              </w:rPr>
            </w:pPr>
          </w:p>
        </w:tc>
        <w:tc>
          <w:tcPr>
            <w:tcW w:w="100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Notional</w:t>
            </w:r>
          </w:p>
        </w:tc>
        <w:tc>
          <w:tcPr>
            <w:tcW w:w="1440" w:type="dxa"/>
            <w:vAlign w:val="bottom"/>
            <w:gridSpan w:val="3"/>
            <w:vMerge w:val="continue"/>
          </w:tcPr>
          <w:p>
            <w:pPr>
              <w:spacing w:after="0"/>
              <w:rPr>
                <w:sz w:val="11"/>
                <w:szCs w:val="11"/>
                <w:color w:val="auto"/>
              </w:rPr>
            </w:pPr>
          </w:p>
        </w:tc>
        <w:tc>
          <w:tcPr>
            <w:tcW w:w="86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412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Current Option Expiration Date</w:t>
            </w:r>
          </w:p>
        </w:tc>
        <w:tc>
          <w:tcPr>
            <w:tcW w:w="160" w:type="dxa"/>
            <w:vAlign w:val="bottom"/>
          </w:tcPr>
          <w:p>
            <w:pPr>
              <w:spacing w:after="0"/>
              <w:rPr>
                <w:sz w:val="11"/>
                <w:szCs w:val="11"/>
                <w:color w:val="auto"/>
              </w:rPr>
            </w:pPr>
          </w:p>
        </w:tc>
        <w:tc>
          <w:tcPr>
            <w:tcW w:w="104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Cost Basis</w:t>
            </w:r>
          </w:p>
        </w:tc>
        <w:tc>
          <w:tcPr>
            <w:tcW w:w="160" w:type="dxa"/>
            <w:vAlign w:val="bottom"/>
          </w:tcPr>
          <w:p>
            <w:pPr>
              <w:spacing w:after="0"/>
              <w:rPr>
                <w:sz w:val="11"/>
                <w:szCs w:val="11"/>
                <w:color w:val="auto"/>
              </w:rPr>
            </w:pPr>
          </w:p>
        </w:tc>
        <w:tc>
          <w:tcPr>
            <w:tcW w:w="104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5"/>
              </w:rPr>
              <w:t>Fair Value</w:t>
            </w:r>
          </w:p>
        </w:tc>
        <w:tc>
          <w:tcPr>
            <w:tcW w:w="122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6"/>
              </w:rPr>
              <w:t>Current Option</w:t>
            </w:r>
          </w:p>
        </w:tc>
        <w:tc>
          <w:tcPr>
            <w:tcW w:w="200" w:type="dxa"/>
            <w:vAlign w:val="bottom"/>
          </w:tcPr>
          <w:p>
            <w:pPr>
              <w:spacing w:after="0"/>
              <w:rPr>
                <w:sz w:val="11"/>
                <w:szCs w:val="11"/>
                <w:color w:val="auto"/>
              </w:rPr>
            </w:pPr>
          </w:p>
        </w:tc>
        <w:tc>
          <w:tcPr>
            <w:tcW w:w="1000" w:type="dxa"/>
            <w:vAlign w:val="bottom"/>
            <w:gridSpan w:val="2"/>
            <w:vMerge w:val="continue"/>
          </w:tcPr>
          <w:p>
            <w:pPr>
              <w:spacing w:after="0"/>
              <w:rPr>
                <w:sz w:val="11"/>
                <w:szCs w:val="11"/>
                <w:color w:val="auto"/>
              </w:rPr>
            </w:pPr>
          </w:p>
        </w:tc>
        <w:tc>
          <w:tcPr>
            <w:tcW w:w="1440" w:type="dxa"/>
            <w:vAlign w:val="bottom"/>
            <w:gridSpan w:val="3"/>
          </w:tcPr>
          <w:p>
            <w:pPr>
              <w:jc w:val="center"/>
              <w:ind w:right="380"/>
              <w:spacing w:after="0" w:line="135" w:lineRule="exact"/>
              <w:rPr>
                <w:sz w:val="20"/>
                <w:szCs w:val="20"/>
                <w:color w:val="auto"/>
              </w:rPr>
            </w:pPr>
            <w:r>
              <w:rPr>
                <w:rFonts w:ascii="Arial" w:cs="Arial" w:eastAsia="Arial" w:hAnsi="Arial"/>
                <w:sz w:val="14"/>
                <w:szCs w:val="14"/>
                <w:b w:val="1"/>
                <w:bCs w:val="1"/>
                <w:color w:val="auto"/>
                <w:w w:val="86"/>
              </w:rPr>
              <w:t>Receive</w:t>
            </w:r>
          </w:p>
        </w:tc>
        <w:tc>
          <w:tcPr>
            <w:tcW w:w="860" w:type="dxa"/>
            <w:vAlign w:val="bottom"/>
          </w:tcPr>
          <w:p>
            <w:pPr>
              <w:jc w:val="center"/>
              <w:ind w:right="166"/>
              <w:spacing w:after="0" w:line="135" w:lineRule="exact"/>
              <w:rPr>
                <w:sz w:val="20"/>
                <w:szCs w:val="20"/>
                <w:color w:val="auto"/>
              </w:rPr>
            </w:pPr>
            <w:r>
              <w:rPr>
                <w:rFonts w:ascii="Arial" w:cs="Arial" w:eastAsia="Arial" w:hAnsi="Arial"/>
                <w:sz w:val="14"/>
                <w:szCs w:val="14"/>
                <w:b w:val="1"/>
                <w:bCs w:val="1"/>
                <w:color w:val="auto"/>
                <w:w w:val="99"/>
              </w:rPr>
              <w:t>Term</w:t>
            </w:r>
          </w:p>
        </w:tc>
        <w:tc>
          <w:tcPr>
            <w:tcW w:w="0" w:type="dxa"/>
            <w:vAlign w:val="bottom"/>
          </w:tcPr>
          <w:p>
            <w:pPr>
              <w:spacing w:after="0"/>
              <w:rPr>
                <w:sz w:val="1"/>
                <w:szCs w:val="1"/>
                <w:color w:val="auto"/>
              </w:rPr>
            </w:pPr>
          </w:p>
        </w:tc>
      </w:tr>
      <w:tr>
        <w:trPr>
          <w:trHeight w:val="188"/>
        </w:trPr>
        <w:tc>
          <w:tcPr>
            <w:tcW w:w="4120" w:type="dxa"/>
            <w:vAlign w:val="bottom"/>
            <w:gridSpan w:val="2"/>
            <w:vMerge w:val="continue"/>
          </w:tcPr>
          <w:p>
            <w:pPr>
              <w:spacing w:after="0"/>
              <w:rPr>
                <w:sz w:val="16"/>
                <w:szCs w:val="16"/>
                <w:color w:val="auto"/>
              </w:rPr>
            </w:pPr>
          </w:p>
        </w:tc>
        <w:tc>
          <w:tcPr>
            <w:tcW w:w="160" w:type="dxa"/>
            <w:vAlign w:val="bottom"/>
          </w:tcPr>
          <w:p>
            <w:pPr>
              <w:spacing w:after="0"/>
              <w:rPr>
                <w:sz w:val="16"/>
                <w:szCs w:val="16"/>
                <w:color w:val="auto"/>
              </w:rPr>
            </w:pPr>
          </w:p>
        </w:tc>
        <w:tc>
          <w:tcPr>
            <w:tcW w:w="1040" w:type="dxa"/>
            <w:vAlign w:val="bottom"/>
            <w:gridSpan w:val="2"/>
            <w:vMerge w:val="continue"/>
          </w:tcPr>
          <w:p>
            <w:pPr>
              <w:spacing w:after="0"/>
              <w:rPr>
                <w:sz w:val="16"/>
                <w:szCs w:val="16"/>
                <w:color w:val="auto"/>
              </w:rPr>
            </w:pPr>
          </w:p>
        </w:tc>
        <w:tc>
          <w:tcPr>
            <w:tcW w:w="160" w:type="dxa"/>
            <w:vAlign w:val="bottom"/>
          </w:tcPr>
          <w:p>
            <w:pPr>
              <w:spacing w:after="0"/>
              <w:rPr>
                <w:sz w:val="16"/>
                <w:szCs w:val="16"/>
                <w:color w:val="auto"/>
              </w:rPr>
            </w:pPr>
          </w:p>
        </w:tc>
        <w:tc>
          <w:tcPr>
            <w:tcW w:w="1040" w:type="dxa"/>
            <w:vAlign w:val="bottom"/>
            <w:gridSpan w:val="2"/>
            <w:vMerge w:val="continue"/>
          </w:tcPr>
          <w:p>
            <w:pPr>
              <w:spacing w:after="0"/>
              <w:rPr>
                <w:sz w:val="16"/>
                <w:szCs w:val="16"/>
                <w:color w:val="auto"/>
              </w:rPr>
            </w:pPr>
          </w:p>
        </w:tc>
        <w:tc>
          <w:tcPr>
            <w:tcW w:w="12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7"/>
              </w:rPr>
              <w:t>Expiration Date</w:t>
            </w:r>
          </w:p>
        </w:tc>
        <w:tc>
          <w:tcPr>
            <w:tcW w:w="200" w:type="dxa"/>
            <w:vAlign w:val="bottom"/>
          </w:tcPr>
          <w:p>
            <w:pPr>
              <w:spacing w:after="0"/>
              <w:rPr>
                <w:sz w:val="16"/>
                <w:szCs w:val="16"/>
                <w:color w:val="auto"/>
              </w:rPr>
            </w:pPr>
          </w:p>
        </w:tc>
        <w:tc>
          <w:tcPr>
            <w:tcW w:w="1000" w:type="dxa"/>
            <w:vAlign w:val="bottom"/>
            <w:gridSpan w:val="2"/>
          </w:tcPr>
          <w:p>
            <w:pPr>
              <w:ind w:left="100"/>
              <w:spacing w:after="0"/>
              <w:rPr>
                <w:sz w:val="20"/>
                <w:szCs w:val="20"/>
                <w:color w:val="auto"/>
              </w:rPr>
            </w:pPr>
            <w:r>
              <w:rPr>
                <w:rFonts w:ascii="Arial" w:cs="Arial" w:eastAsia="Arial" w:hAnsi="Arial"/>
                <w:sz w:val="14"/>
                <w:szCs w:val="14"/>
                <w:b w:val="1"/>
                <w:bCs w:val="1"/>
                <w:color w:val="auto"/>
              </w:rPr>
              <w:t>Amount</w:t>
            </w:r>
          </w:p>
        </w:tc>
        <w:tc>
          <w:tcPr>
            <w:tcW w:w="1440" w:type="dxa"/>
            <w:vAlign w:val="bottom"/>
            <w:gridSpan w:val="3"/>
          </w:tcPr>
          <w:p>
            <w:pPr>
              <w:jc w:val="center"/>
              <w:ind w:right="340"/>
              <w:spacing w:after="0"/>
              <w:rPr>
                <w:sz w:val="20"/>
                <w:szCs w:val="20"/>
                <w:color w:val="auto"/>
              </w:rPr>
            </w:pPr>
            <w:r>
              <w:rPr>
                <w:rFonts w:ascii="Arial" w:cs="Arial" w:eastAsia="Arial" w:hAnsi="Arial"/>
                <w:sz w:val="14"/>
                <w:szCs w:val="14"/>
                <w:b w:val="1"/>
                <w:bCs w:val="1"/>
                <w:color w:val="auto"/>
                <w:w w:val="98"/>
              </w:rPr>
              <w:t>Rate</w:t>
            </w:r>
          </w:p>
        </w:tc>
        <w:tc>
          <w:tcPr>
            <w:tcW w:w="860" w:type="dxa"/>
            <w:vAlign w:val="bottom"/>
          </w:tcPr>
          <w:p>
            <w:pPr>
              <w:jc w:val="center"/>
              <w:ind w:right="146"/>
              <w:spacing w:after="0"/>
              <w:rPr>
                <w:sz w:val="20"/>
                <w:szCs w:val="20"/>
                <w:color w:val="auto"/>
              </w:rPr>
            </w:pPr>
            <w:r>
              <w:rPr>
                <w:rFonts w:ascii="Arial" w:cs="Arial" w:eastAsia="Arial" w:hAnsi="Arial"/>
                <w:sz w:val="14"/>
                <w:szCs w:val="14"/>
                <w:b w:val="1"/>
                <w:bCs w:val="1"/>
                <w:color w:val="auto"/>
                <w:w w:val="92"/>
              </w:rPr>
              <w:t>(Years)</w:t>
            </w:r>
          </w:p>
        </w:tc>
        <w:tc>
          <w:tcPr>
            <w:tcW w:w="0" w:type="dxa"/>
            <w:vAlign w:val="bottom"/>
          </w:tcPr>
          <w:p>
            <w:pPr>
              <w:spacing w:after="0"/>
              <w:rPr>
                <w:sz w:val="1"/>
                <w:szCs w:val="1"/>
                <w:color w:val="auto"/>
              </w:rPr>
            </w:pPr>
          </w:p>
        </w:tc>
      </w:tr>
      <w:tr>
        <w:trPr>
          <w:trHeight w:val="211"/>
        </w:trPr>
        <w:tc>
          <w:tcPr>
            <w:tcW w:w="40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June 30, 2022</w:t>
            </w:r>
          </w:p>
        </w:tc>
        <w:tc>
          <w:tcPr>
            <w:tcW w:w="10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10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20" w:type="dxa"/>
            <w:vAlign w:val="bottom"/>
            <w:gridSpan w:val="2"/>
          </w:tcPr>
          <w:p>
            <w:pPr>
              <w:ind w:left="20"/>
              <w:spacing w:after="0"/>
              <w:rPr>
                <w:sz w:val="20"/>
                <w:szCs w:val="20"/>
                <w:color w:val="auto"/>
              </w:rPr>
            </w:pPr>
            <w:r>
              <w:rPr>
                <w:rFonts w:ascii="Arial" w:cs="Arial" w:eastAsia="Arial" w:hAnsi="Arial"/>
                <w:sz w:val="16"/>
                <w:szCs w:val="16"/>
                <w:color w:val="auto"/>
              </w:rPr>
              <w:t>≤ 1 year</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w:t>
            </w:r>
          </w:p>
        </w:tc>
        <w:tc>
          <w:tcPr>
            <w:tcW w:w="10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w:t>
            </w:r>
          </w:p>
        </w:tc>
        <w:tc>
          <w:tcPr>
            <w:tcW w:w="100" w:type="dxa"/>
            <w:vAlign w:val="bottom"/>
          </w:tcPr>
          <w:p>
            <w:pPr>
              <w:spacing w:after="0"/>
              <w:rPr>
                <w:sz w:val="18"/>
                <w:szCs w:val="18"/>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89"/>
              </w:rPr>
              <w:t>11</w:t>
            </w:r>
          </w:p>
        </w:tc>
        <w:tc>
          <w:tcPr>
            <w:tcW w:w="100" w:type="dxa"/>
            <w:vAlign w:val="bottom"/>
          </w:tcPr>
          <w:p>
            <w:pPr>
              <w:spacing w:after="0"/>
              <w:rPr>
                <w:sz w:val="18"/>
                <w:szCs w:val="18"/>
                <w:color w:val="auto"/>
              </w:rPr>
            </w:pPr>
          </w:p>
        </w:tc>
        <w:tc>
          <w:tcPr>
            <w:tcW w:w="20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900" w:type="dxa"/>
            <w:vAlign w:val="bottom"/>
            <w:tcBorders>
              <w:bottom w:val="single" w:sz="8" w:color="auto"/>
            </w:tcBorders>
          </w:tcPr>
          <w:p>
            <w:pPr>
              <w:jc w:val="right"/>
              <w:ind w:right="6"/>
              <w:spacing w:after="0"/>
              <w:rPr>
                <w:sz w:val="20"/>
                <w:szCs w:val="20"/>
                <w:color w:val="auto"/>
              </w:rPr>
            </w:pPr>
            <w:r>
              <w:rPr>
                <w:rFonts w:ascii="Arial" w:cs="Arial" w:eastAsia="Arial" w:hAnsi="Arial"/>
                <w:sz w:val="16"/>
                <w:szCs w:val="16"/>
                <w:color w:val="auto"/>
              </w:rPr>
              <w:t>150</w:t>
            </w:r>
          </w:p>
        </w:tc>
        <w:tc>
          <w:tcPr>
            <w:tcW w:w="100" w:type="dxa"/>
            <w:vAlign w:val="bottom"/>
          </w:tcPr>
          <w:p>
            <w:pPr>
              <w:spacing w:after="0"/>
              <w:rPr>
                <w:sz w:val="18"/>
                <w:szCs w:val="18"/>
                <w:color w:val="auto"/>
              </w:rPr>
            </w:pPr>
          </w:p>
        </w:tc>
        <w:tc>
          <w:tcPr>
            <w:tcW w:w="110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2"/>
              </w:rPr>
              <w:t>2.11%</w:t>
            </w:r>
          </w:p>
        </w:tc>
        <w:tc>
          <w:tcPr>
            <w:tcW w:w="10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center"/>
              <w:ind w:right="146"/>
              <w:spacing w:after="0"/>
              <w:rPr>
                <w:sz w:val="20"/>
                <w:szCs w:val="20"/>
                <w:color w:val="auto"/>
              </w:rPr>
            </w:pPr>
            <w:r>
              <w:rPr>
                <w:rFonts w:ascii="Arial" w:cs="Arial" w:eastAsia="Arial" w:hAnsi="Arial"/>
                <w:sz w:val="16"/>
                <w:szCs w:val="16"/>
                <w:color w:val="auto"/>
                <w:w w:val="89"/>
              </w:rPr>
              <w:t>10.0</w:t>
            </w:r>
          </w:p>
        </w:tc>
        <w:tc>
          <w:tcPr>
            <w:tcW w:w="0" w:type="dxa"/>
            <w:vAlign w:val="bottom"/>
          </w:tcPr>
          <w:p>
            <w:pPr>
              <w:spacing w:after="0"/>
              <w:rPr>
                <w:sz w:val="1"/>
                <w:szCs w:val="1"/>
                <w:color w:val="auto"/>
              </w:rPr>
            </w:pPr>
          </w:p>
        </w:tc>
      </w:tr>
      <w:tr>
        <w:trPr>
          <w:trHeight w:val="20"/>
        </w:trPr>
        <w:tc>
          <w:tcPr>
            <w:tcW w:w="40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420"/>
        <w:spacing w:after="0"/>
        <w:rPr>
          <w:sz w:val="20"/>
          <w:szCs w:val="20"/>
          <w:color w:val="auto"/>
        </w:rPr>
      </w:pPr>
      <w:r>
        <w:rPr>
          <w:rFonts w:ascii="Arial" w:cs="Arial" w:eastAsia="Arial" w:hAnsi="Arial"/>
          <w:sz w:val="18"/>
          <w:szCs w:val="18"/>
          <w:color w:val="auto"/>
        </w:rPr>
        <w:t>As of December 31, 2021, we had no receiver swaptions outstanding.</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22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U.S. Treasury Securities</w:t>
            </w:r>
          </w:p>
        </w:tc>
        <w:tc>
          <w:tcPr>
            <w:tcW w:w="10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rPr>
              <w:t>June 30, 2022</w:t>
            </w:r>
          </w:p>
        </w:tc>
        <w:tc>
          <w:tcPr>
            <w:tcW w:w="1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500" w:type="dxa"/>
            <w:vAlign w:val="bottom"/>
            <w:tcBorders>
              <w:bottom w:val="single" w:sz="8" w:color="auto"/>
            </w:tcBorders>
            <w:gridSpan w:val="4"/>
          </w:tcPr>
          <w:p>
            <w:pPr>
              <w:ind w:left="140"/>
              <w:spacing w:after="0"/>
              <w:rPr>
                <w:sz w:val="20"/>
                <w:szCs w:val="20"/>
                <w:color w:val="auto"/>
              </w:rPr>
            </w:pPr>
            <w:r>
              <w:rPr>
                <w:rFonts w:ascii="Arial" w:cs="Arial" w:eastAsia="Arial" w:hAnsi="Arial"/>
                <w:sz w:val="14"/>
                <w:szCs w:val="14"/>
                <w:b w:val="1"/>
                <w:bCs w:val="1"/>
                <w:color w:val="auto"/>
              </w:rPr>
              <w:t>December 31, 2021</w:t>
            </w:r>
          </w:p>
        </w:tc>
        <w:tc>
          <w:tcPr>
            <w:tcW w:w="1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4"/>
        </w:trPr>
        <w:tc>
          <w:tcPr>
            <w:tcW w:w="322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Maturity</w:t>
            </w:r>
          </w:p>
        </w:tc>
        <w:tc>
          <w:tcPr>
            <w:tcW w:w="100" w:type="dxa"/>
            <w:vAlign w:val="bottom"/>
            <w:vMerge w:val="restart"/>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gridSpan w:val="2"/>
          </w:tcPr>
          <w:p>
            <w:pPr>
              <w:ind w:left="40"/>
              <w:spacing w:after="0" w:line="135" w:lineRule="exact"/>
              <w:rPr>
                <w:sz w:val="20"/>
                <w:szCs w:val="20"/>
                <w:color w:val="auto"/>
              </w:rPr>
            </w:pPr>
            <w:r>
              <w:rPr>
                <w:rFonts w:ascii="Arial" w:cs="Arial" w:eastAsia="Arial" w:hAnsi="Arial"/>
                <w:sz w:val="14"/>
                <w:szCs w:val="14"/>
                <w:b w:val="1"/>
                <w:bCs w:val="1"/>
                <w:color w:val="auto"/>
              </w:rPr>
              <w:t>Face Amount</w:t>
            </w:r>
          </w:p>
        </w:tc>
        <w:tc>
          <w:tcPr>
            <w:tcW w:w="140" w:type="dxa"/>
            <w:vAlign w:val="bottom"/>
          </w:tcPr>
          <w:p>
            <w:pPr>
              <w:spacing w:after="0"/>
              <w:rPr>
                <w:sz w:val="11"/>
                <w:szCs w:val="11"/>
                <w:color w:val="auto"/>
              </w:rPr>
            </w:pPr>
          </w:p>
        </w:tc>
        <w:tc>
          <w:tcPr>
            <w:tcW w:w="1040" w:type="dxa"/>
            <w:vAlign w:val="bottom"/>
            <w:vMerge w:val="restart"/>
          </w:tcPr>
          <w:p>
            <w:pPr>
              <w:jc w:val="right"/>
              <w:ind w:right="142"/>
              <w:spacing w:after="0"/>
              <w:rPr>
                <w:sz w:val="20"/>
                <w:szCs w:val="20"/>
                <w:color w:val="auto"/>
              </w:rPr>
            </w:pPr>
            <w:r>
              <w:rPr>
                <w:rFonts w:ascii="Arial" w:cs="Arial" w:eastAsia="Arial" w:hAnsi="Arial"/>
                <w:sz w:val="14"/>
                <w:szCs w:val="14"/>
                <w:b w:val="1"/>
                <w:bCs w:val="1"/>
                <w:color w:val="auto"/>
                <w:w w:val="98"/>
              </w:rPr>
              <w:t xml:space="preserve">Cost Basis </w:t>
            </w:r>
            <w:r>
              <w:rPr>
                <w:rFonts w:ascii="Arial" w:cs="Arial" w:eastAsia="Arial" w:hAnsi="Arial"/>
                <w:sz w:val="9"/>
                <w:szCs w:val="9"/>
                <w:b w:val="1"/>
                <w:bCs w:val="1"/>
                <w:color w:val="auto"/>
                <w:w w:val="98"/>
              </w:rPr>
              <w:t>1</w:t>
            </w:r>
          </w:p>
        </w:tc>
        <w:tc>
          <w:tcPr>
            <w:tcW w:w="160" w:type="dxa"/>
            <w:vAlign w:val="bottom"/>
            <w:vMerge w:val="restart"/>
          </w:tcPr>
          <w:p>
            <w:pPr>
              <w:spacing w:after="0"/>
              <w:rPr>
                <w:sz w:val="11"/>
                <w:szCs w:val="11"/>
                <w:color w:val="auto"/>
              </w:rPr>
            </w:pPr>
          </w:p>
        </w:tc>
        <w:tc>
          <w:tcPr>
            <w:tcW w:w="180" w:type="dxa"/>
            <w:vAlign w:val="bottom"/>
          </w:tcPr>
          <w:p>
            <w:pPr>
              <w:spacing w:after="0"/>
              <w:rPr>
                <w:sz w:val="11"/>
                <w:szCs w:val="11"/>
                <w:color w:val="auto"/>
              </w:rPr>
            </w:pPr>
          </w:p>
        </w:tc>
        <w:tc>
          <w:tcPr>
            <w:tcW w:w="1000" w:type="dxa"/>
            <w:vAlign w:val="bottom"/>
            <w:vMerge w:val="restart"/>
          </w:tcPr>
          <w:p>
            <w:pPr>
              <w:jc w:val="right"/>
              <w:ind w:right="181"/>
              <w:spacing w:after="0"/>
              <w:rPr>
                <w:sz w:val="20"/>
                <w:szCs w:val="20"/>
                <w:color w:val="auto"/>
              </w:rPr>
            </w:pPr>
            <w:r>
              <w:rPr>
                <w:rFonts w:ascii="Arial" w:cs="Arial" w:eastAsia="Arial" w:hAnsi="Arial"/>
                <w:sz w:val="14"/>
                <w:szCs w:val="14"/>
                <w:b w:val="1"/>
                <w:bCs w:val="1"/>
                <w:color w:val="auto"/>
              </w:rPr>
              <w:t>Fair Value</w:t>
            </w:r>
          </w:p>
        </w:tc>
        <w:tc>
          <w:tcPr>
            <w:tcW w:w="140" w:type="dxa"/>
            <w:vAlign w:val="bottom"/>
            <w:vMerge w:val="restart"/>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jc w:val="right"/>
              <w:ind w:right="122"/>
              <w:spacing w:after="0" w:line="135" w:lineRule="exact"/>
              <w:rPr>
                <w:sz w:val="20"/>
                <w:szCs w:val="20"/>
                <w:color w:val="auto"/>
              </w:rPr>
            </w:pPr>
            <w:r>
              <w:rPr>
                <w:rFonts w:ascii="Arial" w:cs="Arial" w:eastAsia="Arial" w:hAnsi="Arial"/>
                <w:sz w:val="14"/>
                <w:szCs w:val="14"/>
                <w:b w:val="1"/>
                <w:bCs w:val="1"/>
                <w:color w:val="auto"/>
                <w:w w:val="99"/>
              </w:rPr>
              <w:t>Face Amount</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0" w:type="dxa"/>
            <w:vAlign w:val="bottom"/>
            <w:vMerge w:val="restart"/>
          </w:tcPr>
          <w:p>
            <w:pPr>
              <w:jc w:val="right"/>
              <w:ind w:right="141"/>
              <w:spacing w:after="0"/>
              <w:rPr>
                <w:sz w:val="20"/>
                <w:szCs w:val="20"/>
                <w:color w:val="auto"/>
              </w:rPr>
            </w:pPr>
            <w:r>
              <w:rPr>
                <w:rFonts w:ascii="Arial" w:cs="Arial" w:eastAsia="Arial" w:hAnsi="Arial"/>
                <w:sz w:val="14"/>
                <w:szCs w:val="14"/>
                <w:b w:val="1"/>
                <w:bCs w:val="1"/>
                <w:color w:val="auto"/>
                <w:w w:val="93"/>
              </w:rPr>
              <w:t xml:space="preserve">Cost Basis </w:t>
            </w:r>
            <w:r>
              <w:rPr>
                <w:rFonts w:ascii="Arial" w:cs="Arial" w:eastAsia="Arial" w:hAnsi="Arial"/>
                <w:sz w:val="9"/>
                <w:szCs w:val="9"/>
                <w:b w:val="1"/>
                <w:bCs w:val="1"/>
                <w:color w:val="auto"/>
                <w:w w:val="93"/>
              </w:rPr>
              <w:t>1</w:t>
            </w:r>
          </w:p>
        </w:tc>
        <w:tc>
          <w:tcPr>
            <w:tcW w:w="160" w:type="dxa"/>
            <w:vAlign w:val="bottom"/>
            <w:vMerge w:val="restart"/>
          </w:tcPr>
          <w:p>
            <w:pPr>
              <w:spacing w:after="0"/>
              <w:rPr>
                <w:sz w:val="11"/>
                <w:szCs w:val="11"/>
                <w:color w:val="auto"/>
              </w:rPr>
            </w:pPr>
          </w:p>
        </w:tc>
        <w:tc>
          <w:tcPr>
            <w:tcW w:w="180" w:type="dxa"/>
            <w:vAlign w:val="bottom"/>
          </w:tcPr>
          <w:p>
            <w:pPr>
              <w:spacing w:after="0"/>
              <w:rPr>
                <w:sz w:val="11"/>
                <w:szCs w:val="11"/>
                <w:color w:val="auto"/>
              </w:rPr>
            </w:pPr>
          </w:p>
        </w:tc>
        <w:tc>
          <w:tcPr>
            <w:tcW w:w="1000" w:type="dxa"/>
            <w:vAlign w:val="bottom"/>
            <w:vMerge w:val="restart"/>
          </w:tcPr>
          <w:p>
            <w:pPr>
              <w:jc w:val="right"/>
              <w:ind w:right="181"/>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188"/>
        </w:trPr>
        <w:tc>
          <w:tcPr>
            <w:tcW w:w="32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102"/>
              <w:spacing w:after="0"/>
              <w:rPr>
                <w:sz w:val="20"/>
                <w:szCs w:val="20"/>
                <w:color w:val="auto"/>
              </w:rPr>
            </w:pPr>
            <w:r>
              <w:rPr>
                <w:rFonts w:ascii="Arial" w:cs="Arial" w:eastAsia="Arial" w:hAnsi="Arial"/>
                <w:sz w:val="14"/>
                <w:szCs w:val="14"/>
                <w:b w:val="1"/>
                <w:bCs w:val="1"/>
                <w:color w:val="auto"/>
                <w:w w:val="99"/>
              </w:rPr>
              <w:t>Long/(Short)</w:t>
            </w:r>
          </w:p>
        </w:tc>
        <w:tc>
          <w:tcPr>
            <w:tcW w:w="16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vMerge w:val="continue"/>
          </w:tcPr>
          <w:p>
            <w:pPr>
              <w:spacing w:after="0"/>
              <w:rPr>
                <w:sz w:val="16"/>
                <w:szCs w:val="16"/>
                <w:color w:val="auto"/>
              </w:rPr>
            </w:pPr>
          </w:p>
        </w:tc>
        <w:tc>
          <w:tcPr>
            <w:tcW w:w="160" w:type="dxa"/>
            <w:vAlign w:val="bottom"/>
            <w:tcBorders>
              <w:bottom w:val="single" w:sz="8" w:color="CCEEFF"/>
            </w:tcBorders>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vMerge w:val="continue"/>
          </w:tcPr>
          <w:p>
            <w:pPr>
              <w:spacing w:after="0"/>
              <w:rPr>
                <w:sz w:val="16"/>
                <w:szCs w:val="16"/>
                <w:color w:val="auto"/>
              </w:rPr>
            </w:pPr>
          </w:p>
        </w:tc>
        <w:tc>
          <w:tcPr>
            <w:tcW w:w="14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142"/>
              <w:spacing w:after="0"/>
              <w:rPr>
                <w:sz w:val="20"/>
                <w:szCs w:val="20"/>
                <w:color w:val="auto"/>
              </w:rPr>
            </w:pPr>
            <w:r>
              <w:rPr>
                <w:rFonts w:ascii="Arial" w:cs="Arial" w:eastAsia="Arial" w:hAnsi="Arial"/>
                <w:sz w:val="14"/>
                <w:szCs w:val="14"/>
                <w:b w:val="1"/>
                <w:bCs w:val="1"/>
                <w:color w:val="auto"/>
              </w:rPr>
              <w:t>Long/(Short)</w:t>
            </w:r>
          </w:p>
        </w:tc>
        <w:tc>
          <w:tcPr>
            <w:tcW w:w="16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vMerge w:val="continue"/>
          </w:tcPr>
          <w:p>
            <w:pPr>
              <w:spacing w:after="0"/>
              <w:rPr>
                <w:sz w:val="16"/>
                <w:szCs w:val="16"/>
                <w:color w:val="auto"/>
              </w:rPr>
            </w:pPr>
          </w:p>
        </w:tc>
        <w:tc>
          <w:tcPr>
            <w:tcW w:w="160" w:type="dxa"/>
            <w:vAlign w:val="bottom"/>
            <w:tcBorders>
              <w:bottom w:val="single" w:sz="8" w:color="CCEEFF"/>
            </w:tcBorders>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332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5 years</w:t>
            </w: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270</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268</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264</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(310)</w:t>
            </w:r>
          </w:p>
        </w:tc>
        <w:tc>
          <w:tcPr>
            <w:tcW w:w="34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(306)</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(293)</w:t>
            </w:r>
          </w:p>
        </w:tc>
        <w:tc>
          <w:tcPr>
            <w:tcW w:w="0" w:type="dxa"/>
            <w:vAlign w:val="bottom"/>
          </w:tcPr>
          <w:p>
            <w:pPr>
              <w:spacing w:after="0"/>
              <w:rPr>
                <w:sz w:val="1"/>
                <w:szCs w:val="1"/>
                <w:color w:val="auto"/>
              </w:rPr>
            </w:pPr>
          </w:p>
        </w:tc>
      </w:tr>
      <w:tr>
        <w:trPr>
          <w:trHeight w:val="213"/>
        </w:trPr>
        <w:tc>
          <w:tcPr>
            <w:tcW w:w="3320" w:type="dxa"/>
            <w:vAlign w:val="bottom"/>
            <w:gridSpan w:val="2"/>
          </w:tcPr>
          <w:p>
            <w:pPr>
              <w:ind w:left="20"/>
              <w:spacing w:after="0"/>
              <w:rPr>
                <w:sz w:val="20"/>
                <w:szCs w:val="20"/>
                <w:color w:val="auto"/>
              </w:rPr>
            </w:pPr>
            <w:r>
              <w:rPr>
                <w:rFonts w:ascii="Arial" w:cs="Arial" w:eastAsia="Arial" w:hAnsi="Arial"/>
                <w:sz w:val="16"/>
                <w:szCs w:val="16"/>
                <w:color w:val="auto"/>
              </w:rPr>
              <w:t>7 years</w:t>
            </w: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(1,070)</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(1,067)</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(974)</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(1,218)</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(1,218)</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(1,206)</w:t>
            </w:r>
          </w:p>
        </w:tc>
        <w:tc>
          <w:tcPr>
            <w:tcW w:w="0" w:type="dxa"/>
            <w:vAlign w:val="bottom"/>
          </w:tcPr>
          <w:p>
            <w:pPr>
              <w:spacing w:after="0"/>
              <w:rPr>
                <w:sz w:val="1"/>
                <w:szCs w:val="1"/>
                <w:color w:val="auto"/>
              </w:rPr>
            </w:pPr>
          </w:p>
        </w:tc>
      </w:tr>
      <w:tr>
        <w:trPr>
          <w:trHeight w:val="216"/>
        </w:trPr>
        <w:tc>
          <w:tcPr>
            <w:tcW w:w="332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10 years</w:t>
            </w:r>
          </w:p>
        </w:tc>
        <w:tc>
          <w:tcPr>
            <w:tcW w:w="14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(6,541)</w:t>
            </w:r>
          </w:p>
        </w:tc>
        <w:tc>
          <w:tcPr>
            <w:tcW w:w="1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(6,435)</w:t>
            </w:r>
          </w:p>
        </w:tc>
        <w:tc>
          <w:tcPr>
            <w:tcW w:w="16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(5,673)</w:t>
            </w:r>
          </w:p>
        </w:tc>
        <w:tc>
          <w:tcPr>
            <w:tcW w:w="14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(7,590)</w:t>
            </w:r>
          </w:p>
        </w:tc>
        <w:tc>
          <w:tcPr>
            <w:tcW w:w="16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(7,593)</w:t>
            </w:r>
          </w:p>
        </w:tc>
        <w:tc>
          <w:tcPr>
            <w:tcW w:w="16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(7,727)</w:t>
            </w:r>
          </w:p>
        </w:tc>
        <w:tc>
          <w:tcPr>
            <w:tcW w:w="0" w:type="dxa"/>
            <w:vAlign w:val="bottom"/>
          </w:tcPr>
          <w:p>
            <w:pPr>
              <w:spacing w:after="0"/>
              <w:rPr>
                <w:sz w:val="1"/>
                <w:szCs w:val="1"/>
                <w:color w:val="auto"/>
              </w:rPr>
            </w:pPr>
          </w:p>
        </w:tc>
      </w:tr>
      <w:tr>
        <w:trPr>
          <w:trHeight w:val="213"/>
        </w:trPr>
        <w:tc>
          <w:tcPr>
            <w:tcW w:w="3320" w:type="dxa"/>
            <w:vAlign w:val="bottom"/>
            <w:gridSpan w:val="2"/>
          </w:tcPr>
          <w:p>
            <w:pPr>
              <w:ind w:left="20"/>
              <w:spacing w:after="0"/>
              <w:rPr>
                <w:sz w:val="20"/>
                <w:szCs w:val="20"/>
                <w:color w:val="auto"/>
              </w:rPr>
            </w:pPr>
            <w:r>
              <w:rPr>
                <w:rFonts w:ascii="Arial" w:cs="Arial" w:eastAsia="Arial" w:hAnsi="Arial"/>
                <w:sz w:val="16"/>
                <w:szCs w:val="16"/>
                <w:color w:val="auto"/>
              </w:rPr>
              <w:t>Total U.S. Treasury securities</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(7,341)</w:t>
            </w:r>
          </w:p>
        </w:tc>
        <w:tc>
          <w:tcPr>
            <w:tcW w:w="16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(7,234)</w:t>
            </w:r>
          </w:p>
        </w:tc>
        <w:tc>
          <w:tcPr>
            <w:tcW w:w="16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(6,383)</w:t>
            </w:r>
          </w:p>
        </w:tc>
        <w:tc>
          <w:tcPr>
            <w:tcW w:w="14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Pr>
          <w:p>
            <w:pPr>
              <w:jc w:val="right"/>
              <w:spacing w:after="0"/>
              <w:rPr>
                <w:sz w:val="20"/>
                <w:szCs w:val="20"/>
                <w:color w:val="auto"/>
              </w:rPr>
            </w:pPr>
            <w:r>
              <w:rPr>
                <w:rFonts w:ascii="Arial" w:cs="Arial" w:eastAsia="Arial" w:hAnsi="Arial"/>
                <w:sz w:val="16"/>
                <w:szCs w:val="16"/>
                <w:color w:val="auto"/>
              </w:rPr>
              <w:t>(9,118)</w:t>
            </w:r>
          </w:p>
        </w:tc>
        <w:tc>
          <w:tcPr>
            <w:tcW w:w="340" w:type="dxa"/>
            <w:vAlign w:val="bottom"/>
            <w:gridSpan w:val="2"/>
          </w:tcPr>
          <w:p>
            <w:pPr>
              <w:jc w:val="right"/>
              <w:ind w:right="80"/>
              <w:spacing w:after="0"/>
              <w:rPr>
                <w:sz w:val="20"/>
                <w:szCs w:val="20"/>
                <w:color w:val="auto"/>
              </w:rPr>
            </w:pPr>
            <w:r>
              <w:rPr>
                <w:rFonts w:ascii="Arial" w:cs="Arial" w:eastAsia="Arial" w:hAnsi="Arial"/>
                <w:sz w:val="16"/>
                <w:szCs w:val="16"/>
                <w:color w:val="auto"/>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(9,117)</w:t>
            </w:r>
          </w:p>
        </w:tc>
        <w:tc>
          <w:tcPr>
            <w:tcW w:w="16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(9,226)</w:t>
            </w:r>
          </w:p>
        </w:tc>
        <w:tc>
          <w:tcPr>
            <w:tcW w:w="0" w:type="dxa"/>
            <w:vAlign w:val="bottom"/>
          </w:tcPr>
          <w:p>
            <w:pPr>
              <w:spacing w:after="0"/>
              <w:rPr>
                <w:sz w:val="1"/>
                <w:szCs w:val="1"/>
                <w:color w:val="auto"/>
              </w:rPr>
            </w:pPr>
          </w:p>
        </w:tc>
      </w:tr>
      <w:tr>
        <w:trPr>
          <w:trHeight w:val="20"/>
        </w:trPr>
        <w:tc>
          <w:tcPr>
            <w:tcW w:w="3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jc w:val="both"/>
        <w:ind w:left="660" w:hanging="328"/>
        <w:spacing w:after="0" w:line="248" w:lineRule="auto"/>
        <w:tabs>
          <w:tab w:leader="none" w:pos="660" w:val="left"/>
        </w:tabs>
        <w:numPr>
          <w:ilvl w:val="0"/>
          <w:numId w:val="8"/>
        </w:numPr>
        <w:rPr>
          <w:rFonts w:ascii="Arial" w:cs="Arial" w:eastAsia="Arial" w:hAnsi="Arial"/>
          <w:sz w:val="14"/>
          <w:szCs w:val="14"/>
          <w:color w:val="auto"/>
        </w:rPr>
      </w:pPr>
      <w:r>
        <w:rPr>
          <w:rFonts w:ascii="Arial" w:cs="Arial" w:eastAsia="Arial" w:hAnsi="Arial"/>
          <w:sz w:val="14"/>
          <w:szCs w:val="14"/>
          <w:color w:val="auto"/>
        </w:rPr>
        <w:t>As of June 30, 2022 and December 31, 2021, short U.S. Treasury securities totaling $(8.3) billion and $(9.7) billion, at fair value, respectively, had a weighted average yield of 1.70% and 1.56%, respectively. As of June 30, 2022 and December 31, 2021, long U.S. Treasury securities totaling $1.9 billion and $0.5 billion, at fair value, respectively, had a weighted average yield of 3.13% and 1.18%, respectively.</w:t>
      </w: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46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U.S. Treasury Futures</w:t>
            </w: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June 30, 2022</w:t>
            </w:r>
          </w:p>
        </w:tc>
        <w:tc>
          <w:tcPr>
            <w:tcW w:w="6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880" w:type="dxa"/>
            <w:vAlign w:val="bottom"/>
            <w:tcBorders>
              <w:bottom w:val="single" w:sz="8" w:color="auto"/>
            </w:tcBorders>
            <w:gridSpan w:val="5"/>
          </w:tcPr>
          <w:p>
            <w:pPr>
              <w:ind w:left="100"/>
              <w:spacing w:after="0"/>
              <w:rPr>
                <w:sz w:val="20"/>
                <w:szCs w:val="20"/>
                <w:color w:val="auto"/>
              </w:rPr>
            </w:pPr>
            <w:r>
              <w:rPr>
                <w:rFonts w:ascii="Arial" w:cs="Arial" w:eastAsia="Arial" w:hAnsi="Arial"/>
                <w:sz w:val="14"/>
                <w:szCs w:val="14"/>
                <w:b w:val="1"/>
                <w:bCs w:val="1"/>
                <w:color w:val="auto"/>
              </w:rPr>
              <w:t>December 31, 2021</w:t>
            </w:r>
          </w:p>
        </w:tc>
        <w:tc>
          <w:tcPr>
            <w:tcW w:w="10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21"/>
        </w:trPr>
        <w:tc>
          <w:tcPr>
            <w:tcW w:w="24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80" w:type="dxa"/>
            <w:vAlign w:val="bottom"/>
            <w:gridSpan w:val="2"/>
          </w:tcPr>
          <w:p>
            <w:pPr>
              <w:jc w:val="center"/>
              <w:ind w:right="300"/>
              <w:spacing w:after="0" w:line="121" w:lineRule="exact"/>
              <w:rPr>
                <w:sz w:val="20"/>
                <w:szCs w:val="20"/>
                <w:color w:val="auto"/>
              </w:rPr>
            </w:pPr>
            <w:r>
              <w:rPr>
                <w:rFonts w:ascii="Arial" w:cs="Arial" w:eastAsia="Arial" w:hAnsi="Arial"/>
                <w:sz w:val="13"/>
                <w:szCs w:val="13"/>
                <w:b w:val="1"/>
                <w:bCs w:val="1"/>
                <w:color w:val="auto"/>
                <w:w w:val="88"/>
              </w:rPr>
              <w:t>Notional</w:t>
            </w:r>
          </w:p>
        </w:tc>
        <w:tc>
          <w:tcPr>
            <w:tcW w:w="200" w:type="dxa"/>
            <w:vAlign w:val="bottom"/>
          </w:tcPr>
          <w:p>
            <w:pPr>
              <w:spacing w:after="0"/>
              <w:rPr>
                <w:sz w:val="10"/>
                <w:szCs w:val="10"/>
                <w:color w:val="auto"/>
              </w:rPr>
            </w:pPr>
          </w:p>
        </w:tc>
        <w:tc>
          <w:tcPr>
            <w:tcW w:w="840" w:type="dxa"/>
            <w:vAlign w:val="bottom"/>
            <w:gridSpan w:val="2"/>
            <w:vMerge w:val="restart"/>
          </w:tcPr>
          <w:p>
            <w:pPr>
              <w:ind w:left="140"/>
              <w:spacing w:after="0"/>
              <w:rPr>
                <w:sz w:val="20"/>
                <w:szCs w:val="20"/>
                <w:color w:val="auto"/>
              </w:rPr>
            </w:pPr>
            <w:r>
              <w:rPr>
                <w:rFonts w:ascii="Arial" w:cs="Arial" w:eastAsia="Arial" w:hAnsi="Arial"/>
                <w:sz w:val="13"/>
                <w:szCs w:val="13"/>
                <w:b w:val="1"/>
                <w:bCs w:val="1"/>
                <w:color w:val="auto"/>
              </w:rPr>
              <w:t>Cost</w:t>
            </w:r>
          </w:p>
        </w:tc>
        <w:tc>
          <w:tcPr>
            <w:tcW w:w="280" w:type="dxa"/>
            <w:vAlign w:val="bottom"/>
          </w:tcPr>
          <w:p>
            <w:pPr>
              <w:spacing w:after="0"/>
              <w:rPr>
                <w:sz w:val="10"/>
                <w:szCs w:val="10"/>
                <w:color w:val="auto"/>
              </w:rPr>
            </w:pPr>
          </w:p>
        </w:tc>
        <w:tc>
          <w:tcPr>
            <w:tcW w:w="740" w:type="dxa"/>
            <w:vAlign w:val="bottom"/>
            <w:gridSpan w:val="2"/>
            <w:vMerge w:val="restart"/>
          </w:tcPr>
          <w:p>
            <w:pPr>
              <w:jc w:val="center"/>
              <w:ind w:right="380"/>
              <w:spacing w:after="0"/>
              <w:rPr>
                <w:sz w:val="20"/>
                <w:szCs w:val="20"/>
                <w:color w:val="auto"/>
              </w:rPr>
            </w:pPr>
            <w:r>
              <w:rPr>
                <w:rFonts w:ascii="Arial" w:cs="Arial" w:eastAsia="Arial" w:hAnsi="Arial"/>
                <w:sz w:val="13"/>
                <w:szCs w:val="13"/>
                <w:b w:val="1"/>
                <w:bCs w:val="1"/>
                <w:color w:val="auto"/>
              </w:rPr>
              <w:t>Fair</w:t>
            </w:r>
          </w:p>
        </w:tc>
        <w:tc>
          <w:tcPr>
            <w:tcW w:w="100" w:type="dxa"/>
            <w:vAlign w:val="bottom"/>
          </w:tcPr>
          <w:p>
            <w:pPr>
              <w:spacing w:after="0"/>
              <w:rPr>
                <w:sz w:val="10"/>
                <w:szCs w:val="10"/>
                <w:color w:val="auto"/>
              </w:rPr>
            </w:pPr>
          </w:p>
        </w:tc>
        <w:tc>
          <w:tcPr>
            <w:tcW w:w="940" w:type="dxa"/>
            <w:vAlign w:val="bottom"/>
            <w:gridSpan w:val="2"/>
            <w:vMerge w:val="restart"/>
          </w:tcPr>
          <w:p>
            <w:pPr>
              <w:jc w:val="center"/>
              <w:ind w:right="180"/>
              <w:spacing w:after="0"/>
              <w:rPr>
                <w:sz w:val="20"/>
                <w:szCs w:val="20"/>
                <w:color w:val="auto"/>
              </w:rPr>
            </w:pPr>
            <w:r>
              <w:rPr>
                <w:rFonts w:ascii="Arial" w:cs="Arial" w:eastAsia="Arial" w:hAnsi="Arial"/>
                <w:sz w:val="13"/>
                <w:szCs w:val="13"/>
                <w:b w:val="1"/>
                <w:bCs w:val="1"/>
                <w:color w:val="auto"/>
                <w:w w:val="92"/>
              </w:rPr>
              <w:t>Net Carrying</w:t>
            </w:r>
          </w:p>
        </w:tc>
        <w:tc>
          <w:tcPr>
            <w:tcW w:w="160" w:type="dxa"/>
            <w:vAlign w:val="bottom"/>
          </w:tcPr>
          <w:p>
            <w:pPr>
              <w:spacing w:after="0"/>
              <w:rPr>
                <w:sz w:val="10"/>
                <w:szCs w:val="10"/>
                <w:color w:val="auto"/>
              </w:rPr>
            </w:pPr>
          </w:p>
        </w:tc>
        <w:tc>
          <w:tcPr>
            <w:tcW w:w="1100" w:type="dxa"/>
            <w:vAlign w:val="bottom"/>
            <w:gridSpan w:val="2"/>
          </w:tcPr>
          <w:p>
            <w:pPr>
              <w:jc w:val="center"/>
              <w:ind w:right="280"/>
              <w:spacing w:after="0" w:line="121" w:lineRule="exact"/>
              <w:rPr>
                <w:sz w:val="20"/>
                <w:szCs w:val="20"/>
                <w:color w:val="auto"/>
              </w:rPr>
            </w:pPr>
            <w:r>
              <w:rPr>
                <w:rFonts w:ascii="Arial" w:cs="Arial" w:eastAsia="Arial" w:hAnsi="Arial"/>
                <w:sz w:val="13"/>
                <w:szCs w:val="13"/>
                <w:b w:val="1"/>
                <w:bCs w:val="1"/>
                <w:color w:val="auto"/>
                <w:w w:val="88"/>
              </w:rPr>
              <w:t>Notional</w:t>
            </w:r>
          </w:p>
        </w:tc>
        <w:tc>
          <w:tcPr>
            <w:tcW w:w="200" w:type="dxa"/>
            <w:vAlign w:val="bottom"/>
          </w:tcPr>
          <w:p>
            <w:pPr>
              <w:spacing w:after="0"/>
              <w:rPr>
                <w:sz w:val="10"/>
                <w:szCs w:val="10"/>
                <w:color w:val="auto"/>
              </w:rPr>
            </w:pPr>
          </w:p>
        </w:tc>
        <w:tc>
          <w:tcPr>
            <w:tcW w:w="840" w:type="dxa"/>
            <w:vAlign w:val="bottom"/>
            <w:gridSpan w:val="2"/>
            <w:vMerge w:val="restart"/>
          </w:tcPr>
          <w:p>
            <w:pPr>
              <w:ind w:left="140"/>
              <w:spacing w:after="0"/>
              <w:rPr>
                <w:sz w:val="20"/>
                <w:szCs w:val="20"/>
                <w:color w:val="auto"/>
              </w:rPr>
            </w:pPr>
            <w:r>
              <w:rPr>
                <w:rFonts w:ascii="Arial" w:cs="Arial" w:eastAsia="Arial" w:hAnsi="Arial"/>
                <w:sz w:val="13"/>
                <w:szCs w:val="13"/>
                <w:b w:val="1"/>
                <w:bCs w:val="1"/>
                <w:color w:val="auto"/>
              </w:rPr>
              <w:t>Cost</w:t>
            </w:r>
          </w:p>
        </w:tc>
        <w:tc>
          <w:tcPr>
            <w:tcW w:w="200" w:type="dxa"/>
            <w:vAlign w:val="bottom"/>
          </w:tcPr>
          <w:p>
            <w:pPr>
              <w:spacing w:after="0"/>
              <w:rPr>
                <w:sz w:val="10"/>
                <w:szCs w:val="10"/>
                <w:color w:val="auto"/>
              </w:rPr>
            </w:pPr>
          </w:p>
        </w:tc>
        <w:tc>
          <w:tcPr>
            <w:tcW w:w="840" w:type="dxa"/>
            <w:vAlign w:val="bottom"/>
            <w:gridSpan w:val="2"/>
            <w:vMerge w:val="restart"/>
          </w:tcPr>
          <w:p>
            <w:pPr>
              <w:jc w:val="center"/>
              <w:ind w:right="300"/>
              <w:spacing w:after="0"/>
              <w:rPr>
                <w:sz w:val="20"/>
                <w:szCs w:val="20"/>
                <w:color w:val="auto"/>
              </w:rPr>
            </w:pPr>
            <w:r>
              <w:rPr>
                <w:rFonts w:ascii="Arial" w:cs="Arial" w:eastAsia="Arial" w:hAnsi="Arial"/>
                <w:sz w:val="13"/>
                <w:szCs w:val="13"/>
                <w:b w:val="1"/>
                <w:bCs w:val="1"/>
                <w:color w:val="auto"/>
                <w:w w:val="92"/>
              </w:rPr>
              <w:t>Fair</w:t>
            </w:r>
          </w:p>
        </w:tc>
        <w:tc>
          <w:tcPr>
            <w:tcW w:w="100" w:type="dxa"/>
            <w:vAlign w:val="bottom"/>
          </w:tcPr>
          <w:p>
            <w:pPr>
              <w:spacing w:after="0"/>
              <w:rPr>
                <w:sz w:val="10"/>
                <w:szCs w:val="10"/>
                <w:color w:val="auto"/>
              </w:rPr>
            </w:pPr>
          </w:p>
        </w:tc>
        <w:tc>
          <w:tcPr>
            <w:tcW w:w="840" w:type="dxa"/>
            <w:vAlign w:val="bottom"/>
            <w:vMerge w:val="restart"/>
          </w:tcPr>
          <w:p>
            <w:pPr>
              <w:jc w:val="center"/>
              <w:ind w:right="52"/>
              <w:spacing w:after="0"/>
              <w:rPr>
                <w:sz w:val="20"/>
                <w:szCs w:val="20"/>
                <w:color w:val="auto"/>
              </w:rPr>
            </w:pPr>
            <w:r>
              <w:rPr>
                <w:rFonts w:ascii="Arial" w:cs="Arial" w:eastAsia="Arial" w:hAnsi="Arial"/>
                <w:sz w:val="13"/>
                <w:szCs w:val="13"/>
                <w:b w:val="1"/>
                <w:bCs w:val="1"/>
                <w:color w:val="auto"/>
                <w:w w:val="92"/>
              </w:rPr>
              <w:t>Net Carrying</w:t>
            </w:r>
          </w:p>
        </w:tc>
        <w:tc>
          <w:tcPr>
            <w:tcW w:w="0" w:type="dxa"/>
            <w:vAlign w:val="bottom"/>
          </w:tcPr>
          <w:p>
            <w:pPr>
              <w:spacing w:after="0"/>
              <w:rPr>
                <w:sz w:val="1"/>
                <w:szCs w:val="1"/>
                <w:color w:val="auto"/>
              </w:rPr>
            </w:pPr>
          </w:p>
        </w:tc>
      </w:tr>
      <w:tr>
        <w:trPr>
          <w:trHeight w:val="122"/>
        </w:trPr>
        <w:tc>
          <w:tcPr>
            <w:tcW w:w="2560" w:type="dxa"/>
            <w:vAlign w:val="bottom"/>
            <w:gridSpan w:val="2"/>
            <w:vMerge w:val="restart"/>
          </w:tcPr>
          <w:p>
            <w:pPr>
              <w:ind w:left="20"/>
              <w:spacing w:after="0"/>
              <w:rPr>
                <w:sz w:val="20"/>
                <w:szCs w:val="20"/>
                <w:color w:val="auto"/>
              </w:rPr>
            </w:pPr>
            <w:r>
              <w:rPr>
                <w:rFonts w:ascii="Arial" w:cs="Arial" w:eastAsia="Arial" w:hAnsi="Arial"/>
                <w:sz w:val="13"/>
                <w:szCs w:val="13"/>
                <w:b w:val="1"/>
                <w:bCs w:val="1"/>
                <w:color w:val="auto"/>
              </w:rPr>
              <w:t>Maturity</w:t>
            </w:r>
          </w:p>
        </w:tc>
        <w:tc>
          <w:tcPr>
            <w:tcW w:w="160" w:type="dxa"/>
            <w:vAlign w:val="bottom"/>
          </w:tcPr>
          <w:p>
            <w:pPr>
              <w:spacing w:after="0"/>
              <w:rPr>
                <w:sz w:val="10"/>
                <w:szCs w:val="10"/>
                <w:color w:val="auto"/>
              </w:rPr>
            </w:pPr>
          </w:p>
        </w:tc>
        <w:tc>
          <w:tcPr>
            <w:tcW w:w="1080" w:type="dxa"/>
            <w:vAlign w:val="bottom"/>
            <w:gridSpan w:val="2"/>
          </w:tcPr>
          <w:p>
            <w:pPr>
              <w:jc w:val="center"/>
              <w:ind w:right="280"/>
              <w:spacing w:after="0" w:line="122" w:lineRule="exact"/>
              <w:rPr>
                <w:sz w:val="20"/>
                <w:szCs w:val="20"/>
                <w:color w:val="auto"/>
              </w:rPr>
            </w:pPr>
            <w:r>
              <w:rPr>
                <w:rFonts w:ascii="Arial" w:cs="Arial" w:eastAsia="Arial" w:hAnsi="Arial"/>
                <w:sz w:val="13"/>
                <w:szCs w:val="13"/>
                <w:b w:val="1"/>
                <w:bCs w:val="1"/>
                <w:color w:val="auto"/>
                <w:w w:val="89"/>
              </w:rPr>
              <w:t>Amount</w:t>
            </w:r>
          </w:p>
        </w:tc>
        <w:tc>
          <w:tcPr>
            <w:tcW w:w="200" w:type="dxa"/>
            <w:vAlign w:val="bottom"/>
          </w:tcPr>
          <w:p>
            <w:pPr>
              <w:spacing w:after="0"/>
              <w:rPr>
                <w:sz w:val="10"/>
                <w:szCs w:val="10"/>
                <w:color w:val="auto"/>
              </w:rPr>
            </w:pPr>
          </w:p>
        </w:tc>
        <w:tc>
          <w:tcPr>
            <w:tcW w:w="840" w:type="dxa"/>
            <w:vAlign w:val="bottom"/>
            <w:gridSpan w:val="2"/>
            <w:vMerge w:val="continue"/>
          </w:tcPr>
          <w:p>
            <w:pPr>
              <w:spacing w:after="0"/>
              <w:rPr>
                <w:sz w:val="10"/>
                <w:szCs w:val="10"/>
                <w:color w:val="auto"/>
              </w:rPr>
            </w:pPr>
          </w:p>
        </w:tc>
        <w:tc>
          <w:tcPr>
            <w:tcW w:w="280" w:type="dxa"/>
            <w:vAlign w:val="bottom"/>
          </w:tcPr>
          <w:p>
            <w:pPr>
              <w:spacing w:after="0"/>
              <w:rPr>
                <w:sz w:val="10"/>
                <w:szCs w:val="10"/>
                <w:color w:val="auto"/>
              </w:rPr>
            </w:pPr>
          </w:p>
        </w:tc>
        <w:tc>
          <w:tcPr>
            <w:tcW w:w="740" w:type="dxa"/>
            <w:vAlign w:val="bottom"/>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940" w:type="dxa"/>
            <w:vAlign w:val="bottom"/>
            <w:gridSpan w:val="2"/>
            <w:vMerge w:val="continue"/>
          </w:tcPr>
          <w:p>
            <w:pPr>
              <w:spacing w:after="0"/>
              <w:rPr>
                <w:sz w:val="10"/>
                <w:szCs w:val="10"/>
                <w:color w:val="auto"/>
              </w:rPr>
            </w:pPr>
          </w:p>
        </w:tc>
        <w:tc>
          <w:tcPr>
            <w:tcW w:w="160" w:type="dxa"/>
            <w:vAlign w:val="bottom"/>
          </w:tcPr>
          <w:p>
            <w:pPr>
              <w:spacing w:after="0"/>
              <w:rPr>
                <w:sz w:val="10"/>
                <w:szCs w:val="10"/>
                <w:color w:val="auto"/>
              </w:rPr>
            </w:pPr>
          </w:p>
        </w:tc>
        <w:tc>
          <w:tcPr>
            <w:tcW w:w="1100" w:type="dxa"/>
            <w:vAlign w:val="bottom"/>
            <w:gridSpan w:val="2"/>
          </w:tcPr>
          <w:p>
            <w:pPr>
              <w:jc w:val="center"/>
              <w:ind w:right="260"/>
              <w:spacing w:after="0" w:line="122" w:lineRule="exact"/>
              <w:rPr>
                <w:sz w:val="20"/>
                <w:szCs w:val="20"/>
                <w:color w:val="auto"/>
              </w:rPr>
            </w:pPr>
            <w:r>
              <w:rPr>
                <w:rFonts w:ascii="Arial" w:cs="Arial" w:eastAsia="Arial" w:hAnsi="Arial"/>
                <w:sz w:val="13"/>
                <w:szCs w:val="13"/>
                <w:b w:val="1"/>
                <w:bCs w:val="1"/>
                <w:color w:val="auto"/>
                <w:w w:val="89"/>
              </w:rPr>
              <w:t>Amount</w:t>
            </w:r>
          </w:p>
        </w:tc>
        <w:tc>
          <w:tcPr>
            <w:tcW w:w="200" w:type="dxa"/>
            <w:vAlign w:val="bottom"/>
          </w:tcPr>
          <w:p>
            <w:pPr>
              <w:spacing w:after="0"/>
              <w:rPr>
                <w:sz w:val="10"/>
                <w:szCs w:val="10"/>
                <w:color w:val="auto"/>
              </w:rPr>
            </w:pPr>
          </w:p>
        </w:tc>
        <w:tc>
          <w:tcPr>
            <w:tcW w:w="840" w:type="dxa"/>
            <w:vAlign w:val="bottom"/>
            <w:gridSpan w:val="2"/>
            <w:vMerge w:val="continue"/>
          </w:tcPr>
          <w:p>
            <w:pPr>
              <w:spacing w:after="0"/>
              <w:rPr>
                <w:sz w:val="10"/>
                <w:szCs w:val="10"/>
                <w:color w:val="auto"/>
              </w:rPr>
            </w:pPr>
          </w:p>
        </w:tc>
        <w:tc>
          <w:tcPr>
            <w:tcW w:w="200" w:type="dxa"/>
            <w:vAlign w:val="bottom"/>
          </w:tcPr>
          <w:p>
            <w:pPr>
              <w:spacing w:after="0"/>
              <w:rPr>
                <w:sz w:val="10"/>
                <w:szCs w:val="10"/>
                <w:color w:val="auto"/>
              </w:rPr>
            </w:pPr>
          </w:p>
        </w:tc>
        <w:tc>
          <w:tcPr>
            <w:tcW w:w="840" w:type="dxa"/>
            <w:vAlign w:val="bottom"/>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75"/>
        </w:trPr>
        <w:tc>
          <w:tcPr>
            <w:tcW w:w="2560" w:type="dxa"/>
            <w:vAlign w:val="bottom"/>
            <w:gridSpan w:val="2"/>
            <w:vMerge w:val="continue"/>
          </w:tcPr>
          <w:p>
            <w:pPr>
              <w:spacing w:after="0"/>
              <w:rPr>
                <w:sz w:val="15"/>
                <w:szCs w:val="15"/>
                <w:color w:val="auto"/>
              </w:rPr>
            </w:pPr>
          </w:p>
        </w:tc>
        <w:tc>
          <w:tcPr>
            <w:tcW w:w="160" w:type="dxa"/>
            <w:vAlign w:val="bottom"/>
          </w:tcPr>
          <w:p>
            <w:pPr>
              <w:spacing w:after="0"/>
              <w:rPr>
                <w:sz w:val="15"/>
                <w:szCs w:val="15"/>
                <w:color w:val="auto"/>
              </w:rPr>
            </w:pPr>
          </w:p>
        </w:tc>
        <w:tc>
          <w:tcPr>
            <w:tcW w:w="108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89"/>
              </w:rPr>
              <w:t>Long (Short)</w:t>
            </w:r>
          </w:p>
        </w:tc>
        <w:tc>
          <w:tcPr>
            <w:tcW w:w="200" w:type="dxa"/>
            <w:vAlign w:val="bottom"/>
          </w:tcPr>
          <w:p>
            <w:pPr>
              <w:spacing w:after="0"/>
              <w:rPr>
                <w:sz w:val="15"/>
                <w:szCs w:val="15"/>
                <w:color w:val="auto"/>
              </w:rPr>
            </w:pPr>
          </w:p>
        </w:tc>
        <w:tc>
          <w:tcPr>
            <w:tcW w:w="840" w:type="dxa"/>
            <w:vAlign w:val="bottom"/>
            <w:gridSpan w:val="2"/>
          </w:tcPr>
          <w:p>
            <w:pPr>
              <w:ind w:left="120"/>
              <w:spacing w:after="0"/>
              <w:rPr>
                <w:sz w:val="20"/>
                <w:szCs w:val="20"/>
                <w:color w:val="auto"/>
              </w:rPr>
            </w:pPr>
            <w:r>
              <w:rPr>
                <w:rFonts w:ascii="Arial" w:cs="Arial" w:eastAsia="Arial" w:hAnsi="Arial"/>
                <w:sz w:val="13"/>
                <w:szCs w:val="13"/>
                <w:b w:val="1"/>
                <w:bCs w:val="1"/>
                <w:color w:val="auto"/>
              </w:rPr>
              <w:t>Basis</w:t>
            </w:r>
          </w:p>
        </w:tc>
        <w:tc>
          <w:tcPr>
            <w:tcW w:w="280" w:type="dxa"/>
            <w:vAlign w:val="bottom"/>
          </w:tcPr>
          <w:p>
            <w:pPr>
              <w:spacing w:after="0"/>
              <w:rPr>
                <w:sz w:val="15"/>
                <w:szCs w:val="15"/>
                <w:color w:val="auto"/>
              </w:rPr>
            </w:pPr>
          </w:p>
        </w:tc>
        <w:tc>
          <w:tcPr>
            <w:tcW w:w="740" w:type="dxa"/>
            <w:vAlign w:val="bottom"/>
            <w:gridSpan w:val="2"/>
          </w:tcPr>
          <w:p>
            <w:pPr>
              <w:jc w:val="center"/>
              <w:ind w:right="380"/>
              <w:spacing w:after="0"/>
              <w:rPr>
                <w:sz w:val="20"/>
                <w:szCs w:val="20"/>
                <w:color w:val="auto"/>
              </w:rPr>
            </w:pPr>
            <w:r>
              <w:rPr>
                <w:rFonts w:ascii="Arial" w:cs="Arial" w:eastAsia="Arial" w:hAnsi="Arial"/>
                <w:sz w:val="13"/>
                <w:szCs w:val="13"/>
                <w:b w:val="1"/>
                <w:bCs w:val="1"/>
                <w:color w:val="auto"/>
                <w:w w:val="92"/>
              </w:rPr>
              <w:t>Value</w:t>
            </w:r>
          </w:p>
        </w:tc>
        <w:tc>
          <w:tcPr>
            <w:tcW w:w="100" w:type="dxa"/>
            <w:vAlign w:val="bottom"/>
          </w:tcPr>
          <w:p>
            <w:pPr>
              <w:spacing w:after="0"/>
              <w:rPr>
                <w:sz w:val="15"/>
                <w:szCs w:val="15"/>
                <w:color w:val="auto"/>
              </w:rPr>
            </w:pPr>
          </w:p>
        </w:tc>
        <w:tc>
          <w:tcPr>
            <w:tcW w:w="940" w:type="dxa"/>
            <w:vAlign w:val="bottom"/>
            <w:gridSpan w:val="2"/>
          </w:tcPr>
          <w:p>
            <w:pPr>
              <w:jc w:val="center"/>
              <w:ind w:right="200"/>
              <w:spacing w:after="0" w:line="175" w:lineRule="exact"/>
              <w:rPr>
                <w:sz w:val="20"/>
                <w:szCs w:val="20"/>
                <w:color w:val="auto"/>
              </w:rPr>
            </w:pPr>
            <w:r>
              <w:rPr>
                <w:rFonts w:ascii="Arial" w:cs="Arial" w:eastAsia="Arial" w:hAnsi="Arial"/>
                <w:sz w:val="13"/>
                <w:szCs w:val="13"/>
                <w:b w:val="1"/>
                <w:bCs w:val="1"/>
                <w:color w:val="auto"/>
                <w:w w:val="85"/>
              </w:rPr>
              <w:t xml:space="preserve">Value </w:t>
            </w:r>
            <w:r>
              <w:rPr>
                <w:rFonts w:ascii="Arial" w:cs="Arial" w:eastAsia="Arial" w:hAnsi="Arial"/>
                <w:sz w:val="16"/>
                <w:szCs w:val="16"/>
                <w:b w:val="1"/>
                <w:bCs w:val="1"/>
                <w:color w:val="auto"/>
                <w:w w:val="85"/>
                <w:vertAlign w:val="superscript"/>
              </w:rPr>
              <w:t>1</w:t>
            </w:r>
          </w:p>
        </w:tc>
        <w:tc>
          <w:tcPr>
            <w:tcW w:w="160" w:type="dxa"/>
            <w:vAlign w:val="bottom"/>
          </w:tcPr>
          <w:p>
            <w:pPr>
              <w:spacing w:after="0"/>
              <w:rPr>
                <w:sz w:val="15"/>
                <w:szCs w:val="15"/>
                <w:color w:val="auto"/>
              </w:rPr>
            </w:pPr>
          </w:p>
        </w:tc>
        <w:tc>
          <w:tcPr>
            <w:tcW w:w="110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87"/>
              </w:rPr>
              <w:t>Long (Short)</w:t>
            </w:r>
          </w:p>
        </w:tc>
        <w:tc>
          <w:tcPr>
            <w:tcW w:w="200" w:type="dxa"/>
            <w:vAlign w:val="bottom"/>
          </w:tcPr>
          <w:p>
            <w:pPr>
              <w:spacing w:after="0"/>
              <w:rPr>
                <w:sz w:val="15"/>
                <w:szCs w:val="15"/>
                <w:color w:val="auto"/>
              </w:rPr>
            </w:pPr>
          </w:p>
        </w:tc>
        <w:tc>
          <w:tcPr>
            <w:tcW w:w="840" w:type="dxa"/>
            <w:vAlign w:val="bottom"/>
            <w:gridSpan w:val="2"/>
          </w:tcPr>
          <w:p>
            <w:pPr>
              <w:ind w:left="120"/>
              <w:spacing w:after="0"/>
              <w:rPr>
                <w:sz w:val="20"/>
                <w:szCs w:val="20"/>
                <w:color w:val="auto"/>
              </w:rPr>
            </w:pPr>
            <w:r>
              <w:rPr>
                <w:rFonts w:ascii="Arial" w:cs="Arial" w:eastAsia="Arial" w:hAnsi="Arial"/>
                <w:sz w:val="13"/>
                <w:szCs w:val="13"/>
                <w:b w:val="1"/>
                <w:bCs w:val="1"/>
                <w:color w:val="auto"/>
              </w:rPr>
              <w:t>Basis</w:t>
            </w:r>
          </w:p>
        </w:tc>
        <w:tc>
          <w:tcPr>
            <w:tcW w:w="200" w:type="dxa"/>
            <w:vAlign w:val="bottom"/>
          </w:tcPr>
          <w:p>
            <w:pPr>
              <w:spacing w:after="0"/>
              <w:rPr>
                <w:sz w:val="15"/>
                <w:szCs w:val="15"/>
                <w:color w:val="auto"/>
              </w:rPr>
            </w:pPr>
          </w:p>
        </w:tc>
        <w:tc>
          <w:tcPr>
            <w:tcW w:w="840" w:type="dxa"/>
            <w:vAlign w:val="bottom"/>
            <w:gridSpan w:val="2"/>
          </w:tcPr>
          <w:p>
            <w:pPr>
              <w:jc w:val="center"/>
              <w:ind w:right="300"/>
              <w:spacing w:after="0"/>
              <w:rPr>
                <w:sz w:val="20"/>
                <w:szCs w:val="20"/>
                <w:color w:val="auto"/>
              </w:rPr>
            </w:pPr>
            <w:r>
              <w:rPr>
                <w:rFonts w:ascii="Arial" w:cs="Arial" w:eastAsia="Arial" w:hAnsi="Arial"/>
                <w:sz w:val="13"/>
                <w:szCs w:val="13"/>
                <w:b w:val="1"/>
                <w:bCs w:val="1"/>
                <w:color w:val="auto"/>
                <w:w w:val="86"/>
              </w:rPr>
              <w:t>Value</w:t>
            </w:r>
          </w:p>
        </w:tc>
        <w:tc>
          <w:tcPr>
            <w:tcW w:w="100" w:type="dxa"/>
            <w:vAlign w:val="bottom"/>
          </w:tcPr>
          <w:p>
            <w:pPr>
              <w:spacing w:after="0"/>
              <w:rPr>
                <w:sz w:val="15"/>
                <w:szCs w:val="15"/>
                <w:color w:val="auto"/>
              </w:rPr>
            </w:pPr>
          </w:p>
        </w:tc>
        <w:tc>
          <w:tcPr>
            <w:tcW w:w="840" w:type="dxa"/>
            <w:vAlign w:val="bottom"/>
          </w:tcPr>
          <w:p>
            <w:pPr>
              <w:jc w:val="center"/>
              <w:ind w:right="32"/>
              <w:spacing w:after="0" w:line="175" w:lineRule="exact"/>
              <w:rPr>
                <w:sz w:val="20"/>
                <w:szCs w:val="20"/>
                <w:color w:val="auto"/>
              </w:rPr>
            </w:pPr>
            <w:r>
              <w:rPr>
                <w:rFonts w:ascii="Arial" w:cs="Arial" w:eastAsia="Arial" w:hAnsi="Arial"/>
                <w:sz w:val="13"/>
                <w:szCs w:val="13"/>
                <w:b w:val="1"/>
                <w:bCs w:val="1"/>
                <w:color w:val="auto"/>
                <w:w w:val="85"/>
              </w:rPr>
              <w:t xml:space="preserve">Value </w:t>
            </w:r>
            <w:r>
              <w:rPr>
                <w:rFonts w:ascii="Arial" w:cs="Arial" w:eastAsia="Arial" w:hAnsi="Arial"/>
                <w:sz w:val="16"/>
                <w:szCs w:val="16"/>
                <w:b w:val="1"/>
                <w:bCs w:val="1"/>
                <w:color w:val="auto"/>
                <w:w w:val="85"/>
                <w:vertAlign w:val="superscript"/>
              </w:rPr>
              <w:t>1</w:t>
            </w:r>
          </w:p>
        </w:tc>
        <w:tc>
          <w:tcPr>
            <w:tcW w:w="0" w:type="dxa"/>
            <w:vAlign w:val="bottom"/>
          </w:tcPr>
          <w:p>
            <w:pPr>
              <w:spacing w:after="0"/>
              <w:rPr>
                <w:sz w:val="1"/>
                <w:szCs w:val="1"/>
                <w:color w:val="auto"/>
              </w:rPr>
            </w:pPr>
          </w:p>
        </w:tc>
      </w:tr>
      <w:tr>
        <w:trPr>
          <w:trHeight w:val="183"/>
        </w:trPr>
        <w:tc>
          <w:tcPr>
            <w:tcW w:w="24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5 years</w:t>
            </w:r>
          </w:p>
        </w:tc>
        <w:tc>
          <w:tcPr>
            <w:tcW w:w="100" w:type="dxa"/>
            <w:vAlign w:val="bottom"/>
            <w:tcBorders>
              <w:top w:val="single" w:sz="8" w:color="CCEEFF"/>
            </w:tcBorders>
            <w:shd w:val="clear" w:color="auto" w:fill="CCEEFF"/>
          </w:tcPr>
          <w:p>
            <w:pPr>
              <w:spacing w:after="0"/>
              <w:rPr>
                <w:sz w:val="15"/>
                <w:szCs w:val="15"/>
                <w:color w:val="auto"/>
              </w:rPr>
            </w:pPr>
          </w:p>
        </w:tc>
        <w:tc>
          <w:tcPr>
            <w:tcW w:w="16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(1,082)</w:t>
            </w:r>
          </w:p>
        </w:tc>
        <w:tc>
          <w:tcPr>
            <w:tcW w:w="10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(1,204)</w:t>
            </w:r>
          </w:p>
        </w:tc>
        <w:tc>
          <w:tcPr>
            <w:tcW w:w="100" w:type="dxa"/>
            <w:vAlign w:val="bottom"/>
            <w:tcBorders>
              <w:top w:val="single" w:sz="8" w:color="CCEEFF"/>
            </w:tcBorders>
            <w:shd w:val="clear" w:color="auto" w:fill="CCEEFF"/>
          </w:tcPr>
          <w:p>
            <w:pPr>
              <w:spacing w:after="0"/>
              <w:rPr>
                <w:sz w:val="15"/>
                <w:szCs w:val="15"/>
                <w:color w:val="auto"/>
              </w:rPr>
            </w:pPr>
          </w:p>
        </w:tc>
        <w:tc>
          <w:tcPr>
            <w:tcW w:w="280" w:type="dxa"/>
            <w:vAlign w:val="bottom"/>
            <w:tcBorders>
              <w:top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(1,215)</w:t>
            </w:r>
          </w:p>
        </w:tc>
        <w:tc>
          <w:tcPr>
            <w:tcW w:w="10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w:t>
            </w:r>
          </w:p>
        </w:tc>
        <w:tc>
          <w:tcPr>
            <w:tcW w:w="100" w:type="dxa"/>
            <w:vAlign w:val="bottom"/>
            <w:tcBorders>
              <w:top w:val="single" w:sz="8" w:color="CCEEFF"/>
            </w:tcBorders>
            <w:shd w:val="clear" w:color="auto" w:fill="CCEEFF"/>
          </w:tcPr>
          <w:p>
            <w:pPr>
              <w:spacing w:after="0"/>
              <w:rPr>
                <w:sz w:val="15"/>
                <w:szCs w:val="15"/>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top w:val="single" w:sz="8" w:color="auto"/>
            </w:tcBorders>
            <w:shd w:val="clear" w:color="auto" w:fill="CCEEFF"/>
          </w:tcPr>
          <w:p>
            <w:pPr>
              <w:jc w:val="center"/>
              <w:ind w:left="472"/>
              <w:spacing w:after="0"/>
              <w:rPr>
                <w:sz w:val="20"/>
                <w:szCs w:val="20"/>
                <w:color w:val="auto"/>
              </w:rPr>
            </w:pPr>
            <w:r>
              <w:rPr>
                <w:rFonts w:ascii="Arial" w:cs="Arial" w:eastAsia="Arial" w:hAnsi="Arial"/>
                <w:sz w:val="14"/>
                <w:szCs w:val="14"/>
                <w:color w:val="auto"/>
                <w:w w:val="99"/>
              </w:rPr>
              <w:t>—</w:t>
            </w:r>
          </w:p>
        </w:tc>
        <w:tc>
          <w:tcPr>
            <w:tcW w:w="0" w:type="dxa"/>
            <w:vAlign w:val="bottom"/>
          </w:tcPr>
          <w:p>
            <w:pPr>
              <w:spacing w:after="0"/>
              <w:rPr>
                <w:sz w:val="1"/>
                <w:szCs w:val="1"/>
                <w:color w:val="auto"/>
              </w:rPr>
            </w:pPr>
          </w:p>
        </w:tc>
      </w:tr>
      <w:tr>
        <w:trPr>
          <w:trHeight w:val="186"/>
        </w:trPr>
        <w:tc>
          <w:tcPr>
            <w:tcW w:w="256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10 years</w:t>
            </w:r>
          </w:p>
        </w:tc>
        <w:tc>
          <w:tcPr>
            <w:tcW w:w="16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(7,023)</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(8,330)</w:t>
            </w: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(8,324)</w:t>
            </w: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(1,500)</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(1,942)</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(1,957)</w:t>
            </w: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center"/>
              <w:ind w:left="452"/>
              <w:spacing w:after="0"/>
              <w:rPr>
                <w:sz w:val="20"/>
                <w:szCs w:val="20"/>
                <w:color w:val="auto"/>
              </w:rPr>
            </w:pPr>
            <w:r>
              <w:rPr>
                <w:rFonts w:ascii="Arial" w:cs="Arial" w:eastAsia="Arial" w:hAnsi="Arial"/>
                <w:sz w:val="14"/>
                <w:szCs w:val="14"/>
                <w:color w:val="auto"/>
                <w:w w:val="96"/>
              </w:rPr>
              <w:t>(15)</w:t>
            </w:r>
          </w:p>
        </w:tc>
        <w:tc>
          <w:tcPr>
            <w:tcW w:w="0" w:type="dxa"/>
            <w:vAlign w:val="bottom"/>
          </w:tcPr>
          <w:p>
            <w:pPr>
              <w:spacing w:after="0"/>
              <w:rPr>
                <w:sz w:val="1"/>
                <w:szCs w:val="1"/>
                <w:color w:val="auto"/>
              </w:rPr>
            </w:pPr>
          </w:p>
        </w:tc>
      </w:tr>
      <w:tr>
        <w:trPr>
          <w:trHeight w:val="211"/>
        </w:trPr>
        <w:tc>
          <w:tcPr>
            <w:tcW w:w="25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Total U.S. Treasury futures</w:t>
            </w:r>
          </w:p>
        </w:tc>
        <w:tc>
          <w:tcPr>
            <w:tcW w:w="1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(8,105)</w:t>
            </w:r>
          </w:p>
        </w:tc>
        <w:tc>
          <w:tcPr>
            <w:tcW w:w="1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(9,534)</w:t>
            </w:r>
          </w:p>
        </w:tc>
        <w:tc>
          <w:tcPr>
            <w:tcW w:w="100" w:type="dxa"/>
            <w:vAlign w:val="bottom"/>
            <w:tcBorders>
              <w:bottom w:val="single" w:sz="8" w:color="CCEEFF"/>
            </w:tcBorders>
            <w:shd w:val="clear" w:color="auto" w:fill="CCEEFF"/>
          </w:tcPr>
          <w:p>
            <w:pPr>
              <w:spacing w:after="0"/>
              <w:rPr>
                <w:sz w:val="17"/>
                <w:szCs w:val="17"/>
                <w:color w:val="auto"/>
              </w:rPr>
            </w:pPr>
          </w:p>
        </w:tc>
        <w:tc>
          <w:tcPr>
            <w:tcW w:w="280" w:type="dxa"/>
            <w:vAlign w:val="bottom"/>
            <w:tcBorders>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(9,539)</w:t>
            </w:r>
          </w:p>
        </w:tc>
        <w:tc>
          <w:tcPr>
            <w:tcW w:w="10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100" w:type="dxa"/>
            <w:vAlign w:val="bottom"/>
            <w:tcBorders>
              <w:bottom w:val="single" w:sz="8" w:color="CCEEFF"/>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(1,500)</w:t>
            </w:r>
          </w:p>
        </w:tc>
        <w:tc>
          <w:tcPr>
            <w:tcW w:w="1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(1,942)</w:t>
            </w:r>
          </w:p>
        </w:tc>
        <w:tc>
          <w:tcPr>
            <w:tcW w:w="1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(1,957)</w:t>
            </w:r>
          </w:p>
        </w:tc>
        <w:tc>
          <w:tcPr>
            <w:tcW w:w="10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shd w:val="clear" w:color="auto" w:fill="CCEEFF"/>
          </w:tcPr>
          <w:p>
            <w:pPr>
              <w:jc w:val="center"/>
              <w:ind w:left="452"/>
              <w:spacing w:after="0"/>
              <w:rPr>
                <w:sz w:val="20"/>
                <w:szCs w:val="20"/>
                <w:color w:val="auto"/>
              </w:rPr>
            </w:pPr>
            <w:r>
              <w:rPr>
                <w:rFonts w:ascii="Arial" w:cs="Arial" w:eastAsia="Arial" w:hAnsi="Arial"/>
                <w:sz w:val="14"/>
                <w:szCs w:val="14"/>
                <w:color w:val="auto"/>
                <w:w w:val="96"/>
              </w:rPr>
              <w:t>(15)</w:t>
            </w:r>
          </w:p>
        </w:tc>
        <w:tc>
          <w:tcPr>
            <w:tcW w:w="0" w:type="dxa"/>
            <w:vAlign w:val="bottom"/>
          </w:tcPr>
          <w:p>
            <w:pPr>
              <w:spacing w:after="0"/>
              <w:rPr>
                <w:sz w:val="1"/>
                <w:szCs w:val="1"/>
                <w:color w:val="auto"/>
              </w:rPr>
            </w:pPr>
          </w:p>
        </w:tc>
      </w:tr>
      <w:tr>
        <w:trPr>
          <w:trHeight w:val="20"/>
        </w:trPr>
        <w:tc>
          <w:tcPr>
            <w:tcW w:w="24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6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94" w:right="339" w:bottom="1440" w:gutter="0" w:footer="0" w:header="0"/>
        </w:sectPr>
      </w:pPr>
    </w:p>
    <w:bookmarkStart w:id="17" w:name="page18"/>
    <w:bookmarkEnd w:id="17"/>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55" w:lineRule="auto"/>
        <w:tabs>
          <w:tab w:leader="none" w:pos="660" w:val="left"/>
        </w:tabs>
        <w:numPr>
          <w:ilvl w:val="0"/>
          <w:numId w:val="9"/>
        </w:numPr>
        <w:rPr>
          <w:rFonts w:ascii="Arial" w:cs="Arial" w:eastAsia="Arial" w:hAnsi="Arial"/>
          <w:sz w:val="14"/>
          <w:szCs w:val="14"/>
          <w:color w:val="auto"/>
        </w:rPr>
      </w:pPr>
      <w:r>
        <w:rPr>
          <w:rFonts w:ascii="Arial" w:cs="Arial" w:eastAsia="Arial" w:hAnsi="Arial"/>
          <w:sz w:val="14"/>
          <w:szCs w:val="14"/>
          <w:color w:val="auto"/>
        </w:rPr>
        <w:t>Net carrying value represents the difference between the fair market value and the cost basis (or the forward price to be paid/(received) for the underlying U.S. Treasury security) of the U.S. Treasury futures contract as of period-end and is reported in derivative assets/(liabilities), at fair value in our consolidated balance sheets.</w:t>
      </w:r>
    </w:p>
    <w:p>
      <w:pPr>
        <w:spacing w:after="0" w:line="200" w:lineRule="exact"/>
        <w:rPr>
          <w:sz w:val="20"/>
          <w:szCs w:val="20"/>
          <w:color w:val="auto"/>
        </w:rPr>
      </w:pP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3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June 30, 2022</w:t>
            </w:r>
          </w:p>
        </w:tc>
        <w:tc>
          <w:tcPr>
            <w:tcW w:w="6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880" w:type="dxa"/>
            <w:vAlign w:val="bottom"/>
            <w:tcBorders>
              <w:bottom w:val="single" w:sz="8" w:color="auto"/>
            </w:tcBorders>
            <w:gridSpan w:val="5"/>
          </w:tcPr>
          <w:p>
            <w:pPr>
              <w:ind w:left="100"/>
              <w:spacing w:after="0"/>
              <w:rPr>
                <w:sz w:val="20"/>
                <w:szCs w:val="20"/>
                <w:color w:val="auto"/>
              </w:rPr>
            </w:pPr>
            <w:r>
              <w:rPr>
                <w:rFonts w:ascii="Arial" w:cs="Arial" w:eastAsia="Arial" w:hAnsi="Arial"/>
                <w:sz w:val="14"/>
                <w:szCs w:val="14"/>
                <w:b w:val="1"/>
                <w:bCs w:val="1"/>
                <w:color w:val="auto"/>
              </w:rPr>
              <w:t>December 31, 2021</w:t>
            </w:r>
          </w:p>
        </w:tc>
        <w:tc>
          <w:tcPr>
            <w:tcW w:w="10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21"/>
        </w:trPr>
        <w:tc>
          <w:tcPr>
            <w:tcW w:w="23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100" w:type="dxa"/>
            <w:vAlign w:val="bottom"/>
            <w:gridSpan w:val="2"/>
          </w:tcPr>
          <w:p>
            <w:pPr>
              <w:jc w:val="center"/>
              <w:ind w:right="280"/>
              <w:spacing w:after="0" w:line="121" w:lineRule="exact"/>
              <w:rPr>
                <w:sz w:val="20"/>
                <w:szCs w:val="20"/>
                <w:color w:val="auto"/>
              </w:rPr>
            </w:pPr>
            <w:r>
              <w:rPr>
                <w:rFonts w:ascii="Arial" w:cs="Arial" w:eastAsia="Arial" w:hAnsi="Arial"/>
                <w:sz w:val="13"/>
                <w:szCs w:val="13"/>
                <w:b w:val="1"/>
                <w:bCs w:val="1"/>
                <w:color w:val="auto"/>
                <w:w w:val="88"/>
              </w:rPr>
              <w:t>Notional</w:t>
            </w:r>
          </w:p>
        </w:tc>
        <w:tc>
          <w:tcPr>
            <w:tcW w:w="200" w:type="dxa"/>
            <w:vAlign w:val="bottom"/>
          </w:tcPr>
          <w:p>
            <w:pPr>
              <w:spacing w:after="0"/>
              <w:rPr>
                <w:sz w:val="10"/>
                <w:szCs w:val="10"/>
                <w:color w:val="auto"/>
              </w:rPr>
            </w:pPr>
          </w:p>
        </w:tc>
        <w:tc>
          <w:tcPr>
            <w:tcW w:w="840" w:type="dxa"/>
            <w:vAlign w:val="bottom"/>
            <w:gridSpan w:val="2"/>
            <w:vMerge w:val="restart"/>
          </w:tcPr>
          <w:p>
            <w:pPr>
              <w:ind w:left="140"/>
              <w:spacing w:after="0"/>
              <w:rPr>
                <w:sz w:val="20"/>
                <w:szCs w:val="20"/>
                <w:color w:val="auto"/>
              </w:rPr>
            </w:pPr>
            <w:r>
              <w:rPr>
                <w:rFonts w:ascii="Arial" w:cs="Arial" w:eastAsia="Arial" w:hAnsi="Arial"/>
                <w:sz w:val="13"/>
                <w:szCs w:val="13"/>
                <w:b w:val="1"/>
                <w:bCs w:val="1"/>
                <w:color w:val="auto"/>
              </w:rPr>
              <w:t>Cost</w:t>
            </w:r>
          </w:p>
        </w:tc>
        <w:tc>
          <w:tcPr>
            <w:tcW w:w="280" w:type="dxa"/>
            <w:vAlign w:val="bottom"/>
          </w:tcPr>
          <w:p>
            <w:pPr>
              <w:spacing w:after="0"/>
              <w:rPr>
                <w:sz w:val="10"/>
                <w:szCs w:val="10"/>
                <w:color w:val="auto"/>
              </w:rPr>
            </w:pPr>
          </w:p>
        </w:tc>
        <w:tc>
          <w:tcPr>
            <w:tcW w:w="740" w:type="dxa"/>
            <w:vAlign w:val="bottom"/>
            <w:gridSpan w:val="2"/>
            <w:vMerge w:val="restart"/>
          </w:tcPr>
          <w:p>
            <w:pPr>
              <w:jc w:val="center"/>
              <w:ind w:right="400"/>
              <w:spacing w:after="0"/>
              <w:rPr>
                <w:sz w:val="20"/>
                <w:szCs w:val="20"/>
                <w:color w:val="auto"/>
              </w:rPr>
            </w:pPr>
            <w:r>
              <w:rPr>
                <w:rFonts w:ascii="Arial" w:cs="Arial" w:eastAsia="Arial" w:hAnsi="Arial"/>
                <w:sz w:val="13"/>
                <w:szCs w:val="13"/>
                <w:b w:val="1"/>
                <w:bCs w:val="1"/>
                <w:color w:val="auto"/>
                <w:w w:val="92"/>
              </w:rPr>
              <w:t>Fair</w:t>
            </w:r>
          </w:p>
        </w:tc>
        <w:tc>
          <w:tcPr>
            <w:tcW w:w="100" w:type="dxa"/>
            <w:vAlign w:val="bottom"/>
          </w:tcPr>
          <w:p>
            <w:pPr>
              <w:spacing w:after="0"/>
              <w:rPr>
                <w:sz w:val="10"/>
                <w:szCs w:val="10"/>
                <w:color w:val="auto"/>
              </w:rPr>
            </w:pPr>
          </w:p>
        </w:tc>
        <w:tc>
          <w:tcPr>
            <w:tcW w:w="1000" w:type="dxa"/>
            <w:vAlign w:val="bottom"/>
            <w:gridSpan w:val="2"/>
            <w:vMerge w:val="restart"/>
          </w:tcPr>
          <w:p>
            <w:pPr>
              <w:spacing w:after="0"/>
              <w:rPr>
                <w:sz w:val="20"/>
                <w:szCs w:val="20"/>
                <w:color w:val="auto"/>
              </w:rPr>
            </w:pPr>
            <w:r>
              <w:rPr>
                <w:rFonts w:ascii="Arial" w:cs="Arial" w:eastAsia="Arial" w:hAnsi="Arial"/>
                <w:sz w:val="13"/>
                <w:szCs w:val="13"/>
                <w:b w:val="1"/>
                <w:bCs w:val="1"/>
                <w:color w:val="auto"/>
              </w:rPr>
              <w:t>Net Carrying</w:t>
            </w:r>
          </w:p>
        </w:tc>
        <w:tc>
          <w:tcPr>
            <w:tcW w:w="160" w:type="dxa"/>
            <w:vAlign w:val="bottom"/>
          </w:tcPr>
          <w:p>
            <w:pPr>
              <w:spacing w:after="0"/>
              <w:rPr>
                <w:sz w:val="10"/>
                <w:szCs w:val="10"/>
                <w:color w:val="auto"/>
              </w:rPr>
            </w:pPr>
          </w:p>
        </w:tc>
        <w:tc>
          <w:tcPr>
            <w:tcW w:w="1100" w:type="dxa"/>
            <w:vAlign w:val="bottom"/>
            <w:gridSpan w:val="2"/>
          </w:tcPr>
          <w:p>
            <w:pPr>
              <w:jc w:val="center"/>
              <w:ind w:right="280"/>
              <w:spacing w:after="0" w:line="121" w:lineRule="exact"/>
              <w:rPr>
                <w:sz w:val="20"/>
                <w:szCs w:val="20"/>
                <w:color w:val="auto"/>
              </w:rPr>
            </w:pPr>
            <w:r>
              <w:rPr>
                <w:rFonts w:ascii="Arial" w:cs="Arial" w:eastAsia="Arial" w:hAnsi="Arial"/>
                <w:sz w:val="13"/>
                <w:szCs w:val="13"/>
                <w:b w:val="1"/>
                <w:bCs w:val="1"/>
                <w:color w:val="auto"/>
                <w:w w:val="88"/>
              </w:rPr>
              <w:t>Notional</w:t>
            </w:r>
          </w:p>
        </w:tc>
        <w:tc>
          <w:tcPr>
            <w:tcW w:w="200" w:type="dxa"/>
            <w:vAlign w:val="bottom"/>
          </w:tcPr>
          <w:p>
            <w:pPr>
              <w:spacing w:after="0"/>
              <w:rPr>
                <w:sz w:val="10"/>
                <w:szCs w:val="10"/>
                <w:color w:val="auto"/>
              </w:rPr>
            </w:pPr>
          </w:p>
        </w:tc>
        <w:tc>
          <w:tcPr>
            <w:tcW w:w="840" w:type="dxa"/>
            <w:vAlign w:val="bottom"/>
            <w:gridSpan w:val="2"/>
            <w:vMerge w:val="restart"/>
          </w:tcPr>
          <w:p>
            <w:pPr>
              <w:ind w:left="140"/>
              <w:spacing w:after="0"/>
              <w:rPr>
                <w:sz w:val="20"/>
                <w:szCs w:val="20"/>
                <w:color w:val="auto"/>
              </w:rPr>
            </w:pPr>
            <w:r>
              <w:rPr>
                <w:rFonts w:ascii="Arial" w:cs="Arial" w:eastAsia="Arial" w:hAnsi="Arial"/>
                <w:sz w:val="13"/>
                <w:szCs w:val="13"/>
                <w:b w:val="1"/>
                <w:bCs w:val="1"/>
                <w:color w:val="auto"/>
              </w:rPr>
              <w:t>Cost</w:t>
            </w:r>
          </w:p>
        </w:tc>
        <w:tc>
          <w:tcPr>
            <w:tcW w:w="200" w:type="dxa"/>
            <w:vAlign w:val="bottom"/>
          </w:tcPr>
          <w:p>
            <w:pPr>
              <w:spacing w:after="0"/>
              <w:rPr>
                <w:sz w:val="10"/>
                <w:szCs w:val="10"/>
                <w:color w:val="auto"/>
              </w:rPr>
            </w:pPr>
          </w:p>
        </w:tc>
        <w:tc>
          <w:tcPr>
            <w:tcW w:w="840" w:type="dxa"/>
            <w:vAlign w:val="bottom"/>
            <w:gridSpan w:val="2"/>
            <w:vMerge w:val="restart"/>
          </w:tcPr>
          <w:p>
            <w:pPr>
              <w:jc w:val="center"/>
              <w:ind w:right="300"/>
              <w:spacing w:after="0"/>
              <w:rPr>
                <w:sz w:val="20"/>
                <w:szCs w:val="20"/>
                <w:color w:val="auto"/>
              </w:rPr>
            </w:pPr>
            <w:r>
              <w:rPr>
                <w:rFonts w:ascii="Arial" w:cs="Arial" w:eastAsia="Arial" w:hAnsi="Arial"/>
                <w:sz w:val="13"/>
                <w:szCs w:val="13"/>
                <w:b w:val="1"/>
                <w:bCs w:val="1"/>
                <w:color w:val="auto"/>
                <w:w w:val="92"/>
              </w:rPr>
              <w:t>Fair</w:t>
            </w:r>
          </w:p>
        </w:tc>
        <w:tc>
          <w:tcPr>
            <w:tcW w:w="100" w:type="dxa"/>
            <w:vAlign w:val="bottom"/>
          </w:tcPr>
          <w:p>
            <w:pPr>
              <w:spacing w:after="0"/>
              <w:rPr>
                <w:sz w:val="10"/>
                <w:szCs w:val="10"/>
                <w:color w:val="auto"/>
              </w:rPr>
            </w:pPr>
          </w:p>
        </w:tc>
        <w:tc>
          <w:tcPr>
            <w:tcW w:w="840" w:type="dxa"/>
            <w:vAlign w:val="bottom"/>
            <w:vMerge w:val="restart"/>
          </w:tcPr>
          <w:p>
            <w:pPr>
              <w:jc w:val="right"/>
              <w:ind w:right="49"/>
              <w:spacing w:after="0"/>
              <w:rPr>
                <w:sz w:val="20"/>
                <w:szCs w:val="20"/>
                <w:color w:val="auto"/>
              </w:rPr>
            </w:pPr>
            <w:r>
              <w:rPr>
                <w:rFonts w:ascii="Arial" w:cs="Arial" w:eastAsia="Arial" w:hAnsi="Arial"/>
                <w:sz w:val="13"/>
                <w:szCs w:val="13"/>
                <w:b w:val="1"/>
                <w:bCs w:val="1"/>
                <w:color w:val="auto"/>
                <w:w w:val="89"/>
              </w:rPr>
              <w:t>Net Carrying</w:t>
            </w:r>
          </w:p>
        </w:tc>
        <w:tc>
          <w:tcPr>
            <w:tcW w:w="0" w:type="dxa"/>
            <w:vAlign w:val="bottom"/>
          </w:tcPr>
          <w:p>
            <w:pPr>
              <w:spacing w:after="0"/>
              <w:rPr>
                <w:sz w:val="1"/>
                <w:szCs w:val="1"/>
                <w:color w:val="auto"/>
              </w:rPr>
            </w:pPr>
          </w:p>
        </w:tc>
      </w:tr>
      <w:tr>
        <w:trPr>
          <w:trHeight w:val="121"/>
        </w:trPr>
        <w:tc>
          <w:tcPr>
            <w:tcW w:w="2500" w:type="dxa"/>
            <w:vAlign w:val="bottom"/>
            <w:gridSpan w:val="2"/>
            <w:vMerge w:val="restart"/>
          </w:tcPr>
          <w:p>
            <w:pPr>
              <w:ind w:left="20"/>
              <w:spacing w:after="0"/>
              <w:rPr>
                <w:sz w:val="20"/>
                <w:szCs w:val="20"/>
                <w:color w:val="auto"/>
              </w:rPr>
            </w:pPr>
            <w:r>
              <w:rPr>
                <w:rFonts w:ascii="Arial" w:cs="Arial" w:eastAsia="Arial" w:hAnsi="Arial"/>
                <w:sz w:val="13"/>
                <w:szCs w:val="13"/>
                <w:b w:val="1"/>
                <w:bCs w:val="1"/>
                <w:color w:val="auto"/>
              </w:rPr>
              <w:t xml:space="preserve">TBA Securities by Coupon </w:t>
            </w:r>
            <w:r>
              <w:rPr>
                <w:rFonts w:ascii="Arial" w:cs="Arial" w:eastAsia="Arial" w:hAnsi="Arial"/>
                <w:sz w:val="16"/>
                <w:szCs w:val="16"/>
                <w:b w:val="1"/>
                <w:bCs w:val="1"/>
                <w:color w:val="auto"/>
                <w:vertAlign w:val="superscript"/>
              </w:rPr>
              <w:t>2</w:t>
            </w:r>
          </w:p>
        </w:tc>
        <w:tc>
          <w:tcPr>
            <w:tcW w:w="140" w:type="dxa"/>
            <w:vAlign w:val="bottom"/>
          </w:tcPr>
          <w:p>
            <w:pPr>
              <w:spacing w:after="0"/>
              <w:rPr>
                <w:sz w:val="10"/>
                <w:szCs w:val="10"/>
                <w:color w:val="auto"/>
              </w:rPr>
            </w:pPr>
          </w:p>
        </w:tc>
        <w:tc>
          <w:tcPr>
            <w:tcW w:w="1100" w:type="dxa"/>
            <w:vAlign w:val="bottom"/>
            <w:gridSpan w:val="2"/>
          </w:tcPr>
          <w:p>
            <w:pPr>
              <w:jc w:val="center"/>
              <w:ind w:right="260"/>
              <w:spacing w:after="0" w:line="122" w:lineRule="exact"/>
              <w:rPr>
                <w:sz w:val="20"/>
                <w:szCs w:val="20"/>
                <w:color w:val="auto"/>
              </w:rPr>
            </w:pPr>
            <w:r>
              <w:rPr>
                <w:rFonts w:ascii="Arial" w:cs="Arial" w:eastAsia="Arial" w:hAnsi="Arial"/>
                <w:sz w:val="13"/>
                <w:szCs w:val="13"/>
                <w:b w:val="1"/>
                <w:bCs w:val="1"/>
                <w:color w:val="auto"/>
                <w:w w:val="89"/>
              </w:rPr>
              <w:t>Amount</w:t>
            </w:r>
          </w:p>
        </w:tc>
        <w:tc>
          <w:tcPr>
            <w:tcW w:w="200" w:type="dxa"/>
            <w:vAlign w:val="bottom"/>
          </w:tcPr>
          <w:p>
            <w:pPr>
              <w:spacing w:after="0"/>
              <w:rPr>
                <w:sz w:val="10"/>
                <w:szCs w:val="10"/>
                <w:color w:val="auto"/>
              </w:rPr>
            </w:pPr>
          </w:p>
        </w:tc>
        <w:tc>
          <w:tcPr>
            <w:tcW w:w="840" w:type="dxa"/>
            <w:vAlign w:val="bottom"/>
            <w:gridSpan w:val="2"/>
            <w:vMerge w:val="continue"/>
          </w:tcPr>
          <w:p>
            <w:pPr>
              <w:spacing w:after="0"/>
              <w:rPr>
                <w:sz w:val="10"/>
                <w:szCs w:val="10"/>
                <w:color w:val="auto"/>
              </w:rPr>
            </w:pPr>
          </w:p>
        </w:tc>
        <w:tc>
          <w:tcPr>
            <w:tcW w:w="280" w:type="dxa"/>
            <w:vAlign w:val="bottom"/>
          </w:tcPr>
          <w:p>
            <w:pPr>
              <w:spacing w:after="0"/>
              <w:rPr>
                <w:sz w:val="10"/>
                <w:szCs w:val="10"/>
                <w:color w:val="auto"/>
              </w:rPr>
            </w:pPr>
          </w:p>
        </w:tc>
        <w:tc>
          <w:tcPr>
            <w:tcW w:w="740" w:type="dxa"/>
            <w:vAlign w:val="bottom"/>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1000" w:type="dxa"/>
            <w:vAlign w:val="bottom"/>
            <w:gridSpan w:val="2"/>
            <w:vMerge w:val="continue"/>
          </w:tcPr>
          <w:p>
            <w:pPr>
              <w:spacing w:after="0"/>
              <w:rPr>
                <w:sz w:val="10"/>
                <w:szCs w:val="10"/>
                <w:color w:val="auto"/>
              </w:rPr>
            </w:pPr>
          </w:p>
        </w:tc>
        <w:tc>
          <w:tcPr>
            <w:tcW w:w="160" w:type="dxa"/>
            <w:vAlign w:val="bottom"/>
          </w:tcPr>
          <w:p>
            <w:pPr>
              <w:spacing w:after="0"/>
              <w:rPr>
                <w:sz w:val="10"/>
                <w:szCs w:val="10"/>
                <w:color w:val="auto"/>
              </w:rPr>
            </w:pPr>
          </w:p>
        </w:tc>
        <w:tc>
          <w:tcPr>
            <w:tcW w:w="1100" w:type="dxa"/>
            <w:vAlign w:val="bottom"/>
            <w:gridSpan w:val="2"/>
          </w:tcPr>
          <w:p>
            <w:pPr>
              <w:jc w:val="center"/>
              <w:ind w:right="260"/>
              <w:spacing w:after="0" w:line="122" w:lineRule="exact"/>
              <w:rPr>
                <w:sz w:val="20"/>
                <w:szCs w:val="20"/>
                <w:color w:val="auto"/>
              </w:rPr>
            </w:pPr>
            <w:r>
              <w:rPr>
                <w:rFonts w:ascii="Arial" w:cs="Arial" w:eastAsia="Arial" w:hAnsi="Arial"/>
                <w:sz w:val="13"/>
                <w:szCs w:val="13"/>
                <w:b w:val="1"/>
                <w:bCs w:val="1"/>
                <w:color w:val="auto"/>
                <w:w w:val="89"/>
              </w:rPr>
              <w:t>Amount</w:t>
            </w:r>
          </w:p>
        </w:tc>
        <w:tc>
          <w:tcPr>
            <w:tcW w:w="200" w:type="dxa"/>
            <w:vAlign w:val="bottom"/>
          </w:tcPr>
          <w:p>
            <w:pPr>
              <w:spacing w:after="0"/>
              <w:rPr>
                <w:sz w:val="10"/>
                <w:szCs w:val="10"/>
                <w:color w:val="auto"/>
              </w:rPr>
            </w:pPr>
          </w:p>
        </w:tc>
        <w:tc>
          <w:tcPr>
            <w:tcW w:w="840" w:type="dxa"/>
            <w:vAlign w:val="bottom"/>
            <w:gridSpan w:val="2"/>
            <w:vMerge w:val="continue"/>
          </w:tcPr>
          <w:p>
            <w:pPr>
              <w:spacing w:after="0"/>
              <w:rPr>
                <w:sz w:val="10"/>
                <w:szCs w:val="10"/>
                <w:color w:val="auto"/>
              </w:rPr>
            </w:pPr>
          </w:p>
        </w:tc>
        <w:tc>
          <w:tcPr>
            <w:tcW w:w="200" w:type="dxa"/>
            <w:vAlign w:val="bottom"/>
          </w:tcPr>
          <w:p>
            <w:pPr>
              <w:spacing w:after="0"/>
              <w:rPr>
                <w:sz w:val="10"/>
                <w:szCs w:val="10"/>
                <w:color w:val="auto"/>
              </w:rPr>
            </w:pPr>
          </w:p>
        </w:tc>
        <w:tc>
          <w:tcPr>
            <w:tcW w:w="840" w:type="dxa"/>
            <w:vAlign w:val="bottom"/>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76"/>
        </w:trPr>
        <w:tc>
          <w:tcPr>
            <w:tcW w:w="250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110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87"/>
              </w:rPr>
              <w:t>Long (Short)</w:t>
            </w:r>
          </w:p>
        </w:tc>
        <w:tc>
          <w:tcPr>
            <w:tcW w:w="200" w:type="dxa"/>
            <w:vAlign w:val="bottom"/>
          </w:tcPr>
          <w:p>
            <w:pPr>
              <w:spacing w:after="0"/>
              <w:rPr>
                <w:sz w:val="15"/>
                <w:szCs w:val="15"/>
                <w:color w:val="auto"/>
              </w:rPr>
            </w:pPr>
          </w:p>
        </w:tc>
        <w:tc>
          <w:tcPr>
            <w:tcW w:w="840" w:type="dxa"/>
            <w:vAlign w:val="bottom"/>
            <w:gridSpan w:val="2"/>
          </w:tcPr>
          <w:p>
            <w:pPr>
              <w:ind w:left="120"/>
              <w:spacing w:after="0"/>
              <w:rPr>
                <w:sz w:val="20"/>
                <w:szCs w:val="20"/>
                <w:color w:val="auto"/>
              </w:rPr>
            </w:pPr>
            <w:r>
              <w:rPr>
                <w:rFonts w:ascii="Arial" w:cs="Arial" w:eastAsia="Arial" w:hAnsi="Arial"/>
                <w:sz w:val="13"/>
                <w:szCs w:val="13"/>
                <w:b w:val="1"/>
                <w:bCs w:val="1"/>
                <w:color w:val="auto"/>
              </w:rPr>
              <w:t>Basis</w:t>
            </w:r>
          </w:p>
        </w:tc>
        <w:tc>
          <w:tcPr>
            <w:tcW w:w="280" w:type="dxa"/>
            <w:vAlign w:val="bottom"/>
          </w:tcPr>
          <w:p>
            <w:pPr>
              <w:spacing w:after="0"/>
              <w:rPr>
                <w:sz w:val="15"/>
                <w:szCs w:val="15"/>
                <w:color w:val="auto"/>
              </w:rPr>
            </w:pPr>
          </w:p>
        </w:tc>
        <w:tc>
          <w:tcPr>
            <w:tcW w:w="740" w:type="dxa"/>
            <w:vAlign w:val="bottom"/>
            <w:gridSpan w:val="2"/>
          </w:tcPr>
          <w:p>
            <w:pPr>
              <w:jc w:val="center"/>
              <w:ind w:right="400"/>
              <w:spacing w:after="0"/>
              <w:rPr>
                <w:sz w:val="20"/>
                <w:szCs w:val="20"/>
                <w:color w:val="auto"/>
              </w:rPr>
            </w:pPr>
            <w:r>
              <w:rPr>
                <w:rFonts w:ascii="Arial" w:cs="Arial" w:eastAsia="Arial" w:hAnsi="Arial"/>
                <w:sz w:val="13"/>
                <w:szCs w:val="13"/>
                <w:b w:val="1"/>
                <w:bCs w:val="1"/>
                <w:color w:val="auto"/>
                <w:w w:val="86"/>
              </w:rPr>
              <w:t>Value</w:t>
            </w:r>
          </w:p>
        </w:tc>
        <w:tc>
          <w:tcPr>
            <w:tcW w:w="100" w:type="dxa"/>
            <w:vAlign w:val="bottom"/>
          </w:tcPr>
          <w:p>
            <w:pPr>
              <w:spacing w:after="0"/>
              <w:rPr>
                <w:sz w:val="15"/>
                <w:szCs w:val="15"/>
                <w:color w:val="auto"/>
              </w:rPr>
            </w:pPr>
          </w:p>
        </w:tc>
        <w:tc>
          <w:tcPr>
            <w:tcW w:w="1000" w:type="dxa"/>
            <w:vAlign w:val="bottom"/>
            <w:gridSpan w:val="2"/>
          </w:tcPr>
          <w:p>
            <w:pPr>
              <w:ind w:left="180"/>
              <w:spacing w:after="0" w:line="175" w:lineRule="exact"/>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16"/>
                <w:szCs w:val="16"/>
                <w:b w:val="1"/>
                <w:bCs w:val="1"/>
                <w:color w:val="auto"/>
                <w:vertAlign w:val="superscript"/>
              </w:rPr>
              <w:t>1</w:t>
            </w:r>
          </w:p>
        </w:tc>
        <w:tc>
          <w:tcPr>
            <w:tcW w:w="160" w:type="dxa"/>
            <w:vAlign w:val="bottom"/>
          </w:tcPr>
          <w:p>
            <w:pPr>
              <w:spacing w:after="0"/>
              <w:rPr>
                <w:sz w:val="15"/>
                <w:szCs w:val="15"/>
                <w:color w:val="auto"/>
              </w:rPr>
            </w:pPr>
          </w:p>
        </w:tc>
        <w:tc>
          <w:tcPr>
            <w:tcW w:w="110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87"/>
              </w:rPr>
              <w:t>Long (Short)</w:t>
            </w:r>
          </w:p>
        </w:tc>
        <w:tc>
          <w:tcPr>
            <w:tcW w:w="200" w:type="dxa"/>
            <w:vAlign w:val="bottom"/>
          </w:tcPr>
          <w:p>
            <w:pPr>
              <w:spacing w:after="0"/>
              <w:rPr>
                <w:sz w:val="15"/>
                <w:szCs w:val="15"/>
                <w:color w:val="auto"/>
              </w:rPr>
            </w:pPr>
          </w:p>
        </w:tc>
        <w:tc>
          <w:tcPr>
            <w:tcW w:w="840" w:type="dxa"/>
            <w:vAlign w:val="bottom"/>
            <w:gridSpan w:val="2"/>
          </w:tcPr>
          <w:p>
            <w:pPr>
              <w:ind w:left="120"/>
              <w:spacing w:after="0"/>
              <w:rPr>
                <w:sz w:val="20"/>
                <w:szCs w:val="20"/>
                <w:color w:val="auto"/>
              </w:rPr>
            </w:pPr>
            <w:r>
              <w:rPr>
                <w:rFonts w:ascii="Arial" w:cs="Arial" w:eastAsia="Arial" w:hAnsi="Arial"/>
                <w:sz w:val="13"/>
                <w:szCs w:val="13"/>
                <w:b w:val="1"/>
                <w:bCs w:val="1"/>
                <w:color w:val="auto"/>
              </w:rPr>
              <w:t>Basis</w:t>
            </w:r>
          </w:p>
        </w:tc>
        <w:tc>
          <w:tcPr>
            <w:tcW w:w="200" w:type="dxa"/>
            <w:vAlign w:val="bottom"/>
          </w:tcPr>
          <w:p>
            <w:pPr>
              <w:spacing w:after="0"/>
              <w:rPr>
                <w:sz w:val="15"/>
                <w:szCs w:val="15"/>
                <w:color w:val="auto"/>
              </w:rPr>
            </w:pPr>
          </w:p>
        </w:tc>
        <w:tc>
          <w:tcPr>
            <w:tcW w:w="840" w:type="dxa"/>
            <w:vAlign w:val="bottom"/>
            <w:gridSpan w:val="2"/>
          </w:tcPr>
          <w:p>
            <w:pPr>
              <w:jc w:val="center"/>
              <w:ind w:right="300"/>
              <w:spacing w:after="0"/>
              <w:rPr>
                <w:sz w:val="20"/>
                <w:szCs w:val="20"/>
                <w:color w:val="auto"/>
              </w:rPr>
            </w:pPr>
            <w:r>
              <w:rPr>
                <w:rFonts w:ascii="Arial" w:cs="Arial" w:eastAsia="Arial" w:hAnsi="Arial"/>
                <w:sz w:val="13"/>
                <w:szCs w:val="13"/>
                <w:b w:val="1"/>
                <w:bCs w:val="1"/>
                <w:color w:val="auto"/>
                <w:w w:val="86"/>
              </w:rPr>
              <w:t>Value</w:t>
            </w:r>
          </w:p>
        </w:tc>
        <w:tc>
          <w:tcPr>
            <w:tcW w:w="100" w:type="dxa"/>
            <w:vAlign w:val="bottom"/>
          </w:tcPr>
          <w:p>
            <w:pPr>
              <w:spacing w:after="0"/>
              <w:rPr>
                <w:sz w:val="15"/>
                <w:szCs w:val="15"/>
                <w:color w:val="auto"/>
              </w:rPr>
            </w:pPr>
          </w:p>
        </w:tc>
        <w:tc>
          <w:tcPr>
            <w:tcW w:w="840" w:type="dxa"/>
            <w:vAlign w:val="bottom"/>
          </w:tcPr>
          <w:p>
            <w:pPr>
              <w:jc w:val="right"/>
              <w:ind w:right="209"/>
              <w:spacing w:after="0" w:line="175" w:lineRule="exact"/>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16"/>
                <w:szCs w:val="16"/>
                <w:b w:val="1"/>
                <w:bCs w:val="1"/>
                <w:color w:val="auto"/>
                <w:vertAlign w:val="superscript"/>
              </w:rPr>
              <w:t>1</w:t>
            </w:r>
          </w:p>
        </w:tc>
        <w:tc>
          <w:tcPr>
            <w:tcW w:w="0" w:type="dxa"/>
            <w:vAlign w:val="bottom"/>
          </w:tcPr>
          <w:p>
            <w:pPr>
              <w:spacing w:after="0"/>
              <w:rPr>
                <w:sz w:val="1"/>
                <w:szCs w:val="1"/>
                <w:color w:val="auto"/>
              </w:rPr>
            </w:pPr>
          </w:p>
        </w:tc>
      </w:tr>
      <w:tr>
        <w:trPr>
          <w:trHeight w:val="183"/>
        </w:trPr>
        <w:tc>
          <w:tcPr>
            <w:tcW w:w="23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15-Year TBA securities:</w:t>
            </w:r>
          </w:p>
        </w:tc>
        <w:tc>
          <w:tcPr>
            <w:tcW w:w="12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spacing w:after="0"/>
              <w:rPr>
                <w:sz w:val="15"/>
                <w:szCs w:val="15"/>
                <w:color w:val="auto"/>
              </w:rPr>
            </w:pPr>
          </w:p>
        </w:tc>
        <w:tc>
          <w:tcPr>
            <w:tcW w:w="98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spacing w:after="0"/>
              <w:rPr>
                <w:sz w:val="15"/>
                <w:szCs w:val="15"/>
                <w:color w:val="auto"/>
              </w:rPr>
            </w:pPr>
          </w:p>
        </w:tc>
        <w:tc>
          <w:tcPr>
            <w:tcW w:w="72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280" w:type="dxa"/>
            <w:vAlign w:val="bottom"/>
            <w:tcBorders>
              <w:top w:val="single" w:sz="8" w:color="auto"/>
            </w:tcBorders>
            <w:shd w:val="clear" w:color="auto" w:fill="CCEEFF"/>
          </w:tcPr>
          <w:p>
            <w:pPr>
              <w:spacing w:after="0"/>
              <w:rPr>
                <w:sz w:val="15"/>
                <w:szCs w:val="15"/>
                <w:color w:val="auto"/>
              </w:rPr>
            </w:pPr>
          </w:p>
        </w:tc>
        <w:tc>
          <w:tcPr>
            <w:tcW w:w="64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spacing w:after="0"/>
              <w:rPr>
                <w:sz w:val="15"/>
                <w:szCs w:val="15"/>
                <w:color w:val="auto"/>
              </w:rPr>
            </w:pPr>
          </w:p>
        </w:tc>
        <w:tc>
          <w:tcPr>
            <w:tcW w:w="840" w:type="dxa"/>
            <w:vAlign w:val="bottom"/>
            <w:tcBorders>
              <w:top w:val="single" w:sz="8" w:color="auto"/>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15"/>
                <w:szCs w:val="15"/>
                <w:color w:val="auto"/>
              </w:rPr>
            </w:pPr>
          </w:p>
        </w:tc>
        <w:tc>
          <w:tcPr>
            <w:tcW w:w="160" w:type="dxa"/>
            <w:vAlign w:val="bottom"/>
            <w:tcBorders>
              <w:top w:val="single" w:sz="8" w:color="auto"/>
            </w:tcBorders>
            <w:shd w:val="clear" w:color="auto" w:fill="CCEEFF"/>
          </w:tcPr>
          <w:p>
            <w:pPr>
              <w:spacing w:after="0"/>
              <w:rPr>
                <w:sz w:val="15"/>
                <w:szCs w:val="15"/>
                <w:color w:val="auto"/>
              </w:rPr>
            </w:pPr>
          </w:p>
        </w:tc>
        <w:tc>
          <w:tcPr>
            <w:tcW w:w="100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spacing w:after="0"/>
              <w:rPr>
                <w:sz w:val="15"/>
                <w:szCs w:val="15"/>
                <w:color w:val="auto"/>
              </w:rPr>
            </w:pPr>
          </w:p>
        </w:tc>
        <w:tc>
          <w:tcPr>
            <w:tcW w:w="74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spacing w:after="0"/>
              <w:rPr>
                <w:sz w:val="15"/>
                <w:szCs w:val="15"/>
                <w:color w:val="auto"/>
              </w:rPr>
            </w:pPr>
          </w:p>
        </w:tc>
        <w:tc>
          <w:tcPr>
            <w:tcW w:w="74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spacing w:after="0"/>
              <w:rPr>
                <w:sz w:val="15"/>
                <w:szCs w:val="15"/>
                <w:color w:val="auto"/>
              </w:rPr>
            </w:pPr>
          </w:p>
        </w:tc>
        <w:tc>
          <w:tcPr>
            <w:tcW w:w="840" w:type="dxa"/>
            <w:vAlign w:val="bottom"/>
            <w:tcBorders>
              <w:top w:val="single" w:sz="8" w:color="auto"/>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6"/>
        </w:trPr>
        <w:tc>
          <w:tcPr>
            <w:tcW w:w="2500" w:type="dxa"/>
            <w:vAlign w:val="bottom"/>
            <w:gridSpan w:val="2"/>
          </w:tcPr>
          <w:p>
            <w:pPr>
              <w:ind w:left="180"/>
              <w:spacing w:after="0"/>
              <w:rPr>
                <w:sz w:val="20"/>
                <w:szCs w:val="20"/>
                <w:color w:val="auto"/>
              </w:rPr>
            </w:pPr>
            <w:r>
              <w:rPr>
                <w:rFonts w:ascii="Arial" w:cs="Arial" w:eastAsia="Arial" w:hAnsi="Arial"/>
                <w:sz w:val="14"/>
                <w:szCs w:val="14"/>
                <w:color w:val="auto"/>
              </w:rPr>
              <w:t>≤ 2.0%</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10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200" w:type="dxa"/>
            <w:vAlign w:val="bottom"/>
          </w:tcPr>
          <w:p>
            <w:pPr>
              <w:jc w:val="right"/>
              <w:ind w:right="48"/>
              <w:spacing w:after="0"/>
              <w:rPr>
                <w:sz w:val="20"/>
                <w:szCs w:val="20"/>
                <w:color w:val="auto"/>
              </w:rPr>
            </w:pPr>
            <w:r>
              <w:rPr>
                <w:rFonts w:ascii="Arial" w:cs="Arial" w:eastAsia="Arial" w:hAnsi="Arial"/>
                <w:sz w:val="14"/>
                <w:szCs w:val="14"/>
                <w:color w:val="auto"/>
                <w:w w:val="76"/>
              </w:rPr>
              <w:t>$</w:t>
            </w:r>
          </w:p>
        </w:tc>
        <w:tc>
          <w:tcPr>
            <w:tcW w:w="84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280" w:type="dxa"/>
            <w:vAlign w:val="bottom"/>
          </w:tcPr>
          <w:p>
            <w:pPr>
              <w:jc w:val="right"/>
              <w:ind w:right="128"/>
              <w:spacing w:after="0"/>
              <w:rPr>
                <w:sz w:val="20"/>
                <w:szCs w:val="20"/>
                <w:color w:val="auto"/>
              </w:rPr>
            </w:pPr>
            <w:r>
              <w:rPr>
                <w:rFonts w:ascii="Arial" w:cs="Arial" w:eastAsia="Arial" w:hAnsi="Arial"/>
                <w:sz w:val="14"/>
                <w:szCs w:val="14"/>
                <w:color w:val="auto"/>
                <w:w w:val="76"/>
              </w:rPr>
              <w:t>$</w:t>
            </w:r>
          </w:p>
        </w:tc>
        <w:tc>
          <w:tcPr>
            <w:tcW w:w="74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000" w:type="dxa"/>
            <w:vAlign w:val="bottom"/>
            <w:gridSpan w:val="2"/>
          </w:tcPr>
          <w:p>
            <w:pPr>
              <w:ind w:left="620"/>
              <w:spacing w:after="0"/>
              <w:rPr>
                <w:sz w:val="20"/>
                <w:szCs w:val="20"/>
                <w:color w:val="auto"/>
              </w:rPr>
            </w:pPr>
            <w:r>
              <w:rPr>
                <w:rFonts w:ascii="Arial" w:cs="Arial" w:eastAsia="Arial" w:hAnsi="Arial"/>
                <w:sz w:val="14"/>
                <w:szCs w:val="14"/>
                <w:color w:val="auto"/>
              </w:rPr>
              <w:t>—</w:t>
            </w: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000" w:type="dxa"/>
            <w:vAlign w:val="bottom"/>
          </w:tcPr>
          <w:p>
            <w:pPr>
              <w:jc w:val="right"/>
              <w:spacing w:after="0"/>
              <w:rPr>
                <w:sz w:val="20"/>
                <w:szCs w:val="20"/>
                <w:color w:val="auto"/>
              </w:rPr>
            </w:pPr>
            <w:r>
              <w:rPr>
                <w:rFonts w:ascii="Arial" w:cs="Arial" w:eastAsia="Arial" w:hAnsi="Arial"/>
                <w:sz w:val="14"/>
                <w:szCs w:val="14"/>
                <w:color w:val="auto"/>
              </w:rPr>
              <w:t>2,039</w:t>
            </w:r>
          </w:p>
        </w:tc>
        <w:tc>
          <w:tcPr>
            <w:tcW w:w="100" w:type="dxa"/>
            <w:vAlign w:val="bottom"/>
          </w:tcPr>
          <w:p>
            <w:pPr>
              <w:spacing w:after="0"/>
              <w:rPr>
                <w:sz w:val="16"/>
                <w:szCs w:val="16"/>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Pr>
          <w:p>
            <w:pPr>
              <w:jc w:val="right"/>
              <w:spacing w:after="0"/>
              <w:rPr>
                <w:sz w:val="20"/>
                <w:szCs w:val="20"/>
                <w:color w:val="auto"/>
              </w:rPr>
            </w:pPr>
            <w:r>
              <w:rPr>
                <w:rFonts w:ascii="Arial" w:cs="Arial" w:eastAsia="Arial" w:hAnsi="Arial"/>
                <w:sz w:val="14"/>
                <w:szCs w:val="14"/>
                <w:color w:val="auto"/>
              </w:rPr>
              <w:t>2,056</w:t>
            </w:r>
          </w:p>
        </w:tc>
        <w:tc>
          <w:tcPr>
            <w:tcW w:w="100" w:type="dxa"/>
            <w:vAlign w:val="bottom"/>
          </w:tcPr>
          <w:p>
            <w:pPr>
              <w:spacing w:after="0"/>
              <w:rPr>
                <w:sz w:val="16"/>
                <w:szCs w:val="16"/>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Pr>
          <w:p>
            <w:pPr>
              <w:jc w:val="right"/>
              <w:spacing w:after="0"/>
              <w:rPr>
                <w:sz w:val="20"/>
                <w:szCs w:val="20"/>
                <w:color w:val="auto"/>
              </w:rPr>
            </w:pPr>
            <w:r>
              <w:rPr>
                <w:rFonts w:ascii="Arial" w:cs="Arial" w:eastAsia="Arial" w:hAnsi="Arial"/>
                <w:sz w:val="14"/>
                <w:szCs w:val="14"/>
                <w:color w:val="auto"/>
              </w:rPr>
              <w:t>2,059</w:t>
            </w:r>
          </w:p>
        </w:tc>
        <w:tc>
          <w:tcPr>
            <w:tcW w:w="100" w:type="dxa"/>
            <w:vAlign w:val="bottom"/>
          </w:tcPr>
          <w:p>
            <w:pPr>
              <w:spacing w:after="0"/>
              <w:rPr>
                <w:sz w:val="16"/>
                <w:szCs w:val="16"/>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840" w:type="dxa"/>
            <w:vAlign w:val="bottom"/>
          </w:tcPr>
          <w:p>
            <w:pPr>
              <w:jc w:val="right"/>
              <w:ind w:right="9"/>
              <w:spacing w:after="0"/>
              <w:rPr>
                <w:sz w:val="20"/>
                <w:szCs w:val="20"/>
                <w:color w:val="auto"/>
              </w:rPr>
            </w:pPr>
            <w:r>
              <w:rPr>
                <w:rFonts w:ascii="Arial" w:cs="Arial" w:eastAsia="Arial" w:hAnsi="Arial"/>
                <w:sz w:val="14"/>
                <w:szCs w:val="14"/>
                <w:color w:val="auto"/>
              </w:rPr>
              <w:t>3</w:t>
            </w:r>
          </w:p>
        </w:tc>
        <w:tc>
          <w:tcPr>
            <w:tcW w:w="0" w:type="dxa"/>
            <w:vAlign w:val="bottom"/>
          </w:tcPr>
          <w:p>
            <w:pPr>
              <w:spacing w:after="0"/>
              <w:rPr>
                <w:sz w:val="1"/>
                <w:szCs w:val="1"/>
                <w:color w:val="auto"/>
              </w:rPr>
            </w:pPr>
          </w:p>
        </w:tc>
      </w:tr>
      <w:tr>
        <w:trPr>
          <w:trHeight w:val="192"/>
        </w:trPr>
        <w:tc>
          <w:tcPr>
            <w:tcW w:w="2380" w:type="dxa"/>
            <w:vAlign w:val="bottom"/>
            <w:shd w:val="clear" w:color="auto" w:fill="CCEEFF"/>
          </w:tcPr>
          <w:p>
            <w:pPr>
              <w:ind w:left="18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105</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104</w:t>
            </w:r>
          </w:p>
        </w:tc>
        <w:tc>
          <w:tcPr>
            <w:tcW w:w="12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64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104</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0" w:type="dxa"/>
            <w:vAlign w:val="bottom"/>
            <w:gridSpan w:val="2"/>
            <w:shd w:val="clear" w:color="auto" w:fill="CCEEFF"/>
          </w:tcPr>
          <w:p>
            <w:pPr>
              <w:ind w:left="6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6"/>
                <w:szCs w:val="16"/>
                <w:color w:val="auto"/>
              </w:rPr>
            </w:pP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84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79"/>
        </w:trPr>
        <w:tc>
          <w:tcPr>
            <w:tcW w:w="250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Total 15-Year TBA securities</w:t>
            </w:r>
          </w:p>
        </w:tc>
        <w:tc>
          <w:tcPr>
            <w:tcW w:w="140" w:type="dxa"/>
            <w:vAlign w:val="bottom"/>
            <w:tcBorders>
              <w:top w:val="single" w:sz="8" w:color="auto"/>
              <w:bottom w:val="single" w:sz="8" w:color="auto"/>
            </w:tcBorders>
          </w:tcPr>
          <w:p>
            <w:pPr>
              <w:spacing w:after="0"/>
              <w:rPr>
                <w:sz w:val="15"/>
                <w:szCs w:val="15"/>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105</w:t>
            </w:r>
          </w:p>
        </w:tc>
        <w:tc>
          <w:tcPr>
            <w:tcW w:w="120" w:type="dxa"/>
            <w:vAlign w:val="bottom"/>
            <w:tcBorders>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104</w:t>
            </w:r>
          </w:p>
        </w:tc>
        <w:tc>
          <w:tcPr>
            <w:tcW w:w="120" w:type="dxa"/>
            <w:vAlign w:val="bottom"/>
            <w:tcBorders>
              <w:bottom w:val="single" w:sz="8" w:color="CCEEFF"/>
            </w:tcBorders>
          </w:tcPr>
          <w:p>
            <w:pPr>
              <w:spacing w:after="0"/>
              <w:rPr>
                <w:sz w:val="15"/>
                <w:szCs w:val="15"/>
                <w:color w:val="auto"/>
              </w:rPr>
            </w:pPr>
          </w:p>
        </w:tc>
        <w:tc>
          <w:tcPr>
            <w:tcW w:w="280" w:type="dxa"/>
            <w:vAlign w:val="bottom"/>
            <w:tcBorders>
              <w:top w:val="single" w:sz="8" w:color="auto"/>
              <w:bottom w:val="single" w:sz="8" w:color="auto"/>
            </w:tcBorders>
          </w:tcPr>
          <w:p>
            <w:pPr>
              <w:spacing w:after="0"/>
              <w:rPr>
                <w:sz w:val="15"/>
                <w:szCs w:val="15"/>
                <w:color w:val="auto"/>
              </w:rPr>
            </w:pPr>
          </w:p>
        </w:tc>
        <w:tc>
          <w:tcPr>
            <w:tcW w:w="64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4"/>
                <w:szCs w:val="14"/>
                <w:color w:val="auto"/>
              </w:rPr>
              <w:t>104</w:t>
            </w:r>
          </w:p>
        </w:tc>
        <w:tc>
          <w:tcPr>
            <w:tcW w:w="100" w:type="dxa"/>
            <w:vAlign w:val="bottom"/>
            <w:tcBorders>
              <w:bottom w:val="single" w:sz="8" w:color="CCEEFF"/>
            </w:tcBorders>
          </w:tcPr>
          <w:p>
            <w:pPr>
              <w:spacing w:after="0"/>
              <w:rPr>
                <w:sz w:val="15"/>
                <w:szCs w:val="15"/>
                <w:color w:val="auto"/>
              </w:rPr>
            </w:pPr>
          </w:p>
        </w:tc>
        <w:tc>
          <w:tcPr>
            <w:tcW w:w="100" w:type="dxa"/>
            <w:vAlign w:val="bottom"/>
            <w:tcBorders>
              <w:top w:val="single" w:sz="8" w:color="auto"/>
              <w:bottom w:val="single" w:sz="8" w:color="auto"/>
            </w:tcBorders>
          </w:tcPr>
          <w:p>
            <w:pPr>
              <w:spacing w:after="0"/>
              <w:rPr>
                <w:sz w:val="15"/>
                <w:szCs w:val="15"/>
                <w:color w:val="auto"/>
              </w:rPr>
            </w:pPr>
          </w:p>
        </w:tc>
        <w:tc>
          <w:tcPr>
            <w:tcW w:w="840" w:type="dxa"/>
            <w:vAlign w:val="bottom"/>
            <w:tcBorders>
              <w:top w:val="single" w:sz="8" w:color="auto"/>
              <w:bottom w:val="single" w:sz="8" w:color="auto"/>
            </w:tcBorders>
          </w:tcPr>
          <w:p>
            <w:pPr>
              <w:ind w:left="620"/>
              <w:spacing w:after="0"/>
              <w:rPr>
                <w:sz w:val="20"/>
                <w:szCs w:val="20"/>
                <w:color w:val="auto"/>
              </w:rPr>
            </w:pPr>
            <w:r>
              <w:rPr>
                <w:rFonts w:ascii="Arial" w:cs="Arial" w:eastAsia="Arial" w:hAnsi="Arial"/>
                <w:sz w:val="14"/>
                <w:szCs w:val="14"/>
                <w:color w:val="auto"/>
              </w:rPr>
              <w:t>—</w:t>
            </w:r>
          </w:p>
        </w:tc>
        <w:tc>
          <w:tcPr>
            <w:tcW w:w="160" w:type="dxa"/>
            <w:vAlign w:val="bottom"/>
            <w:tcBorders>
              <w:bottom w:val="single" w:sz="8" w:color="CCEEFF"/>
            </w:tcBorders>
          </w:tcPr>
          <w:p>
            <w:pPr>
              <w:spacing w:after="0"/>
              <w:rPr>
                <w:sz w:val="15"/>
                <w:szCs w:val="15"/>
                <w:color w:val="auto"/>
              </w:rPr>
            </w:pPr>
          </w:p>
        </w:tc>
        <w:tc>
          <w:tcPr>
            <w:tcW w:w="160" w:type="dxa"/>
            <w:vAlign w:val="bottom"/>
            <w:tcBorders>
              <w:top w:val="single" w:sz="8" w:color="auto"/>
              <w:bottom w:val="single" w:sz="8" w:color="auto"/>
            </w:tcBorders>
          </w:tcPr>
          <w:p>
            <w:pPr>
              <w:spacing w:after="0"/>
              <w:rPr>
                <w:sz w:val="15"/>
                <w:szCs w:val="15"/>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2,039</w:t>
            </w:r>
          </w:p>
        </w:tc>
        <w:tc>
          <w:tcPr>
            <w:tcW w:w="100" w:type="dxa"/>
            <w:vAlign w:val="bottom"/>
            <w:tcBorders>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2,056</w:t>
            </w:r>
          </w:p>
        </w:tc>
        <w:tc>
          <w:tcPr>
            <w:tcW w:w="100" w:type="dxa"/>
            <w:vAlign w:val="bottom"/>
            <w:tcBorders>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2,059</w:t>
            </w:r>
          </w:p>
        </w:tc>
        <w:tc>
          <w:tcPr>
            <w:tcW w:w="100" w:type="dxa"/>
            <w:vAlign w:val="bottom"/>
            <w:tcBorders>
              <w:bottom w:val="single" w:sz="8" w:color="CCEEFF"/>
            </w:tcBorders>
          </w:tcPr>
          <w:p>
            <w:pPr>
              <w:spacing w:after="0"/>
              <w:rPr>
                <w:sz w:val="15"/>
                <w:szCs w:val="15"/>
                <w:color w:val="auto"/>
              </w:rPr>
            </w:pPr>
          </w:p>
        </w:tc>
        <w:tc>
          <w:tcPr>
            <w:tcW w:w="100" w:type="dxa"/>
            <w:vAlign w:val="bottom"/>
            <w:tcBorders>
              <w:top w:val="single" w:sz="8" w:color="auto"/>
              <w:bottom w:val="single" w:sz="8" w:color="auto"/>
            </w:tcBorders>
          </w:tcPr>
          <w:p>
            <w:pPr>
              <w:spacing w:after="0"/>
              <w:rPr>
                <w:sz w:val="15"/>
                <w:szCs w:val="15"/>
                <w:color w:val="auto"/>
              </w:rPr>
            </w:pPr>
          </w:p>
        </w:tc>
        <w:tc>
          <w:tcPr>
            <w:tcW w:w="84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4"/>
                <w:szCs w:val="14"/>
                <w:color w:val="auto"/>
              </w:rPr>
              <w:t>3</w:t>
            </w:r>
          </w:p>
        </w:tc>
        <w:tc>
          <w:tcPr>
            <w:tcW w:w="0" w:type="dxa"/>
            <w:vAlign w:val="bottom"/>
          </w:tcPr>
          <w:p>
            <w:pPr>
              <w:spacing w:after="0"/>
              <w:rPr>
                <w:sz w:val="1"/>
                <w:szCs w:val="1"/>
                <w:color w:val="auto"/>
              </w:rPr>
            </w:pPr>
          </w:p>
        </w:tc>
      </w:tr>
      <w:tr>
        <w:trPr>
          <w:trHeight w:val="172"/>
        </w:trPr>
        <w:tc>
          <w:tcPr>
            <w:tcW w:w="25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30-Year TBA securities:</w:t>
            </w:r>
          </w:p>
        </w:tc>
        <w:tc>
          <w:tcPr>
            <w:tcW w:w="140" w:type="dxa"/>
            <w:vAlign w:val="bottom"/>
            <w:shd w:val="clear" w:color="auto" w:fill="CCEEFF"/>
          </w:tcPr>
          <w:p>
            <w:pPr>
              <w:spacing w:after="0"/>
              <w:rPr>
                <w:sz w:val="14"/>
                <w:szCs w:val="14"/>
                <w:color w:val="auto"/>
              </w:rPr>
            </w:pPr>
          </w:p>
        </w:tc>
        <w:tc>
          <w:tcPr>
            <w:tcW w:w="9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7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7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6"/>
        </w:trPr>
        <w:tc>
          <w:tcPr>
            <w:tcW w:w="2500" w:type="dxa"/>
            <w:vAlign w:val="bottom"/>
            <w:gridSpan w:val="2"/>
          </w:tcPr>
          <w:p>
            <w:pPr>
              <w:ind w:left="180"/>
              <w:spacing w:after="0"/>
              <w:rPr>
                <w:sz w:val="20"/>
                <w:szCs w:val="20"/>
                <w:color w:val="auto"/>
              </w:rPr>
            </w:pPr>
            <w:r>
              <w:rPr>
                <w:rFonts w:ascii="Arial" w:cs="Arial" w:eastAsia="Arial" w:hAnsi="Arial"/>
                <w:sz w:val="14"/>
                <w:szCs w:val="14"/>
                <w:color w:val="auto"/>
              </w:rPr>
              <w:t>≤ 2.0%</w:t>
            </w:r>
          </w:p>
        </w:tc>
        <w:tc>
          <w:tcPr>
            <w:tcW w:w="14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995</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848</w:t>
            </w: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40" w:type="dxa"/>
            <w:vAlign w:val="bottom"/>
          </w:tcPr>
          <w:p>
            <w:pPr>
              <w:jc w:val="right"/>
              <w:ind w:right="9"/>
              <w:spacing w:after="0"/>
              <w:rPr>
                <w:sz w:val="20"/>
                <w:szCs w:val="20"/>
                <w:color w:val="auto"/>
              </w:rPr>
            </w:pPr>
            <w:r>
              <w:rPr>
                <w:rFonts w:ascii="Arial" w:cs="Arial" w:eastAsia="Arial" w:hAnsi="Arial"/>
                <w:sz w:val="14"/>
                <w:szCs w:val="14"/>
                <w:color w:val="auto"/>
              </w:rPr>
              <w:t>864</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ind w:left="620"/>
              <w:spacing w:after="0"/>
              <w:rPr>
                <w:sz w:val="20"/>
                <w:szCs w:val="20"/>
                <w:color w:val="auto"/>
              </w:rPr>
            </w:pPr>
            <w:r>
              <w:rPr>
                <w:rFonts w:ascii="Arial" w:cs="Arial" w:eastAsia="Arial" w:hAnsi="Arial"/>
                <w:sz w:val="14"/>
                <w:szCs w:val="14"/>
                <w:color w:val="auto"/>
              </w:rPr>
              <w:t>16</w:t>
            </w:r>
          </w:p>
        </w:tc>
        <w:tc>
          <w:tcPr>
            <w:tcW w:w="1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2,892</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2,872</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2,874</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jc w:val="right"/>
              <w:ind w:right="9"/>
              <w:spacing w:after="0"/>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192"/>
        </w:trPr>
        <w:tc>
          <w:tcPr>
            <w:tcW w:w="2380" w:type="dxa"/>
            <w:vAlign w:val="bottom"/>
            <w:shd w:val="clear" w:color="auto" w:fill="CCEEFF"/>
          </w:tcPr>
          <w:p>
            <w:pPr>
              <w:ind w:left="180"/>
              <w:spacing w:after="0"/>
              <w:rPr>
                <w:sz w:val="20"/>
                <w:szCs w:val="20"/>
                <w:color w:val="auto"/>
              </w:rPr>
            </w:pPr>
            <w:r>
              <w:rPr>
                <w:rFonts w:ascii="Arial" w:cs="Arial" w:eastAsia="Arial" w:hAnsi="Arial"/>
                <w:sz w:val="14"/>
                <w:szCs w:val="14"/>
                <w:color w:val="auto"/>
              </w:rPr>
              <w:t>2.5%</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(559)</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(490)</w:t>
            </w:r>
          </w:p>
        </w:tc>
        <w:tc>
          <w:tcPr>
            <w:tcW w:w="12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(503)</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1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17,602</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17,953</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17,914</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w:t>
            </w:r>
          </w:p>
        </w:tc>
        <w:tc>
          <w:tcPr>
            <w:tcW w:w="0" w:type="dxa"/>
            <w:vAlign w:val="bottom"/>
          </w:tcPr>
          <w:p>
            <w:pPr>
              <w:spacing w:after="0"/>
              <w:rPr>
                <w:sz w:val="1"/>
                <w:szCs w:val="1"/>
                <w:color w:val="auto"/>
              </w:rPr>
            </w:pPr>
          </w:p>
        </w:tc>
      </w:tr>
      <w:tr>
        <w:trPr>
          <w:trHeight w:val="186"/>
        </w:trPr>
        <w:tc>
          <w:tcPr>
            <w:tcW w:w="2380" w:type="dxa"/>
            <w:vAlign w:val="bottom"/>
          </w:tcPr>
          <w:p>
            <w:pPr>
              <w:ind w:left="180"/>
              <w:spacing w:after="0"/>
              <w:rPr>
                <w:sz w:val="20"/>
                <w:szCs w:val="20"/>
                <w:color w:val="auto"/>
              </w:rPr>
            </w:pPr>
            <w:r>
              <w:rPr>
                <w:rFonts w:ascii="Arial" w:cs="Arial" w:eastAsia="Arial" w:hAnsi="Arial"/>
                <w:sz w:val="14"/>
                <w:szCs w:val="14"/>
                <w:color w:val="auto"/>
              </w:rPr>
              <w:t>3.0%</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137</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133</w:t>
            </w: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40" w:type="dxa"/>
            <w:vAlign w:val="bottom"/>
          </w:tcPr>
          <w:p>
            <w:pPr>
              <w:jc w:val="right"/>
              <w:ind w:right="9"/>
              <w:spacing w:after="0"/>
              <w:rPr>
                <w:sz w:val="20"/>
                <w:szCs w:val="20"/>
                <w:color w:val="auto"/>
              </w:rPr>
            </w:pPr>
            <w:r>
              <w:rPr>
                <w:rFonts w:ascii="Arial" w:cs="Arial" w:eastAsia="Arial" w:hAnsi="Arial"/>
                <w:sz w:val="14"/>
                <w:szCs w:val="14"/>
                <w:color w:val="auto"/>
              </w:rPr>
              <w:t>128</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(5)</w:t>
            </w:r>
          </w:p>
        </w:tc>
        <w:tc>
          <w:tcPr>
            <w:tcW w:w="1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3,559</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3,692</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3,682</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(10)</w:t>
            </w:r>
          </w:p>
        </w:tc>
        <w:tc>
          <w:tcPr>
            <w:tcW w:w="0" w:type="dxa"/>
            <w:vAlign w:val="bottom"/>
          </w:tcPr>
          <w:p>
            <w:pPr>
              <w:spacing w:after="0"/>
              <w:rPr>
                <w:sz w:val="1"/>
                <w:szCs w:val="1"/>
                <w:color w:val="auto"/>
              </w:rPr>
            </w:pPr>
          </w:p>
        </w:tc>
      </w:tr>
      <w:tr>
        <w:trPr>
          <w:trHeight w:val="192"/>
        </w:trPr>
        <w:tc>
          <w:tcPr>
            <w:tcW w:w="2380" w:type="dxa"/>
            <w:vAlign w:val="bottom"/>
            <w:shd w:val="clear" w:color="auto" w:fill="CCEEFF"/>
          </w:tcPr>
          <w:p>
            <w:pPr>
              <w:ind w:left="18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(81)</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w:t>
            </w:r>
          </w:p>
        </w:tc>
        <w:tc>
          <w:tcPr>
            <w:tcW w:w="12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(78)</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(54)</w:t>
            </w:r>
          </w:p>
        </w:tc>
        <w:tc>
          <w:tcPr>
            <w:tcW w:w="1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581</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611</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611</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4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6"/>
        </w:trPr>
        <w:tc>
          <w:tcPr>
            <w:tcW w:w="2380" w:type="dxa"/>
            <w:vAlign w:val="bottom"/>
          </w:tcPr>
          <w:p>
            <w:pPr>
              <w:ind w:left="180"/>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2,838</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2,928</w:t>
            </w: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40" w:type="dxa"/>
            <w:vAlign w:val="bottom"/>
          </w:tcPr>
          <w:p>
            <w:pPr>
              <w:jc w:val="right"/>
              <w:ind w:right="9"/>
              <w:spacing w:after="0"/>
              <w:rPr>
                <w:sz w:val="20"/>
                <w:szCs w:val="20"/>
                <w:color w:val="auto"/>
              </w:rPr>
            </w:pPr>
            <w:r>
              <w:rPr>
                <w:rFonts w:ascii="Arial" w:cs="Arial" w:eastAsia="Arial" w:hAnsi="Arial"/>
                <w:sz w:val="14"/>
                <w:szCs w:val="14"/>
                <w:color w:val="auto"/>
              </w:rPr>
              <w:t>2,797</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(131)</w:t>
            </w:r>
          </w:p>
        </w:tc>
        <w:tc>
          <w:tcPr>
            <w:tcW w:w="1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840" w:type="dxa"/>
            <w:vAlign w:val="bottom"/>
          </w:tcPr>
          <w:p>
            <w:pPr>
              <w:jc w:val="right"/>
              <w:ind w:right="9"/>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92"/>
        </w:trPr>
        <w:tc>
          <w:tcPr>
            <w:tcW w:w="250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 4.5%</w:t>
            </w:r>
          </w:p>
        </w:tc>
        <w:tc>
          <w:tcPr>
            <w:tcW w:w="14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12,492</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12,502</w:t>
            </w:r>
          </w:p>
        </w:tc>
        <w:tc>
          <w:tcPr>
            <w:tcW w:w="12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64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12,581</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40" w:type="dxa"/>
            <w:vAlign w:val="bottom"/>
            <w:shd w:val="clear" w:color="auto" w:fill="CCEEFF"/>
          </w:tcPr>
          <w:p>
            <w:pPr>
              <w:ind w:left="620"/>
              <w:spacing w:after="0"/>
              <w:rPr>
                <w:sz w:val="20"/>
                <w:szCs w:val="20"/>
                <w:color w:val="auto"/>
              </w:rPr>
            </w:pPr>
            <w:r>
              <w:rPr>
                <w:rFonts w:ascii="Arial" w:cs="Arial" w:eastAsia="Arial" w:hAnsi="Arial"/>
                <w:sz w:val="14"/>
                <w:szCs w:val="14"/>
                <w:color w:val="auto"/>
              </w:rPr>
              <w:t>79</w:t>
            </w:r>
          </w:p>
        </w:tc>
        <w:tc>
          <w:tcPr>
            <w:tcW w:w="1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84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79"/>
        </w:trPr>
        <w:tc>
          <w:tcPr>
            <w:tcW w:w="250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Total 30-Year TBA securities, net</w:t>
            </w:r>
          </w:p>
        </w:tc>
        <w:tc>
          <w:tcPr>
            <w:tcW w:w="140" w:type="dxa"/>
            <w:vAlign w:val="bottom"/>
            <w:tcBorders>
              <w:top w:val="single" w:sz="8" w:color="auto"/>
              <w:bottom w:val="single" w:sz="8" w:color="auto"/>
            </w:tcBorders>
          </w:tcPr>
          <w:p>
            <w:pPr>
              <w:spacing w:after="0"/>
              <w:rPr>
                <w:sz w:val="15"/>
                <w:szCs w:val="15"/>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15,822</w:t>
            </w:r>
          </w:p>
        </w:tc>
        <w:tc>
          <w:tcPr>
            <w:tcW w:w="120" w:type="dxa"/>
            <w:vAlign w:val="bottom"/>
            <w:tcBorders>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15,897</w:t>
            </w:r>
          </w:p>
        </w:tc>
        <w:tc>
          <w:tcPr>
            <w:tcW w:w="120" w:type="dxa"/>
            <w:vAlign w:val="bottom"/>
            <w:tcBorders>
              <w:bottom w:val="single" w:sz="8" w:color="CCEEFF"/>
            </w:tcBorders>
          </w:tcPr>
          <w:p>
            <w:pPr>
              <w:spacing w:after="0"/>
              <w:rPr>
                <w:sz w:val="15"/>
                <w:szCs w:val="15"/>
                <w:color w:val="auto"/>
              </w:rPr>
            </w:pPr>
          </w:p>
        </w:tc>
        <w:tc>
          <w:tcPr>
            <w:tcW w:w="280" w:type="dxa"/>
            <w:vAlign w:val="bottom"/>
            <w:tcBorders>
              <w:top w:val="single" w:sz="8" w:color="auto"/>
              <w:bottom w:val="single" w:sz="8" w:color="auto"/>
            </w:tcBorders>
          </w:tcPr>
          <w:p>
            <w:pPr>
              <w:spacing w:after="0"/>
              <w:rPr>
                <w:sz w:val="15"/>
                <w:szCs w:val="15"/>
                <w:color w:val="auto"/>
              </w:rPr>
            </w:pPr>
          </w:p>
        </w:tc>
        <w:tc>
          <w:tcPr>
            <w:tcW w:w="64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4"/>
                <w:szCs w:val="14"/>
                <w:color w:val="auto"/>
              </w:rPr>
              <w:t>15,789</w:t>
            </w:r>
          </w:p>
        </w:tc>
        <w:tc>
          <w:tcPr>
            <w:tcW w:w="100" w:type="dxa"/>
            <w:vAlign w:val="bottom"/>
            <w:tcBorders>
              <w:bottom w:val="single" w:sz="8" w:color="CCEEFF"/>
            </w:tcBorders>
          </w:tcPr>
          <w:p>
            <w:pPr>
              <w:spacing w:after="0"/>
              <w:rPr>
                <w:sz w:val="15"/>
                <w:szCs w:val="15"/>
                <w:color w:val="auto"/>
              </w:rPr>
            </w:pPr>
          </w:p>
        </w:tc>
        <w:tc>
          <w:tcPr>
            <w:tcW w:w="100" w:type="dxa"/>
            <w:vAlign w:val="bottom"/>
            <w:tcBorders>
              <w:top w:val="single" w:sz="8" w:color="auto"/>
              <w:bottom w:val="single" w:sz="8" w:color="auto"/>
            </w:tcBorders>
          </w:tcPr>
          <w:p>
            <w:pPr>
              <w:spacing w:after="0"/>
              <w:rPr>
                <w:sz w:val="15"/>
                <w:szCs w:val="15"/>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(108)</w:t>
            </w:r>
          </w:p>
        </w:tc>
        <w:tc>
          <w:tcPr>
            <w:tcW w:w="160" w:type="dxa"/>
            <w:vAlign w:val="bottom"/>
            <w:tcBorders>
              <w:bottom w:val="single" w:sz="8" w:color="CCEEFF"/>
            </w:tcBorders>
          </w:tcPr>
          <w:p>
            <w:pPr>
              <w:spacing w:after="0"/>
              <w:rPr>
                <w:sz w:val="15"/>
                <w:szCs w:val="15"/>
                <w:color w:val="auto"/>
              </w:rPr>
            </w:pPr>
          </w:p>
        </w:tc>
        <w:tc>
          <w:tcPr>
            <w:tcW w:w="160" w:type="dxa"/>
            <w:vAlign w:val="bottom"/>
            <w:tcBorders>
              <w:top w:val="single" w:sz="8" w:color="auto"/>
              <w:bottom w:val="single" w:sz="8" w:color="auto"/>
            </w:tcBorders>
          </w:tcPr>
          <w:p>
            <w:pPr>
              <w:spacing w:after="0"/>
              <w:rPr>
                <w:sz w:val="15"/>
                <w:szCs w:val="15"/>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24,634</w:t>
            </w:r>
          </w:p>
        </w:tc>
        <w:tc>
          <w:tcPr>
            <w:tcW w:w="100" w:type="dxa"/>
            <w:vAlign w:val="bottom"/>
            <w:tcBorders>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25,128</w:t>
            </w:r>
          </w:p>
        </w:tc>
        <w:tc>
          <w:tcPr>
            <w:tcW w:w="100" w:type="dxa"/>
            <w:vAlign w:val="bottom"/>
            <w:tcBorders>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25,081</w:t>
            </w:r>
          </w:p>
        </w:tc>
        <w:tc>
          <w:tcPr>
            <w:tcW w:w="100" w:type="dxa"/>
            <w:vAlign w:val="bottom"/>
            <w:tcBorders>
              <w:bottom w:val="single" w:sz="8" w:color="CCEEFF"/>
            </w:tcBorders>
          </w:tcPr>
          <w:p>
            <w:pPr>
              <w:spacing w:after="0"/>
              <w:rPr>
                <w:sz w:val="15"/>
                <w:szCs w:val="15"/>
                <w:color w:val="auto"/>
              </w:rPr>
            </w:pPr>
          </w:p>
        </w:tc>
        <w:tc>
          <w:tcPr>
            <w:tcW w:w="100" w:type="dxa"/>
            <w:vAlign w:val="bottom"/>
            <w:tcBorders>
              <w:top w:val="single" w:sz="8" w:color="auto"/>
              <w:bottom w:val="single" w:sz="8" w:color="auto"/>
            </w:tcBorders>
          </w:tcPr>
          <w:p>
            <w:pPr>
              <w:spacing w:after="0"/>
              <w:rPr>
                <w:sz w:val="15"/>
                <w:szCs w:val="15"/>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(47)</w:t>
            </w:r>
          </w:p>
        </w:tc>
        <w:tc>
          <w:tcPr>
            <w:tcW w:w="0" w:type="dxa"/>
            <w:vAlign w:val="bottom"/>
          </w:tcPr>
          <w:p>
            <w:pPr>
              <w:spacing w:after="0"/>
              <w:rPr>
                <w:sz w:val="1"/>
                <w:szCs w:val="1"/>
                <w:color w:val="auto"/>
              </w:rPr>
            </w:pPr>
          </w:p>
        </w:tc>
      </w:tr>
      <w:tr>
        <w:trPr>
          <w:trHeight w:val="211"/>
        </w:trPr>
        <w:tc>
          <w:tcPr>
            <w:tcW w:w="25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Total TBA securities, net</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15,927</w:t>
            </w:r>
          </w:p>
        </w:tc>
        <w:tc>
          <w:tcPr>
            <w:tcW w:w="12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16,001</w:t>
            </w:r>
          </w:p>
        </w:tc>
        <w:tc>
          <w:tcPr>
            <w:tcW w:w="120" w:type="dxa"/>
            <w:vAlign w:val="bottom"/>
            <w:tcBorders>
              <w:bottom w:val="single" w:sz="8" w:color="CCEEFF"/>
            </w:tcBorders>
            <w:shd w:val="clear" w:color="auto" w:fill="CCEEFF"/>
          </w:tcPr>
          <w:p>
            <w:pPr>
              <w:spacing w:after="0"/>
              <w:rPr>
                <w:sz w:val="17"/>
                <w:szCs w:val="17"/>
                <w:color w:val="auto"/>
              </w:rPr>
            </w:pPr>
          </w:p>
        </w:tc>
        <w:tc>
          <w:tcPr>
            <w:tcW w:w="28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w w:val="76"/>
              </w:rPr>
              <w:t>$</w:t>
            </w:r>
          </w:p>
        </w:tc>
        <w:tc>
          <w:tcPr>
            <w:tcW w:w="64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15,893</w:t>
            </w:r>
          </w:p>
        </w:tc>
        <w:tc>
          <w:tcPr>
            <w:tcW w:w="10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(108)</w:t>
            </w:r>
          </w:p>
        </w:tc>
        <w:tc>
          <w:tcPr>
            <w:tcW w:w="160" w:type="dxa"/>
            <w:vAlign w:val="bottom"/>
            <w:tcBorders>
              <w:bottom w:val="single" w:sz="8" w:color="CCEEFF"/>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26,673</w:t>
            </w:r>
          </w:p>
        </w:tc>
        <w:tc>
          <w:tcPr>
            <w:tcW w:w="1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27,184</w:t>
            </w:r>
          </w:p>
        </w:tc>
        <w:tc>
          <w:tcPr>
            <w:tcW w:w="1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27,140</w:t>
            </w:r>
          </w:p>
        </w:tc>
        <w:tc>
          <w:tcPr>
            <w:tcW w:w="10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(44)</w:t>
            </w:r>
          </w:p>
        </w:tc>
        <w:tc>
          <w:tcPr>
            <w:tcW w:w="0" w:type="dxa"/>
            <w:vAlign w:val="bottom"/>
          </w:tcPr>
          <w:p>
            <w:pPr>
              <w:spacing w:after="0"/>
              <w:rPr>
                <w:sz w:val="1"/>
                <w:szCs w:val="1"/>
                <w:color w:val="auto"/>
              </w:rPr>
            </w:pPr>
          </w:p>
        </w:tc>
      </w:tr>
      <w:tr>
        <w:trPr>
          <w:trHeight w:val="20"/>
        </w:trPr>
        <w:tc>
          <w:tcPr>
            <w:tcW w:w="23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6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6"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41" w:lineRule="auto"/>
        <w:tabs>
          <w:tab w:leader="none" w:pos="660" w:val="left"/>
        </w:tabs>
        <w:numPr>
          <w:ilvl w:val="0"/>
          <w:numId w:val="10"/>
        </w:numPr>
        <w:rPr>
          <w:rFonts w:ascii="Arial" w:cs="Arial" w:eastAsia="Arial" w:hAnsi="Arial"/>
          <w:sz w:val="14"/>
          <w:szCs w:val="14"/>
          <w:color w:val="auto"/>
        </w:rPr>
      </w:pPr>
      <w:r>
        <w:rPr>
          <w:rFonts w:ascii="Arial" w:cs="Arial" w:eastAsia="Arial" w:hAnsi="Arial"/>
          <w:sz w:val="14"/>
          <w:szCs w:val="14"/>
          <w:color w:val="auto"/>
        </w:rPr>
        <w:t>Net carrying value represents the difference between the fair market value and the cost basis (or the forward price to be paid/(received) for the underlying Agency security) of the TBA contract as of period-end and is reported in derivative assets/(liabilities), at fair value in our consolidated balance sheets.</w:t>
      </w:r>
    </w:p>
    <w:p>
      <w:pPr>
        <w:ind w:left="660" w:hanging="328"/>
        <w:spacing w:after="0"/>
        <w:tabs>
          <w:tab w:leader="none" w:pos="660" w:val="left"/>
        </w:tabs>
        <w:numPr>
          <w:ilvl w:val="0"/>
          <w:numId w:val="10"/>
        </w:numPr>
        <w:rPr>
          <w:rFonts w:ascii="Arial" w:cs="Arial" w:eastAsia="Arial" w:hAnsi="Arial"/>
          <w:sz w:val="14"/>
          <w:szCs w:val="14"/>
          <w:color w:val="auto"/>
        </w:rPr>
      </w:pPr>
      <w:r>
        <w:rPr>
          <w:rFonts w:ascii="Arial" w:cs="Arial" w:eastAsia="Arial" w:hAnsi="Arial"/>
          <w:sz w:val="14"/>
          <w:szCs w:val="14"/>
          <w:color w:val="auto"/>
        </w:rPr>
        <w:t>Table excludes forward settling non-Agency securities totaling $0.4 billion fair value and $0.2 million net carrying value as of December 31, 2021.</w:t>
      </w:r>
    </w:p>
    <w:p>
      <w:pPr>
        <w:spacing w:after="0" w:line="223" w:lineRule="exact"/>
        <w:rPr>
          <w:sz w:val="20"/>
          <w:szCs w:val="20"/>
          <w:color w:val="auto"/>
        </w:rPr>
      </w:pPr>
    </w:p>
    <w:p>
      <w:pPr>
        <w:jc w:val="both"/>
        <w:ind w:firstLine="445"/>
        <w:spacing w:after="0" w:line="242" w:lineRule="auto"/>
        <w:rPr>
          <w:sz w:val="20"/>
          <w:szCs w:val="20"/>
          <w:color w:val="auto"/>
        </w:rPr>
      </w:pPr>
      <w:r>
        <w:rPr>
          <w:rFonts w:ascii="Arial" w:cs="Arial" w:eastAsia="Arial" w:hAnsi="Arial"/>
          <w:sz w:val="17"/>
          <w:szCs w:val="17"/>
          <w:color w:val="auto"/>
        </w:rPr>
        <w:t>As of June 30, 2022, we had $215 million notional value of centrally cleared credit default swaps ("CDS") outstanding that reference the Markit CDX Investment Grade Index, maturing in June 2027. Under the terms of our CDS, we pay fixed periodic payments equal to 1% of the notional value and we are entitled to receive payments for qualified credit events. As of June 30, 2022, the CDS had an amortized cost basis of $(3) million, a market value of $39 thousand, and a carrying value of zero dollars net of variation margin settlements posted to us. Pursuant to rules governing central clearing activities, we recognize variation margin settlements as a direct reduction of the carrying value of the CDS asset or liability.</w:t>
      </w: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(Loss) From Derivative Instruments and Other Securities, Net</w:t>
      </w:r>
    </w:p>
    <w:p>
      <w:pPr>
        <w:spacing w:after="0" w:line="171" w:lineRule="exact"/>
        <w:rPr>
          <w:sz w:val="20"/>
          <w:szCs w:val="20"/>
          <w:color w:val="auto"/>
        </w:rPr>
      </w:pPr>
    </w:p>
    <w:p>
      <w:pPr>
        <w:jc w:val="both"/>
        <w:ind w:firstLine="405"/>
        <w:spacing w:after="0" w:line="269" w:lineRule="auto"/>
        <w:rPr>
          <w:sz w:val="20"/>
          <w:szCs w:val="20"/>
          <w:color w:val="auto"/>
        </w:rPr>
      </w:pPr>
      <w:r>
        <w:rPr>
          <w:rFonts w:ascii="Arial" w:cs="Arial" w:eastAsia="Arial" w:hAnsi="Arial"/>
          <w:sz w:val="18"/>
          <w:szCs w:val="18"/>
          <w:color w:val="auto"/>
        </w:rPr>
        <w:t>The following table summarizes changes in our derivative and other hedge portfolio and their effect on our consolidated statements of comprehensive income for the three and six months ended June 30, 2022 and 2021 (in millions):</w:t>
      </w:r>
    </w:p>
    <w:tbl>
      <w:tblPr>
        <w:tblLayout w:type="fixed"/>
        <w:tblInd w:w="0" w:type="dxa"/>
        <w:tblCellMar>
          <w:top w:w="0" w:type="dxa"/>
          <w:left w:w="0" w:type="dxa"/>
          <w:bottom w:w="0" w:type="dxa"/>
          <w:right w:w="0" w:type="dxa"/>
        </w:tblCellMar>
      </w:tblPr>
      <w:tr>
        <w:trPr>
          <w:trHeight w:val="144"/>
        </w:trPr>
        <w:tc>
          <w:tcPr>
            <w:tcW w:w="38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200" w:type="dxa"/>
            <w:vAlign w:val="bottom"/>
            <w:vMerge w:val="restart"/>
          </w:tcPr>
          <w:p>
            <w:pPr>
              <w:jc w:val="center"/>
              <w:ind w:right="2"/>
              <w:spacing w:after="0"/>
              <w:rPr>
                <w:sz w:val="20"/>
                <w:szCs w:val="20"/>
                <w:color w:val="auto"/>
              </w:rPr>
            </w:pPr>
            <w:r>
              <w:rPr>
                <w:rFonts w:ascii="Arial" w:cs="Arial" w:eastAsia="Arial" w:hAnsi="Arial"/>
                <w:sz w:val="14"/>
                <w:szCs w:val="14"/>
                <w:b w:val="1"/>
                <w:bCs w:val="1"/>
                <w:color w:val="auto"/>
                <w:w w:val="90"/>
              </w:rPr>
              <w:t>Settlement,</w:t>
            </w:r>
          </w:p>
        </w:tc>
        <w:tc>
          <w:tcPr>
            <w:tcW w:w="30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0" w:type="dxa"/>
            <w:vAlign w:val="bottom"/>
          </w:tcPr>
          <w:p>
            <w:pPr>
              <w:jc w:val="center"/>
              <w:ind w:right="42"/>
              <w:spacing w:after="0" w:line="145" w:lineRule="exact"/>
              <w:rPr>
                <w:sz w:val="20"/>
                <w:szCs w:val="20"/>
                <w:color w:val="auto"/>
              </w:rPr>
            </w:pPr>
            <w:r>
              <w:rPr>
                <w:rFonts w:ascii="Arial" w:cs="Arial" w:eastAsia="Arial" w:hAnsi="Arial"/>
                <w:sz w:val="14"/>
                <w:szCs w:val="14"/>
                <w:b w:val="1"/>
                <w:bCs w:val="1"/>
                <w:color w:val="auto"/>
                <w:w w:val="93"/>
              </w:rPr>
              <w:t>Gain/(Loss)</w:t>
            </w:r>
          </w:p>
        </w:tc>
        <w:tc>
          <w:tcPr>
            <w:tcW w:w="0" w:type="dxa"/>
            <w:vAlign w:val="bottom"/>
          </w:tcPr>
          <w:p>
            <w:pPr>
              <w:spacing w:after="0"/>
              <w:rPr>
                <w:sz w:val="1"/>
                <w:szCs w:val="1"/>
                <w:color w:val="auto"/>
              </w:rPr>
            </w:pPr>
          </w:p>
        </w:tc>
      </w:tr>
      <w:tr>
        <w:trPr>
          <w:trHeight w:val="135"/>
        </w:trPr>
        <w:tc>
          <w:tcPr>
            <w:tcW w:w="38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1200" w:type="dxa"/>
            <w:vAlign w:val="bottom"/>
            <w:vMerge w:val="continue"/>
          </w:tcPr>
          <w:p>
            <w:pPr>
              <w:spacing w:after="0"/>
              <w:rPr>
                <w:sz w:val="11"/>
                <w:szCs w:val="11"/>
                <w:color w:val="auto"/>
              </w:rPr>
            </w:pPr>
          </w:p>
        </w:tc>
        <w:tc>
          <w:tcPr>
            <w:tcW w:w="30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tcPr>
          <w:p>
            <w:pPr>
              <w:jc w:val="center"/>
              <w:ind w:right="42"/>
              <w:spacing w:after="0" w:line="135" w:lineRule="exact"/>
              <w:rPr>
                <w:sz w:val="20"/>
                <w:szCs w:val="20"/>
                <w:color w:val="auto"/>
              </w:rPr>
            </w:pPr>
            <w:r>
              <w:rPr>
                <w:rFonts w:ascii="Arial" w:cs="Arial" w:eastAsia="Arial" w:hAnsi="Arial"/>
                <w:sz w:val="14"/>
                <w:szCs w:val="14"/>
                <w:b w:val="1"/>
                <w:bCs w:val="1"/>
                <w:color w:val="auto"/>
                <w:w w:val="95"/>
              </w:rPr>
              <w:t>on Derivative</w:t>
            </w:r>
          </w:p>
        </w:tc>
        <w:tc>
          <w:tcPr>
            <w:tcW w:w="0" w:type="dxa"/>
            <w:vAlign w:val="bottom"/>
          </w:tcPr>
          <w:p>
            <w:pPr>
              <w:spacing w:after="0"/>
              <w:rPr>
                <w:sz w:val="1"/>
                <w:szCs w:val="1"/>
                <w:color w:val="auto"/>
              </w:rPr>
            </w:pPr>
          </w:p>
        </w:tc>
      </w:tr>
      <w:tr>
        <w:trPr>
          <w:trHeight w:val="135"/>
        </w:trPr>
        <w:tc>
          <w:tcPr>
            <w:tcW w:w="38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160" w:type="dxa"/>
            <w:vAlign w:val="bottom"/>
            <w:vMerge w:val="restart"/>
          </w:tcPr>
          <w:p>
            <w:pPr>
              <w:jc w:val="right"/>
              <w:ind w:right="380"/>
              <w:spacing w:after="0"/>
              <w:rPr>
                <w:sz w:val="20"/>
                <w:szCs w:val="20"/>
                <w:color w:val="auto"/>
              </w:rPr>
            </w:pPr>
            <w:r>
              <w:rPr>
                <w:rFonts w:ascii="Arial" w:cs="Arial" w:eastAsia="Arial" w:hAnsi="Arial"/>
                <w:sz w:val="14"/>
                <w:szCs w:val="14"/>
                <w:b w:val="1"/>
                <w:bCs w:val="1"/>
                <w:color w:val="auto"/>
                <w:w w:val="99"/>
              </w:rPr>
              <w:t>Beginning</w:t>
            </w:r>
          </w:p>
        </w:tc>
        <w:tc>
          <w:tcPr>
            <w:tcW w:w="1240" w:type="dxa"/>
            <w:vAlign w:val="bottom"/>
          </w:tcPr>
          <w:p>
            <w:pPr>
              <w:spacing w:after="0"/>
              <w:rPr>
                <w:sz w:val="11"/>
                <w:szCs w:val="11"/>
                <w:color w:val="auto"/>
              </w:rPr>
            </w:pPr>
          </w:p>
        </w:tc>
        <w:tc>
          <w:tcPr>
            <w:tcW w:w="1200" w:type="dxa"/>
            <w:vAlign w:val="bottom"/>
          </w:tcPr>
          <w:p>
            <w:pPr>
              <w:jc w:val="center"/>
              <w:ind w:right="2"/>
              <w:spacing w:after="0" w:line="135" w:lineRule="exact"/>
              <w:rPr>
                <w:sz w:val="20"/>
                <w:szCs w:val="20"/>
                <w:color w:val="auto"/>
              </w:rPr>
            </w:pPr>
            <w:r>
              <w:rPr>
                <w:rFonts w:ascii="Arial" w:cs="Arial" w:eastAsia="Arial" w:hAnsi="Arial"/>
                <w:sz w:val="14"/>
                <w:szCs w:val="14"/>
                <w:b w:val="1"/>
                <w:bCs w:val="1"/>
                <w:color w:val="auto"/>
                <w:w w:val="95"/>
              </w:rPr>
              <w:t>Termination,</w:t>
            </w:r>
          </w:p>
        </w:tc>
        <w:tc>
          <w:tcPr>
            <w:tcW w:w="300" w:type="dxa"/>
            <w:vAlign w:val="bottom"/>
          </w:tcPr>
          <w:p>
            <w:pPr>
              <w:spacing w:after="0"/>
              <w:rPr>
                <w:sz w:val="11"/>
                <w:szCs w:val="11"/>
                <w:color w:val="auto"/>
              </w:rPr>
            </w:pPr>
          </w:p>
        </w:tc>
        <w:tc>
          <w:tcPr>
            <w:tcW w:w="1160" w:type="dxa"/>
            <w:vAlign w:val="bottom"/>
            <w:gridSpan w:val="2"/>
            <w:vMerge w:val="restart"/>
          </w:tcPr>
          <w:p>
            <w:pPr>
              <w:jc w:val="center"/>
              <w:ind w:right="460"/>
              <w:spacing w:after="0"/>
              <w:rPr>
                <w:sz w:val="20"/>
                <w:szCs w:val="20"/>
                <w:color w:val="auto"/>
              </w:rPr>
            </w:pPr>
            <w:r>
              <w:rPr>
                <w:rFonts w:ascii="Arial" w:cs="Arial" w:eastAsia="Arial" w:hAnsi="Arial"/>
                <w:sz w:val="14"/>
                <w:szCs w:val="14"/>
                <w:b w:val="1"/>
                <w:bCs w:val="1"/>
                <w:color w:val="auto"/>
                <w:w w:val="96"/>
              </w:rPr>
              <w:t>Ending</w:t>
            </w:r>
          </w:p>
        </w:tc>
        <w:tc>
          <w:tcPr>
            <w:tcW w:w="120" w:type="dxa"/>
            <w:vAlign w:val="bottom"/>
          </w:tcPr>
          <w:p>
            <w:pPr>
              <w:spacing w:after="0"/>
              <w:rPr>
                <w:sz w:val="11"/>
                <w:szCs w:val="11"/>
                <w:color w:val="auto"/>
              </w:rPr>
            </w:pPr>
          </w:p>
        </w:tc>
        <w:tc>
          <w:tcPr>
            <w:tcW w:w="1200" w:type="dxa"/>
            <w:vAlign w:val="bottom"/>
          </w:tcPr>
          <w:p>
            <w:pPr>
              <w:jc w:val="center"/>
              <w:ind w:right="62"/>
              <w:spacing w:after="0" w:line="135" w:lineRule="exact"/>
              <w:rPr>
                <w:sz w:val="20"/>
                <w:szCs w:val="20"/>
                <w:color w:val="auto"/>
              </w:rPr>
            </w:pPr>
            <w:r>
              <w:rPr>
                <w:rFonts w:ascii="Arial" w:cs="Arial" w:eastAsia="Arial" w:hAnsi="Arial"/>
                <w:sz w:val="14"/>
                <w:szCs w:val="14"/>
                <w:b w:val="1"/>
                <w:bCs w:val="1"/>
                <w:color w:val="auto"/>
                <w:w w:val="93"/>
              </w:rPr>
              <w:t>Instruments and</w:t>
            </w:r>
          </w:p>
        </w:tc>
        <w:tc>
          <w:tcPr>
            <w:tcW w:w="0" w:type="dxa"/>
            <w:vAlign w:val="bottom"/>
          </w:tcPr>
          <w:p>
            <w:pPr>
              <w:spacing w:after="0"/>
              <w:rPr>
                <w:sz w:val="1"/>
                <w:szCs w:val="1"/>
                <w:color w:val="auto"/>
              </w:rPr>
            </w:pPr>
          </w:p>
        </w:tc>
      </w:tr>
      <w:tr>
        <w:trPr>
          <w:trHeight w:val="135"/>
        </w:trPr>
        <w:tc>
          <w:tcPr>
            <w:tcW w:w="388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Derivative and Other Hedging Instruments</w:t>
            </w:r>
          </w:p>
        </w:tc>
        <w:tc>
          <w:tcPr>
            <w:tcW w:w="940" w:type="dxa"/>
            <w:vAlign w:val="bottom"/>
          </w:tcPr>
          <w:p>
            <w:pPr>
              <w:spacing w:after="0"/>
              <w:rPr>
                <w:sz w:val="11"/>
                <w:szCs w:val="11"/>
                <w:color w:val="auto"/>
              </w:rPr>
            </w:pPr>
          </w:p>
        </w:tc>
        <w:tc>
          <w:tcPr>
            <w:tcW w:w="1160" w:type="dxa"/>
            <w:vAlign w:val="bottom"/>
            <w:vMerge w:val="continue"/>
          </w:tcPr>
          <w:p>
            <w:pPr>
              <w:spacing w:after="0"/>
              <w:rPr>
                <w:sz w:val="11"/>
                <w:szCs w:val="11"/>
                <w:color w:val="auto"/>
              </w:rPr>
            </w:pPr>
          </w:p>
        </w:tc>
        <w:tc>
          <w:tcPr>
            <w:tcW w:w="1240" w:type="dxa"/>
            <w:vAlign w:val="bottom"/>
            <w:vMerge w:val="restart"/>
          </w:tcPr>
          <w:p>
            <w:pPr>
              <w:jc w:val="right"/>
              <w:ind w:right="340"/>
              <w:spacing w:after="0"/>
              <w:rPr>
                <w:sz w:val="20"/>
                <w:szCs w:val="20"/>
                <w:color w:val="auto"/>
              </w:rPr>
            </w:pPr>
            <w:r>
              <w:rPr>
                <w:rFonts w:ascii="Arial" w:cs="Arial" w:eastAsia="Arial" w:hAnsi="Arial"/>
                <w:sz w:val="14"/>
                <w:szCs w:val="14"/>
                <w:b w:val="1"/>
                <w:bCs w:val="1"/>
                <w:color w:val="auto"/>
              </w:rPr>
              <w:t>Additions</w:t>
            </w:r>
          </w:p>
        </w:tc>
        <w:tc>
          <w:tcPr>
            <w:tcW w:w="1200" w:type="dxa"/>
            <w:vAlign w:val="bottom"/>
          </w:tcPr>
          <w:p>
            <w:pPr>
              <w:jc w:val="center"/>
              <w:ind w:right="2"/>
              <w:spacing w:after="0" w:line="135" w:lineRule="exact"/>
              <w:rPr>
                <w:sz w:val="20"/>
                <w:szCs w:val="20"/>
                <w:color w:val="auto"/>
              </w:rPr>
            </w:pPr>
            <w:r>
              <w:rPr>
                <w:rFonts w:ascii="Arial" w:cs="Arial" w:eastAsia="Arial" w:hAnsi="Arial"/>
                <w:sz w:val="14"/>
                <w:szCs w:val="14"/>
                <w:b w:val="1"/>
                <w:bCs w:val="1"/>
                <w:color w:val="auto"/>
                <w:w w:val="97"/>
              </w:rPr>
              <w:t>Expiration or</w:t>
            </w:r>
          </w:p>
        </w:tc>
        <w:tc>
          <w:tcPr>
            <w:tcW w:w="300" w:type="dxa"/>
            <w:vAlign w:val="bottom"/>
          </w:tcPr>
          <w:p>
            <w:pPr>
              <w:spacing w:after="0"/>
              <w:rPr>
                <w:sz w:val="11"/>
                <w:szCs w:val="11"/>
                <w:color w:val="auto"/>
              </w:rPr>
            </w:pPr>
          </w:p>
        </w:tc>
        <w:tc>
          <w:tcPr>
            <w:tcW w:w="116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tcPr>
          <w:p>
            <w:pPr>
              <w:jc w:val="center"/>
              <w:ind w:right="42"/>
              <w:spacing w:after="0" w:line="135" w:lineRule="exact"/>
              <w:rPr>
                <w:sz w:val="20"/>
                <w:szCs w:val="20"/>
                <w:color w:val="auto"/>
              </w:rPr>
            </w:pPr>
            <w:r>
              <w:rPr>
                <w:rFonts w:ascii="Arial" w:cs="Arial" w:eastAsia="Arial" w:hAnsi="Arial"/>
                <w:sz w:val="14"/>
                <w:szCs w:val="14"/>
                <w:b w:val="1"/>
                <w:bCs w:val="1"/>
                <w:color w:val="auto"/>
                <w:w w:val="92"/>
              </w:rPr>
              <w:t>Other Securities,</w:t>
            </w:r>
          </w:p>
        </w:tc>
        <w:tc>
          <w:tcPr>
            <w:tcW w:w="0" w:type="dxa"/>
            <w:vAlign w:val="bottom"/>
          </w:tcPr>
          <w:p>
            <w:pPr>
              <w:spacing w:after="0"/>
              <w:rPr>
                <w:sz w:val="1"/>
                <w:szCs w:val="1"/>
                <w:color w:val="auto"/>
              </w:rPr>
            </w:pPr>
          </w:p>
        </w:tc>
      </w:tr>
      <w:tr>
        <w:trPr>
          <w:trHeight w:val="189"/>
        </w:trPr>
        <w:tc>
          <w:tcPr>
            <w:tcW w:w="3880" w:type="dxa"/>
            <w:vAlign w:val="bottom"/>
            <w:vMerge w:val="continue"/>
          </w:tcPr>
          <w:p>
            <w:pPr>
              <w:spacing w:after="0"/>
              <w:rPr>
                <w:sz w:val="16"/>
                <w:szCs w:val="16"/>
                <w:color w:val="auto"/>
              </w:rPr>
            </w:pPr>
          </w:p>
        </w:tc>
        <w:tc>
          <w:tcPr>
            <w:tcW w:w="210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rPr>
              <w:t>Notional Amount</w:t>
            </w:r>
          </w:p>
        </w:tc>
        <w:tc>
          <w:tcPr>
            <w:tcW w:w="1240" w:type="dxa"/>
            <w:vAlign w:val="bottom"/>
            <w:vMerge w:val="continue"/>
          </w:tcPr>
          <w:p>
            <w:pPr>
              <w:spacing w:after="0"/>
              <w:rPr>
                <w:sz w:val="16"/>
                <w:szCs w:val="16"/>
                <w:color w:val="auto"/>
              </w:rPr>
            </w:pPr>
          </w:p>
        </w:tc>
        <w:tc>
          <w:tcPr>
            <w:tcW w:w="1200" w:type="dxa"/>
            <w:vAlign w:val="bottom"/>
          </w:tcPr>
          <w:p>
            <w:pPr>
              <w:jc w:val="center"/>
              <w:ind w:right="2"/>
              <w:spacing w:after="0"/>
              <w:rPr>
                <w:sz w:val="20"/>
                <w:szCs w:val="20"/>
                <w:color w:val="auto"/>
              </w:rPr>
            </w:pPr>
            <w:r>
              <w:rPr>
                <w:rFonts w:ascii="Arial" w:cs="Arial" w:eastAsia="Arial" w:hAnsi="Arial"/>
                <w:sz w:val="14"/>
                <w:szCs w:val="14"/>
                <w:b w:val="1"/>
                <w:bCs w:val="1"/>
                <w:color w:val="auto"/>
                <w:w w:val="90"/>
              </w:rPr>
              <w:t>Exercise</w:t>
            </w:r>
          </w:p>
        </w:tc>
        <w:tc>
          <w:tcPr>
            <w:tcW w:w="146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93"/>
              </w:rPr>
              <w:t>Notional Amount</w:t>
            </w:r>
          </w:p>
        </w:tc>
        <w:tc>
          <w:tcPr>
            <w:tcW w:w="120" w:type="dxa"/>
            <w:vAlign w:val="bottom"/>
          </w:tcPr>
          <w:p>
            <w:pPr>
              <w:spacing w:after="0"/>
              <w:rPr>
                <w:sz w:val="16"/>
                <w:szCs w:val="16"/>
                <w:color w:val="auto"/>
              </w:rPr>
            </w:pPr>
          </w:p>
        </w:tc>
        <w:tc>
          <w:tcPr>
            <w:tcW w:w="1200" w:type="dxa"/>
            <w:vAlign w:val="bottom"/>
          </w:tcPr>
          <w:p>
            <w:pPr>
              <w:jc w:val="center"/>
              <w:ind w:right="62"/>
              <w:spacing w:after="0" w:line="189" w:lineRule="exact"/>
              <w:rPr>
                <w:sz w:val="20"/>
                <w:szCs w:val="20"/>
                <w:color w:val="auto"/>
              </w:rPr>
            </w:pPr>
            <w:r>
              <w:rPr>
                <w:rFonts w:ascii="Arial" w:cs="Arial" w:eastAsia="Arial" w:hAnsi="Arial"/>
                <w:sz w:val="14"/>
                <w:szCs w:val="14"/>
                <w:b w:val="1"/>
                <w:bCs w:val="1"/>
                <w:color w:val="auto"/>
                <w:w w:val="90"/>
              </w:rPr>
              <w:t xml:space="preserve">Net </w:t>
            </w:r>
            <w:r>
              <w:rPr>
                <w:rFonts w:ascii="Arial" w:cs="Arial" w:eastAsia="Arial" w:hAnsi="Arial"/>
                <w:sz w:val="18"/>
                <w:szCs w:val="18"/>
                <w:b w:val="1"/>
                <w:bCs w:val="1"/>
                <w:color w:val="auto"/>
                <w:w w:val="90"/>
                <w:vertAlign w:val="superscript"/>
              </w:rPr>
              <w:t>1</w:t>
            </w:r>
          </w:p>
        </w:tc>
        <w:tc>
          <w:tcPr>
            <w:tcW w:w="0" w:type="dxa"/>
            <w:vAlign w:val="bottom"/>
          </w:tcPr>
          <w:p>
            <w:pPr>
              <w:spacing w:after="0"/>
              <w:rPr>
                <w:sz w:val="1"/>
                <w:szCs w:val="1"/>
                <w:color w:val="auto"/>
              </w:rPr>
            </w:pPr>
          </w:p>
        </w:tc>
      </w:tr>
      <w:tr>
        <w:trPr>
          <w:trHeight w:val="216"/>
        </w:trPr>
        <w:tc>
          <w:tcPr>
            <w:tcW w:w="388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Three months ended June 30, 2022:</w:t>
            </w:r>
          </w:p>
        </w:tc>
        <w:tc>
          <w:tcPr>
            <w:tcW w:w="94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3880" w:type="dxa"/>
            <w:vAlign w:val="bottom"/>
          </w:tcPr>
          <w:p>
            <w:pPr>
              <w:ind w:left="20"/>
              <w:spacing w:after="0"/>
              <w:rPr>
                <w:sz w:val="20"/>
                <w:szCs w:val="20"/>
                <w:color w:val="auto"/>
              </w:rPr>
            </w:pPr>
            <w:r>
              <w:rPr>
                <w:rFonts w:ascii="Arial" w:cs="Arial" w:eastAsia="Arial" w:hAnsi="Arial"/>
                <w:sz w:val="16"/>
                <w:szCs w:val="16"/>
                <w:color w:val="auto"/>
              </w:rPr>
              <w:t>TBA securities, net</w:t>
            </w: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160"/>
              <w:spacing w:after="0"/>
              <w:rPr>
                <w:sz w:val="20"/>
                <w:szCs w:val="20"/>
                <w:color w:val="auto"/>
              </w:rPr>
            </w:pPr>
            <w:r>
              <w:rPr>
                <w:rFonts w:ascii="Arial" w:cs="Arial" w:eastAsia="Arial" w:hAnsi="Arial"/>
                <w:sz w:val="16"/>
                <w:szCs w:val="16"/>
                <w:color w:val="auto"/>
              </w:rPr>
              <w:t>19,607</w:t>
            </w:r>
          </w:p>
        </w:tc>
        <w:tc>
          <w:tcPr>
            <w:tcW w:w="1240" w:type="dxa"/>
            <w:vAlign w:val="bottom"/>
          </w:tcPr>
          <w:p>
            <w:pPr>
              <w:jc w:val="right"/>
              <w:ind w:right="120"/>
              <w:spacing w:after="0"/>
              <w:rPr>
                <w:sz w:val="20"/>
                <w:szCs w:val="20"/>
                <w:color w:val="auto"/>
              </w:rPr>
            </w:pPr>
            <w:r>
              <w:rPr>
                <w:rFonts w:ascii="Arial" w:cs="Arial" w:eastAsia="Arial" w:hAnsi="Arial"/>
                <w:sz w:val="16"/>
                <w:szCs w:val="16"/>
                <w:color w:val="auto"/>
              </w:rPr>
              <w:t>72,203</w:t>
            </w:r>
          </w:p>
        </w:tc>
        <w:tc>
          <w:tcPr>
            <w:tcW w:w="1200" w:type="dxa"/>
            <w:vAlign w:val="bottom"/>
          </w:tcPr>
          <w:p>
            <w:pPr>
              <w:jc w:val="right"/>
              <w:spacing w:after="0"/>
              <w:rPr>
                <w:sz w:val="20"/>
                <w:szCs w:val="20"/>
                <w:color w:val="auto"/>
              </w:rPr>
            </w:pPr>
            <w:r>
              <w:rPr>
                <w:rFonts w:ascii="Arial" w:cs="Arial" w:eastAsia="Arial" w:hAnsi="Arial"/>
                <w:sz w:val="16"/>
                <w:szCs w:val="16"/>
                <w:color w:val="auto"/>
              </w:rPr>
              <w:t>(75,883)</w:t>
            </w:r>
          </w:p>
        </w:tc>
        <w:tc>
          <w:tcPr>
            <w:tcW w:w="30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060" w:type="dxa"/>
            <w:vAlign w:val="bottom"/>
            <w:tcBorders>
              <w:right w:val="single" w:sz="8" w:color="auto"/>
            </w:tcBorders>
          </w:tcPr>
          <w:p>
            <w:pPr>
              <w:jc w:val="right"/>
              <w:ind w:right="100"/>
              <w:spacing w:after="0"/>
              <w:rPr>
                <w:sz w:val="20"/>
                <w:szCs w:val="20"/>
                <w:color w:val="auto"/>
              </w:rPr>
            </w:pPr>
            <w:r>
              <w:rPr>
                <w:rFonts w:ascii="Arial" w:cs="Arial" w:eastAsia="Arial" w:hAnsi="Arial"/>
                <w:sz w:val="16"/>
                <w:szCs w:val="16"/>
                <w:color w:val="auto"/>
              </w:rPr>
              <w:t>15,927</w:t>
            </w:r>
          </w:p>
        </w:tc>
        <w:tc>
          <w:tcPr>
            <w:tcW w:w="10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(604)</w:t>
            </w:r>
          </w:p>
        </w:tc>
        <w:tc>
          <w:tcPr>
            <w:tcW w:w="0" w:type="dxa"/>
            <w:vAlign w:val="bottom"/>
          </w:tcPr>
          <w:p>
            <w:pPr>
              <w:spacing w:after="0"/>
              <w:rPr>
                <w:sz w:val="1"/>
                <w:szCs w:val="1"/>
                <w:color w:val="auto"/>
              </w:rPr>
            </w:pPr>
          </w:p>
        </w:tc>
      </w:tr>
      <w:tr>
        <w:trPr>
          <w:trHeight w:val="219"/>
        </w:trPr>
        <w:tc>
          <w:tcPr>
            <w:tcW w:w="3880" w:type="dxa"/>
            <w:vAlign w:val="bottom"/>
            <w:shd w:val="clear" w:color="auto" w:fill="CCEEFF"/>
          </w:tcPr>
          <w:p>
            <w:pPr>
              <w:ind w:left="20"/>
              <w:spacing w:after="0"/>
              <w:rPr>
                <w:sz w:val="20"/>
                <w:szCs w:val="20"/>
                <w:color w:val="auto"/>
              </w:rPr>
            </w:pPr>
            <w:r>
              <w:rPr>
                <w:rFonts w:ascii="Arial" w:cs="Arial" w:eastAsia="Arial" w:hAnsi="Arial"/>
                <w:sz w:val="16"/>
                <w:szCs w:val="16"/>
                <w:color w:val="auto"/>
              </w:rPr>
              <w:t>Interest rate swaps - payer</w:t>
            </w:r>
          </w:p>
        </w:tc>
        <w:tc>
          <w:tcPr>
            <w:tcW w:w="94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160"/>
              <w:spacing w:after="0"/>
              <w:rPr>
                <w:sz w:val="20"/>
                <w:szCs w:val="20"/>
                <w:color w:val="auto"/>
              </w:rPr>
            </w:pPr>
            <w:r>
              <w:rPr>
                <w:rFonts w:ascii="Arial" w:cs="Arial" w:eastAsia="Arial" w:hAnsi="Arial"/>
                <w:sz w:val="16"/>
                <w:szCs w:val="16"/>
                <w:color w:val="auto"/>
              </w:rPr>
              <w:t>51,125</w:t>
            </w:r>
          </w:p>
        </w:tc>
        <w:tc>
          <w:tcPr>
            <w:tcW w:w="124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rPr>
              <w:t>570</w:t>
            </w: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(1,760)</w:t>
            </w:r>
          </w:p>
        </w:tc>
        <w:tc>
          <w:tcPr>
            <w:tcW w:w="300" w:type="dxa"/>
            <w:vAlign w:val="bottom"/>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060" w:type="dxa"/>
            <w:vAlign w:val="bottom"/>
            <w:tcBorders>
              <w:right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rPr>
              <w:t>49,935</w:t>
            </w: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814</w:t>
            </w:r>
          </w:p>
        </w:tc>
        <w:tc>
          <w:tcPr>
            <w:tcW w:w="0" w:type="dxa"/>
            <w:vAlign w:val="bottom"/>
          </w:tcPr>
          <w:p>
            <w:pPr>
              <w:spacing w:after="0"/>
              <w:rPr>
                <w:sz w:val="1"/>
                <w:szCs w:val="1"/>
                <w:color w:val="auto"/>
              </w:rPr>
            </w:pPr>
          </w:p>
        </w:tc>
      </w:tr>
      <w:tr>
        <w:trPr>
          <w:trHeight w:val="213"/>
        </w:trPr>
        <w:tc>
          <w:tcPr>
            <w:tcW w:w="3880" w:type="dxa"/>
            <w:vAlign w:val="bottom"/>
          </w:tcPr>
          <w:p>
            <w:pPr>
              <w:ind w:left="20"/>
              <w:spacing w:after="0"/>
              <w:rPr>
                <w:sz w:val="20"/>
                <w:szCs w:val="20"/>
                <w:color w:val="auto"/>
              </w:rPr>
            </w:pPr>
            <w:r>
              <w:rPr>
                <w:rFonts w:ascii="Arial" w:cs="Arial" w:eastAsia="Arial" w:hAnsi="Arial"/>
                <w:sz w:val="16"/>
                <w:szCs w:val="16"/>
                <w:color w:val="auto"/>
              </w:rPr>
              <w:t>Credit default swaps - CDX IG - buy protection</w:t>
            </w: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120"/>
              <w:spacing w:after="0"/>
              <w:rPr>
                <w:sz w:val="20"/>
                <w:szCs w:val="20"/>
                <w:color w:val="auto"/>
              </w:rPr>
            </w:pPr>
            <w:r>
              <w:rPr>
                <w:rFonts w:ascii="Arial" w:cs="Arial" w:eastAsia="Arial" w:hAnsi="Arial"/>
                <w:sz w:val="16"/>
                <w:szCs w:val="16"/>
                <w:color w:val="auto"/>
              </w:rPr>
              <w:t>(2,610)</w:t>
            </w:r>
          </w:p>
        </w:tc>
        <w:tc>
          <w:tcPr>
            <w:tcW w:w="1240" w:type="dxa"/>
            <w:vAlign w:val="bottom"/>
          </w:tcPr>
          <w:p>
            <w:pPr>
              <w:jc w:val="right"/>
              <w:ind w:right="120"/>
              <w:spacing w:after="0"/>
              <w:rPr>
                <w:sz w:val="20"/>
                <w:szCs w:val="20"/>
                <w:color w:val="auto"/>
              </w:rPr>
            </w:pPr>
            <w:r>
              <w:rPr>
                <w:rFonts w:ascii="Arial" w:cs="Arial" w:eastAsia="Arial" w:hAnsi="Arial"/>
                <w:sz w:val="16"/>
                <w:szCs w:val="16"/>
                <w:color w:val="auto"/>
              </w:rPr>
              <w:t>—</w:t>
            </w:r>
          </w:p>
        </w:tc>
        <w:tc>
          <w:tcPr>
            <w:tcW w:w="1200" w:type="dxa"/>
            <w:vAlign w:val="bottom"/>
          </w:tcPr>
          <w:p>
            <w:pPr>
              <w:jc w:val="right"/>
              <w:ind w:right="22"/>
              <w:spacing w:after="0"/>
              <w:rPr>
                <w:sz w:val="20"/>
                <w:szCs w:val="20"/>
                <w:color w:val="auto"/>
              </w:rPr>
            </w:pPr>
            <w:r>
              <w:rPr>
                <w:rFonts w:ascii="Arial" w:cs="Arial" w:eastAsia="Arial" w:hAnsi="Arial"/>
                <w:sz w:val="16"/>
                <w:szCs w:val="16"/>
                <w:color w:val="auto"/>
              </w:rPr>
              <w:t>2,395</w:t>
            </w:r>
          </w:p>
        </w:tc>
        <w:tc>
          <w:tcPr>
            <w:tcW w:w="30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060" w:type="dxa"/>
            <w:vAlign w:val="bottom"/>
            <w:tcBorders>
              <w:right w:val="single" w:sz="8" w:color="auto"/>
            </w:tcBorders>
          </w:tcPr>
          <w:p>
            <w:pPr>
              <w:jc w:val="right"/>
              <w:ind w:right="60"/>
              <w:spacing w:after="0"/>
              <w:rPr>
                <w:sz w:val="20"/>
                <w:szCs w:val="20"/>
                <w:color w:val="auto"/>
              </w:rPr>
            </w:pPr>
            <w:r>
              <w:rPr>
                <w:rFonts w:ascii="Arial" w:cs="Arial" w:eastAsia="Arial" w:hAnsi="Arial"/>
                <w:sz w:val="16"/>
                <w:szCs w:val="16"/>
                <w:color w:val="auto"/>
              </w:rPr>
              <w:t>(215)</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21</w:t>
            </w:r>
          </w:p>
        </w:tc>
        <w:tc>
          <w:tcPr>
            <w:tcW w:w="0" w:type="dxa"/>
            <w:vAlign w:val="bottom"/>
          </w:tcPr>
          <w:p>
            <w:pPr>
              <w:spacing w:after="0"/>
              <w:rPr>
                <w:sz w:val="1"/>
                <w:szCs w:val="1"/>
                <w:color w:val="auto"/>
              </w:rPr>
            </w:pPr>
          </w:p>
        </w:tc>
      </w:tr>
      <w:tr>
        <w:trPr>
          <w:trHeight w:val="219"/>
        </w:trPr>
        <w:tc>
          <w:tcPr>
            <w:tcW w:w="3880" w:type="dxa"/>
            <w:vAlign w:val="bottom"/>
            <w:shd w:val="clear" w:color="auto" w:fill="CCEEFF"/>
          </w:tcPr>
          <w:p>
            <w:pPr>
              <w:ind w:left="20"/>
              <w:spacing w:after="0"/>
              <w:rPr>
                <w:sz w:val="20"/>
                <w:szCs w:val="20"/>
                <w:color w:val="auto"/>
              </w:rPr>
            </w:pPr>
            <w:r>
              <w:rPr>
                <w:rFonts w:ascii="Arial" w:cs="Arial" w:eastAsia="Arial" w:hAnsi="Arial"/>
                <w:sz w:val="16"/>
                <w:szCs w:val="16"/>
                <w:color w:val="auto"/>
              </w:rPr>
              <w:t>Payer swaptions</w:t>
            </w:r>
          </w:p>
        </w:tc>
        <w:tc>
          <w:tcPr>
            <w:tcW w:w="94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160"/>
              <w:spacing w:after="0"/>
              <w:rPr>
                <w:sz w:val="20"/>
                <w:szCs w:val="20"/>
                <w:color w:val="auto"/>
              </w:rPr>
            </w:pPr>
            <w:r>
              <w:rPr>
                <w:rFonts w:ascii="Arial" w:cs="Arial" w:eastAsia="Arial" w:hAnsi="Arial"/>
                <w:sz w:val="16"/>
                <w:szCs w:val="16"/>
                <w:color w:val="auto"/>
              </w:rPr>
              <w:t>10,250</w:t>
            </w:r>
          </w:p>
        </w:tc>
        <w:tc>
          <w:tcPr>
            <w:tcW w:w="124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rPr>
              <w:t>250</w:t>
            </w: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(3,700)</w:t>
            </w:r>
          </w:p>
        </w:tc>
        <w:tc>
          <w:tcPr>
            <w:tcW w:w="300" w:type="dxa"/>
            <w:vAlign w:val="bottom"/>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060" w:type="dxa"/>
            <w:vAlign w:val="bottom"/>
            <w:tcBorders>
              <w:right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rPr>
              <w:t>6,800</w:t>
            </w: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309</w:t>
            </w:r>
          </w:p>
        </w:tc>
        <w:tc>
          <w:tcPr>
            <w:tcW w:w="0" w:type="dxa"/>
            <w:vAlign w:val="bottom"/>
          </w:tcPr>
          <w:p>
            <w:pPr>
              <w:spacing w:after="0"/>
              <w:rPr>
                <w:sz w:val="1"/>
                <w:szCs w:val="1"/>
                <w:color w:val="auto"/>
              </w:rPr>
            </w:pPr>
          </w:p>
        </w:tc>
      </w:tr>
      <w:tr>
        <w:trPr>
          <w:trHeight w:val="213"/>
        </w:trPr>
        <w:tc>
          <w:tcPr>
            <w:tcW w:w="3880" w:type="dxa"/>
            <w:vAlign w:val="bottom"/>
          </w:tcPr>
          <w:p>
            <w:pPr>
              <w:ind w:left="20"/>
              <w:spacing w:after="0"/>
              <w:rPr>
                <w:sz w:val="20"/>
                <w:szCs w:val="20"/>
                <w:color w:val="auto"/>
              </w:rPr>
            </w:pPr>
            <w:r>
              <w:rPr>
                <w:rFonts w:ascii="Arial" w:cs="Arial" w:eastAsia="Arial" w:hAnsi="Arial"/>
                <w:sz w:val="16"/>
                <w:szCs w:val="16"/>
                <w:color w:val="auto"/>
              </w:rPr>
              <w:t>Receiver swaptions</w:t>
            </w: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160"/>
              <w:spacing w:after="0"/>
              <w:rPr>
                <w:sz w:val="20"/>
                <w:szCs w:val="20"/>
                <w:color w:val="auto"/>
              </w:rPr>
            </w:pPr>
            <w:r>
              <w:rPr>
                <w:rFonts w:ascii="Arial" w:cs="Arial" w:eastAsia="Arial" w:hAnsi="Arial"/>
                <w:sz w:val="16"/>
                <w:szCs w:val="16"/>
                <w:color w:val="auto"/>
              </w:rPr>
              <w:t>—</w:t>
            </w:r>
          </w:p>
        </w:tc>
        <w:tc>
          <w:tcPr>
            <w:tcW w:w="1240" w:type="dxa"/>
            <w:vAlign w:val="bottom"/>
          </w:tcPr>
          <w:p>
            <w:pPr>
              <w:jc w:val="right"/>
              <w:ind w:right="80"/>
              <w:spacing w:after="0"/>
              <w:rPr>
                <w:sz w:val="20"/>
                <w:szCs w:val="20"/>
                <w:color w:val="auto"/>
              </w:rPr>
            </w:pPr>
            <w:r>
              <w:rPr>
                <w:rFonts w:ascii="Arial" w:cs="Arial" w:eastAsia="Arial" w:hAnsi="Arial"/>
                <w:sz w:val="16"/>
                <w:szCs w:val="16"/>
                <w:color w:val="auto"/>
              </w:rPr>
              <w:t>(150)</w:t>
            </w:r>
          </w:p>
        </w:tc>
        <w:tc>
          <w:tcPr>
            <w:tcW w:w="120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30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060" w:type="dxa"/>
            <w:vAlign w:val="bottom"/>
            <w:tcBorders>
              <w:right w:val="single" w:sz="8" w:color="auto"/>
            </w:tcBorders>
          </w:tcPr>
          <w:p>
            <w:pPr>
              <w:jc w:val="right"/>
              <w:ind w:right="60"/>
              <w:spacing w:after="0"/>
              <w:rPr>
                <w:sz w:val="20"/>
                <w:szCs w:val="20"/>
                <w:color w:val="auto"/>
              </w:rPr>
            </w:pPr>
            <w:r>
              <w:rPr>
                <w:rFonts w:ascii="Arial" w:cs="Arial" w:eastAsia="Arial" w:hAnsi="Arial"/>
                <w:sz w:val="16"/>
                <w:szCs w:val="16"/>
                <w:color w:val="auto"/>
              </w:rPr>
              <w:t>(150)</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9"/>
        </w:trPr>
        <w:tc>
          <w:tcPr>
            <w:tcW w:w="3880" w:type="dxa"/>
            <w:vAlign w:val="bottom"/>
            <w:shd w:val="clear" w:color="auto" w:fill="CCEEFF"/>
          </w:tcPr>
          <w:p>
            <w:pPr>
              <w:ind w:left="20"/>
              <w:spacing w:after="0"/>
              <w:rPr>
                <w:sz w:val="20"/>
                <w:szCs w:val="20"/>
                <w:color w:val="auto"/>
              </w:rPr>
            </w:pPr>
            <w:r>
              <w:rPr>
                <w:rFonts w:ascii="Arial" w:cs="Arial" w:eastAsia="Arial" w:hAnsi="Arial"/>
                <w:sz w:val="16"/>
                <w:szCs w:val="16"/>
                <w:color w:val="auto"/>
              </w:rPr>
              <w:t>U.S. Treasury securities - short position</w:t>
            </w:r>
          </w:p>
        </w:tc>
        <w:tc>
          <w:tcPr>
            <w:tcW w:w="94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rPr>
              <w:t>(10,862)</w:t>
            </w:r>
          </w:p>
        </w:tc>
        <w:tc>
          <w:tcPr>
            <w:tcW w:w="1240" w:type="dxa"/>
            <w:vAlign w:val="bottom"/>
            <w:shd w:val="clear" w:color="auto" w:fill="CCEEFF"/>
          </w:tcPr>
          <w:p>
            <w:pPr>
              <w:jc w:val="right"/>
              <w:ind w:right="80"/>
              <w:spacing w:after="0"/>
              <w:rPr>
                <w:sz w:val="20"/>
                <w:szCs w:val="20"/>
                <w:color w:val="auto"/>
              </w:rPr>
            </w:pPr>
            <w:r>
              <w:rPr>
                <w:rFonts w:ascii="Arial" w:cs="Arial" w:eastAsia="Arial" w:hAnsi="Arial"/>
                <w:sz w:val="16"/>
                <w:szCs w:val="16"/>
                <w:color w:val="auto"/>
              </w:rPr>
              <w:t>(2,775)</w:t>
            </w:r>
          </w:p>
        </w:tc>
        <w:tc>
          <w:tcPr>
            <w:tcW w:w="120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4,394</w:t>
            </w:r>
          </w:p>
        </w:tc>
        <w:tc>
          <w:tcPr>
            <w:tcW w:w="300" w:type="dxa"/>
            <w:vAlign w:val="bottom"/>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060" w:type="dxa"/>
            <w:vAlign w:val="bottom"/>
            <w:tcBorders>
              <w:right w:val="single" w:sz="8" w:color="auto"/>
            </w:tcBorders>
            <w:shd w:val="clear" w:color="auto" w:fill="CCEEFF"/>
          </w:tcPr>
          <w:p>
            <w:pPr>
              <w:jc w:val="right"/>
              <w:ind w:right="60"/>
              <w:spacing w:after="0"/>
              <w:rPr>
                <w:sz w:val="20"/>
                <w:szCs w:val="20"/>
                <w:color w:val="auto"/>
              </w:rPr>
            </w:pPr>
            <w:r>
              <w:rPr>
                <w:rFonts w:ascii="Arial" w:cs="Arial" w:eastAsia="Arial" w:hAnsi="Arial"/>
                <w:sz w:val="16"/>
                <w:szCs w:val="16"/>
                <w:color w:val="auto"/>
              </w:rPr>
              <w:t>(9,243)</w:t>
            </w: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483</w:t>
            </w:r>
          </w:p>
        </w:tc>
        <w:tc>
          <w:tcPr>
            <w:tcW w:w="0" w:type="dxa"/>
            <w:vAlign w:val="bottom"/>
          </w:tcPr>
          <w:p>
            <w:pPr>
              <w:spacing w:after="0"/>
              <w:rPr>
                <w:sz w:val="1"/>
                <w:szCs w:val="1"/>
                <w:color w:val="auto"/>
              </w:rPr>
            </w:pPr>
          </w:p>
        </w:tc>
      </w:tr>
      <w:tr>
        <w:trPr>
          <w:trHeight w:val="213"/>
        </w:trPr>
        <w:tc>
          <w:tcPr>
            <w:tcW w:w="3880" w:type="dxa"/>
            <w:vAlign w:val="bottom"/>
          </w:tcPr>
          <w:p>
            <w:pPr>
              <w:ind w:left="20"/>
              <w:spacing w:after="0"/>
              <w:rPr>
                <w:sz w:val="20"/>
                <w:szCs w:val="20"/>
                <w:color w:val="auto"/>
              </w:rPr>
            </w:pPr>
            <w:r>
              <w:rPr>
                <w:rFonts w:ascii="Arial" w:cs="Arial" w:eastAsia="Arial" w:hAnsi="Arial"/>
                <w:sz w:val="16"/>
                <w:szCs w:val="16"/>
                <w:color w:val="auto"/>
              </w:rPr>
              <w:t>U.S. Treasury securities - long position</w:t>
            </w:r>
          </w:p>
        </w:tc>
        <w:tc>
          <w:tcPr>
            <w:tcW w:w="94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160"/>
              <w:spacing w:after="0"/>
              <w:rPr>
                <w:sz w:val="20"/>
                <w:szCs w:val="20"/>
                <w:color w:val="auto"/>
              </w:rPr>
            </w:pPr>
            <w:r>
              <w:rPr>
                <w:rFonts w:ascii="Arial" w:cs="Arial" w:eastAsia="Arial" w:hAnsi="Arial"/>
                <w:sz w:val="16"/>
                <w:szCs w:val="16"/>
                <w:color w:val="auto"/>
              </w:rPr>
              <w:t>703</w:t>
            </w:r>
          </w:p>
        </w:tc>
        <w:tc>
          <w:tcPr>
            <w:tcW w:w="1240" w:type="dxa"/>
            <w:vAlign w:val="bottom"/>
          </w:tcPr>
          <w:p>
            <w:pPr>
              <w:jc w:val="right"/>
              <w:ind w:right="120"/>
              <w:spacing w:after="0"/>
              <w:rPr>
                <w:sz w:val="20"/>
                <w:szCs w:val="20"/>
                <w:color w:val="auto"/>
              </w:rPr>
            </w:pPr>
            <w:r>
              <w:rPr>
                <w:rFonts w:ascii="Arial" w:cs="Arial" w:eastAsia="Arial" w:hAnsi="Arial"/>
                <w:sz w:val="16"/>
                <w:szCs w:val="16"/>
                <w:color w:val="auto"/>
              </w:rPr>
              <w:t>3,325</w:t>
            </w:r>
          </w:p>
        </w:tc>
        <w:tc>
          <w:tcPr>
            <w:tcW w:w="1200" w:type="dxa"/>
            <w:vAlign w:val="bottom"/>
          </w:tcPr>
          <w:p>
            <w:pPr>
              <w:jc w:val="right"/>
              <w:spacing w:after="0"/>
              <w:rPr>
                <w:sz w:val="20"/>
                <w:szCs w:val="20"/>
                <w:color w:val="auto"/>
              </w:rPr>
            </w:pPr>
            <w:r>
              <w:rPr>
                <w:rFonts w:ascii="Arial" w:cs="Arial" w:eastAsia="Arial" w:hAnsi="Arial"/>
                <w:sz w:val="16"/>
                <w:szCs w:val="16"/>
                <w:color w:val="auto"/>
              </w:rPr>
              <w:t>(2,126)</w:t>
            </w:r>
          </w:p>
        </w:tc>
        <w:tc>
          <w:tcPr>
            <w:tcW w:w="30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060" w:type="dxa"/>
            <w:vAlign w:val="bottom"/>
            <w:tcBorders>
              <w:right w:val="single" w:sz="8" w:color="auto"/>
            </w:tcBorders>
          </w:tcPr>
          <w:p>
            <w:pPr>
              <w:jc w:val="right"/>
              <w:ind w:right="100"/>
              <w:spacing w:after="0"/>
              <w:rPr>
                <w:sz w:val="20"/>
                <w:szCs w:val="20"/>
                <w:color w:val="auto"/>
              </w:rPr>
            </w:pPr>
            <w:r>
              <w:rPr>
                <w:rFonts w:ascii="Arial" w:cs="Arial" w:eastAsia="Arial" w:hAnsi="Arial"/>
                <w:sz w:val="16"/>
                <w:szCs w:val="16"/>
                <w:color w:val="auto"/>
              </w:rPr>
              <w:t>1,902</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25</w:t>
            </w:r>
          </w:p>
        </w:tc>
        <w:tc>
          <w:tcPr>
            <w:tcW w:w="0" w:type="dxa"/>
            <w:vAlign w:val="bottom"/>
          </w:tcPr>
          <w:p>
            <w:pPr>
              <w:spacing w:after="0"/>
              <w:rPr>
                <w:sz w:val="1"/>
                <w:szCs w:val="1"/>
                <w:color w:val="auto"/>
              </w:rPr>
            </w:pPr>
          </w:p>
        </w:tc>
      </w:tr>
      <w:tr>
        <w:trPr>
          <w:trHeight w:val="216"/>
        </w:trPr>
        <w:tc>
          <w:tcPr>
            <w:tcW w:w="3880" w:type="dxa"/>
            <w:vAlign w:val="bottom"/>
            <w:shd w:val="clear" w:color="auto" w:fill="CCEEFF"/>
          </w:tcPr>
          <w:p>
            <w:pPr>
              <w:ind w:left="20"/>
              <w:spacing w:after="0"/>
              <w:rPr>
                <w:sz w:val="20"/>
                <w:szCs w:val="20"/>
                <w:color w:val="auto"/>
              </w:rPr>
            </w:pPr>
            <w:r>
              <w:rPr>
                <w:rFonts w:ascii="Arial" w:cs="Arial" w:eastAsia="Arial" w:hAnsi="Arial"/>
                <w:sz w:val="16"/>
                <w:szCs w:val="16"/>
                <w:color w:val="auto"/>
              </w:rPr>
              <w:t>U.S. Treasury futures contracts - short position</w:t>
            </w:r>
          </w:p>
        </w:tc>
        <w:tc>
          <w:tcPr>
            <w:tcW w:w="94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rPr>
              <w:t>(5,385)</w:t>
            </w:r>
          </w:p>
        </w:tc>
        <w:tc>
          <w:tcPr>
            <w:tcW w:w="1240" w:type="dxa"/>
            <w:vAlign w:val="bottom"/>
            <w:shd w:val="clear" w:color="auto" w:fill="CCEEFF"/>
          </w:tcPr>
          <w:p>
            <w:pPr>
              <w:jc w:val="right"/>
              <w:ind w:right="80"/>
              <w:spacing w:after="0"/>
              <w:rPr>
                <w:sz w:val="20"/>
                <w:szCs w:val="20"/>
                <w:color w:val="auto"/>
              </w:rPr>
            </w:pPr>
            <w:r>
              <w:rPr>
                <w:rFonts w:ascii="Arial" w:cs="Arial" w:eastAsia="Arial" w:hAnsi="Arial"/>
                <w:sz w:val="16"/>
                <w:szCs w:val="16"/>
                <w:color w:val="auto"/>
              </w:rPr>
              <w:t>(8,355)</w:t>
            </w:r>
          </w:p>
        </w:tc>
        <w:tc>
          <w:tcPr>
            <w:tcW w:w="120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5,635</w:t>
            </w:r>
          </w:p>
        </w:tc>
        <w:tc>
          <w:tcPr>
            <w:tcW w:w="300" w:type="dxa"/>
            <w:vAlign w:val="bottom"/>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060" w:type="dxa"/>
            <w:vAlign w:val="bottom"/>
            <w:tcBorders>
              <w:right w:val="single" w:sz="8" w:color="auto"/>
            </w:tcBorders>
            <w:shd w:val="clear" w:color="auto" w:fill="CCEEFF"/>
          </w:tcPr>
          <w:p>
            <w:pPr>
              <w:jc w:val="right"/>
              <w:ind w:right="60"/>
              <w:spacing w:after="0"/>
              <w:rPr>
                <w:sz w:val="20"/>
                <w:szCs w:val="20"/>
                <w:color w:val="auto"/>
              </w:rPr>
            </w:pPr>
            <w:r>
              <w:rPr>
                <w:rFonts w:ascii="Arial" w:cs="Arial" w:eastAsia="Arial" w:hAnsi="Arial"/>
                <w:sz w:val="16"/>
                <w:szCs w:val="16"/>
                <w:color w:val="auto"/>
              </w:rPr>
              <w:t>(8,105)</w:t>
            </w:r>
          </w:p>
        </w:tc>
        <w:tc>
          <w:tcPr>
            <w:tcW w:w="1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139</w:t>
            </w:r>
          </w:p>
        </w:tc>
        <w:tc>
          <w:tcPr>
            <w:tcW w:w="0" w:type="dxa"/>
            <w:vAlign w:val="bottom"/>
          </w:tcPr>
          <w:p>
            <w:pPr>
              <w:spacing w:after="0"/>
              <w:rPr>
                <w:sz w:val="1"/>
                <w:szCs w:val="1"/>
                <w:color w:val="auto"/>
              </w:rPr>
            </w:pPr>
          </w:p>
        </w:tc>
      </w:tr>
      <w:tr>
        <w:trPr>
          <w:trHeight w:val="250"/>
        </w:trPr>
        <w:tc>
          <w:tcPr>
            <w:tcW w:w="388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6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1,187</w:t>
            </w:r>
          </w:p>
        </w:tc>
        <w:tc>
          <w:tcPr>
            <w:tcW w:w="0" w:type="dxa"/>
            <w:vAlign w:val="bottom"/>
          </w:tcPr>
          <w:p>
            <w:pPr>
              <w:spacing w:after="0"/>
              <w:rPr>
                <w:sz w:val="1"/>
                <w:szCs w:val="1"/>
                <w:color w:val="auto"/>
              </w:rPr>
            </w:pPr>
          </w:p>
        </w:tc>
      </w:tr>
      <w:tr>
        <w:trPr>
          <w:trHeight w:val="226"/>
        </w:trPr>
        <w:tc>
          <w:tcPr>
            <w:tcW w:w="3880" w:type="dxa"/>
            <w:vAlign w:val="bottom"/>
            <w:tcBorders>
              <w:top w:val="single" w:sz="8" w:color="CCEEFF"/>
            </w:tcBorders>
            <w:shd w:val="clear" w:color="auto" w:fill="CCEEFF"/>
          </w:tcPr>
          <w:p>
            <w:pPr>
              <w:spacing w:after="0"/>
              <w:rPr>
                <w:sz w:val="19"/>
                <w:szCs w:val="19"/>
                <w:color w:val="auto"/>
              </w:rPr>
            </w:pPr>
          </w:p>
        </w:tc>
        <w:tc>
          <w:tcPr>
            <w:tcW w:w="940" w:type="dxa"/>
            <w:vAlign w:val="bottom"/>
            <w:tcBorders>
              <w:top w:val="single" w:sz="8" w:color="CCEEFF"/>
            </w:tcBorders>
            <w:shd w:val="clear" w:color="auto" w:fill="CCEEFF"/>
          </w:tcPr>
          <w:p>
            <w:pPr>
              <w:spacing w:after="0"/>
              <w:rPr>
                <w:sz w:val="19"/>
                <w:szCs w:val="19"/>
                <w:color w:val="auto"/>
              </w:rPr>
            </w:pPr>
          </w:p>
        </w:tc>
        <w:tc>
          <w:tcPr>
            <w:tcW w:w="1160" w:type="dxa"/>
            <w:vAlign w:val="bottom"/>
            <w:tcBorders>
              <w:top w:val="single" w:sz="8" w:color="CCEEFF"/>
            </w:tcBorders>
            <w:shd w:val="clear" w:color="auto" w:fill="CCEEFF"/>
          </w:tcPr>
          <w:p>
            <w:pPr>
              <w:spacing w:after="0"/>
              <w:rPr>
                <w:sz w:val="19"/>
                <w:szCs w:val="19"/>
                <w:color w:val="auto"/>
              </w:rPr>
            </w:pPr>
          </w:p>
        </w:tc>
        <w:tc>
          <w:tcPr>
            <w:tcW w:w="1240" w:type="dxa"/>
            <w:vAlign w:val="bottom"/>
            <w:tcBorders>
              <w:top w:val="single" w:sz="8" w:color="CCEEFF"/>
            </w:tcBorders>
            <w:shd w:val="clear" w:color="auto" w:fill="CCEEFF"/>
          </w:tcPr>
          <w:p>
            <w:pPr>
              <w:spacing w:after="0"/>
              <w:rPr>
                <w:sz w:val="19"/>
                <w:szCs w:val="19"/>
                <w:color w:val="auto"/>
              </w:rPr>
            </w:pPr>
          </w:p>
        </w:tc>
        <w:tc>
          <w:tcPr>
            <w:tcW w:w="1200" w:type="dxa"/>
            <w:vAlign w:val="bottom"/>
            <w:tcBorders>
              <w:top w:val="single" w:sz="8" w:color="CCEEFF"/>
            </w:tcBorders>
            <w:shd w:val="clear" w:color="auto" w:fill="CCEEFF"/>
          </w:tcPr>
          <w:p>
            <w:pPr>
              <w:spacing w:after="0"/>
              <w:rPr>
                <w:sz w:val="19"/>
                <w:szCs w:val="19"/>
                <w:color w:val="auto"/>
              </w:rPr>
            </w:pPr>
          </w:p>
        </w:tc>
        <w:tc>
          <w:tcPr>
            <w:tcW w:w="300" w:type="dxa"/>
            <w:vAlign w:val="bottom"/>
            <w:tcBorders>
              <w:top w:val="single" w:sz="8" w:color="CCEEFF"/>
            </w:tcBorders>
            <w:shd w:val="clear" w:color="auto" w:fill="CCEEFF"/>
          </w:tcPr>
          <w:p>
            <w:pPr>
              <w:spacing w:after="0"/>
              <w:rPr>
                <w:sz w:val="19"/>
                <w:szCs w:val="19"/>
                <w:color w:val="auto"/>
              </w:rPr>
            </w:pPr>
          </w:p>
        </w:tc>
        <w:tc>
          <w:tcPr>
            <w:tcW w:w="1060" w:type="dxa"/>
            <w:vAlign w:val="bottom"/>
            <w:tcBorders>
              <w:top w:val="single" w:sz="8" w:color="CCEEFF"/>
              <w:right w:val="single" w:sz="8" w:color="CCEEFF"/>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spacing w:after="0"/>
              <w:rPr>
                <w:sz w:val="19"/>
                <w:szCs w:val="19"/>
                <w:color w:val="auto"/>
              </w:rPr>
            </w:pPr>
          </w:p>
        </w:tc>
        <w:tc>
          <w:tcPr>
            <w:tcW w:w="1200" w:type="dxa"/>
            <w:vAlign w:val="bottom"/>
            <w:tcBorders>
              <w:top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7" w:right="339" w:bottom="1440" w:gutter="0" w:footer="0" w:header="0"/>
        </w:sectPr>
      </w:pPr>
    </w:p>
    <w:bookmarkStart w:id="18" w:name="page19"/>
    <w:bookmarkEnd w:id="18"/>
    <w:tbl>
      <w:tblPr>
        <w:tblLayout w:type="fixed"/>
        <w:tblInd w:w="0" w:type="dxa"/>
        <w:tblCellMar>
          <w:top w:w="0" w:type="dxa"/>
          <w:left w:w="0" w:type="dxa"/>
          <w:bottom w:w="0" w:type="dxa"/>
          <w:right w:w="0" w:type="dxa"/>
        </w:tblCellMar>
      </w:tblPr>
      <w:tr>
        <w:trPr>
          <w:trHeight w:val="213"/>
        </w:trPr>
        <w:tc>
          <w:tcPr>
            <w:tcW w:w="3880" w:type="dxa"/>
            <w:vAlign w:val="bottom"/>
          </w:tcPr>
          <w:p>
            <w:pPr>
              <w:ind w:left="20"/>
              <w:spacing w:after="0"/>
              <w:rPr>
                <w:sz w:val="20"/>
                <w:szCs w:val="20"/>
                <w:color w:val="auto"/>
              </w:rPr>
            </w:pPr>
            <w:r>
              <w:rPr>
                <w:rFonts w:ascii="Arial" w:cs="Arial" w:eastAsia="Arial" w:hAnsi="Arial"/>
                <w:sz w:val="16"/>
                <w:szCs w:val="16"/>
                <w:b w:val="1"/>
                <w:bCs w:val="1"/>
                <w:color w:val="auto"/>
              </w:rPr>
              <w:t>Three months ended June 30, 2021:</w:t>
            </w:r>
          </w:p>
        </w:tc>
        <w:tc>
          <w:tcPr>
            <w:tcW w:w="11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3880" w:type="dxa"/>
            <w:vAlign w:val="bottom"/>
            <w:shd w:val="clear" w:color="auto" w:fill="CCEEFF"/>
          </w:tcPr>
          <w:p>
            <w:pPr>
              <w:ind w:left="20"/>
              <w:spacing w:after="0"/>
              <w:rPr>
                <w:sz w:val="20"/>
                <w:szCs w:val="20"/>
                <w:color w:val="auto"/>
              </w:rPr>
            </w:pPr>
            <w:r>
              <w:rPr>
                <w:rFonts w:ascii="Arial" w:cs="Arial" w:eastAsia="Arial" w:hAnsi="Arial"/>
                <w:sz w:val="16"/>
                <w:szCs w:val="16"/>
                <w:color w:val="auto"/>
              </w:rPr>
              <w:t>TBA securities, net</w:t>
            </w:r>
          </w:p>
        </w:tc>
        <w:tc>
          <w:tcPr>
            <w:tcW w:w="110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319"/>
              <w:spacing w:after="0"/>
              <w:rPr>
                <w:sz w:val="20"/>
                <w:szCs w:val="20"/>
                <w:color w:val="auto"/>
              </w:rPr>
            </w:pPr>
            <w:r>
              <w:rPr>
                <w:rFonts w:ascii="Arial" w:cs="Arial" w:eastAsia="Arial" w:hAnsi="Arial"/>
                <w:sz w:val="16"/>
                <w:szCs w:val="16"/>
                <w:color w:val="auto"/>
              </w:rPr>
              <w:t>24,518</w:t>
            </w:r>
          </w:p>
        </w:tc>
        <w:tc>
          <w:tcPr>
            <w:tcW w:w="1240" w:type="dxa"/>
            <w:vAlign w:val="bottom"/>
            <w:shd w:val="clear" w:color="auto" w:fill="CCEEFF"/>
          </w:tcPr>
          <w:p>
            <w:pPr>
              <w:jc w:val="right"/>
              <w:ind w:right="279"/>
              <w:spacing w:after="0"/>
              <w:rPr>
                <w:sz w:val="20"/>
                <w:szCs w:val="20"/>
                <w:color w:val="auto"/>
              </w:rPr>
            </w:pPr>
            <w:r>
              <w:rPr>
                <w:rFonts w:ascii="Arial" w:cs="Arial" w:eastAsia="Arial" w:hAnsi="Arial"/>
                <w:sz w:val="16"/>
                <w:szCs w:val="16"/>
                <w:color w:val="auto"/>
              </w:rPr>
              <w:t>94,248</w:t>
            </w: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(92,199)</w:t>
            </w:r>
          </w:p>
        </w:tc>
        <w:tc>
          <w:tcPr>
            <w:tcW w:w="42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26,567</w:t>
            </w: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jc w:val="right"/>
              <w:ind w:right="279"/>
              <w:spacing w:after="0"/>
              <w:rPr>
                <w:sz w:val="20"/>
                <w:szCs w:val="20"/>
                <w:color w:val="auto"/>
              </w:rPr>
            </w:pPr>
            <w:r>
              <w:rPr>
                <w:rFonts w:ascii="Arial" w:cs="Arial" w:eastAsia="Arial" w:hAnsi="Arial"/>
                <w:sz w:val="16"/>
                <w:szCs w:val="16"/>
                <w:color w:val="auto"/>
                <w:w w:val="8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396</w:t>
            </w:r>
          </w:p>
        </w:tc>
        <w:tc>
          <w:tcPr>
            <w:tcW w:w="0" w:type="dxa"/>
            <w:vAlign w:val="bottom"/>
          </w:tcPr>
          <w:p>
            <w:pPr>
              <w:spacing w:after="0"/>
              <w:rPr>
                <w:sz w:val="1"/>
                <w:szCs w:val="1"/>
                <w:color w:val="auto"/>
              </w:rPr>
            </w:pPr>
          </w:p>
        </w:tc>
      </w:tr>
      <w:tr>
        <w:trPr>
          <w:trHeight w:val="213"/>
        </w:trPr>
        <w:tc>
          <w:tcPr>
            <w:tcW w:w="3880" w:type="dxa"/>
            <w:vAlign w:val="bottom"/>
          </w:tcPr>
          <w:p>
            <w:pPr>
              <w:ind w:left="20"/>
              <w:spacing w:after="0"/>
              <w:rPr>
                <w:sz w:val="20"/>
                <w:szCs w:val="20"/>
                <w:color w:val="auto"/>
              </w:rPr>
            </w:pPr>
            <w:r>
              <w:rPr>
                <w:rFonts w:ascii="Arial" w:cs="Arial" w:eastAsia="Arial" w:hAnsi="Arial"/>
                <w:sz w:val="16"/>
                <w:szCs w:val="16"/>
                <w:color w:val="auto"/>
              </w:rPr>
              <w:t>Interest rate swaps - payer</w:t>
            </w:r>
          </w:p>
        </w:tc>
        <w:tc>
          <w:tcPr>
            <w:tcW w:w="110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319"/>
              <w:spacing w:after="0"/>
              <w:rPr>
                <w:sz w:val="20"/>
                <w:szCs w:val="20"/>
                <w:color w:val="auto"/>
              </w:rPr>
            </w:pPr>
            <w:r>
              <w:rPr>
                <w:rFonts w:ascii="Arial" w:cs="Arial" w:eastAsia="Arial" w:hAnsi="Arial"/>
                <w:sz w:val="16"/>
                <w:szCs w:val="16"/>
                <w:color w:val="auto"/>
              </w:rPr>
              <w:t>49,725</w:t>
            </w:r>
          </w:p>
        </w:tc>
        <w:tc>
          <w:tcPr>
            <w:tcW w:w="1240" w:type="dxa"/>
            <w:vAlign w:val="bottom"/>
          </w:tcPr>
          <w:p>
            <w:pPr>
              <w:jc w:val="right"/>
              <w:ind w:right="279"/>
              <w:spacing w:after="0"/>
              <w:rPr>
                <w:sz w:val="20"/>
                <w:szCs w:val="20"/>
                <w:color w:val="auto"/>
              </w:rPr>
            </w:pPr>
            <w:r>
              <w:rPr>
                <w:rFonts w:ascii="Arial" w:cs="Arial" w:eastAsia="Arial" w:hAnsi="Arial"/>
                <w:sz w:val="16"/>
                <w:szCs w:val="16"/>
                <w:color w:val="auto"/>
              </w:rPr>
              <w:t>—</w:t>
            </w: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42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tcPr>
          <w:p>
            <w:pPr>
              <w:jc w:val="right"/>
              <w:ind w:right="99"/>
              <w:spacing w:after="0"/>
              <w:rPr>
                <w:sz w:val="20"/>
                <w:szCs w:val="20"/>
                <w:color w:val="auto"/>
              </w:rPr>
            </w:pPr>
            <w:r>
              <w:rPr>
                <w:rFonts w:ascii="Arial" w:cs="Arial" w:eastAsia="Arial" w:hAnsi="Arial"/>
                <w:sz w:val="16"/>
                <w:szCs w:val="16"/>
                <w:color w:val="auto"/>
              </w:rPr>
              <w:t>49,725</w:t>
            </w: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(400)</w:t>
            </w:r>
          </w:p>
        </w:tc>
        <w:tc>
          <w:tcPr>
            <w:tcW w:w="0" w:type="dxa"/>
            <w:vAlign w:val="bottom"/>
          </w:tcPr>
          <w:p>
            <w:pPr>
              <w:spacing w:after="0"/>
              <w:rPr>
                <w:sz w:val="1"/>
                <w:szCs w:val="1"/>
                <w:color w:val="auto"/>
              </w:rPr>
            </w:pPr>
          </w:p>
        </w:tc>
      </w:tr>
      <w:tr>
        <w:trPr>
          <w:trHeight w:val="219"/>
        </w:trPr>
        <w:tc>
          <w:tcPr>
            <w:tcW w:w="3880" w:type="dxa"/>
            <w:vAlign w:val="bottom"/>
            <w:shd w:val="clear" w:color="auto" w:fill="CCEEFF"/>
          </w:tcPr>
          <w:p>
            <w:pPr>
              <w:ind w:left="20"/>
              <w:spacing w:after="0"/>
              <w:rPr>
                <w:sz w:val="20"/>
                <w:szCs w:val="20"/>
                <w:color w:val="auto"/>
              </w:rPr>
            </w:pPr>
            <w:r>
              <w:rPr>
                <w:rFonts w:ascii="Arial" w:cs="Arial" w:eastAsia="Arial" w:hAnsi="Arial"/>
                <w:sz w:val="16"/>
                <w:szCs w:val="16"/>
                <w:color w:val="auto"/>
              </w:rPr>
              <w:t>Payer swaptions</w:t>
            </w:r>
          </w:p>
        </w:tc>
        <w:tc>
          <w:tcPr>
            <w:tcW w:w="110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319"/>
              <w:spacing w:after="0"/>
              <w:rPr>
                <w:sz w:val="20"/>
                <w:szCs w:val="20"/>
                <w:color w:val="auto"/>
              </w:rPr>
            </w:pPr>
            <w:r>
              <w:rPr>
                <w:rFonts w:ascii="Arial" w:cs="Arial" w:eastAsia="Arial" w:hAnsi="Arial"/>
                <w:sz w:val="16"/>
                <w:szCs w:val="16"/>
                <w:color w:val="auto"/>
              </w:rPr>
              <w:t>13,150</w:t>
            </w:r>
          </w:p>
        </w:tc>
        <w:tc>
          <w:tcPr>
            <w:tcW w:w="1240" w:type="dxa"/>
            <w:vAlign w:val="bottom"/>
            <w:shd w:val="clear" w:color="auto" w:fill="CCEEFF"/>
          </w:tcPr>
          <w:p>
            <w:pPr>
              <w:jc w:val="right"/>
              <w:ind w:right="279"/>
              <w:spacing w:after="0"/>
              <w:rPr>
                <w:sz w:val="20"/>
                <w:szCs w:val="20"/>
                <w:color w:val="auto"/>
              </w:rPr>
            </w:pPr>
            <w:r>
              <w:rPr>
                <w:rFonts w:ascii="Arial" w:cs="Arial" w:eastAsia="Arial" w:hAnsi="Arial"/>
                <w:sz w:val="16"/>
                <w:szCs w:val="16"/>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(1,700)</w:t>
            </w:r>
          </w:p>
        </w:tc>
        <w:tc>
          <w:tcPr>
            <w:tcW w:w="42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11,450</w:t>
            </w: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(313)</w:t>
            </w:r>
          </w:p>
        </w:tc>
        <w:tc>
          <w:tcPr>
            <w:tcW w:w="0" w:type="dxa"/>
            <w:vAlign w:val="bottom"/>
          </w:tcPr>
          <w:p>
            <w:pPr>
              <w:spacing w:after="0"/>
              <w:rPr>
                <w:sz w:val="1"/>
                <w:szCs w:val="1"/>
                <w:color w:val="auto"/>
              </w:rPr>
            </w:pPr>
          </w:p>
        </w:tc>
      </w:tr>
      <w:tr>
        <w:trPr>
          <w:trHeight w:val="213"/>
        </w:trPr>
        <w:tc>
          <w:tcPr>
            <w:tcW w:w="3880" w:type="dxa"/>
            <w:vAlign w:val="bottom"/>
          </w:tcPr>
          <w:p>
            <w:pPr>
              <w:ind w:left="20"/>
              <w:spacing w:after="0"/>
              <w:rPr>
                <w:sz w:val="20"/>
                <w:szCs w:val="20"/>
                <w:color w:val="auto"/>
              </w:rPr>
            </w:pPr>
            <w:r>
              <w:rPr>
                <w:rFonts w:ascii="Arial" w:cs="Arial" w:eastAsia="Arial" w:hAnsi="Arial"/>
                <w:sz w:val="16"/>
                <w:szCs w:val="16"/>
                <w:color w:val="auto"/>
              </w:rPr>
              <w:t>U.S. Treasury securities - short position</w:t>
            </w:r>
          </w:p>
        </w:tc>
        <w:tc>
          <w:tcPr>
            <w:tcW w:w="110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279"/>
              <w:spacing w:after="0"/>
              <w:rPr>
                <w:sz w:val="20"/>
                <w:szCs w:val="20"/>
                <w:color w:val="auto"/>
              </w:rPr>
            </w:pPr>
            <w:r>
              <w:rPr>
                <w:rFonts w:ascii="Arial" w:cs="Arial" w:eastAsia="Arial" w:hAnsi="Arial"/>
                <w:sz w:val="16"/>
                <w:szCs w:val="16"/>
                <w:color w:val="auto"/>
              </w:rPr>
              <w:t>(15,527)</w:t>
            </w:r>
          </w:p>
        </w:tc>
        <w:tc>
          <w:tcPr>
            <w:tcW w:w="1240" w:type="dxa"/>
            <w:vAlign w:val="bottom"/>
          </w:tcPr>
          <w:p>
            <w:pPr>
              <w:jc w:val="right"/>
              <w:ind w:right="239"/>
              <w:spacing w:after="0"/>
              <w:rPr>
                <w:sz w:val="20"/>
                <w:szCs w:val="20"/>
                <w:color w:val="auto"/>
              </w:rPr>
            </w:pPr>
            <w:r>
              <w:rPr>
                <w:rFonts w:ascii="Arial" w:cs="Arial" w:eastAsia="Arial" w:hAnsi="Arial"/>
                <w:sz w:val="16"/>
                <w:szCs w:val="16"/>
                <w:color w:val="auto"/>
              </w:rPr>
              <w:t>(585)</w:t>
            </w: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5,219</w:t>
            </w:r>
          </w:p>
        </w:tc>
        <w:tc>
          <w:tcPr>
            <w:tcW w:w="42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tcPr>
          <w:p>
            <w:pPr>
              <w:jc w:val="right"/>
              <w:ind w:right="59"/>
              <w:spacing w:after="0"/>
              <w:rPr>
                <w:sz w:val="20"/>
                <w:szCs w:val="20"/>
                <w:color w:val="auto"/>
              </w:rPr>
            </w:pPr>
            <w:r>
              <w:rPr>
                <w:rFonts w:ascii="Arial" w:cs="Arial" w:eastAsia="Arial" w:hAnsi="Arial"/>
                <w:sz w:val="16"/>
                <w:szCs w:val="16"/>
                <w:color w:val="auto"/>
              </w:rPr>
              <w:t>(10,893)</w:t>
            </w: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(333)</w:t>
            </w:r>
          </w:p>
        </w:tc>
        <w:tc>
          <w:tcPr>
            <w:tcW w:w="0" w:type="dxa"/>
            <w:vAlign w:val="bottom"/>
          </w:tcPr>
          <w:p>
            <w:pPr>
              <w:spacing w:after="0"/>
              <w:rPr>
                <w:sz w:val="1"/>
                <w:szCs w:val="1"/>
                <w:color w:val="auto"/>
              </w:rPr>
            </w:pPr>
          </w:p>
        </w:tc>
      </w:tr>
      <w:tr>
        <w:trPr>
          <w:trHeight w:val="219"/>
        </w:trPr>
        <w:tc>
          <w:tcPr>
            <w:tcW w:w="3880" w:type="dxa"/>
            <w:vAlign w:val="bottom"/>
            <w:shd w:val="clear" w:color="auto" w:fill="CCEEFF"/>
          </w:tcPr>
          <w:p>
            <w:pPr>
              <w:ind w:left="20"/>
              <w:spacing w:after="0"/>
              <w:rPr>
                <w:sz w:val="20"/>
                <w:szCs w:val="20"/>
                <w:color w:val="auto"/>
              </w:rPr>
            </w:pPr>
            <w:r>
              <w:rPr>
                <w:rFonts w:ascii="Arial" w:cs="Arial" w:eastAsia="Arial" w:hAnsi="Arial"/>
                <w:sz w:val="16"/>
                <w:szCs w:val="16"/>
                <w:color w:val="auto"/>
              </w:rPr>
              <w:t>U.S. Treasury securities - long position</w:t>
            </w:r>
          </w:p>
        </w:tc>
        <w:tc>
          <w:tcPr>
            <w:tcW w:w="110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319"/>
              <w:spacing w:after="0"/>
              <w:rPr>
                <w:sz w:val="20"/>
                <w:szCs w:val="20"/>
                <w:color w:val="auto"/>
              </w:rPr>
            </w:pPr>
            <w:r>
              <w:rPr>
                <w:rFonts w:ascii="Arial" w:cs="Arial" w:eastAsia="Arial" w:hAnsi="Arial"/>
                <w:sz w:val="16"/>
                <w:szCs w:val="16"/>
                <w:color w:val="auto"/>
              </w:rPr>
              <w:t>—</w:t>
            </w:r>
          </w:p>
        </w:tc>
        <w:tc>
          <w:tcPr>
            <w:tcW w:w="1240" w:type="dxa"/>
            <w:vAlign w:val="bottom"/>
            <w:shd w:val="clear" w:color="auto" w:fill="CCEEFF"/>
          </w:tcPr>
          <w:p>
            <w:pPr>
              <w:jc w:val="right"/>
              <w:ind w:right="279"/>
              <w:spacing w:after="0"/>
              <w:rPr>
                <w:sz w:val="20"/>
                <w:szCs w:val="20"/>
                <w:color w:val="auto"/>
              </w:rPr>
            </w:pPr>
            <w:r>
              <w:rPr>
                <w:rFonts w:ascii="Arial" w:cs="Arial" w:eastAsia="Arial" w:hAnsi="Arial"/>
                <w:sz w:val="16"/>
                <w:szCs w:val="16"/>
                <w:color w:val="auto"/>
              </w:rPr>
              <w:t>1,336</w:t>
            </w: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(939)</w:t>
            </w:r>
          </w:p>
        </w:tc>
        <w:tc>
          <w:tcPr>
            <w:tcW w:w="42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397</w:t>
            </w: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213"/>
        </w:trPr>
        <w:tc>
          <w:tcPr>
            <w:tcW w:w="388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U.S. Treasury futures contracts - short position</w:t>
            </w:r>
          </w:p>
        </w:tc>
        <w:tc>
          <w:tcPr>
            <w:tcW w:w="1100" w:type="dxa"/>
            <w:vAlign w:val="bottom"/>
            <w:tcBorders>
              <w:bottom w:val="single" w:sz="8" w:color="CCEEFF"/>
            </w:tcBorders>
          </w:tcPr>
          <w:p>
            <w:pPr>
              <w:jc w:val="right"/>
              <w:ind w:right="179"/>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CCEEFF"/>
            </w:tcBorders>
          </w:tcPr>
          <w:p>
            <w:pPr>
              <w:jc w:val="right"/>
              <w:ind w:right="279"/>
              <w:spacing w:after="0"/>
              <w:rPr>
                <w:sz w:val="20"/>
                <w:szCs w:val="20"/>
                <w:color w:val="auto"/>
              </w:rPr>
            </w:pPr>
            <w:r>
              <w:rPr>
                <w:rFonts w:ascii="Arial" w:cs="Arial" w:eastAsia="Arial" w:hAnsi="Arial"/>
                <w:sz w:val="16"/>
                <w:szCs w:val="16"/>
                <w:color w:val="auto"/>
              </w:rPr>
              <w:t>(1,000)</w:t>
            </w:r>
          </w:p>
        </w:tc>
        <w:tc>
          <w:tcPr>
            <w:tcW w:w="1240" w:type="dxa"/>
            <w:vAlign w:val="bottom"/>
            <w:tcBorders>
              <w:bottom w:val="single" w:sz="8" w:color="CCEEFF"/>
            </w:tcBorders>
          </w:tcPr>
          <w:p>
            <w:pPr>
              <w:jc w:val="right"/>
              <w:ind w:right="239"/>
              <w:spacing w:after="0"/>
              <w:rPr>
                <w:sz w:val="20"/>
                <w:szCs w:val="20"/>
                <w:color w:val="auto"/>
              </w:rPr>
            </w:pPr>
            <w:r>
              <w:rPr>
                <w:rFonts w:ascii="Arial" w:cs="Arial" w:eastAsia="Arial" w:hAnsi="Arial"/>
                <w:sz w:val="16"/>
                <w:szCs w:val="16"/>
                <w:color w:val="auto"/>
              </w:rPr>
              <w:t>(2,000)</w:t>
            </w:r>
          </w:p>
        </w:tc>
        <w:tc>
          <w:tcPr>
            <w:tcW w:w="1040" w:type="dxa"/>
            <w:vAlign w:val="bottom"/>
            <w:tcBorders>
              <w:bottom w:val="single" w:sz="8" w:color="CCEEFF"/>
            </w:tcBorders>
          </w:tcPr>
          <w:p>
            <w:pPr>
              <w:jc w:val="right"/>
              <w:ind w:right="19"/>
              <w:spacing w:after="0"/>
              <w:rPr>
                <w:sz w:val="20"/>
                <w:szCs w:val="20"/>
                <w:color w:val="auto"/>
              </w:rPr>
            </w:pPr>
            <w:r>
              <w:rPr>
                <w:rFonts w:ascii="Arial" w:cs="Arial" w:eastAsia="Arial" w:hAnsi="Arial"/>
                <w:sz w:val="16"/>
                <w:szCs w:val="16"/>
                <w:color w:val="auto"/>
              </w:rPr>
              <w:t>1,500</w:t>
            </w:r>
          </w:p>
        </w:tc>
        <w:tc>
          <w:tcPr>
            <w:tcW w:w="420" w:type="dxa"/>
            <w:vAlign w:val="bottom"/>
            <w:tcBorders>
              <w:bottom w:val="single" w:sz="8" w:color="CCEEFF"/>
            </w:tcBorders>
          </w:tcPr>
          <w:p>
            <w:pPr>
              <w:jc w:val="right"/>
              <w:ind w:right="179"/>
              <w:spacing w:after="0"/>
              <w:rPr>
                <w:sz w:val="20"/>
                <w:szCs w:val="20"/>
                <w:color w:val="auto"/>
              </w:rPr>
            </w:pPr>
            <w:r>
              <w:rPr>
                <w:rFonts w:ascii="Arial" w:cs="Arial" w:eastAsia="Arial" w:hAnsi="Arial"/>
                <w:sz w:val="16"/>
                <w:szCs w:val="16"/>
                <w:color w:val="auto"/>
              </w:rPr>
              <w:t>$</w:t>
            </w:r>
          </w:p>
        </w:tc>
        <w:tc>
          <w:tcPr>
            <w:tcW w:w="940" w:type="dxa"/>
            <w:vAlign w:val="bottom"/>
            <w:tcBorders>
              <w:bottom w:val="single" w:sz="8" w:color="CCEEFF"/>
              <w:right w:val="single" w:sz="8" w:color="auto"/>
            </w:tcBorders>
          </w:tcPr>
          <w:p>
            <w:pPr>
              <w:jc w:val="right"/>
              <w:ind w:right="59"/>
              <w:spacing w:after="0"/>
              <w:rPr>
                <w:sz w:val="20"/>
                <w:szCs w:val="20"/>
                <w:color w:val="auto"/>
              </w:rPr>
            </w:pPr>
            <w:r>
              <w:rPr>
                <w:rFonts w:ascii="Arial" w:cs="Arial" w:eastAsia="Arial" w:hAnsi="Arial"/>
                <w:sz w:val="16"/>
                <w:szCs w:val="16"/>
                <w:color w:val="auto"/>
              </w:rPr>
              <w:t>(1,500)</w:t>
            </w:r>
          </w:p>
        </w:tc>
        <w:tc>
          <w:tcPr>
            <w:tcW w:w="100" w:type="dxa"/>
            <w:vAlign w:val="bottom"/>
            <w:tcBorders>
              <w:bottom w:val="single" w:sz="8" w:color="CCEEFF"/>
            </w:tcBorders>
          </w:tcPr>
          <w:p>
            <w:pPr>
              <w:spacing w:after="0"/>
              <w:rPr>
                <w:sz w:val="18"/>
                <w:szCs w:val="18"/>
                <w:color w:val="auto"/>
              </w:rPr>
            </w:pPr>
          </w:p>
        </w:tc>
        <w:tc>
          <w:tcPr>
            <w:tcW w:w="46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(29)</w:t>
            </w:r>
          </w:p>
        </w:tc>
        <w:tc>
          <w:tcPr>
            <w:tcW w:w="0" w:type="dxa"/>
            <w:vAlign w:val="bottom"/>
          </w:tcPr>
          <w:p>
            <w:pPr>
              <w:spacing w:after="0"/>
              <w:rPr>
                <w:sz w:val="1"/>
                <w:szCs w:val="1"/>
                <w:color w:val="auto"/>
              </w:rPr>
            </w:pPr>
          </w:p>
        </w:tc>
      </w:tr>
      <w:tr>
        <w:trPr>
          <w:trHeight w:val="211"/>
        </w:trPr>
        <w:tc>
          <w:tcPr>
            <w:tcW w:w="3880" w:type="dxa"/>
            <w:vAlign w:val="bottom"/>
            <w:tcBorders>
              <w:bottom w:val="single" w:sz="8" w:color="CCEEFF"/>
            </w:tcBorders>
            <w:shd w:val="clear" w:color="auto" w:fill="CCEEFF"/>
          </w:tcPr>
          <w:p>
            <w:pPr>
              <w:spacing w:after="0"/>
              <w:rPr>
                <w:sz w:val="17"/>
                <w:szCs w:val="17"/>
                <w:color w:val="auto"/>
              </w:rPr>
            </w:pPr>
          </w:p>
        </w:tc>
        <w:tc>
          <w:tcPr>
            <w:tcW w:w="1100" w:type="dxa"/>
            <w:vAlign w:val="bottom"/>
            <w:tcBorders>
              <w:bottom w:val="single" w:sz="8" w:color="CCEEFF"/>
            </w:tcBorders>
            <w:shd w:val="clear" w:color="auto" w:fill="CCEEFF"/>
          </w:tcPr>
          <w:p>
            <w:pPr>
              <w:spacing w:after="0"/>
              <w:rPr>
                <w:sz w:val="17"/>
                <w:szCs w:val="17"/>
                <w:color w:val="auto"/>
              </w:rPr>
            </w:pPr>
          </w:p>
        </w:tc>
        <w:tc>
          <w:tcPr>
            <w:tcW w:w="1160" w:type="dxa"/>
            <w:vAlign w:val="bottom"/>
            <w:tcBorders>
              <w:bottom w:val="single" w:sz="8" w:color="CCEEFF"/>
            </w:tcBorders>
            <w:shd w:val="clear" w:color="auto" w:fill="CCEEFF"/>
          </w:tcPr>
          <w:p>
            <w:pPr>
              <w:spacing w:after="0"/>
              <w:rPr>
                <w:sz w:val="17"/>
                <w:szCs w:val="17"/>
                <w:color w:val="auto"/>
              </w:rPr>
            </w:pPr>
          </w:p>
        </w:tc>
        <w:tc>
          <w:tcPr>
            <w:tcW w:w="1240" w:type="dxa"/>
            <w:vAlign w:val="bottom"/>
            <w:tcBorders>
              <w:bottom w:val="single" w:sz="8" w:color="CCEEFF"/>
            </w:tcBorders>
            <w:shd w:val="clear" w:color="auto" w:fill="CCEEFF"/>
          </w:tcPr>
          <w:p>
            <w:pPr>
              <w:spacing w:after="0"/>
              <w:rPr>
                <w:sz w:val="17"/>
                <w:szCs w:val="17"/>
                <w:color w:val="auto"/>
              </w:rPr>
            </w:pPr>
          </w:p>
        </w:tc>
        <w:tc>
          <w:tcPr>
            <w:tcW w:w="1040" w:type="dxa"/>
            <w:vAlign w:val="bottom"/>
            <w:tcBorders>
              <w:bottom w:val="single" w:sz="8" w:color="CCEEFF"/>
            </w:tcBorders>
            <w:shd w:val="clear" w:color="auto" w:fill="CCEEFF"/>
          </w:tcPr>
          <w:p>
            <w:pPr>
              <w:spacing w:after="0"/>
              <w:rPr>
                <w:sz w:val="17"/>
                <w:szCs w:val="17"/>
                <w:color w:val="auto"/>
              </w:rPr>
            </w:pPr>
          </w:p>
        </w:tc>
        <w:tc>
          <w:tcPr>
            <w:tcW w:w="420" w:type="dxa"/>
            <w:vAlign w:val="bottom"/>
            <w:tcBorders>
              <w:bottom w:val="single" w:sz="8" w:color="CCEEFF"/>
            </w:tcBorders>
            <w:shd w:val="clear" w:color="auto" w:fill="CCEEFF"/>
          </w:tcPr>
          <w:p>
            <w:pPr>
              <w:spacing w:after="0"/>
              <w:rPr>
                <w:sz w:val="17"/>
                <w:szCs w:val="17"/>
                <w:color w:val="auto"/>
              </w:rPr>
            </w:pPr>
          </w:p>
        </w:tc>
        <w:tc>
          <w:tcPr>
            <w:tcW w:w="940" w:type="dxa"/>
            <w:vAlign w:val="bottom"/>
            <w:tcBorders>
              <w:bottom w:val="single" w:sz="8" w:color="CCEEFF"/>
              <w:right w:val="single" w:sz="8" w:color="auto"/>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460" w:type="dxa"/>
            <w:vAlign w:val="bottom"/>
            <w:tcBorders>
              <w:bottom w:val="single" w:sz="8" w:color="auto"/>
            </w:tcBorders>
            <w:shd w:val="clear" w:color="auto" w:fill="CCEEFF"/>
          </w:tcPr>
          <w:p>
            <w:pPr>
              <w:jc w:val="right"/>
              <w:ind w:right="279"/>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(680)</w:t>
            </w:r>
          </w:p>
        </w:tc>
        <w:tc>
          <w:tcPr>
            <w:tcW w:w="0" w:type="dxa"/>
            <w:vAlign w:val="bottom"/>
          </w:tcPr>
          <w:p>
            <w:pPr>
              <w:spacing w:after="0"/>
              <w:rPr>
                <w:sz w:val="1"/>
                <w:szCs w:val="1"/>
                <w:color w:val="auto"/>
              </w:rPr>
            </w:pPr>
          </w:p>
        </w:tc>
      </w:tr>
      <w:tr>
        <w:trPr>
          <w:trHeight w:val="20"/>
        </w:trPr>
        <w:tc>
          <w:tcPr>
            <w:tcW w:w="388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6"/>
                <w:szCs w:val="16"/>
                <w:b w:val="1"/>
                <w:bCs w:val="1"/>
                <w:color w:val="auto"/>
              </w:rPr>
              <w:t>Six months ended June 30, 2022:</w:t>
            </w:r>
          </w:p>
        </w:tc>
        <w:tc>
          <w:tcPr>
            <w:tcW w:w="110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0"/>
        </w:trPr>
        <w:tc>
          <w:tcPr>
            <w:tcW w:w="3880" w:type="dxa"/>
            <w:vAlign w:val="bottom"/>
            <w:vMerge w:val="continue"/>
          </w:tcPr>
          <w:p>
            <w:pPr>
              <w:spacing w:after="0"/>
              <w:rPr>
                <w:sz w:val="13"/>
                <w:szCs w:val="13"/>
                <w:color w:val="auto"/>
              </w:rPr>
            </w:pPr>
          </w:p>
        </w:tc>
        <w:tc>
          <w:tcPr>
            <w:tcW w:w="110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9"/>
        </w:trPr>
        <w:tc>
          <w:tcPr>
            <w:tcW w:w="3880" w:type="dxa"/>
            <w:vAlign w:val="bottom"/>
            <w:shd w:val="clear" w:color="auto" w:fill="CCEEFF"/>
          </w:tcPr>
          <w:p>
            <w:pPr>
              <w:ind w:left="20"/>
              <w:spacing w:after="0"/>
              <w:rPr>
                <w:sz w:val="20"/>
                <w:szCs w:val="20"/>
                <w:color w:val="auto"/>
              </w:rPr>
            </w:pPr>
            <w:r>
              <w:rPr>
                <w:rFonts w:ascii="Arial" w:cs="Arial" w:eastAsia="Arial" w:hAnsi="Arial"/>
                <w:sz w:val="16"/>
                <w:szCs w:val="16"/>
                <w:color w:val="auto"/>
              </w:rPr>
              <w:t>TBA securities, net</w:t>
            </w:r>
          </w:p>
        </w:tc>
        <w:tc>
          <w:tcPr>
            <w:tcW w:w="110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319"/>
              <w:spacing w:after="0"/>
              <w:rPr>
                <w:sz w:val="20"/>
                <w:szCs w:val="20"/>
                <w:color w:val="auto"/>
              </w:rPr>
            </w:pPr>
            <w:r>
              <w:rPr>
                <w:rFonts w:ascii="Arial" w:cs="Arial" w:eastAsia="Arial" w:hAnsi="Arial"/>
                <w:sz w:val="16"/>
                <w:szCs w:val="16"/>
                <w:color w:val="auto"/>
              </w:rPr>
              <w:t>26,673</w:t>
            </w:r>
          </w:p>
        </w:tc>
        <w:tc>
          <w:tcPr>
            <w:tcW w:w="1240" w:type="dxa"/>
            <w:vAlign w:val="bottom"/>
            <w:shd w:val="clear" w:color="auto" w:fill="CCEEFF"/>
          </w:tcPr>
          <w:p>
            <w:pPr>
              <w:jc w:val="right"/>
              <w:ind w:right="279"/>
              <w:spacing w:after="0"/>
              <w:rPr>
                <w:sz w:val="20"/>
                <w:szCs w:val="20"/>
                <w:color w:val="auto"/>
              </w:rPr>
            </w:pPr>
            <w:r>
              <w:rPr>
                <w:rFonts w:ascii="Arial" w:cs="Arial" w:eastAsia="Arial" w:hAnsi="Arial"/>
                <w:sz w:val="16"/>
                <w:szCs w:val="16"/>
                <w:color w:val="auto"/>
              </w:rPr>
              <w:t>150,837</w:t>
            </w: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(161,583)</w:t>
            </w:r>
          </w:p>
        </w:tc>
        <w:tc>
          <w:tcPr>
            <w:tcW w:w="42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15,927</w:t>
            </w: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jc w:val="right"/>
              <w:ind w:right="279"/>
              <w:spacing w:after="0"/>
              <w:rPr>
                <w:sz w:val="20"/>
                <w:szCs w:val="20"/>
                <w:color w:val="auto"/>
              </w:rPr>
            </w:pPr>
            <w:r>
              <w:rPr>
                <w:rFonts w:ascii="Arial" w:cs="Arial" w:eastAsia="Arial" w:hAnsi="Arial"/>
                <w:sz w:val="16"/>
                <w:szCs w:val="16"/>
                <w:color w:val="auto"/>
                <w:w w:val="8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(1,838)</w:t>
            </w:r>
          </w:p>
        </w:tc>
        <w:tc>
          <w:tcPr>
            <w:tcW w:w="0" w:type="dxa"/>
            <w:vAlign w:val="bottom"/>
          </w:tcPr>
          <w:p>
            <w:pPr>
              <w:spacing w:after="0"/>
              <w:rPr>
                <w:sz w:val="1"/>
                <w:szCs w:val="1"/>
                <w:color w:val="auto"/>
              </w:rPr>
            </w:pPr>
          </w:p>
        </w:tc>
      </w:tr>
      <w:tr>
        <w:trPr>
          <w:trHeight w:val="213"/>
        </w:trPr>
        <w:tc>
          <w:tcPr>
            <w:tcW w:w="3880" w:type="dxa"/>
            <w:vAlign w:val="bottom"/>
          </w:tcPr>
          <w:p>
            <w:pPr>
              <w:ind w:left="20"/>
              <w:spacing w:after="0"/>
              <w:rPr>
                <w:sz w:val="20"/>
                <w:szCs w:val="20"/>
                <w:color w:val="auto"/>
              </w:rPr>
            </w:pPr>
            <w:r>
              <w:rPr>
                <w:rFonts w:ascii="Arial" w:cs="Arial" w:eastAsia="Arial" w:hAnsi="Arial"/>
                <w:sz w:val="16"/>
                <w:szCs w:val="16"/>
                <w:color w:val="auto"/>
              </w:rPr>
              <w:t>Forward settling non-Agency securities</w:t>
            </w:r>
          </w:p>
        </w:tc>
        <w:tc>
          <w:tcPr>
            <w:tcW w:w="110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319"/>
              <w:spacing w:after="0"/>
              <w:rPr>
                <w:sz w:val="20"/>
                <w:szCs w:val="20"/>
                <w:color w:val="auto"/>
              </w:rPr>
            </w:pPr>
            <w:r>
              <w:rPr>
                <w:rFonts w:ascii="Arial" w:cs="Arial" w:eastAsia="Arial" w:hAnsi="Arial"/>
                <w:sz w:val="16"/>
                <w:szCs w:val="16"/>
                <w:color w:val="auto"/>
              </w:rPr>
              <w:t>450</w:t>
            </w:r>
          </w:p>
        </w:tc>
        <w:tc>
          <w:tcPr>
            <w:tcW w:w="1240" w:type="dxa"/>
            <w:vAlign w:val="bottom"/>
          </w:tcPr>
          <w:p>
            <w:pPr>
              <w:jc w:val="right"/>
              <w:ind w:right="279"/>
              <w:spacing w:after="0"/>
              <w:rPr>
                <w:sz w:val="20"/>
                <w:szCs w:val="20"/>
                <w:color w:val="auto"/>
              </w:rPr>
            </w:pPr>
            <w:r>
              <w:rPr>
                <w:rFonts w:ascii="Arial" w:cs="Arial" w:eastAsia="Arial" w:hAnsi="Arial"/>
                <w:sz w:val="16"/>
                <w:szCs w:val="16"/>
                <w:color w:val="auto"/>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(450)</w:t>
            </w:r>
          </w:p>
        </w:tc>
        <w:tc>
          <w:tcPr>
            <w:tcW w:w="42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tcPr>
          <w:p>
            <w:pPr>
              <w:jc w:val="right"/>
              <w:ind w:right="99"/>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9"/>
        </w:trPr>
        <w:tc>
          <w:tcPr>
            <w:tcW w:w="3880" w:type="dxa"/>
            <w:vAlign w:val="bottom"/>
            <w:shd w:val="clear" w:color="auto" w:fill="CCEEFF"/>
          </w:tcPr>
          <w:p>
            <w:pPr>
              <w:ind w:left="20"/>
              <w:spacing w:after="0"/>
              <w:rPr>
                <w:sz w:val="20"/>
                <w:szCs w:val="20"/>
                <w:color w:val="auto"/>
              </w:rPr>
            </w:pPr>
            <w:r>
              <w:rPr>
                <w:rFonts w:ascii="Arial" w:cs="Arial" w:eastAsia="Arial" w:hAnsi="Arial"/>
                <w:sz w:val="16"/>
                <w:szCs w:val="16"/>
                <w:color w:val="auto"/>
              </w:rPr>
              <w:t>Interest rate swaps - payer</w:t>
            </w:r>
          </w:p>
        </w:tc>
        <w:tc>
          <w:tcPr>
            <w:tcW w:w="110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319"/>
              <w:spacing w:after="0"/>
              <w:rPr>
                <w:sz w:val="20"/>
                <w:szCs w:val="20"/>
                <w:color w:val="auto"/>
              </w:rPr>
            </w:pPr>
            <w:r>
              <w:rPr>
                <w:rFonts w:ascii="Arial" w:cs="Arial" w:eastAsia="Arial" w:hAnsi="Arial"/>
                <w:sz w:val="16"/>
                <w:szCs w:val="16"/>
                <w:color w:val="auto"/>
              </w:rPr>
              <w:t>51,225</w:t>
            </w:r>
          </w:p>
        </w:tc>
        <w:tc>
          <w:tcPr>
            <w:tcW w:w="1240" w:type="dxa"/>
            <w:vAlign w:val="bottom"/>
            <w:shd w:val="clear" w:color="auto" w:fill="CCEEFF"/>
          </w:tcPr>
          <w:p>
            <w:pPr>
              <w:jc w:val="right"/>
              <w:ind w:right="279"/>
              <w:spacing w:after="0"/>
              <w:rPr>
                <w:sz w:val="20"/>
                <w:szCs w:val="20"/>
                <w:color w:val="auto"/>
              </w:rPr>
            </w:pPr>
            <w:r>
              <w:rPr>
                <w:rFonts w:ascii="Arial" w:cs="Arial" w:eastAsia="Arial" w:hAnsi="Arial"/>
                <w:sz w:val="16"/>
                <w:szCs w:val="16"/>
                <w:color w:val="auto"/>
              </w:rPr>
              <w:t>2,970</w:t>
            </w: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(4,260)</w:t>
            </w:r>
          </w:p>
        </w:tc>
        <w:tc>
          <w:tcPr>
            <w:tcW w:w="42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49,935</w:t>
            </w: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2,771</w:t>
            </w:r>
          </w:p>
        </w:tc>
        <w:tc>
          <w:tcPr>
            <w:tcW w:w="0" w:type="dxa"/>
            <w:vAlign w:val="bottom"/>
          </w:tcPr>
          <w:p>
            <w:pPr>
              <w:spacing w:after="0"/>
              <w:rPr>
                <w:sz w:val="1"/>
                <w:szCs w:val="1"/>
                <w:color w:val="auto"/>
              </w:rPr>
            </w:pPr>
          </w:p>
        </w:tc>
      </w:tr>
      <w:tr>
        <w:trPr>
          <w:trHeight w:val="213"/>
        </w:trPr>
        <w:tc>
          <w:tcPr>
            <w:tcW w:w="3880" w:type="dxa"/>
            <w:vAlign w:val="bottom"/>
          </w:tcPr>
          <w:p>
            <w:pPr>
              <w:ind w:left="20"/>
              <w:spacing w:after="0"/>
              <w:rPr>
                <w:sz w:val="20"/>
                <w:szCs w:val="20"/>
                <w:color w:val="auto"/>
              </w:rPr>
            </w:pPr>
            <w:r>
              <w:rPr>
                <w:rFonts w:ascii="Arial" w:cs="Arial" w:eastAsia="Arial" w:hAnsi="Arial"/>
                <w:sz w:val="16"/>
                <w:szCs w:val="16"/>
                <w:color w:val="auto"/>
              </w:rPr>
              <w:t>Credit default swaps - CDX IG - buy protection</w:t>
            </w:r>
          </w:p>
        </w:tc>
        <w:tc>
          <w:tcPr>
            <w:tcW w:w="110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319"/>
              <w:spacing w:after="0"/>
              <w:rPr>
                <w:sz w:val="20"/>
                <w:szCs w:val="20"/>
                <w:color w:val="auto"/>
              </w:rPr>
            </w:pPr>
            <w:r>
              <w:rPr>
                <w:rFonts w:ascii="Arial" w:cs="Arial" w:eastAsia="Arial" w:hAnsi="Arial"/>
                <w:sz w:val="16"/>
                <w:szCs w:val="16"/>
                <w:color w:val="auto"/>
              </w:rPr>
              <w:t>—</w:t>
            </w:r>
          </w:p>
        </w:tc>
        <w:tc>
          <w:tcPr>
            <w:tcW w:w="1240" w:type="dxa"/>
            <w:vAlign w:val="bottom"/>
          </w:tcPr>
          <w:p>
            <w:pPr>
              <w:jc w:val="right"/>
              <w:ind w:right="239"/>
              <w:spacing w:after="0"/>
              <w:rPr>
                <w:sz w:val="20"/>
                <w:szCs w:val="20"/>
                <w:color w:val="auto"/>
              </w:rPr>
            </w:pPr>
            <w:r>
              <w:rPr>
                <w:rFonts w:ascii="Arial" w:cs="Arial" w:eastAsia="Arial" w:hAnsi="Arial"/>
                <w:sz w:val="16"/>
                <w:szCs w:val="16"/>
                <w:color w:val="auto"/>
              </w:rPr>
              <w:t>(5,470)</w:t>
            </w: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5,255</w:t>
            </w:r>
          </w:p>
        </w:tc>
        <w:tc>
          <w:tcPr>
            <w:tcW w:w="42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tcPr>
          <w:p>
            <w:pPr>
              <w:jc w:val="right"/>
              <w:ind w:right="59"/>
              <w:spacing w:after="0"/>
              <w:rPr>
                <w:sz w:val="20"/>
                <w:szCs w:val="20"/>
                <w:color w:val="auto"/>
              </w:rPr>
            </w:pPr>
            <w:r>
              <w:rPr>
                <w:rFonts w:ascii="Arial" w:cs="Arial" w:eastAsia="Arial" w:hAnsi="Arial"/>
                <w:sz w:val="16"/>
                <w:szCs w:val="16"/>
                <w:color w:val="auto"/>
              </w:rPr>
              <w:t>(215)</w:t>
            </w: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21</w:t>
            </w:r>
          </w:p>
        </w:tc>
        <w:tc>
          <w:tcPr>
            <w:tcW w:w="0" w:type="dxa"/>
            <w:vAlign w:val="bottom"/>
          </w:tcPr>
          <w:p>
            <w:pPr>
              <w:spacing w:after="0"/>
              <w:rPr>
                <w:sz w:val="1"/>
                <w:szCs w:val="1"/>
                <w:color w:val="auto"/>
              </w:rPr>
            </w:pPr>
          </w:p>
        </w:tc>
      </w:tr>
      <w:tr>
        <w:trPr>
          <w:trHeight w:val="219"/>
        </w:trPr>
        <w:tc>
          <w:tcPr>
            <w:tcW w:w="3880" w:type="dxa"/>
            <w:vAlign w:val="bottom"/>
            <w:shd w:val="clear" w:color="auto" w:fill="CCEEFF"/>
          </w:tcPr>
          <w:p>
            <w:pPr>
              <w:ind w:left="20"/>
              <w:spacing w:after="0"/>
              <w:rPr>
                <w:sz w:val="20"/>
                <w:szCs w:val="20"/>
                <w:color w:val="auto"/>
              </w:rPr>
            </w:pPr>
            <w:r>
              <w:rPr>
                <w:rFonts w:ascii="Arial" w:cs="Arial" w:eastAsia="Arial" w:hAnsi="Arial"/>
                <w:sz w:val="16"/>
                <w:szCs w:val="16"/>
                <w:color w:val="auto"/>
              </w:rPr>
              <w:t>Payer swaptions</w:t>
            </w:r>
          </w:p>
        </w:tc>
        <w:tc>
          <w:tcPr>
            <w:tcW w:w="110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319"/>
              <w:spacing w:after="0"/>
              <w:rPr>
                <w:sz w:val="20"/>
                <w:szCs w:val="20"/>
                <w:color w:val="auto"/>
              </w:rPr>
            </w:pPr>
            <w:r>
              <w:rPr>
                <w:rFonts w:ascii="Arial" w:cs="Arial" w:eastAsia="Arial" w:hAnsi="Arial"/>
                <w:sz w:val="16"/>
                <w:szCs w:val="16"/>
                <w:color w:val="auto"/>
              </w:rPr>
              <w:t>13,000</w:t>
            </w:r>
          </w:p>
        </w:tc>
        <w:tc>
          <w:tcPr>
            <w:tcW w:w="1240" w:type="dxa"/>
            <w:vAlign w:val="bottom"/>
            <w:shd w:val="clear" w:color="auto" w:fill="CCEEFF"/>
          </w:tcPr>
          <w:p>
            <w:pPr>
              <w:jc w:val="right"/>
              <w:ind w:right="279"/>
              <w:spacing w:after="0"/>
              <w:rPr>
                <w:sz w:val="20"/>
                <w:szCs w:val="20"/>
                <w:color w:val="auto"/>
              </w:rPr>
            </w:pPr>
            <w:r>
              <w:rPr>
                <w:rFonts w:ascii="Arial" w:cs="Arial" w:eastAsia="Arial" w:hAnsi="Arial"/>
                <w:sz w:val="16"/>
                <w:szCs w:val="16"/>
                <w:color w:val="auto"/>
              </w:rPr>
              <w:t>1,750</w:t>
            </w: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(7,950)</w:t>
            </w:r>
          </w:p>
        </w:tc>
        <w:tc>
          <w:tcPr>
            <w:tcW w:w="42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6,800</w:t>
            </w: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672</w:t>
            </w:r>
          </w:p>
        </w:tc>
        <w:tc>
          <w:tcPr>
            <w:tcW w:w="0" w:type="dxa"/>
            <w:vAlign w:val="bottom"/>
          </w:tcPr>
          <w:p>
            <w:pPr>
              <w:spacing w:after="0"/>
              <w:rPr>
                <w:sz w:val="1"/>
                <w:szCs w:val="1"/>
                <w:color w:val="auto"/>
              </w:rPr>
            </w:pPr>
          </w:p>
        </w:tc>
      </w:tr>
      <w:tr>
        <w:trPr>
          <w:trHeight w:val="213"/>
        </w:trPr>
        <w:tc>
          <w:tcPr>
            <w:tcW w:w="3880" w:type="dxa"/>
            <w:vAlign w:val="bottom"/>
          </w:tcPr>
          <w:p>
            <w:pPr>
              <w:ind w:left="20"/>
              <w:spacing w:after="0"/>
              <w:rPr>
                <w:sz w:val="20"/>
                <w:szCs w:val="20"/>
                <w:color w:val="auto"/>
              </w:rPr>
            </w:pPr>
            <w:r>
              <w:rPr>
                <w:rFonts w:ascii="Arial" w:cs="Arial" w:eastAsia="Arial" w:hAnsi="Arial"/>
                <w:sz w:val="16"/>
                <w:szCs w:val="16"/>
                <w:color w:val="auto"/>
              </w:rPr>
              <w:t>Receiver swaptions</w:t>
            </w:r>
          </w:p>
        </w:tc>
        <w:tc>
          <w:tcPr>
            <w:tcW w:w="110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319"/>
              <w:spacing w:after="0"/>
              <w:rPr>
                <w:sz w:val="20"/>
                <w:szCs w:val="20"/>
                <w:color w:val="auto"/>
              </w:rPr>
            </w:pPr>
            <w:r>
              <w:rPr>
                <w:rFonts w:ascii="Arial" w:cs="Arial" w:eastAsia="Arial" w:hAnsi="Arial"/>
                <w:sz w:val="16"/>
                <w:szCs w:val="16"/>
                <w:color w:val="auto"/>
              </w:rPr>
              <w:t>—</w:t>
            </w:r>
          </w:p>
        </w:tc>
        <w:tc>
          <w:tcPr>
            <w:tcW w:w="1240" w:type="dxa"/>
            <w:vAlign w:val="bottom"/>
          </w:tcPr>
          <w:p>
            <w:pPr>
              <w:jc w:val="right"/>
              <w:ind w:right="239"/>
              <w:spacing w:after="0"/>
              <w:rPr>
                <w:sz w:val="20"/>
                <w:szCs w:val="20"/>
                <w:color w:val="auto"/>
              </w:rPr>
            </w:pPr>
            <w:r>
              <w:rPr>
                <w:rFonts w:ascii="Arial" w:cs="Arial" w:eastAsia="Arial" w:hAnsi="Arial"/>
                <w:sz w:val="16"/>
                <w:szCs w:val="16"/>
                <w:color w:val="auto"/>
              </w:rPr>
              <w:t>(150)</w:t>
            </w: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42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tcPr>
          <w:p>
            <w:pPr>
              <w:jc w:val="right"/>
              <w:ind w:right="59"/>
              <w:spacing w:after="0"/>
              <w:rPr>
                <w:sz w:val="20"/>
                <w:szCs w:val="20"/>
                <w:color w:val="auto"/>
              </w:rPr>
            </w:pPr>
            <w:r>
              <w:rPr>
                <w:rFonts w:ascii="Arial" w:cs="Arial" w:eastAsia="Arial" w:hAnsi="Arial"/>
                <w:sz w:val="16"/>
                <w:szCs w:val="16"/>
                <w:color w:val="auto"/>
              </w:rPr>
              <w:t>(150)</w:t>
            </w: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9"/>
        </w:trPr>
        <w:tc>
          <w:tcPr>
            <w:tcW w:w="3880" w:type="dxa"/>
            <w:vAlign w:val="bottom"/>
            <w:shd w:val="clear" w:color="auto" w:fill="CCEEFF"/>
          </w:tcPr>
          <w:p>
            <w:pPr>
              <w:ind w:left="20"/>
              <w:spacing w:after="0"/>
              <w:rPr>
                <w:sz w:val="20"/>
                <w:szCs w:val="20"/>
                <w:color w:val="auto"/>
              </w:rPr>
            </w:pPr>
            <w:r>
              <w:rPr>
                <w:rFonts w:ascii="Arial" w:cs="Arial" w:eastAsia="Arial" w:hAnsi="Arial"/>
                <w:sz w:val="16"/>
                <w:szCs w:val="16"/>
                <w:color w:val="auto"/>
              </w:rPr>
              <w:t>U.S. Treasury securities - short position</w:t>
            </w:r>
          </w:p>
        </w:tc>
        <w:tc>
          <w:tcPr>
            <w:tcW w:w="110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279"/>
              <w:spacing w:after="0"/>
              <w:rPr>
                <w:sz w:val="20"/>
                <w:szCs w:val="20"/>
                <w:color w:val="auto"/>
              </w:rPr>
            </w:pPr>
            <w:r>
              <w:rPr>
                <w:rFonts w:ascii="Arial" w:cs="Arial" w:eastAsia="Arial" w:hAnsi="Arial"/>
                <w:sz w:val="16"/>
                <w:szCs w:val="16"/>
                <w:color w:val="auto"/>
              </w:rPr>
              <w:t>(9,590)</w:t>
            </w:r>
          </w:p>
        </w:tc>
        <w:tc>
          <w:tcPr>
            <w:tcW w:w="1240" w:type="dxa"/>
            <w:vAlign w:val="bottom"/>
            <w:shd w:val="clear" w:color="auto" w:fill="CCEEFF"/>
          </w:tcPr>
          <w:p>
            <w:pPr>
              <w:jc w:val="right"/>
              <w:ind w:right="239"/>
              <w:spacing w:after="0"/>
              <w:rPr>
                <w:sz w:val="20"/>
                <w:szCs w:val="20"/>
                <w:color w:val="auto"/>
              </w:rPr>
            </w:pPr>
            <w:r>
              <w:rPr>
                <w:rFonts w:ascii="Arial" w:cs="Arial" w:eastAsia="Arial" w:hAnsi="Arial"/>
                <w:sz w:val="16"/>
                <w:szCs w:val="16"/>
                <w:color w:val="auto"/>
              </w:rPr>
              <w:t>(6,908)</w:t>
            </w:r>
          </w:p>
        </w:tc>
        <w:tc>
          <w:tcPr>
            <w:tcW w:w="10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7,255</w:t>
            </w:r>
          </w:p>
        </w:tc>
        <w:tc>
          <w:tcPr>
            <w:tcW w:w="42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(9,243)</w:t>
            </w: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1,088</w:t>
            </w:r>
          </w:p>
        </w:tc>
        <w:tc>
          <w:tcPr>
            <w:tcW w:w="0" w:type="dxa"/>
            <w:vAlign w:val="bottom"/>
          </w:tcPr>
          <w:p>
            <w:pPr>
              <w:spacing w:after="0"/>
              <w:rPr>
                <w:sz w:val="1"/>
                <w:szCs w:val="1"/>
                <w:color w:val="auto"/>
              </w:rPr>
            </w:pPr>
          </w:p>
        </w:tc>
      </w:tr>
      <w:tr>
        <w:trPr>
          <w:trHeight w:val="213"/>
        </w:trPr>
        <w:tc>
          <w:tcPr>
            <w:tcW w:w="3880" w:type="dxa"/>
            <w:vAlign w:val="bottom"/>
          </w:tcPr>
          <w:p>
            <w:pPr>
              <w:ind w:left="20"/>
              <w:spacing w:after="0"/>
              <w:rPr>
                <w:sz w:val="20"/>
                <w:szCs w:val="20"/>
                <w:color w:val="auto"/>
              </w:rPr>
            </w:pPr>
            <w:r>
              <w:rPr>
                <w:rFonts w:ascii="Arial" w:cs="Arial" w:eastAsia="Arial" w:hAnsi="Arial"/>
                <w:sz w:val="16"/>
                <w:szCs w:val="16"/>
                <w:color w:val="auto"/>
              </w:rPr>
              <w:t>U.S. Treasury securities - long position</w:t>
            </w:r>
          </w:p>
        </w:tc>
        <w:tc>
          <w:tcPr>
            <w:tcW w:w="110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319"/>
              <w:spacing w:after="0"/>
              <w:rPr>
                <w:sz w:val="20"/>
                <w:szCs w:val="20"/>
                <w:color w:val="auto"/>
              </w:rPr>
            </w:pPr>
            <w:r>
              <w:rPr>
                <w:rFonts w:ascii="Arial" w:cs="Arial" w:eastAsia="Arial" w:hAnsi="Arial"/>
                <w:sz w:val="16"/>
                <w:szCs w:val="16"/>
                <w:color w:val="auto"/>
              </w:rPr>
              <w:t>472</w:t>
            </w:r>
          </w:p>
        </w:tc>
        <w:tc>
          <w:tcPr>
            <w:tcW w:w="1240" w:type="dxa"/>
            <w:vAlign w:val="bottom"/>
          </w:tcPr>
          <w:p>
            <w:pPr>
              <w:jc w:val="right"/>
              <w:ind w:right="279"/>
              <w:spacing w:after="0"/>
              <w:rPr>
                <w:sz w:val="20"/>
                <w:szCs w:val="20"/>
                <w:color w:val="auto"/>
              </w:rPr>
            </w:pPr>
            <w:r>
              <w:rPr>
                <w:rFonts w:ascii="Arial" w:cs="Arial" w:eastAsia="Arial" w:hAnsi="Arial"/>
                <w:sz w:val="16"/>
                <w:szCs w:val="16"/>
                <w:color w:val="auto"/>
              </w:rPr>
              <w:t>5,576</w:t>
            </w:r>
          </w:p>
        </w:tc>
        <w:tc>
          <w:tcPr>
            <w:tcW w:w="1040" w:type="dxa"/>
            <w:vAlign w:val="bottom"/>
          </w:tcPr>
          <w:p>
            <w:pPr>
              <w:jc w:val="right"/>
              <w:spacing w:after="0"/>
              <w:rPr>
                <w:sz w:val="20"/>
                <w:szCs w:val="20"/>
                <w:color w:val="auto"/>
              </w:rPr>
            </w:pPr>
            <w:r>
              <w:rPr>
                <w:rFonts w:ascii="Arial" w:cs="Arial" w:eastAsia="Arial" w:hAnsi="Arial"/>
                <w:sz w:val="16"/>
                <w:szCs w:val="16"/>
                <w:color w:val="auto"/>
              </w:rPr>
              <w:t>(4,146)</w:t>
            </w:r>
          </w:p>
        </w:tc>
        <w:tc>
          <w:tcPr>
            <w:tcW w:w="42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tcPr>
          <w:p>
            <w:pPr>
              <w:jc w:val="right"/>
              <w:ind w:right="99"/>
              <w:spacing w:after="0"/>
              <w:rPr>
                <w:sz w:val="20"/>
                <w:szCs w:val="20"/>
                <w:color w:val="auto"/>
              </w:rPr>
            </w:pPr>
            <w:r>
              <w:rPr>
                <w:rFonts w:ascii="Arial" w:cs="Arial" w:eastAsia="Arial" w:hAnsi="Arial"/>
                <w:sz w:val="16"/>
                <w:szCs w:val="16"/>
                <w:color w:val="auto"/>
              </w:rPr>
              <w:t>1,902</w:t>
            </w: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(29)</w:t>
            </w:r>
          </w:p>
        </w:tc>
        <w:tc>
          <w:tcPr>
            <w:tcW w:w="0" w:type="dxa"/>
            <w:vAlign w:val="bottom"/>
          </w:tcPr>
          <w:p>
            <w:pPr>
              <w:spacing w:after="0"/>
              <w:rPr>
                <w:sz w:val="1"/>
                <w:szCs w:val="1"/>
                <w:color w:val="auto"/>
              </w:rPr>
            </w:pPr>
          </w:p>
        </w:tc>
      </w:tr>
      <w:tr>
        <w:trPr>
          <w:trHeight w:val="216"/>
        </w:trPr>
        <w:tc>
          <w:tcPr>
            <w:tcW w:w="3880" w:type="dxa"/>
            <w:vAlign w:val="bottom"/>
            <w:shd w:val="clear" w:color="auto" w:fill="CCEEFF"/>
          </w:tcPr>
          <w:p>
            <w:pPr>
              <w:ind w:left="20"/>
              <w:spacing w:after="0"/>
              <w:rPr>
                <w:sz w:val="20"/>
                <w:szCs w:val="20"/>
                <w:color w:val="auto"/>
              </w:rPr>
            </w:pPr>
            <w:r>
              <w:rPr>
                <w:rFonts w:ascii="Arial" w:cs="Arial" w:eastAsia="Arial" w:hAnsi="Arial"/>
                <w:sz w:val="16"/>
                <w:szCs w:val="16"/>
                <w:color w:val="auto"/>
              </w:rPr>
              <w:t>U.S. Treasury futures contracts - short position</w:t>
            </w:r>
          </w:p>
        </w:tc>
        <w:tc>
          <w:tcPr>
            <w:tcW w:w="110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279"/>
              <w:spacing w:after="0"/>
              <w:rPr>
                <w:sz w:val="20"/>
                <w:szCs w:val="20"/>
                <w:color w:val="auto"/>
              </w:rPr>
            </w:pPr>
            <w:r>
              <w:rPr>
                <w:rFonts w:ascii="Arial" w:cs="Arial" w:eastAsia="Arial" w:hAnsi="Arial"/>
                <w:sz w:val="16"/>
                <w:szCs w:val="16"/>
                <w:color w:val="auto"/>
              </w:rPr>
              <w:t>(1,500)</w:t>
            </w:r>
          </w:p>
        </w:tc>
        <w:tc>
          <w:tcPr>
            <w:tcW w:w="1240" w:type="dxa"/>
            <w:vAlign w:val="bottom"/>
            <w:shd w:val="clear" w:color="auto" w:fill="CCEEFF"/>
          </w:tcPr>
          <w:p>
            <w:pPr>
              <w:jc w:val="right"/>
              <w:ind w:right="239"/>
              <w:spacing w:after="0"/>
              <w:rPr>
                <w:sz w:val="20"/>
                <w:szCs w:val="20"/>
                <w:color w:val="auto"/>
              </w:rPr>
            </w:pPr>
            <w:r>
              <w:rPr>
                <w:rFonts w:ascii="Arial" w:cs="Arial" w:eastAsia="Arial" w:hAnsi="Arial"/>
                <w:sz w:val="16"/>
                <w:szCs w:val="16"/>
                <w:color w:val="auto"/>
              </w:rPr>
              <w:t>(15,225)</w:t>
            </w:r>
          </w:p>
        </w:tc>
        <w:tc>
          <w:tcPr>
            <w:tcW w:w="10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8,620</w:t>
            </w:r>
          </w:p>
        </w:tc>
        <w:tc>
          <w:tcPr>
            <w:tcW w:w="42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(8,105)</w:t>
            </w:r>
          </w:p>
        </w:tc>
        <w:tc>
          <w:tcPr>
            <w:tcW w:w="100" w:type="dxa"/>
            <w:vAlign w:val="bottom"/>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335</w:t>
            </w:r>
          </w:p>
        </w:tc>
        <w:tc>
          <w:tcPr>
            <w:tcW w:w="0" w:type="dxa"/>
            <w:vAlign w:val="bottom"/>
          </w:tcPr>
          <w:p>
            <w:pPr>
              <w:spacing w:after="0"/>
              <w:rPr>
                <w:sz w:val="1"/>
                <w:szCs w:val="1"/>
                <w:color w:val="auto"/>
              </w:rPr>
            </w:pPr>
          </w:p>
        </w:tc>
      </w:tr>
      <w:tr>
        <w:trPr>
          <w:trHeight w:val="249"/>
        </w:trPr>
        <w:tc>
          <w:tcPr>
            <w:tcW w:w="388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94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460" w:type="dxa"/>
            <w:vAlign w:val="bottom"/>
            <w:tcBorders>
              <w:bottom w:val="single" w:sz="8" w:color="auto"/>
            </w:tcBorders>
          </w:tcPr>
          <w:p>
            <w:pPr>
              <w:jc w:val="right"/>
              <w:ind w:right="279"/>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3,020</w:t>
            </w:r>
          </w:p>
        </w:tc>
        <w:tc>
          <w:tcPr>
            <w:tcW w:w="0" w:type="dxa"/>
            <w:vAlign w:val="bottom"/>
          </w:tcPr>
          <w:p>
            <w:pPr>
              <w:spacing w:after="0"/>
              <w:rPr>
                <w:sz w:val="1"/>
                <w:szCs w:val="1"/>
                <w:color w:val="auto"/>
              </w:rPr>
            </w:pPr>
          </w:p>
        </w:tc>
      </w:tr>
      <w:tr>
        <w:trPr>
          <w:trHeight w:val="227"/>
        </w:trPr>
        <w:tc>
          <w:tcPr>
            <w:tcW w:w="3880" w:type="dxa"/>
            <w:vAlign w:val="bottom"/>
            <w:tcBorders>
              <w:top w:val="single" w:sz="8" w:color="CCEEFF"/>
            </w:tcBorders>
            <w:shd w:val="clear" w:color="auto" w:fill="CCEEFF"/>
          </w:tcPr>
          <w:p>
            <w:pPr>
              <w:spacing w:after="0"/>
              <w:rPr>
                <w:sz w:val="19"/>
                <w:szCs w:val="19"/>
                <w:color w:val="auto"/>
              </w:rPr>
            </w:pPr>
          </w:p>
        </w:tc>
        <w:tc>
          <w:tcPr>
            <w:tcW w:w="1100" w:type="dxa"/>
            <w:vAlign w:val="bottom"/>
            <w:tcBorders>
              <w:top w:val="single" w:sz="8" w:color="CCEEFF"/>
            </w:tcBorders>
            <w:shd w:val="clear" w:color="auto" w:fill="CCEEFF"/>
          </w:tcPr>
          <w:p>
            <w:pPr>
              <w:spacing w:after="0"/>
              <w:rPr>
                <w:sz w:val="19"/>
                <w:szCs w:val="19"/>
                <w:color w:val="auto"/>
              </w:rPr>
            </w:pPr>
          </w:p>
        </w:tc>
        <w:tc>
          <w:tcPr>
            <w:tcW w:w="1160" w:type="dxa"/>
            <w:vAlign w:val="bottom"/>
            <w:tcBorders>
              <w:top w:val="single" w:sz="8" w:color="CCEEFF"/>
            </w:tcBorders>
            <w:shd w:val="clear" w:color="auto" w:fill="CCEEFF"/>
          </w:tcPr>
          <w:p>
            <w:pPr>
              <w:spacing w:after="0"/>
              <w:rPr>
                <w:sz w:val="19"/>
                <w:szCs w:val="19"/>
                <w:color w:val="auto"/>
              </w:rPr>
            </w:pPr>
          </w:p>
        </w:tc>
        <w:tc>
          <w:tcPr>
            <w:tcW w:w="1240" w:type="dxa"/>
            <w:vAlign w:val="bottom"/>
            <w:tcBorders>
              <w:top w:val="single" w:sz="8" w:color="CCEEFF"/>
            </w:tcBorders>
            <w:shd w:val="clear" w:color="auto" w:fill="CCEEFF"/>
          </w:tcPr>
          <w:p>
            <w:pPr>
              <w:spacing w:after="0"/>
              <w:rPr>
                <w:sz w:val="19"/>
                <w:szCs w:val="19"/>
                <w:color w:val="auto"/>
              </w:rPr>
            </w:pPr>
          </w:p>
        </w:tc>
        <w:tc>
          <w:tcPr>
            <w:tcW w:w="1040" w:type="dxa"/>
            <w:vAlign w:val="bottom"/>
            <w:tcBorders>
              <w:top w:val="single" w:sz="8" w:color="CCEEFF"/>
            </w:tcBorders>
            <w:shd w:val="clear" w:color="auto" w:fill="CCEEFF"/>
          </w:tcPr>
          <w:p>
            <w:pPr>
              <w:spacing w:after="0"/>
              <w:rPr>
                <w:sz w:val="19"/>
                <w:szCs w:val="19"/>
                <w:color w:val="auto"/>
              </w:rPr>
            </w:pPr>
          </w:p>
        </w:tc>
        <w:tc>
          <w:tcPr>
            <w:tcW w:w="420" w:type="dxa"/>
            <w:vAlign w:val="bottom"/>
            <w:tcBorders>
              <w:top w:val="single" w:sz="8" w:color="CCEEFF"/>
            </w:tcBorders>
            <w:shd w:val="clear" w:color="auto" w:fill="CCEEFF"/>
          </w:tcPr>
          <w:p>
            <w:pPr>
              <w:spacing w:after="0"/>
              <w:rPr>
                <w:sz w:val="19"/>
                <w:szCs w:val="19"/>
                <w:color w:val="auto"/>
              </w:rPr>
            </w:pPr>
          </w:p>
        </w:tc>
        <w:tc>
          <w:tcPr>
            <w:tcW w:w="940" w:type="dxa"/>
            <w:vAlign w:val="bottom"/>
            <w:tcBorders>
              <w:top w:val="single" w:sz="8" w:color="CCEEFF"/>
              <w:right w:val="single" w:sz="8" w:color="CCEEFF"/>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460" w:type="dxa"/>
            <w:vAlign w:val="bottom"/>
            <w:tcBorders>
              <w:top w:val="single" w:sz="8" w:color="auto"/>
            </w:tcBorders>
            <w:shd w:val="clear" w:color="auto" w:fill="CCEEFF"/>
          </w:tcPr>
          <w:p>
            <w:pPr>
              <w:spacing w:after="0"/>
              <w:rPr>
                <w:sz w:val="19"/>
                <w:szCs w:val="19"/>
                <w:color w:val="auto"/>
              </w:rPr>
            </w:pPr>
          </w:p>
        </w:tc>
        <w:tc>
          <w:tcPr>
            <w:tcW w:w="860" w:type="dxa"/>
            <w:vAlign w:val="bottom"/>
            <w:tcBorders>
              <w:top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3880" w:type="dxa"/>
            <w:vAlign w:val="bottom"/>
          </w:tcPr>
          <w:p>
            <w:pPr>
              <w:ind w:left="20"/>
              <w:spacing w:after="0"/>
              <w:rPr>
                <w:sz w:val="20"/>
                <w:szCs w:val="20"/>
                <w:color w:val="auto"/>
              </w:rPr>
            </w:pPr>
            <w:r>
              <w:rPr>
                <w:rFonts w:ascii="Arial" w:cs="Arial" w:eastAsia="Arial" w:hAnsi="Arial"/>
                <w:sz w:val="16"/>
                <w:szCs w:val="16"/>
                <w:b w:val="1"/>
                <w:bCs w:val="1"/>
                <w:color w:val="auto"/>
              </w:rPr>
              <w:t>Six months ended June 30, 2021:</w:t>
            </w:r>
          </w:p>
        </w:tc>
        <w:tc>
          <w:tcPr>
            <w:tcW w:w="11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3880" w:type="dxa"/>
            <w:vAlign w:val="bottom"/>
            <w:shd w:val="clear" w:color="auto" w:fill="CCEEFF"/>
          </w:tcPr>
          <w:p>
            <w:pPr>
              <w:ind w:left="20"/>
              <w:spacing w:after="0"/>
              <w:rPr>
                <w:sz w:val="20"/>
                <w:szCs w:val="20"/>
                <w:color w:val="auto"/>
              </w:rPr>
            </w:pPr>
            <w:r>
              <w:rPr>
                <w:rFonts w:ascii="Arial" w:cs="Arial" w:eastAsia="Arial" w:hAnsi="Arial"/>
                <w:sz w:val="16"/>
                <w:szCs w:val="16"/>
                <w:color w:val="auto"/>
              </w:rPr>
              <w:t>TBA securities, net</w:t>
            </w:r>
          </w:p>
        </w:tc>
        <w:tc>
          <w:tcPr>
            <w:tcW w:w="110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319"/>
              <w:spacing w:after="0"/>
              <w:rPr>
                <w:sz w:val="20"/>
                <w:szCs w:val="20"/>
                <w:color w:val="auto"/>
              </w:rPr>
            </w:pPr>
            <w:r>
              <w:rPr>
                <w:rFonts w:ascii="Arial" w:cs="Arial" w:eastAsia="Arial" w:hAnsi="Arial"/>
                <w:sz w:val="16"/>
                <w:szCs w:val="16"/>
                <w:color w:val="auto"/>
              </w:rPr>
              <w:t>30,364</w:t>
            </w:r>
          </w:p>
        </w:tc>
        <w:tc>
          <w:tcPr>
            <w:tcW w:w="1240" w:type="dxa"/>
            <w:vAlign w:val="bottom"/>
            <w:shd w:val="clear" w:color="auto" w:fill="CCEEFF"/>
          </w:tcPr>
          <w:p>
            <w:pPr>
              <w:jc w:val="right"/>
              <w:ind w:right="279"/>
              <w:spacing w:after="0"/>
              <w:rPr>
                <w:sz w:val="20"/>
                <w:szCs w:val="20"/>
                <w:color w:val="auto"/>
              </w:rPr>
            </w:pPr>
            <w:r>
              <w:rPr>
                <w:rFonts w:ascii="Arial" w:cs="Arial" w:eastAsia="Arial" w:hAnsi="Arial"/>
                <w:sz w:val="16"/>
                <w:szCs w:val="16"/>
                <w:color w:val="auto"/>
              </w:rPr>
              <w:t>187,584</w:t>
            </w: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(191,381)</w:t>
            </w:r>
          </w:p>
        </w:tc>
        <w:tc>
          <w:tcPr>
            <w:tcW w:w="42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26,567</w:t>
            </w: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jc w:val="right"/>
              <w:ind w:right="279"/>
              <w:spacing w:after="0"/>
              <w:rPr>
                <w:sz w:val="20"/>
                <w:szCs w:val="20"/>
                <w:color w:val="auto"/>
              </w:rPr>
            </w:pPr>
            <w:r>
              <w:rPr>
                <w:rFonts w:ascii="Arial" w:cs="Arial" w:eastAsia="Arial" w:hAnsi="Arial"/>
                <w:sz w:val="16"/>
                <w:szCs w:val="16"/>
                <w:color w:val="auto"/>
                <w:w w:val="8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(530)</w:t>
            </w:r>
          </w:p>
        </w:tc>
        <w:tc>
          <w:tcPr>
            <w:tcW w:w="0" w:type="dxa"/>
            <w:vAlign w:val="bottom"/>
          </w:tcPr>
          <w:p>
            <w:pPr>
              <w:spacing w:after="0"/>
              <w:rPr>
                <w:sz w:val="1"/>
                <w:szCs w:val="1"/>
                <w:color w:val="auto"/>
              </w:rPr>
            </w:pPr>
          </w:p>
        </w:tc>
      </w:tr>
      <w:tr>
        <w:trPr>
          <w:trHeight w:val="213"/>
        </w:trPr>
        <w:tc>
          <w:tcPr>
            <w:tcW w:w="3880" w:type="dxa"/>
            <w:vAlign w:val="bottom"/>
          </w:tcPr>
          <w:p>
            <w:pPr>
              <w:ind w:left="20"/>
              <w:spacing w:after="0"/>
              <w:rPr>
                <w:sz w:val="20"/>
                <w:szCs w:val="20"/>
                <w:color w:val="auto"/>
              </w:rPr>
            </w:pPr>
            <w:r>
              <w:rPr>
                <w:rFonts w:ascii="Arial" w:cs="Arial" w:eastAsia="Arial" w:hAnsi="Arial"/>
                <w:sz w:val="16"/>
                <w:szCs w:val="16"/>
                <w:color w:val="auto"/>
              </w:rPr>
              <w:t>Interest rate swaps - payer</w:t>
            </w:r>
          </w:p>
        </w:tc>
        <w:tc>
          <w:tcPr>
            <w:tcW w:w="110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319"/>
              <w:spacing w:after="0"/>
              <w:rPr>
                <w:sz w:val="20"/>
                <w:szCs w:val="20"/>
                <w:color w:val="auto"/>
              </w:rPr>
            </w:pPr>
            <w:r>
              <w:rPr>
                <w:rFonts w:ascii="Arial" w:cs="Arial" w:eastAsia="Arial" w:hAnsi="Arial"/>
                <w:sz w:val="16"/>
                <w:szCs w:val="16"/>
                <w:color w:val="auto"/>
              </w:rPr>
              <w:t>43,225</w:t>
            </w:r>
          </w:p>
        </w:tc>
        <w:tc>
          <w:tcPr>
            <w:tcW w:w="1240" w:type="dxa"/>
            <w:vAlign w:val="bottom"/>
          </w:tcPr>
          <w:p>
            <w:pPr>
              <w:jc w:val="right"/>
              <w:ind w:right="279"/>
              <w:spacing w:after="0"/>
              <w:rPr>
                <w:sz w:val="20"/>
                <w:szCs w:val="20"/>
                <w:color w:val="auto"/>
              </w:rPr>
            </w:pPr>
            <w:r>
              <w:rPr>
                <w:rFonts w:ascii="Arial" w:cs="Arial" w:eastAsia="Arial" w:hAnsi="Arial"/>
                <w:sz w:val="16"/>
                <w:szCs w:val="16"/>
                <w:color w:val="auto"/>
              </w:rPr>
              <w:t>7,000</w:t>
            </w:r>
          </w:p>
        </w:tc>
        <w:tc>
          <w:tcPr>
            <w:tcW w:w="1040" w:type="dxa"/>
            <w:vAlign w:val="bottom"/>
          </w:tcPr>
          <w:p>
            <w:pPr>
              <w:jc w:val="right"/>
              <w:spacing w:after="0"/>
              <w:rPr>
                <w:sz w:val="20"/>
                <w:szCs w:val="20"/>
                <w:color w:val="auto"/>
              </w:rPr>
            </w:pPr>
            <w:r>
              <w:rPr>
                <w:rFonts w:ascii="Arial" w:cs="Arial" w:eastAsia="Arial" w:hAnsi="Arial"/>
                <w:sz w:val="16"/>
                <w:szCs w:val="16"/>
                <w:color w:val="auto"/>
              </w:rPr>
              <w:t>(500)</w:t>
            </w:r>
          </w:p>
        </w:tc>
        <w:tc>
          <w:tcPr>
            <w:tcW w:w="42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tcPr>
          <w:p>
            <w:pPr>
              <w:jc w:val="right"/>
              <w:ind w:right="99"/>
              <w:spacing w:after="0"/>
              <w:rPr>
                <w:sz w:val="20"/>
                <w:szCs w:val="20"/>
                <w:color w:val="auto"/>
              </w:rPr>
            </w:pPr>
            <w:r>
              <w:rPr>
                <w:rFonts w:ascii="Arial" w:cs="Arial" w:eastAsia="Arial" w:hAnsi="Arial"/>
                <w:sz w:val="16"/>
                <w:szCs w:val="16"/>
                <w:color w:val="auto"/>
              </w:rPr>
              <w:t>49,725</w:t>
            </w: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724</w:t>
            </w:r>
          </w:p>
        </w:tc>
        <w:tc>
          <w:tcPr>
            <w:tcW w:w="0" w:type="dxa"/>
            <w:vAlign w:val="bottom"/>
          </w:tcPr>
          <w:p>
            <w:pPr>
              <w:spacing w:after="0"/>
              <w:rPr>
                <w:sz w:val="1"/>
                <w:szCs w:val="1"/>
                <w:color w:val="auto"/>
              </w:rPr>
            </w:pPr>
          </w:p>
        </w:tc>
      </w:tr>
      <w:tr>
        <w:trPr>
          <w:trHeight w:val="219"/>
        </w:trPr>
        <w:tc>
          <w:tcPr>
            <w:tcW w:w="3880" w:type="dxa"/>
            <w:vAlign w:val="bottom"/>
            <w:shd w:val="clear" w:color="auto" w:fill="CCEEFF"/>
          </w:tcPr>
          <w:p>
            <w:pPr>
              <w:ind w:left="20"/>
              <w:spacing w:after="0"/>
              <w:rPr>
                <w:sz w:val="20"/>
                <w:szCs w:val="20"/>
                <w:color w:val="auto"/>
              </w:rPr>
            </w:pPr>
            <w:r>
              <w:rPr>
                <w:rFonts w:ascii="Arial" w:cs="Arial" w:eastAsia="Arial" w:hAnsi="Arial"/>
                <w:sz w:val="16"/>
                <w:szCs w:val="16"/>
                <w:color w:val="auto"/>
              </w:rPr>
              <w:t>Payer swaptions</w:t>
            </w:r>
          </w:p>
        </w:tc>
        <w:tc>
          <w:tcPr>
            <w:tcW w:w="110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319"/>
              <w:spacing w:after="0"/>
              <w:rPr>
                <w:sz w:val="20"/>
                <w:szCs w:val="20"/>
                <w:color w:val="auto"/>
              </w:rPr>
            </w:pPr>
            <w:r>
              <w:rPr>
                <w:rFonts w:ascii="Arial" w:cs="Arial" w:eastAsia="Arial" w:hAnsi="Arial"/>
                <w:sz w:val="16"/>
                <w:szCs w:val="16"/>
                <w:color w:val="auto"/>
              </w:rPr>
              <w:t>10,400</w:t>
            </w:r>
          </w:p>
        </w:tc>
        <w:tc>
          <w:tcPr>
            <w:tcW w:w="1240" w:type="dxa"/>
            <w:vAlign w:val="bottom"/>
            <w:shd w:val="clear" w:color="auto" w:fill="CCEEFF"/>
          </w:tcPr>
          <w:p>
            <w:pPr>
              <w:jc w:val="right"/>
              <w:ind w:right="279"/>
              <w:spacing w:after="0"/>
              <w:rPr>
                <w:sz w:val="20"/>
                <w:szCs w:val="20"/>
                <w:color w:val="auto"/>
              </w:rPr>
            </w:pPr>
            <w:r>
              <w:rPr>
                <w:rFonts w:ascii="Arial" w:cs="Arial" w:eastAsia="Arial" w:hAnsi="Arial"/>
                <w:sz w:val="16"/>
                <w:szCs w:val="16"/>
                <w:color w:val="auto"/>
              </w:rPr>
              <w:t>4,250</w:t>
            </w: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(3,200)</w:t>
            </w:r>
          </w:p>
        </w:tc>
        <w:tc>
          <w:tcPr>
            <w:tcW w:w="42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11,450</w:t>
            </w: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74</w:t>
            </w:r>
          </w:p>
        </w:tc>
        <w:tc>
          <w:tcPr>
            <w:tcW w:w="0" w:type="dxa"/>
            <w:vAlign w:val="bottom"/>
          </w:tcPr>
          <w:p>
            <w:pPr>
              <w:spacing w:after="0"/>
              <w:rPr>
                <w:sz w:val="1"/>
                <w:szCs w:val="1"/>
                <w:color w:val="auto"/>
              </w:rPr>
            </w:pPr>
          </w:p>
        </w:tc>
      </w:tr>
      <w:tr>
        <w:trPr>
          <w:trHeight w:val="213"/>
        </w:trPr>
        <w:tc>
          <w:tcPr>
            <w:tcW w:w="3880" w:type="dxa"/>
            <w:vAlign w:val="bottom"/>
          </w:tcPr>
          <w:p>
            <w:pPr>
              <w:ind w:left="20"/>
              <w:spacing w:after="0"/>
              <w:rPr>
                <w:sz w:val="20"/>
                <w:szCs w:val="20"/>
                <w:color w:val="auto"/>
              </w:rPr>
            </w:pPr>
            <w:r>
              <w:rPr>
                <w:rFonts w:ascii="Arial" w:cs="Arial" w:eastAsia="Arial" w:hAnsi="Arial"/>
                <w:sz w:val="16"/>
                <w:szCs w:val="16"/>
                <w:color w:val="auto"/>
              </w:rPr>
              <w:t>U.S. Treasury securities - short position</w:t>
            </w:r>
          </w:p>
        </w:tc>
        <w:tc>
          <w:tcPr>
            <w:tcW w:w="110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279"/>
              <w:spacing w:after="0"/>
              <w:rPr>
                <w:sz w:val="20"/>
                <w:szCs w:val="20"/>
                <w:color w:val="auto"/>
              </w:rPr>
            </w:pPr>
            <w:r>
              <w:rPr>
                <w:rFonts w:ascii="Arial" w:cs="Arial" w:eastAsia="Arial" w:hAnsi="Arial"/>
                <w:sz w:val="16"/>
                <w:szCs w:val="16"/>
                <w:color w:val="auto"/>
              </w:rPr>
              <w:t>(11,287)</w:t>
            </w:r>
          </w:p>
        </w:tc>
        <w:tc>
          <w:tcPr>
            <w:tcW w:w="1240" w:type="dxa"/>
            <w:vAlign w:val="bottom"/>
          </w:tcPr>
          <w:p>
            <w:pPr>
              <w:jc w:val="right"/>
              <w:ind w:right="239"/>
              <w:spacing w:after="0"/>
              <w:rPr>
                <w:sz w:val="20"/>
                <w:szCs w:val="20"/>
                <w:color w:val="auto"/>
              </w:rPr>
            </w:pPr>
            <w:r>
              <w:rPr>
                <w:rFonts w:ascii="Arial" w:cs="Arial" w:eastAsia="Arial" w:hAnsi="Arial"/>
                <w:sz w:val="16"/>
                <w:szCs w:val="16"/>
                <w:color w:val="auto"/>
              </w:rPr>
              <w:t>(7,846)</w:t>
            </w: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8,240</w:t>
            </w:r>
          </w:p>
        </w:tc>
        <w:tc>
          <w:tcPr>
            <w:tcW w:w="42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tcPr>
          <w:p>
            <w:pPr>
              <w:jc w:val="right"/>
              <w:ind w:right="59"/>
              <w:spacing w:after="0"/>
              <w:rPr>
                <w:sz w:val="20"/>
                <w:szCs w:val="20"/>
                <w:color w:val="auto"/>
              </w:rPr>
            </w:pPr>
            <w:r>
              <w:rPr>
                <w:rFonts w:ascii="Arial" w:cs="Arial" w:eastAsia="Arial" w:hAnsi="Arial"/>
                <w:sz w:val="16"/>
                <w:szCs w:val="16"/>
                <w:color w:val="auto"/>
              </w:rPr>
              <w:t>(10,893)</w:t>
            </w: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474</w:t>
            </w:r>
          </w:p>
        </w:tc>
        <w:tc>
          <w:tcPr>
            <w:tcW w:w="0" w:type="dxa"/>
            <w:vAlign w:val="bottom"/>
          </w:tcPr>
          <w:p>
            <w:pPr>
              <w:spacing w:after="0"/>
              <w:rPr>
                <w:sz w:val="1"/>
                <w:szCs w:val="1"/>
                <w:color w:val="auto"/>
              </w:rPr>
            </w:pPr>
          </w:p>
        </w:tc>
      </w:tr>
      <w:tr>
        <w:trPr>
          <w:trHeight w:val="219"/>
        </w:trPr>
        <w:tc>
          <w:tcPr>
            <w:tcW w:w="3880" w:type="dxa"/>
            <w:vAlign w:val="bottom"/>
            <w:shd w:val="clear" w:color="auto" w:fill="CCEEFF"/>
          </w:tcPr>
          <w:p>
            <w:pPr>
              <w:ind w:left="20"/>
              <w:spacing w:after="0"/>
              <w:rPr>
                <w:sz w:val="20"/>
                <w:szCs w:val="20"/>
                <w:color w:val="auto"/>
              </w:rPr>
            </w:pPr>
            <w:r>
              <w:rPr>
                <w:rFonts w:ascii="Arial" w:cs="Arial" w:eastAsia="Arial" w:hAnsi="Arial"/>
                <w:sz w:val="16"/>
                <w:szCs w:val="16"/>
                <w:color w:val="auto"/>
              </w:rPr>
              <w:t>U.S. Treasury securities - long position</w:t>
            </w:r>
          </w:p>
        </w:tc>
        <w:tc>
          <w:tcPr>
            <w:tcW w:w="110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319"/>
              <w:spacing w:after="0"/>
              <w:rPr>
                <w:sz w:val="20"/>
                <w:szCs w:val="20"/>
                <w:color w:val="auto"/>
              </w:rPr>
            </w:pPr>
            <w:r>
              <w:rPr>
                <w:rFonts w:ascii="Arial" w:cs="Arial" w:eastAsia="Arial" w:hAnsi="Arial"/>
                <w:sz w:val="16"/>
                <w:szCs w:val="16"/>
                <w:color w:val="auto"/>
              </w:rPr>
              <w:t>—</w:t>
            </w:r>
          </w:p>
        </w:tc>
        <w:tc>
          <w:tcPr>
            <w:tcW w:w="1240" w:type="dxa"/>
            <w:vAlign w:val="bottom"/>
            <w:shd w:val="clear" w:color="auto" w:fill="CCEEFF"/>
          </w:tcPr>
          <w:p>
            <w:pPr>
              <w:jc w:val="right"/>
              <w:ind w:right="279"/>
              <w:spacing w:after="0"/>
              <w:rPr>
                <w:sz w:val="20"/>
                <w:szCs w:val="20"/>
                <w:color w:val="auto"/>
              </w:rPr>
            </w:pPr>
            <w:r>
              <w:rPr>
                <w:rFonts w:ascii="Arial" w:cs="Arial" w:eastAsia="Arial" w:hAnsi="Arial"/>
                <w:sz w:val="16"/>
                <w:szCs w:val="16"/>
                <w:color w:val="auto"/>
              </w:rPr>
              <w:t>2,651</w:t>
            </w: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(2,254)</w:t>
            </w:r>
          </w:p>
        </w:tc>
        <w:tc>
          <w:tcPr>
            <w:tcW w:w="42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397</w:t>
            </w: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w:t>
            </w:r>
          </w:p>
        </w:tc>
        <w:tc>
          <w:tcPr>
            <w:tcW w:w="0" w:type="dxa"/>
            <w:vAlign w:val="bottom"/>
          </w:tcPr>
          <w:p>
            <w:pPr>
              <w:spacing w:after="0"/>
              <w:rPr>
                <w:sz w:val="1"/>
                <w:szCs w:val="1"/>
                <w:color w:val="auto"/>
              </w:rPr>
            </w:pPr>
          </w:p>
        </w:tc>
      </w:tr>
      <w:tr>
        <w:trPr>
          <w:trHeight w:val="213"/>
        </w:trPr>
        <w:tc>
          <w:tcPr>
            <w:tcW w:w="388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U.S. Treasury futures contracts - short position</w:t>
            </w:r>
          </w:p>
        </w:tc>
        <w:tc>
          <w:tcPr>
            <w:tcW w:w="1100" w:type="dxa"/>
            <w:vAlign w:val="bottom"/>
            <w:tcBorders>
              <w:bottom w:val="single" w:sz="8" w:color="CCEEFF"/>
            </w:tcBorders>
          </w:tcPr>
          <w:p>
            <w:pPr>
              <w:jc w:val="right"/>
              <w:ind w:right="179"/>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CCEEFF"/>
            </w:tcBorders>
          </w:tcPr>
          <w:p>
            <w:pPr>
              <w:jc w:val="right"/>
              <w:ind w:right="279"/>
              <w:spacing w:after="0"/>
              <w:rPr>
                <w:sz w:val="20"/>
                <w:szCs w:val="20"/>
                <w:color w:val="auto"/>
              </w:rPr>
            </w:pPr>
            <w:r>
              <w:rPr>
                <w:rFonts w:ascii="Arial" w:cs="Arial" w:eastAsia="Arial" w:hAnsi="Arial"/>
                <w:sz w:val="16"/>
                <w:szCs w:val="16"/>
                <w:color w:val="auto"/>
              </w:rPr>
              <w:t>(1,000)</w:t>
            </w:r>
          </w:p>
        </w:tc>
        <w:tc>
          <w:tcPr>
            <w:tcW w:w="1240" w:type="dxa"/>
            <w:vAlign w:val="bottom"/>
            <w:tcBorders>
              <w:bottom w:val="single" w:sz="8" w:color="CCEEFF"/>
            </w:tcBorders>
          </w:tcPr>
          <w:p>
            <w:pPr>
              <w:jc w:val="right"/>
              <w:ind w:right="239"/>
              <w:spacing w:after="0"/>
              <w:rPr>
                <w:sz w:val="20"/>
                <w:szCs w:val="20"/>
                <w:color w:val="auto"/>
              </w:rPr>
            </w:pPr>
            <w:r>
              <w:rPr>
                <w:rFonts w:ascii="Arial" w:cs="Arial" w:eastAsia="Arial" w:hAnsi="Arial"/>
                <w:sz w:val="16"/>
                <w:szCs w:val="16"/>
                <w:color w:val="auto"/>
              </w:rPr>
              <w:t>(3,000)</w:t>
            </w:r>
          </w:p>
        </w:tc>
        <w:tc>
          <w:tcPr>
            <w:tcW w:w="1040" w:type="dxa"/>
            <w:vAlign w:val="bottom"/>
            <w:tcBorders>
              <w:bottom w:val="single" w:sz="8" w:color="CCEEFF"/>
            </w:tcBorders>
          </w:tcPr>
          <w:p>
            <w:pPr>
              <w:jc w:val="right"/>
              <w:ind w:right="19"/>
              <w:spacing w:after="0"/>
              <w:rPr>
                <w:sz w:val="20"/>
                <w:szCs w:val="20"/>
                <w:color w:val="auto"/>
              </w:rPr>
            </w:pPr>
            <w:r>
              <w:rPr>
                <w:rFonts w:ascii="Arial" w:cs="Arial" w:eastAsia="Arial" w:hAnsi="Arial"/>
                <w:sz w:val="16"/>
                <w:szCs w:val="16"/>
                <w:color w:val="auto"/>
              </w:rPr>
              <w:t>2,500</w:t>
            </w:r>
          </w:p>
        </w:tc>
        <w:tc>
          <w:tcPr>
            <w:tcW w:w="420" w:type="dxa"/>
            <w:vAlign w:val="bottom"/>
            <w:tcBorders>
              <w:bottom w:val="single" w:sz="8" w:color="CCEEFF"/>
            </w:tcBorders>
          </w:tcPr>
          <w:p>
            <w:pPr>
              <w:jc w:val="right"/>
              <w:ind w:right="179"/>
              <w:spacing w:after="0"/>
              <w:rPr>
                <w:sz w:val="20"/>
                <w:szCs w:val="20"/>
                <w:color w:val="auto"/>
              </w:rPr>
            </w:pPr>
            <w:r>
              <w:rPr>
                <w:rFonts w:ascii="Arial" w:cs="Arial" w:eastAsia="Arial" w:hAnsi="Arial"/>
                <w:sz w:val="16"/>
                <w:szCs w:val="16"/>
                <w:color w:val="auto"/>
              </w:rPr>
              <w:t>$</w:t>
            </w:r>
          </w:p>
        </w:tc>
        <w:tc>
          <w:tcPr>
            <w:tcW w:w="940" w:type="dxa"/>
            <w:vAlign w:val="bottom"/>
            <w:tcBorders>
              <w:bottom w:val="single" w:sz="8" w:color="CCEEFF"/>
              <w:right w:val="single" w:sz="8" w:color="auto"/>
            </w:tcBorders>
          </w:tcPr>
          <w:p>
            <w:pPr>
              <w:jc w:val="right"/>
              <w:ind w:right="59"/>
              <w:spacing w:after="0"/>
              <w:rPr>
                <w:sz w:val="20"/>
                <w:szCs w:val="20"/>
                <w:color w:val="auto"/>
              </w:rPr>
            </w:pPr>
            <w:r>
              <w:rPr>
                <w:rFonts w:ascii="Arial" w:cs="Arial" w:eastAsia="Arial" w:hAnsi="Arial"/>
                <w:sz w:val="16"/>
                <w:szCs w:val="16"/>
                <w:color w:val="auto"/>
              </w:rPr>
              <w:t>(1,500)</w:t>
            </w:r>
          </w:p>
        </w:tc>
        <w:tc>
          <w:tcPr>
            <w:tcW w:w="100" w:type="dxa"/>
            <w:vAlign w:val="bottom"/>
            <w:tcBorders>
              <w:bottom w:val="single" w:sz="8" w:color="CCEEFF"/>
            </w:tcBorders>
          </w:tcPr>
          <w:p>
            <w:pPr>
              <w:spacing w:after="0"/>
              <w:rPr>
                <w:sz w:val="18"/>
                <w:szCs w:val="18"/>
                <w:color w:val="auto"/>
              </w:rPr>
            </w:pPr>
          </w:p>
        </w:tc>
        <w:tc>
          <w:tcPr>
            <w:tcW w:w="46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32</w:t>
            </w:r>
          </w:p>
        </w:tc>
        <w:tc>
          <w:tcPr>
            <w:tcW w:w="0" w:type="dxa"/>
            <w:vAlign w:val="bottom"/>
          </w:tcPr>
          <w:p>
            <w:pPr>
              <w:spacing w:after="0"/>
              <w:rPr>
                <w:sz w:val="1"/>
                <w:szCs w:val="1"/>
                <w:color w:val="auto"/>
              </w:rPr>
            </w:pPr>
          </w:p>
        </w:tc>
      </w:tr>
      <w:tr>
        <w:trPr>
          <w:trHeight w:val="234"/>
        </w:trPr>
        <w:tc>
          <w:tcPr>
            <w:tcW w:w="3880" w:type="dxa"/>
            <w:vAlign w:val="bottom"/>
            <w:tcBorders>
              <w:bottom w:val="single" w:sz="8" w:color="CCEEFF"/>
            </w:tcBorders>
            <w:shd w:val="clear" w:color="auto" w:fill="CCEEFF"/>
          </w:tcPr>
          <w:p>
            <w:pPr>
              <w:spacing w:after="0"/>
              <w:rPr>
                <w:sz w:val="19"/>
                <w:szCs w:val="19"/>
                <w:color w:val="auto"/>
              </w:rPr>
            </w:pPr>
          </w:p>
        </w:tc>
        <w:tc>
          <w:tcPr>
            <w:tcW w:w="1100" w:type="dxa"/>
            <w:vAlign w:val="bottom"/>
            <w:tcBorders>
              <w:bottom w:val="single" w:sz="8" w:color="CCEEFF"/>
            </w:tcBorders>
            <w:shd w:val="clear" w:color="auto" w:fill="CCEEFF"/>
          </w:tcPr>
          <w:p>
            <w:pPr>
              <w:spacing w:after="0"/>
              <w:rPr>
                <w:sz w:val="19"/>
                <w:szCs w:val="19"/>
                <w:color w:val="auto"/>
              </w:rPr>
            </w:pPr>
          </w:p>
        </w:tc>
        <w:tc>
          <w:tcPr>
            <w:tcW w:w="1160" w:type="dxa"/>
            <w:vAlign w:val="bottom"/>
            <w:tcBorders>
              <w:bottom w:val="single" w:sz="8" w:color="CCEEFF"/>
            </w:tcBorders>
            <w:shd w:val="clear" w:color="auto" w:fill="CCEEFF"/>
          </w:tcPr>
          <w:p>
            <w:pPr>
              <w:spacing w:after="0"/>
              <w:rPr>
                <w:sz w:val="19"/>
                <w:szCs w:val="19"/>
                <w:color w:val="auto"/>
              </w:rPr>
            </w:pPr>
          </w:p>
        </w:tc>
        <w:tc>
          <w:tcPr>
            <w:tcW w:w="1240" w:type="dxa"/>
            <w:vAlign w:val="bottom"/>
            <w:tcBorders>
              <w:bottom w:val="single" w:sz="8" w:color="CCEEFF"/>
            </w:tcBorders>
            <w:shd w:val="clear" w:color="auto" w:fill="CCEEFF"/>
          </w:tcPr>
          <w:p>
            <w:pPr>
              <w:spacing w:after="0"/>
              <w:rPr>
                <w:sz w:val="19"/>
                <w:szCs w:val="19"/>
                <w:color w:val="auto"/>
              </w:rPr>
            </w:pPr>
          </w:p>
        </w:tc>
        <w:tc>
          <w:tcPr>
            <w:tcW w:w="1040" w:type="dxa"/>
            <w:vAlign w:val="bottom"/>
            <w:tcBorders>
              <w:bottom w:val="single" w:sz="8" w:color="CCEEFF"/>
            </w:tcBorders>
            <w:shd w:val="clear" w:color="auto" w:fill="CCEEFF"/>
          </w:tcPr>
          <w:p>
            <w:pPr>
              <w:spacing w:after="0"/>
              <w:rPr>
                <w:sz w:val="19"/>
                <w:szCs w:val="19"/>
                <w:color w:val="auto"/>
              </w:rPr>
            </w:pPr>
          </w:p>
        </w:tc>
        <w:tc>
          <w:tcPr>
            <w:tcW w:w="420" w:type="dxa"/>
            <w:vAlign w:val="bottom"/>
            <w:tcBorders>
              <w:bottom w:val="single" w:sz="8" w:color="CCEEFF"/>
            </w:tcBorders>
            <w:shd w:val="clear" w:color="auto" w:fill="CCEEFF"/>
          </w:tcPr>
          <w:p>
            <w:pPr>
              <w:spacing w:after="0"/>
              <w:rPr>
                <w:sz w:val="19"/>
                <w:szCs w:val="19"/>
                <w:color w:val="auto"/>
              </w:rPr>
            </w:pPr>
          </w:p>
        </w:tc>
        <w:tc>
          <w:tcPr>
            <w:tcW w:w="940" w:type="dxa"/>
            <w:vAlign w:val="bottom"/>
            <w:tcBorders>
              <w:bottom w:val="single" w:sz="8" w:color="CCEEFF"/>
              <w:right w:val="single" w:sz="8" w:color="auto"/>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jc w:val="right"/>
              <w:ind w:right="279"/>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763</w:t>
            </w:r>
          </w:p>
        </w:tc>
        <w:tc>
          <w:tcPr>
            <w:tcW w:w="0" w:type="dxa"/>
            <w:vAlign w:val="bottom"/>
          </w:tcPr>
          <w:p>
            <w:pPr>
              <w:spacing w:after="0"/>
              <w:rPr>
                <w:sz w:val="1"/>
                <w:szCs w:val="1"/>
                <w:color w:val="auto"/>
              </w:rPr>
            </w:pPr>
          </w:p>
        </w:tc>
      </w:tr>
      <w:tr>
        <w:trPr>
          <w:trHeight w:val="20"/>
        </w:trPr>
        <w:tc>
          <w:tcPr>
            <w:tcW w:w="388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69"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right="20" w:hanging="328"/>
        <w:spacing w:after="0" w:line="255" w:lineRule="auto"/>
        <w:tabs>
          <w:tab w:leader="none" w:pos="660" w:val="left"/>
        </w:tabs>
        <w:numPr>
          <w:ilvl w:val="0"/>
          <w:numId w:val="11"/>
        </w:numPr>
        <w:rPr>
          <w:rFonts w:ascii="Arial" w:cs="Arial" w:eastAsia="Arial" w:hAnsi="Arial"/>
          <w:sz w:val="14"/>
          <w:szCs w:val="14"/>
          <w:color w:val="auto"/>
        </w:rPr>
      </w:pPr>
      <w:r>
        <w:rPr>
          <w:rFonts w:ascii="Arial" w:cs="Arial" w:eastAsia="Arial" w:hAnsi="Arial"/>
          <w:sz w:val="14"/>
          <w:szCs w:val="14"/>
          <w:color w:val="auto"/>
        </w:rPr>
        <w:t>Amounts exclude other miscellaneous gains and losses recognized in gain (loss) on derivative instruments and other securities, net in our consolidated statements of comprehensive income.</w:t>
      </w:r>
    </w:p>
    <w:p>
      <w:pPr>
        <w:spacing w:after="0" w:line="200" w:lineRule="exact"/>
        <w:rPr>
          <w:sz w:val="20"/>
          <w:szCs w:val="20"/>
          <w:color w:val="auto"/>
        </w:rPr>
      </w:pP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Pledged Assets</w:t>
      </w:r>
    </w:p>
    <w:p>
      <w:pPr>
        <w:spacing w:after="0" w:line="175" w:lineRule="exact"/>
        <w:rPr>
          <w:sz w:val="20"/>
          <w:szCs w:val="20"/>
          <w:color w:val="auto"/>
        </w:rPr>
      </w:pPr>
    </w:p>
    <w:p>
      <w:pPr>
        <w:jc w:val="both"/>
        <w:ind w:firstLine="405"/>
        <w:spacing w:after="0" w:line="270" w:lineRule="auto"/>
        <w:rPr>
          <w:sz w:val="20"/>
          <w:szCs w:val="20"/>
          <w:color w:val="auto"/>
        </w:rPr>
      </w:pPr>
      <w:r>
        <w:rPr>
          <w:rFonts w:ascii="Arial" w:cs="Arial" w:eastAsia="Arial" w:hAnsi="Arial"/>
          <w:sz w:val="17"/>
          <w:szCs w:val="17"/>
          <w:color w:val="auto"/>
        </w:rPr>
        <w:t>Our funding agreements require us to fully collateralize our obligations under the agreements based upon our counterparties' collateral requirements and their determination of the fair value of the securities pledged as collateral, which fluctuates with changes in interest rates, credit quality and liquidity conditions within the investment banking, mortgage finance and real estate industries. Our derivative contracts similarly require us to fully collateralize our obligations under such agreements, which will vary over time based on similar factors as well as our counterparties' determination of the value of the derivative contract. We are typically required to post initial margin upon execution of derivative transactions, such as under our interest rate swap agreements and TBA contracts, and subsequently post or receive variation margin based on daily fluctuations in fair value. Our brokerage and custody agreements and the clearing organizations utilized by our wholly-owned captive broker-dealer subsidiary, Bethesda Securities, LLC, also require that we post minimum daily clearing deposits. If we breach our collateral requirements, we will be required to fully settle our obligations under the agreements, which could include a forced liquidation of our pledged collateral.</w:t>
      </w:r>
    </w:p>
    <w:p>
      <w:pPr>
        <w:spacing w:after="0" w:line="127" w:lineRule="exact"/>
        <w:rPr>
          <w:sz w:val="20"/>
          <w:szCs w:val="20"/>
          <w:color w:val="auto"/>
        </w:rPr>
      </w:pPr>
    </w:p>
    <w:p>
      <w:pPr>
        <w:jc w:val="both"/>
        <w:ind w:firstLine="405"/>
        <w:spacing w:after="0" w:line="272" w:lineRule="auto"/>
        <w:rPr>
          <w:sz w:val="20"/>
          <w:szCs w:val="20"/>
          <w:color w:val="auto"/>
        </w:rPr>
      </w:pPr>
      <w:r>
        <w:rPr>
          <w:rFonts w:ascii="Arial" w:cs="Arial" w:eastAsia="Arial" w:hAnsi="Arial"/>
          <w:sz w:val="17"/>
          <w:szCs w:val="17"/>
          <w:color w:val="auto"/>
        </w:rPr>
        <w:t>Our counterparties also apply a "haircut" to our pledged collateral, which means our collateral is valued at slightly less than market value and limits the amount we can borrow against our securities. This haircut reflects the underlying risk of the specific collateral and protects our counterparty against a change in its value. Our agreements do not specify the haircut; rather, haircuts are determined on an individual transaction basis. Consequently, our funding agreements and derivative contracts expose us to credit risk relating to potential losses that could be recognized if our counterparties fail to perform their obligations under such agreements. We minimize this risk by limiting our counterparties to major financial institutions with acceptable credit ratings or to registered clearinghouses and U.S. government agencies, and we monitor our positions with individual counterparties. In the event of a default by a counterparty, we may have difficulty obtaining our assets pledged as collateral to</w:t>
      </w:r>
    </w:p>
    <w:p>
      <w:pPr>
        <w:spacing w:after="0" w:line="200" w:lineRule="exact"/>
        <w:rPr>
          <w:sz w:val="20"/>
          <w:szCs w:val="20"/>
          <w:color w:val="auto"/>
        </w:rPr>
      </w:pPr>
    </w:p>
    <w:p>
      <w:pPr>
        <w:spacing w:after="0" w:line="3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36" w:right="339" w:bottom="1440" w:gutter="0" w:footer="0" w:header="0"/>
        </w:sectPr>
      </w:pPr>
    </w:p>
    <w:bookmarkStart w:id="19" w:name="page20"/>
    <w:bookmarkEnd w:id="19"/>
    <w:p>
      <w:pPr>
        <w:jc w:val="both"/>
        <w:spacing w:after="0" w:line="279" w:lineRule="auto"/>
        <w:rPr>
          <w:sz w:val="20"/>
          <w:szCs w:val="20"/>
          <w:color w:val="auto"/>
        </w:rPr>
      </w:pPr>
      <w:r>
        <w:rPr>
          <w:rFonts w:ascii="Arial" w:cs="Arial" w:eastAsia="Arial" w:hAnsi="Arial"/>
          <w:sz w:val="17"/>
          <w:szCs w:val="17"/>
          <w:color w:val="auto"/>
        </w:rPr>
        <w:t>such counterparty and may not receive payments as and when due to us under the terms of our derivative agreements. In the case of centrally cleared instruments, we could be exposed to credit risk if the central clearing agency or a clearing member defaults on its respective obligation to perform under the contract. However, we believe that the risk is minimal due to the clearing exchanges' initial and daily mark-to-market margin requirements, clearinghouse guarantee funds and other resources that are available in the event of a clearing member default.</w:t>
      </w:r>
    </w:p>
    <w:p>
      <w:pPr>
        <w:spacing w:after="0" w:line="117"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As of June 30, 2022, our maximum amount at risk with any counterparty related to our repurchase agreements, excluding the Fixed Income Clearing Corporation, was less than 3% of our tangible stockholders' equity (or the excess/shortfall of the value of collateral pledged/received over our repurchase agreement liabilities/reverse repurchase agreement receivables). As of June 30, 2022, approximately 10% of our tangible stockholder's equity was at risk with the Fixed Income Clearing Corporation.</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Assets Pledged to Counterparties</w:t>
      </w:r>
    </w:p>
    <w:p>
      <w:pPr>
        <w:spacing w:after="0" w:line="171" w:lineRule="exact"/>
        <w:rPr>
          <w:sz w:val="20"/>
          <w:szCs w:val="20"/>
          <w:color w:val="auto"/>
        </w:rPr>
      </w:pPr>
    </w:p>
    <w:p>
      <w:pPr>
        <w:jc w:val="both"/>
        <w:ind w:firstLine="445"/>
        <w:spacing w:after="0" w:line="269" w:lineRule="auto"/>
        <w:rPr>
          <w:sz w:val="20"/>
          <w:szCs w:val="20"/>
          <w:color w:val="auto"/>
        </w:rPr>
      </w:pPr>
      <w:r>
        <w:rPr>
          <w:rFonts w:ascii="Arial" w:cs="Arial" w:eastAsia="Arial" w:hAnsi="Arial"/>
          <w:sz w:val="18"/>
          <w:szCs w:val="18"/>
          <w:color w:val="auto"/>
        </w:rPr>
        <w:t>The following tables summarize our assets pledged as collateral under our funding, derivative and brokerage and clearing agreements by type, including securities pledged related to securities sold but not yet settled, as of June 30, 2022 and December 31, 2021 (in millions):</w:t>
      </w:r>
    </w:p>
    <w:tbl>
      <w:tblPr>
        <w:tblLayout w:type="fixed"/>
        <w:tblInd w:w="0" w:type="dxa"/>
        <w:tblCellMar>
          <w:top w:w="0" w:type="dxa"/>
          <w:left w:w="0" w:type="dxa"/>
          <w:bottom w:w="0" w:type="dxa"/>
          <w:right w:w="0" w:type="dxa"/>
        </w:tblCellMar>
      </w:tblPr>
      <w:tr>
        <w:trPr>
          <w:trHeight w:val="192"/>
        </w:trPr>
        <w:tc>
          <w:tcPr>
            <w:tcW w:w="44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spacing w:after="0"/>
              <w:rPr>
                <w:sz w:val="16"/>
                <w:szCs w:val="16"/>
                <w:color w:val="auto"/>
              </w:rPr>
            </w:pPr>
          </w:p>
        </w:tc>
        <w:tc>
          <w:tcPr>
            <w:tcW w:w="2200" w:type="dxa"/>
            <w:vAlign w:val="bottom"/>
            <w:tcBorders>
              <w:bottom w:val="single" w:sz="8" w:color="auto"/>
            </w:tcBorders>
            <w:gridSpan w:val="5"/>
          </w:tcPr>
          <w:p>
            <w:pPr>
              <w:jc w:val="center"/>
              <w:ind w:right="1320"/>
              <w:spacing w:after="0"/>
              <w:rPr>
                <w:sz w:val="20"/>
                <w:szCs w:val="20"/>
                <w:color w:val="auto"/>
              </w:rPr>
            </w:pPr>
            <w:r>
              <w:rPr>
                <w:rFonts w:ascii="Arial" w:cs="Arial" w:eastAsia="Arial" w:hAnsi="Arial"/>
                <w:sz w:val="14"/>
                <w:szCs w:val="14"/>
                <w:b w:val="1"/>
                <w:bCs w:val="1"/>
                <w:color w:val="auto"/>
                <w:w w:val="92"/>
              </w:rPr>
              <w:t>June 30, 2022</w:t>
            </w:r>
          </w:p>
        </w:tc>
        <w:tc>
          <w:tcPr>
            <w:tcW w:w="36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44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0" w:type="dxa"/>
            <w:vAlign w:val="bottom"/>
          </w:tcPr>
          <w:p>
            <w:pPr>
              <w:jc w:val="center"/>
              <w:ind w:left="288"/>
              <w:spacing w:after="0" w:line="135" w:lineRule="exact"/>
              <w:rPr>
                <w:sz w:val="20"/>
                <w:szCs w:val="20"/>
                <w:color w:val="auto"/>
              </w:rPr>
            </w:pPr>
            <w:r>
              <w:rPr>
                <w:rFonts w:ascii="Arial" w:cs="Arial" w:eastAsia="Arial" w:hAnsi="Arial"/>
                <w:sz w:val="14"/>
                <w:szCs w:val="14"/>
                <w:b w:val="1"/>
                <w:bCs w:val="1"/>
                <w:color w:val="auto"/>
                <w:w w:val="91"/>
              </w:rPr>
              <w:t>Debt of</w:t>
            </w:r>
          </w:p>
        </w:tc>
        <w:tc>
          <w:tcPr>
            <w:tcW w:w="4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0" w:type="dxa"/>
            <w:vAlign w:val="bottom"/>
            <w:gridSpan w:val="2"/>
            <w:vMerge w:val="restart"/>
          </w:tcPr>
          <w:p>
            <w:pPr>
              <w:jc w:val="center"/>
              <w:ind w:right="200"/>
              <w:spacing w:after="0"/>
              <w:rPr>
                <w:sz w:val="20"/>
                <w:szCs w:val="20"/>
                <w:color w:val="auto"/>
              </w:rPr>
            </w:pPr>
            <w:r>
              <w:rPr>
                <w:rFonts w:ascii="Arial" w:cs="Arial" w:eastAsia="Arial" w:hAnsi="Arial"/>
                <w:sz w:val="14"/>
                <w:szCs w:val="14"/>
                <w:b w:val="1"/>
                <w:bCs w:val="1"/>
                <w:color w:val="auto"/>
                <w:w w:val="92"/>
              </w:rPr>
              <w:t>Derivative Agreements</w:t>
            </w:r>
          </w:p>
        </w:tc>
        <w:tc>
          <w:tcPr>
            <w:tcW w:w="36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458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 xml:space="preserve">Assets Pledged to Counterparties </w:t>
            </w:r>
            <w:r>
              <w:rPr>
                <w:rFonts w:ascii="Arial" w:cs="Arial" w:eastAsia="Arial" w:hAnsi="Arial"/>
                <w:sz w:val="18"/>
                <w:szCs w:val="18"/>
                <w:b w:val="1"/>
                <w:bCs w:val="1"/>
                <w:color w:val="auto"/>
                <w:vertAlign w:val="superscript"/>
              </w:rPr>
              <w:t>1</w:t>
            </w:r>
          </w:p>
        </w:tc>
        <w:tc>
          <w:tcPr>
            <w:tcW w:w="1680" w:type="dxa"/>
            <w:vAlign w:val="bottom"/>
            <w:gridSpan w:val="3"/>
            <w:vMerge w:val="restart"/>
          </w:tcPr>
          <w:p>
            <w:pPr>
              <w:ind w:left="40"/>
              <w:spacing w:after="0"/>
              <w:rPr>
                <w:sz w:val="20"/>
                <w:szCs w:val="20"/>
                <w:color w:val="auto"/>
              </w:rPr>
            </w:pPr>
            <w:r>
              <w:rPr>
                <w:rFonts w:ascii="Arial" w:cs="Arial" w:eastAsia="Arial" w:hAnsi="Arial"/>
                <w:sz w:val="14"/>
                <w:szCs w:val="14"/>
                <w:b w:val="1"/>
                <w:bCs w:val="1"/>
                <w:color w:val="auto"/>
                <w:w w:val="96"/>
              </w:rPr>
              <w:t>Repurchase</w:t>
            </w:r>
            <w:r>
              <w:rPr>
                <w:rFonts w:ascii="Arial" w:cs="Arial" w:eastAsia="Arial" w:hAnsi="Arial"/>
                <w:sz w:val="18"/>
                <w:szCs w:val="18"/>
                <w:b w:val="1"/>
                <w:bCs w:val="1"/>
                <w:color w:val="auto"/>
                <w:w w:val="96"/>
                <w:vertAlign w:val="subscript"/>
              </w:rPr>
              <w:t>2</w:t>
            </w:r>
            <w:r>
              <w:rPr>
                <w:rFonts w:ascii="Arial" w:cs="Arial" w:eastAsia="Arial" w:hAnsi="Arial"/>
                <w:sz w:val="14"/>
                <w:szCs w:val="14"/>
                <w:b w:val="1"/>
                <w:bCs w:val="1"/>
                <w:color w:val="auto"/>
                <w:w w:val="96"/>
              </w:rPr>
              <w:t>Agreements</w:t>
            </w:r>
          </w:p>
        </w:tc>
        <w:tc>
          <w:tcPr>
            <w:tcW w:w="1200" w:type="dxa"/>
            <w:vAlign w:val="bottom"/>
          </w:tcPr>
          <w:p>
            <w:pPr>
              <w:jc w:val="center"/>
              <w:ind w:left="288"/>
              <w:spacing w:after="0" w:line="135" w:lineRule="exact"/>
              <w:rPr>
                <w:sz w:val="20"/>
                <w:szCs w:val="20"/>
                <w:color w:val="auto"/>
              </w:rPr>
            </w:pPr>
            <w:r>
              <w:rPr>
                <w:rFonts w:ascii="Arial" w:cs="Arial" w:eastAsia="Arial" w:hAnsi="Arial"/>
                <w:sz w:val="14"/>
                <w:szCs w:val="14"/>
                <w:b w:val="1"/>
                <w:bCs w:val="1"/>
                <w:color w:val="auto"/>
                <w:w w:val="90"/>
              </w:rPr>
              <w:t>Consolidated</w:t>
            </w:r>
          </w:p>
        </w:tc>
        <w:tc>
          <w:tcPr>
            <w:tcW w:w="4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0" w:type="dxa"/>
            <w:vAlign w:val="bottom"/>
            <w:gridSpan w:val="2"/>
            <w:vMerge w:val="continue"/>
          </w:tcPr>
          <w:p>
            <w:pPr>
              <w:spacing w:after="0"/>
              <w:rPr>
                <w:sz w:val="11"/>
                <w:szCs w:val="11"/>
                <w:color w:val="auto"/>
              </w:rPr>
            </w:pPr>
          </w:p>
        </w:tc>
        <w:tc>
          <w:tcPr>
            <w:tcW w:w="360" w:type="dxa"/>
            <w:vAlign w:val="bottom"/>
          </w:tcPr>
          <w:p>
            <w:pPr>
              <w:spacing w:after="0"/>
              <w:rPr>
                <w:sz w:val="11"/>
                <w:szCs w:val="11"/>
                <w:color w:val="auto"/>
              </w:rPr>
            </w:pPr>
          </w:p>
        </w:tc>
        <w:tc>
          <w:tcPr>
            <w:tcW w:w="1220" w:type="dxa"/>
            <w:vAlign w:val="bottom"/>
            <w:vMerge w:val="restart"/>
          </w:tcPr>
          <w:p>
            <w:pPr>
              <w:jc w:val="right"/>
              <w:ind w:right="56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89"/>
        </w:trPr>
        <w:tc>
          <w:tcPr>
            <w:tcW w:w="4580" w:type="dxa"/>
            <w:vAlign w:val="bottom"/>
            <w:gridSpan w:val="2"/>
            <w:vMerge w:val="continue"/>
          </w:tcPr>
          <w:p>
            <w:pPr>
              <w:spacing w:after="0"/>
              <w:rPr>
                <w:sz w:val="16"/>
                <w:szCs w:val="16"/>
                <w:color w:val="auto"/>
              </w:rPr>
            </w:pPr>
          </w:p>
        </w:tc>
        <w:tc>
          <w:tcPr>
            <w:tcW w:w="1680" w:type="dxa"/>
            <w:vAlign w:val="bottom"/>
            <w:gridSpan w:val="3"/>
            <w:vMerge w:val="continue"/>
          </w:tcPr>
          <w:p>
            <w:pPr>
              <w:spacing w:after="0"/>
              <w:rPr>
                <w:sz w:val="16"/>
                <w:szCs w:val="16"/>
                <w:color w:val="auto"/>
              </w:rPr>
            </w:pPr>
          </w:p>
        </w:tc>
        <w:tc>
          <w:tcPr>
            <w:tcW w:w="1200" w:type="dxa"/>
            <w:vAlign w:val="bottom"/>
          </w:tcPr>
          <w:p>
            <w:pPr>
              <w:jc w:val="center"/>
              <w:ind w:left="328"/>
              <w:spacing w:after="0"/>
              <w:rPr>
                <w:sz w:val="20"/>
                <w:szCs w:val="20"/>
                <w:color w:val="auto"/>
              </w:rPr>
            </w:pPr>
            <w:r>
              <w:rPr>
                <w:rFonts w:ascii="Arial" w:cs="Arial" w:eastAsia="Arial" w:hAnsi="Arial"/>
                <w:sz w:val="14"/>
                <w:szCs w:val="14"/>
                <w:b w:val="1"/>
                <w:bCs w:val="1"/>
                <w:color w:val="auto"/>
              </w:rPr>
              <w:t>VIEs</w:t>
            </w:r>
          </w:p>
        </w:tc>
        <w:tc>
          <w:tcPr>
            <w:tcW w:w="4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0" w:type="dxa"/>
            <w:vAlign w:val="bottom"/>
            <w:gridSpan w:val="2"/>
          </w:tcPr>
          <w:p>
            <w:pPr>
              <w:jc w:val="center"/>
              <w:ind w:right="200"/>
              <w:spacing w:after="0" w:line="189" w:lineRule="exact"/>
              <w:rPr>
                <w:sz w:val="20"/>
                <w:szCs w:val="20"/>
                <w:color w:val="auto"/>
              </w:rPr>
            </w:pPr>
            <w:r>
              <w:rPr>
                <w:rFonts w:ascii="Arial" w:cs="Arial" w:eastAsia="Arial" w:hAnsi="Arial"/>
                <w:sz w:val="14"/>
                <w:szCs w:val="14"/>
                <w:b w:val="1"/>
                <w:bCs w:val="1"/>
                <w:color w:val="auto"/>
                <w:w w:val="93"/>
              </w:rPr>
              <w:t xml:space="preserve">and Other </w:t>
            </w:r>
            <w:r>
              <w:rPr>
                <w:rFonts w:ascii="Arial" w:cs="Arial" w:eastAsia="Arial" w:hAnsi="Arial"/>
                <w:sz w:val="18"/>
                <w:szCs w:val="18"/>
                <w:b w:val="1"/>
                <w:bCs w:val="1"/>
                <w:color w:val="auto"/>
                <w:w w:val="93"/>
                <w:vertAlign w:val="superscript"/>
              </w:rPr>
              <w:t>3</w:t>
            </w:r>
          </w:p>
        </w:tc>
        <w:tc>
          <w:tcPr>
            <w:tcW w:w="360" w:type="dxa"/>
            <w:vAlign w:val="bottom"/>
          </w:tcPr>
          <w:p>
            <w:pPr>
              <w:spacing w:after="0"/>
              <w:rPr>
                <w:sz w:val="16"/>
                <w:szCs w:val="16"/>
                <w:color w:val="auto"/>
              </w:rPr>
            </w:pPr>
          </w:p>
        </w:tc>
        <w:tc>
          <w:tcPr>
            <w:tcW w:w="12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83"/>
        </w:trPr>
        <w:tc>
          <w:tcPr>
            <w:tcW w:w="44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Agency RMBS - fair value</w:t>
            </w:r>
          </w:p>
        </w:tc>
        <w:tc>
          <w:tcPr>
            <w:tcW w:w="120" w:type="dxa"/>
            <w:vAlign w:val="bottom"/>
            <w:tcBorders>
              <w:top w:val="single" w:sz="8" w:color="CCEEFF"/>
            </w:tcBorders>
            <w:shd w:val="clear" w:color="auto" w:fill="CCEEFF"/>
          </w:tcPr>
          <w:p>
            <w:pPr>
              <w:spacing w:after="0"/>
              <w:rPr>
                <w:sz w:val="15"/>
                <w:szCs w:val="15"/>
                <w:color w:val="auto"/>
              </w:rPr>
            </w:pPr>
          </w:p>
        </w:tc>
        <w:tc>
          <w:tcPr>
            <w:tcW w:w="600" w:type="dxa"/>
            <w:vAlign w:val="bottom"/>
            <w:tcBorders>
              <w:top w:val="single" w:sz="8" w:color="auto"/>
            </w:tcBorders>
            <w:shd w:val="clear" w:color="auto" w:fill="CCEEFF"/>
          </w:tcPr>
          <w:p>
            <w:pPr>
              <w:jc w:val="right"/>
              <w:ind w:right="448"/>
              <w:spacing w:after="0"/>
              <w:rPr>
                <w:sz w:val="20"/>
                <w:szCs w:val="20"/>
                <w:color w:val="auto"/>
              </w:rPr>
            </w:pPr>
            <w:r>
              <w:rPr>
                <w:rFonts w:ascii="Arial" w:cs="Arial" w:eastAsia="Arial" w:hAnsi="Arial"/>
                <w:sz w:val="14"/>
                <w:szCs w:val="14"/>
                <w:color w:val="auto"/>
                <w:w w:val="76"/>
              </w:rPr>
              <w:t>$</w:t>
            </w:r>
          </w:p>
        </w:tc>
        <w:tc>
          <w:tcPr>
            <w:tcW w:w="98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41,690</w:t>
            </w:r>
          </w:p>
        </w:tc>
        <w:tc>
          <w:tcPr>
            <w:tcW w:w="100" w:type="dxa"/>
            <w:vAlign w:val="bottom"/>
            <w:tcBorders>
              <w:top w:val="single" w:sz="8" w:color="CCEEFF"/>
            </w:tcBorders>
            <w:shd w:val="clear" w:color="auto" w:fill="CCEEFF"/>
          </w:tcPr>
          <w:p>
            <w:pPr>
              <w:spacing w:after="0"/>
              <w:rPr>
                <w:sz w:val="15"/>
                <w:szCs w:val="15"/>
                <w:color w:val="auto"/>
              </w:rPr>
            </w:pPr>
          </w:p>
        </w:tc>
        <w:tc>
          <w:tcPr>
            <w:tcW w:w="1200" w:type="dxa"/>
            <w:vAlign w:val="bottom"/>
            <w:tcBorders>
              <w:top w:val="single" w:sz="8" w:color="auto"/>
            </w:tcBorders>
            <w:shd w:val="clear" w:color="auto" w:fill="CCEEFF"/>
          </w:tcPr>
          <w:p>
            <w:pPr>
              <w:jc w:val="right"/>
              <w:ind w:right="1048"/>
              <w:spacing w:after="0"/>
              <w:rPr>
                <w:sz w:val="20"/>
                <w:szCs w:val="20"/>
                <w:color w:val="auto"/>
              </w:rPr>
            </w:pPr>
            <w:r>
              <w:rPr>
                <w:rFonts w:ascii="Arial" w:cs="Arial" w:eastAsia="Arial" w:hAnsi="Arial"/>
                <w:sz w:val="14"/>
                <w:szCs w:val="14"/>
                <w:color w:val="auto"/>
                <w:w w:val="76"/>
              </w:rPr>
              <w:t>$</w:t>
            </w:r>
          </w:p>
        </w:tc>
        <w:tc>
          <w:tcPr>
            <w:tcW w:w="40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167</w:t>
            </w:r>
          </w:p>
        </w:tc>
        <w:tc>
          <w:tcPr>
            <w:tcW w:w="10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50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384</w:t>
            </w:r>
          </w:p>
        </w:tc>
        <w:tc>
          <w:tcPr>
            <w:tcW w:w="100" w:type="dxa"/>
            <w:vAlign w:val="bottom"/>
            <w:tcBorders>
              <w:top w:val="single" w:sz="8" w:color="CCEEFF"/>
            </w:tcBorders>
            <w:shd w:val="clear" w:color="auto" w:fill="CCEEFF"/>
          </w:tcPr>
          <w:p>
            <w:pPr>
              <w:spacing w:after="0"/>
              <w:rPr>
                <w:sz w:val="15"/>
                <w:szCs w:val="15"/>
                <w:color w:val="auto"/>
              </w:rPr>
            </w:pPr>
          </w:p>
        </w:tc>
        <w:tc>
          <w:tcPr>
            <w:tcW w:w="360" w:type="dxa"/>
            <w:vAlign w:val="bottom"/>
            <w:tcBorders>
              <w:top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12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42,241</w:t>
            </w:r>
          </w:p>
        </w:tc>
        <w:tc>
          <w:tcPr>
            <w:tcW w:w="0" w:type="dxa"/>
            <w:vAlign w:val="bottom"/>
          </w:tcPr>
          <w:p>
            <w:pPr>
              <w:spacing w:after="0"/>
              <w:rPr>
                <w:sz w:val="1"/>
                <w:szCs w:val="1"/>
                <w:color w:val="auto"/>
              </w:rPr>
            </w:pPr>
          </w:p>
        </w:tc>
      </w:tr>
      <w:tr>
        <w:trPr>
          <w:trHeight w:val="186"/>
        </w:trPr>
        <w:tc>
          <w:tcPr>
            <w:tcW w:w="4580" w:type="dxa"/>
            <w:vAlign w:val="bottom"/>
            <w:gridSpan w:val="2"/>
          </w:tcPr>
          <w:p>
            <w:pPr>
              <w:ind w:left="20"/>
              <w:spacing w:after="0"/>
              <w:rPr>
                <w:sz w:val="20"/>
                <w:szCs w:val="20"/>
                <w:color w:val="auto"/>
              </w:rPr>
            </w:pPr>
            <w:r>
              <w:rPr>
                <w:rFonts w:ascii="Arial" w:cs="Arial" w:eastAsia="Arial" w:hAnsi="Arial"/>
                <w:sz w:val="14"/>
                <w:szCs w:val="14"/>
                <w:color w:val="auto"/>
              </w:rPr>
              <w:t>CRT - fair value</w:t>
            </w:r>
          </w:p>
        </w:tc>
        <w:tc>
          <w:tcPr>
            <w:tcW w:w="600" w:type="dxa"/>
            <w:vAlign w:val="bottom"/>
          </w:tcPr>
          <w:p>
            <w:pPr>
              <w:spacing w:after="0"/>
              <w:rPr>
                <w:sz w:val="16"/>
                <w:szCs w:val="16"/>
                <w:color w:val="auto"/>
              </w:rPr>
            </w:pPr>
          </w:p>
        </w:tc>
        <w:tc>
          <w:tcPr>
            <w:tcW w:w="980" w:type="dxa"/>
            <w:vAlign w:val="bottom"/>
          </w:tcPr>
          <w:p>
            <w:pPr>
              <w:jc w:val="right"/>
              <w:ind w:right="8"/>
              <w:spacing w:after="0"/>
              <w:rPr>
                <w:sz w:val="20"/>
                <w:szCs w:val="20"/>
                <w:color w:val="auto"/>
              </w:rPr>
            </w:pPr>
            <w:r>
              <w:rPr>
                <w:rFonts w:ascii="Arial" w:cs="Arial" w:eastAsia="Arial" w:hAnsi="Arial"/>
                <w:sz w:val="14"/>
                <w:szCs w:val="14"/>
                <w:color w:val="auto"/>
              </w:rPr>
              <w:t>629</w:t>
            </w:r>
          </w:p>
        </w:tc>
        <w:tc>
          <w:tcPr>
            <w:tcW w:w="1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50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60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360" w:type="dxa"/>
            <w:vAlign w:val="bottom"/>
          </w:tcPr>
          <w:p>
            <w:pPr>
              <w:spacing w:after="0"/>
              <w:rPr>
                <w:sz w:val="16"/>
                <w:szCs w:val="16"/>
                <w:color w:val="auto"/>
              </w:rPr>
            </w:pPr>
          </w:p>
        </w:tc>
        <w:tc>
          <w:tcPr>
            <w:tcW w:w="1220" w:type="dxa"/>
            <w:vAlign w:val="bottom"/>
          </w:tcPr>
          <w:p>
            <w:pPr>
              <w:jc w:val="right"/>
              <w:spacing w:after="0"/>
              <w:rPr>
                <w:sz w:val="20"/>
                <w:szCs w:val="20"/>
                <w:color w:val="auto"/>
              </w:rPr>
            </w:pPr>
            <w:r>
              <w:rPr>
                <w:rFonts w:ascii="Arial" w:cs="Arial" w:eastAsia="Arial" w:hAnsi="Arial"/>
                <w:sz w:val="14"/>
                <w:szCs w:val="14"/>
                <w:color w:val="auto"/>
              </w:rPr>
              <w:t>629</w:t>
            </w:r>
          </w:p>
        </w:tc>
        <w:tc>
          <w:tcPr>
            <w:tcW w:w="0" w:type="dxa"/>
            <w:vAlign w:val="bottom"/>
          </w:tcPr>
          <w:p>
            <w:pPr>
              <w:spacing w:after="0"/>
              <w:rPr>
                <w:sz w:val="1"/>
                <w:szCs w:val="1"/>
                <w:color w:val="auto"/>
              </w:rPr>
            </w:pPr>
          </w:p>
        </w:tc>
      </w:tr>
      <w:tr>
        <w:trPr>
          <w:trHeight w:val="192"/>
        </w:trPr>
        <w:tc>
          <w:tcPr>
            <w:tcW w:w="45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Non-Agency - fair value</w:t>
            </w:r>
          </w:p>
        </w:tc>
        <w:tc>
          <w:tcPr>
            <w:tcW w:w="600" w:type="dxa"/>
            <w:vAlign w:val="bottom"/>
            <w:shd w:val="clear" w:color="auto" w:fill="CCEEFF"/>
          </w:tcPr>
          <w:p>
            <w:pPr>
              <w:spacing w:after="0"/>
              <w:rPr>
                <w:sz w:val="16"/>
                <w:szCs w:val="16"/>
                <w:color w:val="auto"/>
              </w:rPr>
            </w:pPr>
          </w:p>
        </w:tc>
        <w:tc>
          <w:tcPr>
            <w:tcW w:w="9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643</w:t>
            </w:r>
          </w:p>
        </w:tc>
        <w:tc>
          <w:tcPr>
            <w:tcW w:w="100" w:type="dxa"/>
            <w:vAlign w:val="bottom"/>
            <w:shd w:val="clear" w:color="auto" w:fill="CCEEFF"/>
          </w:tcPr>
          <w:p>
            <w:pPr>
              <w:spacing w:after="0"/>
              <w:rPr>
                <w:sz w:val="16"/>
                <w:szCs w:val="16"/>
                <w:color w:val="auto"/>
              </w:rPr>
            </w:pPr>
          </w:p>
        </w:tc>
        <w:tc>
          <w:tcPr>
            <w:tcW w:w="1200" w:type="dxa"/>
            <w:vAlign w:val="bottom"/>
            <w:shd w:val="clear" w:color="auto" w:fill="CCEEFF"/>
          </w:tcPr>
          <w:p>
            <w:pPr>
              <w:spacing w:after="0"/>
              <w:rPr>
                <w:sz w:val="16"/>
                <w:szCs w:val="16"/>
                <w:color w:val="auto"/>
              </w:rPr>
            </w:pPr>
          </w:p>
        </w:tc>
        <w:tc>
          <w:tcPr>
            <w:tcW w:w="50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60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360" w:type="dxa"/>
            <w:vAlign w:val="bottom"/>
            <w:shd w:val="clear" w:color="auto" w:fill="CCEEFF"/>
          </w:tcPr>
          <w:p>
            <w:pPr>
              <w:spacing w:after="0"/>
              <w:rPr>
                <w:sz w:val="16"/>
                <w:szCs w:val="16"/>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643</w:t>
            </w:r>
          </w:p>
        </w:tc>
        <w:tc>
          <w:tcPr>
            <w:tcW w:w="0" w:type="dxa"/>
            <w:vAlign w:val="bottom"/>
          </w:tcPr>
          <w:p>
            <w:pPr>
              <w:spacing w:after="0"/>
              <w:rPr>
                <w:sz w:val="1"/>
                <w:szCs w:val="1"/>
                <w:color w:val="auto"/>
              </w:rPr>
            </w:pPr>
          </w:p>
        </w:tc>
      </w:tr>
      <w:tr>
        <w:trPr>
          <w:trHeight w:val="186"/>
        </w:trPr>
        <w:tc>
          <w:tcPr>
            <w:tcW w:w="4580" w:type="dxa"/>
            <w:vAlign w:val="bottom"/>
            <w:gridSpan w:val="2"/>
          </w:tcPr>
          <w:p>
            <w:pPr>
              <w:ind w:left="20"/>
              <w:spacing w:after="0"/>
              <w:rPr>
                <w:sz w:val="20"/>
                <w:szCs w:val="20"/>
                <w:color w:val="auto"/>
              </w:rPr>
            </w:pPr>
            <w:r>
              <w:rPr>
                <w:rFonts w:ascii="Arial" w:cs="Arial" w:eastAsia="Arial" w:hAnsi="Arial"/>
                <w:sz w:val="14"/>
                <w:szCs w:val="14"/>
                <w:color w:val="auto"/>
              </w:rPr>
              <w:t>U.S. Treasury securities - fair value</w:t>
            </w:r>
          </w:p>
        </w:tc>
        <w:tc>
          <w:tcPr>
            <w:tcW w:w="600" w:type="dxa"/>
            <w:vAlign w:val="bottom"/>
          </w:tcPr>
          <w:p>
            <w:pPr>
              <w:spacing w:after="0"/>
              <w:rPr>
                <w:sz w:val="16"/>
                <w:szCs w:val="16"/>
                <w:color w:val="auto"/>
              </w:rPr>
            </w:pPr>
          </w:p>
        </w:tc>
        <w:tc>
          <w:tcPr>
            <w:tcW w:w="980" w:type="dxa"/>
            <w:vAlign w:val="bottom"/>
          </w:tcPr>
          <w:p>
            <w:pPr>
              <w:jc w:val="right"/>
              <w:ind w:right="8"/>
              <w:spacing w:after="0"/>
              <w:rPr>
                <w:sz w:val="20"/>
                <w:szCs w:val="20"/>
                <w:color w:val="auto"/>
              </w:rPr>
            </w:pPr>
            <w:r>
              <w:rPr>
                <w:rFonts w:ascii="Arial" w:cs="Arial" w:eastAsia="Arial" w:hAnsi="Arial"/>
                <w:sz w:val="14"/>
                <w:szCs w:val="14"/>
                <w:color w:val="auto"/>
              </w:rPr>
              <w:t>2,021</w:t>
            </w:r>
          </w:p>
        </w:tc>
        <w:tc>
          <w:tcPr>
            <w:tcW w:w="1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50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500" w:type="dxa"/>
            <w:vAlign w:val="bottom"/>
          </w:tcPr>
          <w:p>
            <w:pPr>
              <w:jc w:val="right"/>
              <w:ind w:right="8"/>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220" w:type="dxa"/>
            <w:vAlign w:val="bottom"/>
          </w:tcPr>
          <w:p>
            <w:pPr>
              <w:jc w:val="right"/>
              <w:spacing w:after="0"/>
              <w:rPr>
                <w:sz w:val="20"/>
                <w:szCs w:val="20"/>
                <w:color w:val="auto"/>
              </w:rPr>
            </w:pPr>
            <w:r>
              <w:rPr>
                <w:rFonts w:ascii="Arial" w:cs="Arial" w:eastAsia="Arial" w:hAnsi="Arial"/>
                <w:sz w:val="14"/>
                <w:szCs w:val="14"/>
                <w:color w:val="auto"/>
              </w:rPr>
              <w:t>2,022</w:t>
            </w:r>
          </w:p>
        </w:tc>
        <w:tc>
          <w:tcPr>
            <w:tcW w:w="0" w:type="dxa"/>
            <w:vAlign w:val="bottom"/>
          </w:tcPr>
          <w:p>
            <w:pPr>
              <w:spacing w:after="0"/>
              <w:rPr>
                <w:sz w:val="1"/>
                <w:szCs w:val="1"/>
                <w:color w:val="auto"/>
              </w:rPr>
            </w:pPr>
          </w:p>
        </w:tc>
      </w:tr>
      <w:tr>
        <w:trPr>
          <w:trHeight w:val="192"/>
        </w:trPr>
        <w:tc>
          <w:tcPr>
            <w:tcW w:w="45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Accrued interest on pledged securities</w:t>
            </w:r>
          </w:p>
        </w:tc>
        <w:tc>
          <w:tcPr>
            <w:tcW w:w="600" w:type="dxa"/>
            <w:vAlign w:val="bottom"/>
            <w:shd w:val="clear" w:color="auto" w:fill="CCEEFF"/>
          </w:tcPr>
          <w:p>
            <w:pPr>
              <w:spacing w:after="0"/>
              <w:rPr>
                <w:sz w:val="16"/>
                <w:szCs w:val="16"/>
                <w:color w:val="auto"/>
              </w:rPr>
            </w:pPr>
          </w:p>
        </w:tc>
        <w:tc>
          <w:tcPr>
            <w:tcW w:w="9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125</w:t>
            </w:r>
          </w:p>
        </w:tc>
        <w:tc>
          <w:tcPr>
            <w:tcW w:w="100" w:type="dxa"/>
            <w:vAlign w:val="bottom"/>
            <w:shd w:val="clear" w:color="auto" w:fill="CCEEFF"/>
          </w:tcPr>
          <w:p>
            <w:pPr>
              <w:spacing w:after="0"/>
              <w:rPr>
                <w:sz w:val="16"/>
                <w:szCs w:val="16"/>
                <w:color w:val="auto"/>
              </w:rPr>
            </w:pPr>
          </w:p>
        </w:tc>
        <w:tc>
          <w:tcPr>
            <w:tcW w:w="1200" w:type="dxa"/>
            <w:vAlign w:val="bottom"/>
            <w:shd w:val="clear" w:color="auto" w:fill="CCEEFF"/>
          </w:tcPr>
          <w:p>
            <w:pPr>
              <w:spacing w:after="0"/>
              <w:rPr>
                <w:sz w:val="16"/>
                <w:szCs w:val="16"/>
                <w:color w:val="auto"/>
              </w:rPr>
            </w:pPr>
          </w:p>
        </w:tc>
        <w:tc>
          <w:tcPr>
            <w:tcW w:w="4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5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127</w:t>
            </w:r>
          </w:p>
        </w:tc>
        <w:tc>
          <w:tcPr>
            <w:tcW w:w="0" w:type="dxa"/>
            <w:vAlign w:val="bottom"/>
          </w:tcPr>
          <w:p>
            <w:pPr>
              <w:spacing w:after="0"/>
              <w:rPr>
                <w:sz w:val="1"/>
                <w:szCs w:val="1"/>
                <w:color w:val="auto"/>
              </w:rPr>
            </w:pPr>
          </w:p>
        </w:tc>
      </w:tr>
      <w:tr>
        <w:trPr>
          <w:trHeight w:val="186"/>
        </w:trPr>
        <w:tc>
          <w:tcPr>
            <w:tcW w:w="4580" w:type="dxa"/>
            <w:vAlign w:val="bottom"/>
            <w:gridSpan w:val="2"/>
          </w:tcPr>
          <w:p>
            <w:pPr>
              <w:ind w:left="20"/>
              <w:spacing w:after="0"/>
              <w:rPr>
                <w:sz w:val="20"/>
                <w:szCs w:val="20"/>
                <w:color w:val="auto"/>
              </w:rPr>
            </w:pPr>
            <w:r>
              <w:rPr>
                <w:rFonts w:ascii="Arial" w:cs="Arial" w:eastAsia="Arial" w:hAnsi="Arial"/>
                <w:sz w:val="14"/>
                <w:szCs w:val="14"/>
                <w:color w:val="auto"/>
              </w:rPr>
              <w:t>Restricted cash</w:t>
            </w:r>
          </w:p>
        </w:tc>
        <w:tc>
          <w:tcPr>
            <w:tcW w:w="600" w:type="dxa"/>
            <w:vAlign w:val="bottom"/>
          </w:tcPr>
          <w:p>
            <w:pPr>
              <w:spacing w:after="0"/>
              <w:rPr>
                <w:sz w:val="16"/>
                <w:szCs w:val="16"/>
                <w:color w:val="auto"/>
              </w:rPr>
            </w:pPr>
          </w:p>
        </w:tc>
        <w:tc>
          <w:tcPr>
            <w:tcW w:w="980" w:type="dxa"/>
            <w:vAlign w:val="bottom"/>
          </w:tcPr>
          <w:p>
            <w:pPr>
              <w:jc w:val="right"/>
              <w:ind w:right="8"/>
              <w:spacing w:after="0"/>
              <w:rPr>
                <w:sz w:val="20"/>
                <w:szCs w:val="20"/>
                <w:color w:val="auto"/>
              </w:rPr>
            </w:pPr>
            <w:r>
              <w:rPr>
                <w:rFonts w:ascii="Arial" w:cs="Arial" w:eastAsia="Arial" w:hAnsi="Arial"/>
                <w:sz w:val="14"/>
                <w:szCs w:val="14"/>
                <w:color w:val="auto"/>
              </w:rPr>
              <w:t>170</w:t>
            </w:r>
          </w:p>
        </w:tc>
        <w:tc>
          <w:tcPr>
            <w:tcW w:w="1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50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500" w:type="dxa"/>
            <w:vAlign w:val="bottom"/>
          </w:tcPr>
          <w:p>
            <w:pPr>
              <w:jc w:val="right"/>
              <w:ind w:right="8"/>
              <w:spacing w:after="0"/>
              <w:rPr>
                <w:sz w:val="20"/>
                <w:szCs w:val="20"/>
                <w:color w:val="auto"/>
              </w:rPr>
            </w:pPr>
            <w:r>
              <w:rPr>
                <w:rFonts w:ascii="Arial" w:cs="Arial" w:eastAsia="Arial" w:hAnsi="Arial"/>
                <w:sz w:val="14"/>
                <w:szCs w:val="14"/>
                <w:color w:val="auto"/>
              </w:rPr>
              <w:t>1,163</w:t>
            </w:r>
          </w:p>
        </w:tc>
        <w:tc>
          <w:tcPr>
            <w:tcW w:w="1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220" w:type="dxa"/>
            <w:vAlign w:val="bottom"/>
          </w:tcPr>
          <w:p>
            <w:pPr>
              <w:jc w:val="right"/>
              <w:spacing w:after="0"/>
              <w:rPr>
                <w:sz w:val="20"/>
                <w:szCs w:val="20"/>
                <w:color w:val="auto"/>
              </w:rPr>
            </w:pPr>
            <w:r>
              <w:rPr>
                <w:rFonts w:ascii="Arial" w:cs="Arial" w:eastAsia="Arial" w:hAnsi="Arial"/>
                <w:sz w:val="14"/>
                <w:szCs w:val="14"/>
                <w:color w:val="auto"/>
              </w:rPr>
              <w:t>1,333</w:t>
            </w:r>
          </w:p>
        </w:tc>
        <w:tc>
          <w:tcPr>
            <w:tcW w:w="0" w:type="dxa"/>
            <w:vAlign w:val="bottom"/>
          </w:tcPr>
          <w:p>
            <w:pPr>
              <w:spacing w:after="0"/>
              <w:rPr>
                <w:sz w:val="1"/>
                <w:szCs w:val="1"/>
                <w:color w:val="auto"/>
              </w:rPr>
            </w:pPr>
          </w:p>
        </w:tc>
      </w:tr>
      <w:tr>
        <w:trPr>
          <w:trHeight w:val="211"/>
        </w:trPr>
        <w:tc>
          <w:tcPr>
            <w:tcW w:w="4580" w:type="dxa"/>
            <w:vAlign w:val="bottom"/>
            <w:tcBorders>
              <w:top w:val="single" w:sz="8" w:color="CCEEFF"/>
              <w:bottom w:val="single" w:sz="8" w:color="CCEEFF"/>
            </w:tcBorders>
            <w:gridSpan w:val="2"/>
            <w:shd w:val="clear" w:color="auto" w:fill="CCEEFF"/>
          </w:tcPr>
          <w:p>
            <w:pPr>
              <w:ind w:left="180"/>
              <w:spacing w:after="0"/>
              <w:rPr>
                <w:sz w:val="20"/>
                <w:szCs w:val="20"/>
                <w:color w:val="auto"/>
              </w:rPr>
            </w:pPr>
            <w:r>
              <w:rPr>
                <w:rFonts w:ascii="Arial" w:cs="Arial" w:eastAsia="Arial" w:hAnsi="Arial"/>
                <w:sz w:val="14"/>
                <w:szCs w:val="14"/>
                <w:color w:val="auto"/>
              </w:rPr>
              <w:t>Total</w:t>
            </w:r>
          </w:p>
        </w:tc>
        <w:tc>
          <w:tcPr>
            <w:tcW w:w="600" w:type="dxa"/>
            <w:vAlign w:val="bottom"/>
            <w:tcBorders>
              <w:top w:val="single" w:sz="8" w:color="auto"/>
              <w:bottom w:val="single" w:sz="8" w:color="auto"/>
            </w:tcBorders>
            <w:shd w:val="clear" w:color="auto" w:fill="CCEEFF"/>
          </w:tcPr>
          <w:p>
            <w:pPr>
              <w:jc w:val="right"/>
              <w:ind w:right="448"/>
              <w:spacing w:after="0"/>
              <w:rPr>
                <w:sz w:val="20"/>
                <w:szCs w:val="20"/>
                <w:color w:val="auto"/>
              </w:rPr>
            </w:pPr>
            <w:r>
              <w:rPr>
                <w:rFonts w:ascii="Arial" w:cs="Arial" w:eastAsia="Arial" w:hAnsi="Arial"/>
                <w:sz w:val="14"/>
                <w:szCs w:val="14"/>
                <w:color w:val="auto"/>
                <w:w w:val="76"/>
              </w:rPr>
              <w:t>$</w:t>
            </w:r>
          </w:p>
        </w:tc>
        <w:tc>
          <w:tcPr>
            <w:tcW w:w="9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45,278</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200" w:type="dxa"/>
            <w:vAlign w:val="bottom"/>
            <w:tcBorders>
              <w:top w:val="single" w:sz="8" w:color="auto"/>
              <w:bottom w:val="single" w:sz="8" w:color="auto"/>
            </w:tcBorders>
            <w:shd w:val="clear" w:color="auto" w:fill="CCEEFF"/>
          </w:tcPr>
          <w:p>
            <w:pPr>
              <w:jc w:val="right"/>
              <w:ind w:right="1048"/>
              <w:spacing w:after="0"/>
              <w:rPr>
                <w:sz w:val="20"/>
                <w:szCs w:val="20"/>
                <w:color w:val="auto"/>
              </w:rPr>
            </w:pPr>
            <w:r>
              <w:rPr>
                <w:rFonts w:ascii="Arial" w:cs="Arial" w:eastAsia="Arial" w:hAnsi="Arial"/>
                <w:sz w:val="14"/>
                <w:szCs w:val="14"/>
                <w:color w:val="auto"/>
                <w:w w:val="76"/>
              </w:rPr>
              <w:t>$</w:t>
            </w:r>
          </w:p>
        </w:tc>
        <w:tc>
          <w:tcPr>
            <w:tcW w:w="40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168</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50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1,549</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360" w:type="dxa"/>
            <w:vAlign w:val="bottom"/>
            <w:tcBorders>
              <w:top w:val="single" w:sz="8" w:color="auto"/>
              <w:bottom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12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46,995</w:t>
            </w:r>
          </w:p>
        </w:tc>
        <w:tc>
          <w:tcPr>
            <w:tcW w:w="0" w:type="dxa"/>
            <w:vAlign w:val="bottom"/>
          </w:tcPr>
          <w:p>
            <w:pPr>
              <w:spacing w:after="0"/>
              <w:rPr>
                <w:sz w:val="1"/>
                <w:szCs w:val="1"/>
                <w:color w:val="auto"/>
              </w:rPr>
            </w:pPr>
          </w:p>
        </w:tc>
      </w:tr>
      <w:tr>
        <w:trPr>
          <w:trHeight w:val="20"/>
        </w:trPr>
        <w:tc>
          <w:tcPr>
            <w:tcW w:w="44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0" w:type="dxa"/>
            <w:vAlign w:val="bottom"/>
            <w:tcBorders>
              <w:top w:val="single" w:sz="8" w:color="CCEEFF"/>
              <w:bottom w:val="single" w:sz="8" w:color="auto"/>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0" w:type="dxa"/>
            <w:vAlign w:val="bottom"/>
            <w:tcBorders>
              <w:top w:val="single" w:sz="8" w:color="CCEEFF"/>
              <w:bottom w:val="single" w:sz="8" w:color="auto"/>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2"/>
        </w:trPr>
        <w:tc>
          <w:tcPr>
            <w:tcW w:w="4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400" w:type="dxa"/>
            <w:vAlign w:val="bottom"/>
            <w:tcBorders>
              <w:bottom w:val="single" w:sz="8" w:color="auto"/>
            </w:tcBorders>
            <w:gridSpan w:val="6"/>
          </w:tcPr>
          <w:p>
            <w:pPr>
              <w:jc w:val="center"/>
              <w:ind w:right="120"/>
              <w:spacing w:after="0"/>
              <w:rPr>
                <w:sz w:val="20"/>
                <w:szCs w:val="20"/>
                <w:color w:val="auto"/>
              </w:rPr>
            </w:pPr>
            <w:r>
              <w:rPr>
                <w:rFonts w:ascii="Arial" w:cs="Arial" w:eastAsia="Arial" w:hAnsi="Arial"/>
                <w:sz w:val="14"/>
                <w:szCs w:val="14"/>
                <w:b w:val="1"/>
                <w:bCs w:val="1"/>
                <w:color w:val="auto"/>
                <w:w w:val="91"/>
              </w:rPr>
              <w:t>December 31, 2021</w:t>
            </w:r>
          </w:p>
        </w:tc>
        <w:tc>
          <w:tcPr>
            <w:tcW w:w="36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44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0" w:type="dxa"/>
            <w:vAlign w:val="bottom"/>
          </w:tcPr>
          <w:p>
            <w:pPr>
              <w:jc w:val="center"/>
              <w:ind w:left="288"/>
              <w:spacing w:after="0" w:line="135" w:lineRule="exact"/>
              <w:rPr>
                <w:sz w:val="20"/>
                <w:szCs w:val="20"/>
                <w:color w:val="auto"/>
              </w:rPr>
            </w:pPr>
            <w:r>
              <w:rPr>
                <w:rFonts w:ascii="Arial" w:cs="Arial" w:eastAsia="Arial" w:hAnsi="Arial"/>
                <w:sz w:val="14"/>
                <w:szCs w:val="14"/>
                <w:b w:val="1"/>
                <w:bCs w:val="1"/>
                <w:color w:val="auto"/>
                <w:w w:val="91"/>
              </w:rPr>
              <w:t>Debt of</w:t>
            </w:r>
          </w:p>
        </w:tc>
        <w:tc>
          <w:tcPr>
            <w:tcW w:w="4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0" w:type="dxa"/>
            <w:vAlign w:val="bottom"/>
            <w:gridSpan w:val="2"/>
            <w:vMerge w:val="restart"/>
          </w:tcPr>
          <w:p>
            <w:pPr>
              <w:jc w:val="center"/>
              <w:ind w:right="200"/>
              <w:spacing w:after="0"/>
              <w:rPr>
                <w:sz w:val="20"/>
                <w:szCs w:val="20"/>
                <w:color w:val="auto"/>
              </w:rPr>
            </w:pPr>
            <w:r>
              <w:rPr>
                <w:rFonts w:ascii="Arial" w:cs="Arial" w:eastAsia="Arial" w:hAnsi="Arial"/>
                <w:sz w:val="14"/>
                <w:szCs w:val="14"/>
                <w:b w:val="1"/>
                <w:bCs w:val="1"/>
                <w:color w:val="auto"/>
                <w:w w:val="92"/>
              </w:rPr>
              <w:t>Derivative Agreements</w:t>
            </w:r>
          </w:p>
        </w:tc>
        <w:tc>
          <w:tcPr>
            <w:tcW w:w="36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458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 xml:space="preserve">Assets Pledged to Counterparties </w:t>
            </w:r>
            <w:r>
              <w:rPr>
                <w:rFonts w:ascii="Arial" w:cs="Arial" w:eastAsia="Arial" w:hAnsi="Arial"/>
                <w:sz w:val="18"/>
                <w:szCs w:val="18"/>
                <w:b w:val="1"/>
                <w:bCs w:val="1"/>
                <w:color w:val="auto"/>
                <w:vertAlign w:val="superscript"/>
              </w:rPr>
              <w:t>1</w:t>
            </w:r>
          </w:p>
        </w:tc>
        <w:tc>
          <w:tcPr>
            <w:tcW w:w="1680" w:type="dxa"/>
            <w:vAlign w:val="bottom"/>
            <w:gridSpan w:val="3"/>
            <w:vMerge w:val="restart"/>
          </w:tcPr>
          <w:p>
            <w:pPr>
              <w:ind w:left="40"/>
              <w:spacing w:after="0"/>
              <w:rPr>
                <w:sz w:val="20"/>
                <w:szCs w:val="20"/>
                <w:color w:val="auto"/>
              </w:rPr>
            </w:pPr>
            <w:r>
              <w:rPr>
                <w:rFonts w:ascii="Arial" w:cs="Arial" w:eastAsia="Arial" w:hAnsi="Arial"/>
                <w:sz w:val="14"/>
                <w:szCs w:val="14"/>
                <w:b w:val="1"/>
                <w:bCs w:val="1"/>
                <w:color w:val="auto"/>
                <w:w w:val="96"/>
              </w:rPr>
              <w:t>Repurchase</w:t>
            </w:r>
            <w:r>
              <w:rPr>
                <w:rFonts w:ascii="Arial" w:cs="Arial" w:eastAsia="Arial" w:hAnsi="Arial"/>
                <w:sz w:val="18"/>
                <w:szCs w:val="18"/>
                <w:b w:val="1"/>
                <w:bCs w:val="1"/>
                <w:color w:val="auto"/>
                <w:w w:val="96"/>
                <w:vertAlign w:val="subscript"/>
              </w:rPr>
              <w:t>2</w:t>
            </w:r>
            <w:r>
              <w:rPr>
                <w:rFonts w:ascii="Arial" w:cs="Arial" w:eastAsia="Arial" w:hAnsi="Arial"/>
                <w:sz w:val="14"/>
                <w:szCs w:val="14"/>
                <w:b w:val="1"/>
                <w:bCs w:val="1"/>
                <w:color w:val="auto"/>
                <w:w w:val="96"/>
              </w:rPr>
              <w:t>Agreements</w:t>
            </w:r>
          </w:p>
        </w:tc>
        <w:tc>
          <w:tcPr>
            <w:tcW w:w="1200" w:type="dxa"/>
            <w:vAlign w:val="bottom"/>
          </w:tcPr>
          <w:p>
            <w:pPr>
              <w:jc w:val="center"/>
              <w:ind w:left="288"/>
              <w:spacing w:after="0" w:line="135" w:lineRule="exact"/>
              <w:rPr>
                <w:sz w:val="20"/>
                <w:szCs w:val="20"/>
                <w:color w:val="auto"/>
              </w:rPr>
            </w:pPr>
            <w:r>
              <w:rPr>
                <w:rFonts w:ascii="Arial" w:cs="Arial" w:eastAsia="Arial" w:hAnsi="Arial"/>
                <w:sz w:val="14"/>
                <w:szCs w:val="14"/>
                <w:b w:val="1"/>
                <w:bCs w:val="1"/>
                <w:color w:val="auto"/>
                <w:w w:val="90"/>
              </w:rPr>
              <w:t>Consolidated</w:t>
            </w:r>
          </w:p>
        </w:tc>
        <w:tc>
          <w:tcPr>
            <w:tcW w:w="4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0" w:type="dxa"/>
            <w:vAlign w:val="bottom"/>
            <w:gridSpan w:val="2"/>
            <w:vMerge w:val="continue"/>
          </w:tcPr>
          <w:p>
            <w:pPr>
              <w:spacing w:after="0"/>
              <w:rPr>
                <w:sz w:val="11"/>
                <w:szCs w:val="11"/>
                <w:color w:val="auto"/>
              </w:rPr>
            </w:pPr>
          </w:p>
        </w:tc>
        <w:tc>
          <w:tcPr>
            <w:tcW w:w="360" w:type="dxa"/>
            <w:vAlign w:val="bottom"/>
          </w:tcPr>
          <w:p>
            <w:pPr>
              <w:spacing w:after="0"/>
              <w:rPr>
                <w:sz w:val="11"/>
                <w:szCs w:val="11"/>
                <w:color w:val="auto"/>
              </w:rPr>
            </w:pPr>
          </w:p>
        </w:tc>
        <w:tc>
          <w:tcPr>
            <w:tcW w:w="1220" w:type="dxa"/>
            <w:vAlign w:val="bottom"/>
            <w:vMerge w:val="restart"/>
          </w:tcPr>
          <w:p>
            <w:pPr>
              <w:jc w:val="right"/>
              <w:ind w:right="56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89"/>
        </w:trPr>
        <w:tc>
          <w:tcPr>
            <w:tcW w:w="4580" w:type="dxa"/>
            <w:vAlign w:val="bottom"/>
            <w:gridSpan w:val="2"/>
            <w:vMerge w:val="continue"/>
          </w:tcPr>
          <w:p>
            <w:pPr>
              <w:spacing w:after="0"/>
              <w:rPr>
                <w:sz w:val="16"/>
                <w:szCs w:val="16"/>
                <w:color w:val="auto"/>
              </w:rPr>
            </w:pPr>
          </w:p>
        </w:tc>
        <w:tc>
          <w:tcPr>
            <w:tcW w:w="1680" w:type="dxa"/>
            <w:vAlign w:val="bottom"/>
            <w:gridSpan w:val="3"/>
            <w:vMerge w:val="continue"/>
          </w:tcPr>
          <w:p>
            <w:pPr>
              <w:spacing w:after="0"/>
              <w:rPr>
                <w:sz w:val="16"/>
                <w:szCs w:val="16"/>
                <w:color w:val="auto"/>
              </w:rPr>
            </w:pPr>
          </w:p>
        </w:tc>
        <w:tc>
          <w:tcPr>
            <w:tcW w:w="1200" w:type="dxa"/>
            <w:vAlign w:val="bottom"/>
          </w:tcPr>
          <w:p>
            <w:pPr>
              <w:jc w:val="center"/>
              <w:ind w:left="328"/>
              <w:spacing w:after="0"/>
              <w:rPr>
                <w:sz w:val="20"/>
                <w:szCs w:val="20"/>
                <w:color w:val="auto"/>
              </w:rPr>
            </w:pPr>
            <w:r>
              <w:rPr>
                <w:rFonts w:ascii="Arial" w:cs="Arial" w:eastAsia="Arial" w:hAnsi="Arial"/>
                <w:sz w:val="14"/>
                <w:szCs w:val="14"/>
                <w:b w:val="1"/>
                <w:bCs w:val="1"/>
                <w:color w:val="auto"/>
              </w:rPr>
              <w:t>VIEs</w:t>
            </w:r>
          </w:p>
        </w:tc>
        <w:tc>
          <w:tcPr>
            <w:tcW w:w="4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0" w:type="dxa"/>
            <w:vAlign w:val="bottom"/>
            <w:gridSpan w:val="2"/>
          </w:tcPr>
          <w:p>
            <w:pPr>
              <w:jc w:val="center"/>
              <w:ind w:right="200"/>
              <w:spacing w:after="0" w:line="189" w:lineRule="exact"/>
              <w:rPr>
                <w:sz w:val="20"/>
                <w:szCs w:val="20"/>
                <w:color w:val="auto"/>
              </w:rPr>
            </w:pPr>
            <w:r>
              <w:rPr>
                <w:rFonts w:ascii="Arial" w:cs="Arial" w:eastAsia="Arial" w:hAnsi="Arial"/>
                <w:sz w:val="14"/>
                <w:szCs w:val="14"/>
                <w:b w:val="1"/>
                <w:bCs w:val="1"/>
                <w:color w:val="auto"/>
                <w:w w:val="93"/>
              </w:rPr>
              <w:t xml:space="preserve">and Other </w:t>
            </w:r>
            <w:r>
              <w:rPr>
                <w:rFonts w:ascii="Arial" w:cs="Arial" w:eastAsia="Arial" w:hAnsi="Arial"/>
                <w:sz w:val="18"/>
                <w:szCs w:val="18"/>
                <w:b w:val="1"/>
                <w:bCs w:val="1"/>
                <w:color w:val="auto"/>
                <w:w w:val="93"/>
                <w:vertAlign w:val="superscript"/>
              </w:rPr>
              <w:t>3</w:t>
            </w:r>
          </w:p>
        </w:tc>
        <w:tc>
          <w:tcPr>
            <w:tcW w:w="360" w:type="dxa"/>
            <w:vAlign w:val="bottom"/>
          </w:tcPr>
          <w:p>
            <w:pPr>
              <w:spacing w:after="0"/>
              <w:rPr>
                <w:sz w:val="16"/>
                <w:szCs w:val="16"/>
                <w:color w:val="auto"/>
              </w:rPr>
            </w:pPr>
          </w:p>
        </w:tc>
        <w:tc>
          <w:tcPr>
            <w:tcW w:w="12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83"/>
        </w:trPr>
        <w:tc>
          <w:tcPr>
            <w:tcW w:w="44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Agency RMBS - fair value</w:t>
            </w:r>
          </w:p>
        </w:tc>
        <w:tc>
          <w:tcPr>
            <w:tcW w:w="120" w:type="dxa"/>
            <w:vAlign w:val="bottom"/>
            <w:tcBorders>
              <w:top w:val="single" w:sz="8" w:color="CCEEFF"/>
            </w:tcBorders>
            <w:shd w:val="clear" w:color="auto" w:fill="CCEEFF"/>
          </w:tcPr>
          <w:p>
            <w:pPr>
              <w:spacing w:after="0"/>
              <w:rPr>
                <w:sz w:val="15"/>
                <w:szCs w:val="15"/>
                <w:color w:val="auto"/>
              </w:rPr>
            </w:pPr>
          </w:p>
        </w:tc>
        <w:tc>
          <w:tcPr>
            <w:tcW w:w="600" w:type="dxa"/>
            <w:vAlign w:val="bottom"/>
            <w:tcBorders>
              <w:top w:val="single" w:sz="8" w:color="auto"/>
            </w:tcBorders>
            <w:shd w:val="clear" w:color="auto" w:fill="CCEEFF"/>
          </w:tcPr>
          <w:p>
            <w:pPr>
              <w:jc w:val="right"/>
              <w:ind w:right="448"/>
              <w:spacing w:after="0"/>
              <w:rPr>
                <w:sz w:val="20"/>
                <w:szCs w:val="20"/>
                <w:color w:val="auto"/>
              </w:rPr>
            </w:pPr>
            <w:r>
              <w:rPr>
                <w:rFonts w:ascii="Arial" w:cs="Arial" w:eastAsia="Arial" w:hAnsi="Arial"/>
                <w:sz w:val="14"/>
                <w:szCs w:val="14"/>
                <w:color w:val="auto"/>
                <w:w w:val="76"/>
              </w:rPr>
              <w:t>$</w:t>
            </w:r>
          </w:p>
        </w:tc>
        <w:tc>
          <w:tcPr>
            <w:tcW w:w="98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46,943</w:t>
            </w:r>
          </w:p>
        </w:tc>
        <w:tc>
          <w:tcPr>
            <w:tcW w:w="100" w:type="dxa"/>
            <w:vAlign w:val="bottom"/>
            <w:tcBorders>
              <w:top w:val="single" w:sz="8" w:color="CCEEFF"/>
            </w:tcBorders>
            <w:shd w:val="clear" w:color="auto" w:fill="CCEEFF"/>
          </w:tcPr>
          <w:p>
            <w:pPr>
              <w:spacing w:after="0"/>
              <w:rPr>
                <w:sz w:val="15"/>
                <w:szCs w:val="15"/>
                <w:color w:val="auto"/>
              </w:rPr>
            </w:pPr>
          </w:p>
        </w:tc>
        <w:tc>
          <w:tcPr>
            <w:tcW w:w="1200" w:type="dxa"/>
            <w:vAlign w:val="bottom"/>
            <w:tcBorders>
              <w:top w:val="single" w:sz="8" w:color="auto"/>
            </w:tcBorders>
            <w:shd w:val="clear" w:color="auto" w:fill="CCEEFF"/>
          </w:tcPr>
          <w:p>
            <w:pPr>
              <w:jc w:val="right"/>
              <w:ind w:right="1048"/>
              <w:spacing w:after="0"/>
              <w:rPr>
                <w:sz w:val="20"/>
                <w:szCs w:val="20"/>
                <w:color w:val="auto"/>
              </w:rPr>
            </w:pPr>
            <w:r>
              <w:rPr>
                <w:rFonts w:ascii="Arial" w:cs="Arial" w:eastAsia="Arial" w:hAnsi="Arial"/>
                <w:sz w:val="14"/>
                <w:szCs w:val="14"/>
                <w:color w:val="auto"/>
                <w:w w:val="76"/>
              </w:rPr>
              <w:t>$</w:t>
            </w:r>
          </w:p>
        </w:tc>
        <w:tc>
          <w:tcPr>
            <w:tcW w:w="40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208</w:t>
            </w:r>
          </w:p>
        </w:tc>
        <w:tc>
          <w:tcPr>
            <w:tcW w:w="10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50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739</w:t>
            </w:r>
          </w:p>
        </w:tc>
        <w:tc>
          <w:tcPr>
            <w:tcW w:w="100" w:type="dxa"/>
            <w:vAlign w:val="bottom"/>
            <w:tcBorders>
              <w:top w:val="single" w:sz="8" w:color="CCEEFF"/>
            </w:tcBorders>
            <w:shd w:val="clear" w:color="auto" w:fill="CCEEFF"/>
          </w:tcPr>
          <w:p>
            <w:pPr>
              <w:spacing w:after="0"/>
              <w:rPr>
                <w:sz w:val="15"/>
                <w:szCs w:val="15"/>
                <w:color w:val="auto"/>
              </w:rPr>
            </w:pPr>
          </w:p>
        </w:tc>
        <w:tc>
          <w:tcPr>
            <w:tcW w:w="360" w:type="dxa"/>
            <w:vAlign w:val="bottom"/>
            <w:tcBorders>
              <w:top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12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47,890</w:t>
            </w:r>
          </w:p>
        </w:tc>
        <w:tc>
          <w:tcPr>
            <w:tcW w:w="0" w:type="dxa"/>
            <w:vAlign w:val="bottom"/>
          </w:tcPr>
          <w:p>
            <w:pPr>
              <w:spacing w:after="0"/>
              <w:rPr>
                <w:sz w:val="1"/>
                <w:szCs w:val="1"/>
                <w:color w:val="auto"/>
              </w:rPr>
            </w:pPr>
          </w:p>
        </w:tc>
      </w:tr>
      <w:tr>
        <w:trPr>
          <w:trHeight w:val="186"/>
        </w:trPr>
        <w:tc>
          <w:tcPr>
            <w:tcW w:w="4580" w:type="dxa"/>
            <w:vAlign w:val="bottom"/>
            <w:gridSpan w:val="2"/>
          </w:tcPr>
          <w:p>
            <w:pPr>
              <w:ind w:left="20"/>
              <w:spacing w:after="0"/>
              <w:rPr>
                <w:sz w:val="20"/>
                <w:szCs w:val="20"/>
                <w:color w:val="auto"/>
              </w:rPr>
            </w:pPr>
            <w:r>
              <w:rPr>
                <w:rFonts w:ascii="Arial" w:cs="Arial" w:eastAsia="Arial" w:hAnsi="Arial"/>
                <w:sz w:val="14"/>
                <w:szCs w:val="14"/>
                <w:color w:val="auto"/>
              </w:rPr>
              <w:t>CRT - fair value</w:t>
            </w:r>
          </w:p>
        </w:tc>
        <w:tc>
          <w:tcPr>
            <w:tcW w:w="600" w:type="dxa"/>
            <w:vAlign w:val="bottom"/>
          </w:tcPr>
          <w:p>
            <w:pPr>
              <w:spacing w:after="0"/>
              <w:rPr>
                <w:sz w:val="16"/>
                <w:szCs w:val="16"/>
                <w:color w:val="auto"/>
              </w:rPr>
            </w:pPr>
          </w:p>
        </w:tc>
        <w:tc>
          <w:tcPr>
            <w:tcW w:w="980" w:type="dxa"/>
            <w:vAlign w:val="bottom"/>
          </w:tcPr>
          <w:p>
            <w:pPr>
              <w:jc w:val="right"/>
              <w:ind w:right="8"/>
              <w:spacing w:after="0"/>
              <w:rPr>
                <w:sz w:val="20"/>
                <w:szCs w:val="20"/>
                <w:color w:val="auto"/>
              </w:rPr>
            </w:pPr>
            <w:r>
              <w:rPr>
                <w:rFonts w:ascii="Arial" w:cs="Arial" w:eastAsia="Arial" w:hAnsi="Arial"/>
                <w:sz w:val="14"/>
                <w:szCs w:val="14"/>
                <w:color w:val="auto"/>
              </w:rPr>
              <w:t>510</w:t>
            </w:r>
          </w:p>
        </w:tc>
        <w:tc>
          <w:tcPr>
            <w:tcW w:w="1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50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60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360" w:type="dxa"/>
            <w:vAlign w:val="bottom"/>
          </w:tcPr>
          <w:p>
            <w:pPr>
              <w:spacing w:after="0"/>
              <w:rPr>
                <w:sz w:val="16"/>
                <w:szCs w:val="16"/>
                <w:color w:val="auto"/>
              </w:rPr>
            </w:pPr>
          </w:p>
        </w:tc>
        <w:tc>
          <w:tcPr>
            <w:tcW w:w="1220" w:type="dxa"/>
            <w:vAlign w:val="bottom"/>
          </w:tcPr>
          <w:p>
            <w:pPr>
              <w:jc w:val="right"/>
              <w:spacing w:after="0"/>
              <w:rPr>
                <w:sz w:val="20"/>
                <w:szCs w:val="20"/>
                <w:color w:val="auto"/>
              </w:rPr>
            </w:pPr>
            <w:r>
              <w:rPr>
                <w:rFonts w:ascii="Arial" w:cs="Arial" w:eastAsia="Arial" w:hAnsi="Arial"/>
                <w:sz w:val="14"/>
                <w:szCs w:val="14"/>
                <w:color w:val="auto"/>
              </w:rPr>
              <w:t>510</w:t>
            </w:r>
          </w:p>
        </w:tc>
        <w:tc>
          <w:tcPr>
            <w:tcW w:w="0" w:type="dxa"/>
            <w:vAlign w:val="bottom"/>
          </w:tcPr>
          <w:p>
            <w:pPr>
              <w:spacing w:after="0"/>
              <w:rPr>
                <w:sz w:val="1"/>
                <w:szCs w:val="1"/>
                <w:color w:val="auto"/>
              </w:rPr>
            </w:pPr>
          </w:p>
        </w:tc>
      </w:tr>
      <w:tr>
        <w:trPr>
          <w:trHeight w:val="192"/>
        </w:trPr>
        <w:tc>
          <w:tcPr>
            <w:tcW w:w="45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Non-Agency - fair value</w:t>
            </w:r>
          </w:p>
        </w:tc>
        <w:tc>
          <w:tcPr>
            <w:tcW w:w="600" w:type="dxa"/>
            <w:vAlign w:val="bottom"/>
            <w:shd w:val="clear" w:color="auto" w:fill="CCEEFF"/>
          </w:tcPr>
          <w:p>
            <w:pPr>
              <w:spacing w:after="0"/>
              <w:rPr>
                <w:sz w:val="16"/>
                <w:szCs w:val="16"/>
                <w:color w:val="auto"/>
              </w:rPr>
            </w:pPr>
          </w:p>
        </w:tc>
        <w:tc>
          <w:tcPr>
            <w:tcW w:w="9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571</w:t>
            </w:r>
          </w:p>
        </w:tc>
        <w:tc>
          <w:tcPr>
            <w:tcW w:w="100" w:type="dxa"/>
            <w:vAlign w:val="bottom"/>
            <w:shd w:val="clear" w:color="auto" w:fill="CCEEFF"/>
          </w:tcPr>
          <w:p>
            <w:pPr>
              <w:spacing w:after="0"/>
              <w:rPr>
                <w:sz w:val="16"/>
                <w:szCs w:val="16"/>
                <w:color w:val="auto"/>
              </w:rPr>
            </w:pPr>
          </w:p>
        </w:tc>
        <w:tc>
          <w:tcPr>
            <w:tcW w:w="1200" w:type="dxa"/>
            <w:vAlign w:val="bottom"/>
            <w:shd w:val="clear" w:color="auto" w:fill="CCEEFF"/>
          </w:tcPr>
          <w:p>
            <w:pPr>
              <w:spacing w:after="0"/>
              <w:rPr>
                <w:sz w:val="16"/>
                <w:szCs w:val="16"/>
                <w:color w:val="auto"/>
              </w:rPr>
            </w:pPr>
          </w:p>
        </w:tc>
        <w:tc>
          <w:tcPr>
            <w:tcW w:w="50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60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360" w:type="dxa"/>
            <w:vAlign w:val="bottom"/>
            <w:shd w:val="clear" w:color="auto" w:fill="CCEEFF"/>
          </w:tcPr>
          <w:p>
            <w:pPr>
              <w:spacing w:after="0"/>
              <w:rPr>
                <w:sz w:val="16"/>
                <w:szCs w:val="16"/>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571</w:t>
            </w:r>
          </w:p>
        </w:tc>
        <w:tc>
          <w:tcPr>
            <w:tcW w:w="0" w:type="dxa"/>
            <w:vAlign w:val="bottom"/>
          </w:tcPr>
          <w:p>
            <w:pPr>
              <w:spacing w:after="0"/>
              <w:rPr>
                <w:sz w:val="1"/>
                <w:szCs w:val="1"/>
                <w:color w:val="auto"/>
              </w:rPr>
            </w:pPr>
          </w:p>
        </w:tc>
      </w:tr>
      <w:tr>
        <w:trPr>
          <w:trHeight w:val="186"/>
        </w:trPr>
        <w:tc>
          <w:tcPr>
            <w:tcW w:w="4580" w:type="dxa"/>
            <w:vAlign w:val="bottom"/>
            <w:gridSpan w:val="2"/>
          </w:tcPr>
          <w:p>
            <w:pPr>
              <w:ind w:left="20"/>
              <w:spacing w:after="0"/>
              <w:rPr>
                <w:sz w:val="20"/>
                <w:szCs w:val="20"/>
                <w:color w:val="auto"/>
              </w:rPr>
            </w:pPr>
            <w:r>
              <w:rPr>
                <w:rFonts w:ascii="Arial" w:cs="Arial" w:eastAsia="Arial" w:hAnsi="Arial"/>
                <w:sz w:val="14"/>
                <w:szCs w:val="14"/>
                <w:color w:val="auto"/>
              </w:rPr>
              <w:t>U.S. Treasury securities - fair value</w:t>
            </w:r>
          </w:p>
        </w:tc>
        <w:tc>
          <w:tcPr>
            <w:tcW w:w="600" w:type="dxa"/>
            <w:vAlign w:val="bottom"/>
          </w:tcPr>
          <w:p>
            <w:pPr>
              <w:spacing w:after="0"/>
              <w:rPr>
                <w:sz w:val="16"/>
                <w:szCs w:val="16"/>
                <w:color w:val="auto"/>
              </w:rPr>
            </w:pPr>
          </w:p>
        </w:tc>
        <w:tc>
          <w:tcPr>
            <w:tcW w:w="980" w:type="dxa"/>
            <w:vAlign w:val="bottom"/>
          </w:tcPr>
          <w:p>
            <w:pPr>
              <w:jc w:val="right"/>
              <w:ind w:right="8"/>
              <w:spacing w:after="0"/>
              <w:rPr>
                <w:sz w:val="20"/>
                <w:szCs w:val="20"/>
                <w:color w:val="auto"/>
              </w:rPr>
            </w:pPr>
            <w:r>
              <w:rPr>
                <w:rFonts w:ascii="Arial" w:cs="Arial" w:eastAsia="Arial" w:hAnsi="Arial"/>
                <w:sz w:val="14"/>
                <w:szCs w:val="14"/>
                <w:color w:val="auto"/>
              </w:rPr>
              <w:t>1,084</w:t>
            </w:r>
          </w:p>
        </w:tc>
        <w:tc>
          <w:tcPr>
            <w:tcW w:w="1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50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500" w:type="dxa"/>
            <w:vAlign w:val="bottom"/>
          </w:tcPr>
          <w:p>
            <w:pPr>
              <w:jc w:val="right"/>
              <w:ind w:right="8"/>
              <w:spacing w:after="0"/>
              <w:rPr>
                <w:sz w:val="20"/>
                <w:szCs w:val="20"/>
                <w:color w:val="auto"/>
              </w:rPr>
            </w:pPr>
            <w:r>
              <w:rPr>
                <w:rFonts w:ascii="Arial" w:cs="Arial" w:eastAsia="Arial" w:hAnsi="Arial"/>
                <w:sz w:val="14"/>
                <w:szCs w:val="14"/>
                <w:color w:val="auto"/>
              </w:rPr>
              <w:t>208</w:t>
            </w:r>
          </w:p>
        </w:tc>
        <w:tc>
          <w:tcPr>
            <w:tcW w:w="1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220" w:type="dxa"/>
            <w:vAlign w:val="bottom"/>
          </w:tcPr>
          <w:p>
            <w:pPr>
              <w:jc w:val="right"/>
              <w:spacing w:after="0"/>
              <w:rPr>
                <w:sz w:val="20"/>
                <w:szCs w:val="20"/>
                <w:color w:val="auto"/>
              </w:rPr>
            </w:pPr>
            <w:r>
              <w:rPr>
                <w:rFonts w:ascii="Arial" w:cs="Arial" w:eastAsia="Arial" w:hAnsi="Arial"/>
                <w:sz w:val="14"/>
                <w:szCs w:val="14"/>
                <w:color w:val="auto"/>
              </w:rPr>
              <w:t>1,292</w:t>
            </w:r>
          </w:p>
        </w:tc>
        <w:tc>
          <w:tcPr>
            <w:tcW w:w="0" w:type="dxa"/>
            <w:vAlign w:val="bottom"/>
          </w:tcPr>
          <w:p>
            <w:pPr>
              <w:spacing w:after="0"/>
              <w:rPr>
                <w:sz w:val="1"/>
                <w:szCs w:val="1"/>
                <w:color w:val="auto"/>
              </w:rPr>
            </w:pPr>
          </w:p>
        </w:tc>
      </w:tr>
      <w:tr>
        <w:trPr>
          <w:trHeight w:val="192"/>
        </w:trPr>
        <w:tc>
          <w:tcPr>
            <w:tcW w:w="45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Accrued interest on pledged securities</w:t>
            </w:r>
          </w:p>
        </w:tc>
        <w:tc>
          <w:tcPr>
            <w:tcW w:w="600" w:type="dxa"/>
            <w:vAlign w:val="bottom"/>
            <w:shd w:val="clear" w:color="auto" w:fill="CCEEFF"/>
          </w:tcPr>
          <w:p>
            <w:pPr>
              <w:spacing w:after="0"/>
              <w:rPr>
                <w:sz w:val="16"/>
                <w:szCs w:val="16"/>
                <w:color w:val="auto"/>
              </w:rPr>
            </w:pPr>
          </w:p>
        </w:tc>
        <w:tc>
          <w:tcPr>
            <w:tcW w:w="9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117</w:t>
            </w:r>
          </w:p>
        </w:tc>
        <w:tc>
          <w:tcPr>
            <w:tcW w:w="100" w:type="dxa"/>
            <w:vAlign w:val="bottom"/>
            <w:shd w:val="clear" w:color="auto" w:fill="CCEEFF"/>
          </w:tcPr>
          <w:p>
            <w:pPr>
              <w:spacing w:after="0"/>
              <w:rPr>
                <w:sz w:val="16"/>
                <w:szCs w:val="16"/>
                <w:color w:val="auto"/>
              </w:rPr>
            </w:pPr>
          </w:p>
        </w:tc>
        <w:tc>
          <w:tcPr>
            <w:tcW w:w="1200" w:type="dxa"/>
            <w:vAlign w:val="bottom"/>
            <w:shd w:val="clear" w:color="auto" w:fill="CCEEFF"/>
          </w:tcPr>
          <w:p>
            <w:pPr>
              <w:spacing w:after="0"/>
              <w:rPr>
                <w:sz w:val="16"/>
                <w:szCs w:val="16"/>
                <w:color w:val="auto"/>
              </w:rPr>
            </w:pPr>
          </w:p>
        </w:tc>
        <w:tc>
          <w:tcPr>
            <w:tcW w:w="4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5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120</w:t>
            </w:r>
          </w:p>
        </w:tc>
        <w:tc>
          <w:tcPr>
            <w:tcW w:w="0" w:type="dxa"/>
            <w:vAlign w:val="bottom"/>
          </w:tcPr>
          <w:p>
            <w:pPr>
              <w:spacing w:after="0"/>
              <w:rPr>
                <w:sz w:val="1"/>
                <w:szCs w:val="1"/>
                <w:color w:val="auto"/>
              </w:rPr>
            </w:pPr>
          </w:p>
        </w:tc>
      </w:tr>
      <w:tr>
        <w:trPr>
          <w:trHeight w:val="186"/>
        </w:trPr>
        <w:tc>
          <w:tcPr>
            <w:tcW w:w="4580" w:type="dxa"/>
            <w:vAlign w:val="bottom"/>
            <w:gridSpan w:val="2"/>
          </w:tcPr>
          <w:p>
            <w:pPr>
              <w:ind w:left="20"/>
              <w:spacing w:after="0"/>
              <w:rPr>
                <w:sz w:val="20"/>
                <w:szCs w:val="20"/>
                <w:color w:val="auto"/>
              </w:rPr>
            </w:pPr>
            <w:r>
              <w:rPr>
                <w:rFonts w:ascii="Arial" w:cs="Arial" w:eastAsia="Arial" w:hAnsi="Arial"/>
                <w:sz w:val="14"/>
                <w:szCs w:val="14"/>
                <w:color w:val="auto"/>
              </w:rPr>
              <w:t>Restricted cash</w:t>
            </w:r>
          </w:p>
        </w:tc>
        <w:tc>
          <w:tcPr>
            <w:tcW w:w="600" w:type="dxa"/>
            <w:vAlign w:val="bottom"/>
          </w:tcPr>
          <w:p>
            <w:pPr>
              <w:spacing w:after="0"/>
              <w:rPr>
                <w:sz w:val="16"/>
                <w:szCs w:val="16"/>
                <w:color w:val="auto"/>
              </w:rPr>
            </w:pPr>
          </w:p>
        </w:tc>
        <w:tc>
          <w:tcPr>
            <w:tcW w:w="980" w:type="dxa"/>
            <w:vAlign w:val="bottom"/>
          </w:tcPr>
          <w:p>
            <w:pPr>
              <w:jc w:val="right"/>
              <w:ind w:right="8"/>
              <w:spacing w:after="0"/>
              <w:rPr>
                <w:sz w:val="20"/>
                <w:szCs w:val="20"/>
                <w:color w:val="auto"/>
              </w:rPr>
            </w:pPr>
            <w:r>
              <w:rPr>
                <w:rFonts w:ascii="Arial" w:cs="Arial" w:eastAsia="Arial" w:hAnsi="Arial"/>
                <w:sz w:val="14"/>
                <w:szCs w:val="14"/>
                <w:color w:val="auto"/>
              </w:rPr>
              <w:t>15</w:t>
            </w:r>
          </w:p>
        </w:tc>
        <w:tc>
          <w:tcPr>
            <w:tcW w:w="1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50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500" w:type="dxa"/>
            <w:vAlign w:val="bottom"/>
          </w:tcPr>
          <w:p>
            <w:pPr>
              <w:jc w:val="right"/>
              <w:spacing w:after="0"/>
              <w:rPr>
                <w:sz w:val="20"/>
                <w:szCs w:val="20"/>
                <w:color w:val="auto"/>
              </w:rPr>
            </w:pPr>
            <w:r>
              <w:rPr>
                <w:rFonts w:ascii="Arial" w:cs="Arial" w:eastAsia="Arial" w:hAnsi="Arial"/>
                <w:sz w:val="14"/>
                <w:szCs w:val="14"/>
                <w:color w:val="auto"/>
              </w:rPr>
              <w:t>512</w:t>
            </w:r>
          </w:p>
        </w:tc>
        <w:tc>
          <w:tcPr>
            <w:tcW w:w="1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220" w:type="dxa"/>
            <w:vAlign w:val="bottom"/>
          </w:tcPr>
          <w:p>
            <w:pPr>
              <w:jc w:val="right"/>
              <w:spacing w:after="0"/>
              <w:rPr>
                <w:sz w:val="20"/>
                <w:szCs w:val="20"/>
                <w:color w:val="auto"/>
              </w:rPr>
            </w:pPr>
            <w:r>
              <w:rPr>
                <w:rFonts w:ascii="Arial" w:cs="Arial" w:eastAsia="Arial" w:hAnsi="Arial"/>
                <w:sz w:val="14"/>
                <w:szCs w:val="14"/>
                <w:color w:val="auto"/>
              </w:rPr>
              <w:t>527</w:t>
            </w:r>
          </w:p>
        </w:tc>
        <w:tc>
          <w:tcPr>
            <w:tcW w:w="0" w:type="dxa"/>
            <w:vAlign w:val="bottom"/>
          </w:tcPr>
          <w:p>
            <w:pPr>
              <w:spacing w:after="0"/>
              <w:rPr>
                <w:sz w:val="1"/>
                <w:szCs w:val="1"/>
                <w:color w:val="auto"/>
              </w:rPr>
            </w:pPr>
          </w:p>
        </w:tc>
      </w:tr>
      <w:tr>
        <w:trPr>
          <w:trHeight w:val="211"/>
        </w:trPr>
        <w:tc>
          <w:tcPr>
            <w:tcW w:w="4580" w:type="dxa"/>
            <w:vAlign w:val="bottom"/>
            <w:tcBorders>
              <w:top w:val="single" w:sz="8" w:color="CCEEFF"/>
              <w:bottom w:val="single" w:sz="8" w:color="CCEEFF"/>
            </w:tcBorders>
            <w:gridSpan w:val="2"/>
            <w:shd w:val="clear" w:color="auto" w:fill="CCEEFF"/>
          </w:tcPr>
          <w:p>
            <w:pPr>
              <w:ind w:left="180"/>
              <w:spacing w:after="0"/>
              <w:rPr>
                <w:sz w:val="20"/>
                <w:szCs w:val="20"/>
                <w:color w:val="auto"/>
              </w:rPr>
            </w:pPr>
            <w:r>
              <w:rPr>
                <w:rFonts w:ascii="Arial" w:cs="Arial" w:eastAsia="Arial" w:hAnsi="Arial"/>
                <w:sz w:val="14"/>
                <w:szCs w:val="14"/>
                <w:color w:val="auto"/>
              </w:rPr>
              <w:t>Total</w:t>
            </w:r>
          </w:p>
        </w:tc>
        <w:tc>
          <w:tcPr>
            <w:tcW w:w="600" w:type="dxa"/>
            <w:vAlign w:val="bottom"/>
            <w:tcBorders>
              <w:top w:val="single" w:sz="8" w:color="auto"/>
              <w:bottom w:val="single" w:sz="8" w:color="auto"/>
            </w:tcBorders>
            <w:shd w:val="clear" w:color="auto" w:fill="CCEEFF"/>
          </w:tcPr>
          <w:p>
            <w:pPr>
              <w:jc w:val="right"/>
              <w:ind w:right="448"/>
              <w:spacing w:after="0"/>
              <w:rPr>
                <w:sz w:val="20"/>
                <w:szCs w:val="20"/>
                <w:color w:val="auto"/>
              </w:rPr>
            </w:pPr>
            <w:r>
              <w:rPr>
                <w:rFonts w:ascii="Arial" w:cs="Arial" w:eastAsia="Arial" w:hAnsi="Arial"/>
                <w:sz w:val="14"/>
                <w:szCs w:val="14"/>
                <w:color w:val="auto"/>
                <w:w w:val="76"/>
              </w:rPr>
              <w:t>$</w:t>
            </w:r>
          </w:p>
        </w:tc>
        <w:tc>
          <w:tcPr>
            <w:tcW w:w="9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49,240</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200" w:type="dxa"/>
            <w:vAlign w:val="bottom"/>
            <w:tcBorders>
              <w:top w:val="single" w:sz="8" w:color="auto"/>
              <w:bottom w:val="single" w:sz="8" w:color="auto"/>
            </w:tcBorders>
            <w:shd w:val="clear" w:color="auto" w:fill="CCEEFF"/>
          </w:tcPr>
          <w:p>
            <w:pPr>
              <w:jc w:val="right"/>
              <w:ind w:right="1048"/>
              <w:spacing w:after="0"/>
              <w:rPr>
                <w:sz w:val="20"/>
                <w:szCs w:val="20"/>
                <w:color w:val="auto"/>
              </w:rPr>
            </w:pPr>
            <w:r>
              <w:rPr>
                <w:rFonts w:ascii="Arial" w:cs="Arial" w:eastAsia="Arial" w:hAnsi="Arial"/>
                <w:sz w:val="14"/>
                <w:szCs w:val="14"/>
                <w:color w:val="auto"/>
                <w:w w:val="76"/>
              </w:rPr>
              <w:t>$</w:t>
            </w:r>
          </w:p>
        </w:tc>
        <w:tc>
          <w:tcPr>
            <w:tcW w:w="40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209</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50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1,461</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360" w:type="dxa"/>
            <w:vAlign w:val="bottom"/>
            <w:tcBorders>
              <w:top w:val="single" w:sz="8" w:color="auto"/>
              <w:bottom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12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50,910</w:t>
            </w:r>
          </w:p>
        </w:tc>
        <w:tc>
          <w:tcPr>
            <w:tcW w:w="0" w:type="dxa"/>
            <w:vAlign w:val="bottom"/>
          </w:tcPr>
          <w:p>
            <w:pPr>
              <w:spacing w:after="0"/>
              <w:rPr>
                <w:sz w:val="1"/>
                <w:szCs w:val="1"/>
                <w:color w:val="auto"/>
              </w:rPr>
            </w:pPr>
          </w:p>
        </w:tc>
      </w:tr>
      <w:tr>
        <w:trPr>
          <w:trHeight w:val="20"/>
        </w:trPr>
        <w:tc>
          <w:tcPr>
            <w:tcW w:w="44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5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6"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tabs>
          <w:tab w:leader="none" w:pos="660" w:val="left"/>
        </w:tabs>
        <w:numPr>
          <w:ilvl w:val="0"/>
          <w:numId w:val="12"/>
        </w:numPr>
        <w:rPr>
          <w:rFonts w:ascii="Arial" w:cs="Arial" w:eastAsia="Arial" w:hAnsi="Arial"/>
          <w:sz w:val="14"/>
          <w:szCs w:val="14"/>
          <w:color w:val="auto"/>
        </w:rPr>
      </w:pPr>
      <w:r>
        <w:rPr>
          <w:rFonts w:ascii="Arial" w:cs="Arial" w:eastAsia="Arial" w:hAnsi="Arial"/>
          <w:sz w:val="14"/>
          <w:szCs w:val="14"/>
          <w:color w:val="auto"/>
        </w:rPr>
        <w:t>Includes repledged assets received as collateral from counterparties and securities sold but not yet settled.</w:t>
      </w:r>
    </w:p>
    <w:p>
      <w:pPr>
        <w:spacing w:after="0" w:line="1" w:lineRule="exact"/>
        <w:rPr>
          <w:rFonts w:ascii="Arial" w:cs="Arial" w:eastAsia="Arial" w:hAnsi="Arial"/>
          <w:sz w:val="14"/>
          <w:szCs w:val="14"/>
          <w:color w:val="auto"/>
        </w:rPr>
      </w:pPr>
    </w:p>
    <w:p>
      <w:pPr>
        <w:ind w:left="660" w:hanging="328"/>
        <w:spacing w:after="0" w:line="241" w:lineRule="auto"/>
        <w:tabs>
          <w:tab w:leader="none" w:pos="660" w:val="left"/>
        </w:tabs>
        <w:numPr>
          <w:ilvl w:val="0"/>
          <w:numId w:val="12"/>
        </w:numPr>
        <w:rPr>
          <w:rFonts w:ascii="Arial" w:cs="Arial" w:eastAsia="Arial" w:hAnsi="Arial"/>
          <w:sz w:val="14"/>
          <w:szCs w:val="14"/>
          <w:color w:val="auto"/>
        </w:rPr>
      </w:pPr>
      <w:r>
        <w:rPr>
          <w:rFonts w:ascii="Arial" w:cs="Arial" w:eastAsia="Arial" w:hAnsi="Arial"/>
          <w:sz w:val="14"/>
          <w:szCs w:val="14"/>
          <w:color w:val="auto"/>
        </w:rPr>
        <w:t>Includes $60 million and $81 million of retained interests in our consolidated VIEs pledged as collateral under repurchase agreements as of June 30, 2022 and December 31, 2021, respectively.</w:t>
      </w:r>
    </w:p>
    <w:p>
      <w:pPr>
        <w:ind w:left="660" w:hanging="328"/>
        <w:spacing w:after="0"/>
        <w:tabs>
          <w:tab w:leader="none" w:pos="660" w:val="left"/>
        </w:tabs>
        <w:numPr>
          <w:ilvl w:val="0"/>
          <w:numId w:val="12"/>
        </w:numPr>
        <w:rPr>
          <w:rFonts w:ascii="Arial" w:cs="Arial" w:eastAsia="Arial" w:hAnsi="Arial"/>
          <w:sz w:val="14"/>
          <w:szCs w:val="14"/>
          <w:color w:val="auto"/>
        </w:rPr>
      </w:pPr>
      <w:r>
        <w:rPr>
          <w:rFonts w:ascii="Arial" w:cs="Arial" w:eastAsia="Arial" w:hAnsi="Arial"/>
          <w:sz w:val="14"/>
          <w:szCs w:val="14"/>
          <w:color w:val="auto"/>
        </w:rPr>
        <w:t>Includes deposits under brokerage and clearing agreements.</w:t>
      </w:r>
    </w:p>
    <w:p>
      <w:pPr>
        <w:spacing w:after="0" w:line="200" w:lineRule="exact"/>
        <w:rPr>
          <w:sz w:val="20"/>
          <w:szCs w:val="20"/>
          <w:color w:val="auto"/>
        </w:rPr>
      </w:pPr>
    </w:p>
    <w:p>
      <w:pPr>
        <w:spacing w:after="0" w:line="3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20" w:name="page21"/>
    <w:bookmarkEnd w:id="20"/>
    <w:p>
      <w:pPr>
        <w:jc w:val="both"/>
        <w:ind w:firstLine="445"/>
        <w:spacing w:after="0" w:line="263" w:lineRule="auto"/>
        <w:rPr>
          <w:sz w:val="20"/>
          <w:szCs w:val="20"/>
          <w:color w:val="auto"/>
        </w:rPr>
      </w:pPr>
      <w:r>
        <w:rPr>
          <w:rFonts w:ascii="Arial" w:cs="Arial" w:eastAsia="Arial" w:hAnsi="Arial"/>
          <w:sz w:val="18"/>
          <w:szCs w:val="18"/>
          <w:color w:val="auto"/>
        </w:rPr>
        <w:t>The following table summarizes our securities pledged as collateral under our repurchase agreements by the remaining maturity of our borrowings, including securities pledged related to sold but not yet settled securities, as of June 30, 2022 and December 31, 2021 (in millions). For the corresponding borrowings associated with the following amounts and the interest rates thereon, refer to Note 4</w:t>
      </w:r>
      <w:r>
        <w:rPr>
          <w:rFonts w:ascii="Arial" w:cs="Arial" w:eastAsia="Arial" w:hAnsi="Arial"/>
          <w:sz w:val="18"/>
          <w:szCs w:val="18"/>
          <w:i w:val="1"/>
          <w:iCs w:val="1"/>
          <w:color w:val="auto"/>
        </w:rPr>
        <w:t>.</w:t>
      </w:r>
    </w:p>
    <w:p>
      <w:pPr>
        <w:spacing w:after="0" w:line="9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8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gridSpan w:val="3"/>
          </w:tcPr>
          <w:p>
            <w:pPr>
              <w:ind w:left="80"/>
              <w:spacing w:after="0"/>
              <w:rPr>
                <w:sz w:val="20"/>
                <w:szCs w:val="20"/>
                <w:color w:val="auto"/>
              </w:rPr>
            </w:pPr>
            <w:r>
              <w:rPr>
                <w:rFonts w:ascii="Arial" w:cs="Arial" w:eastAsia="Arial" w:hAnsi="Arial"/>
                <w:sz w:val="14"/>
                <w:szCs w:val="14"/>
                <w:b w:val="1"/>
                <w:bCs w:val="1"/>
                <w:color w:val="auto"/>
              </w:rPr>
              <w:t>June 30, 2022</w:t>
            </w: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5"/>
          </w:tcPr>
          <w:p>
            <w:pPr>
              <w:ind w:left="20"/>
              <w:spacing w:after="0"/>
              <w:rPr>
                <w:sz w:val="20"/>
                <w:szCs w:val="20"/>
                <w:color w:val="auto"/>
              </w:rPr>
            </w:pPr>
            <w:r>
              <w:rPr>
                <w:rFonts w:ascii="Arial" w:cs="Arial" w:eastAsia="Arial" w:hAnsi="Arial"/>
                <w:sz w:val="14"/>
                <w:szCs w:val="14"/>
                <w:b w:val="1"/>
                <w:bCs w:val="1"/>
                <w:color w:val="auto"/>
              </w:rPr>
              <w:t>December 31, 2021</w:t>
            </w: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4"/>
        </w:trPr>
        <w:tc>
          <w:tcPr>
            <w:tcW w:w="38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6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93"/>
              </w:rPr>
              <w:t>Amortized</w:t>
            </w:r>
          </w:p>
        </w:tc>
        <w:tc>
          <w:tcPr>
            <w:tcW w:w="140" w:type="dxa"/>
            <w:vAlign w:val="bottom"/>
          </w:tcPr>
          <w:p>
            <w:pPr>
              <w:spacing w:after="0"/>
              <w:rPr>
                <w:sz w:val="11"/>
                <w:szCs w:val="11"/>
                <w:color w:val="auto"/>
              </w:rPr>
            </w:pPr>
          </w:p>
        </w:tc>
        <w:tc>
          <w:tcPr>
            <w:tcW w:w="900" w:type="dxa"/>
            <w:vAlign w:val="bottom"/>
          </w:tcPr>
          <w:p>
            <w:pPr>
              <w:jc w:val="center"/>
              <w:ind w:right="68"/>
              <w:spacing w:after="0" w:line="135" w:lineRule="exact"/>
              <w:rPr>
                <w:sz w:val="20"/>
                <w:szCs w:val="20"/>
                <w:color w:val="auto"/>
              </w:rPr>
            </w:pPr>
            <w:r>
              <w:rPr>
                <w:rFonts w:ascii="Arial" w:cs="Arial" w:eastAsia="Arial" w:hAnsi="Arial"/>
                <w:sz w:val="14"/>
                <w:szCs w:val="14"/>
                <w:b w:val="1"/>
                <w:bCs w:val="1"/>
                <w:color w:val="auto"/>
                <w:w w:val="92"/>
              </w:rPr>
              <w:t>Accrued</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6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93"/>
              </w:rPr>
              <w:t>Amortized</w:t>
            </w:r>
          </w:p>
        </w:tc>
        <w:tc>
          <w:tcPr>
            <w:tcW w:w="140" w:type="dxa"/>
            <w:vAlign w:val="bottom"/>
          </w:tcPr>
          <w:p>
            <w:pPr>
              <w:spacing w:after="0"/>
              <w:rPr>
                <w:sz w:val="11"/>
                <w:szCs w:val="11"/>
                <w:color w:val="auto"/>
              </w:rPr>
            </w:pPr>
          </w:p>
        </w:tc>
        <w:tc>
          <w:tcPr>
            <w:tcW w:w="900" w:type="dxa"/>
            <w:vAlign w:val="bottom"/>
          </w:tcPr>
          <w:p>
            <w:pPr>
              <w:jc w:val="center"/>
              <w:ind w:right="68"/>
              <w:spacing w:after="0" w:line="135" w:lineRule="exact"/>
              <w:rPr>
                <w:sz w:val="20"/>
                <w:szCs w:val="20"/>
                <w:color w:val="auto"/>
              </w:rPr>
            </w:pPr>
            <w:r>
              <w:rPr>
                <w:rFonts w:ascii="Arial" w:cs="Arial" w:eastAsia="Arial" w:hAnsi="Arial"/>
                <w:sz w:val="14"/>
                <w:szCs w:val="14"/>
                <w:b w:val="1"/>
                <w:bCs w:val="1"/>
                <w:color w:val="auto"/>
                <w:w w:val="92"/>
              </w:rPr>
              <w:t>Accrued</w:t>
            </w:r>
          </w:p>
        </w:tc>
        <w:tc>
          <w:tcPr>
            <w:tcW w:w="0" w:type="dxa"/>
            <w:vAlign w:val="bottom"/>
          </w:tcPr>
          <w:p>
            <w:pPr>
              <w:spacing w:after="0"/>
              <w:rPr>
                <w:sz w:val="1"/>
                <w:szCs w:val="1"/>
                <w:color w:val="auto"/>
              </w:rPr>
            </w:pPr>
          </w:p>
        </w:tc>
      </w:tr>
      <w:tr>
        <w:trPr>
          <w:trHeight w:val="135"/>
        </w:trPr>
        <w:tc>
          <w:tcPr>
            <w:tcW w:w="392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Securities Pledged by Remaining Maturity of Repurchase</w:t>
            </w:r>
          </w:p>
        </w:tc>
        <w:tc>
          <w:tcPr>
            <w:tcW w:w="140" w:type="dxa"/>
            <w:vAlign w:val="bottom"/>
          </w:tcPr>
          <w:p>
            <w:pPr>
              <w:spacing w:after="0"/>
              <w:rPr>
                <w:sz w:val="11"/>
                <w:szCs w:val="11"/>
                <w:color w:val="auto"/>
              </w:rPr>
            </w:pPr>
          </w:p>
        </w:tc>
        <w:tc>
          <w:tcPr>
            <w:tcW w:w="114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Fair Value of</w:t>
            </w:r>
          </w:p>
        </w:tc>
        <w:tc>
          <w:tcPr>
            <w:tcW w:w="160" w:type="dxa"/>
            <w:vAlign w:val="bottom"/>
          </w:tcPr>
          <w:p>
            <w:pPr>
              <w:spacing w:after="0"/>
              <w:rPr>
                <w:sz w:val="11"/>
                <w:szCs w:val="11"/>
                <w:color w:val="auto"/>
              </w:rPr>
            </w:pPr>
          </w:p>
        </w:tc>
        <w:tc>
          <w:tcPr>
            <w:tcW w:w="106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91"/>
              </w:rPr>
              <w:t>Cost of</w:t>
            </w:r>
          </w:p>
        </w:tc>
        <w:tc>
          <w:tcPr>
            <w:tcW w:w="140" w:type="dxa"/>
            <w:vAlign w:val="bottom"/>
          </w:tcPr>
          <w:p>
            <w:pPr>
              <w:spacing w:after="0"/>
              <w:rPr>
                <w:sz w:val="11"/>
                <w:szCs w:val="11"/>
                <w:color w:val="auto"/>
              </w:rPr>
            </w:pPr>
          </w:p>
        </w:tc>
        <w:tc>
          <w:tcPr>
            <w:tcW w:w="1000" w:type="dxa"/>
            <w:vAlign w:val="bottom"/>
            <w:gridSpan w:val="2"/>
          </w:tcPr>
          <w:p>
            <w:pPr>
              <w:jc w:val="center"/>
              <w:ind w:right="240"/>
              <w:spacing w:after="0" w:line="135" w:lineRule="exact"/>
              <w:rPr>
                <w:sz w:val="20"/>
                <w:szCs w:val="20"/>
                <w:color w:val="auto"/>
              </w:rPr>
            </w:pPr>
            <w:r>
              <w:rPr>
                <w:rFonts w:ascii="Arial" w:cs="Arial" w:eastAsia="Arial" w:hAnsi="Arial"/>
                <w:sz w:val="14"/>
                <w:szCs w:val="14"/>
                <w:b w:val="1"/>
                <w:bCs w:val="1"/>
                <w:color w:val="auto"/>
                <w:w w:val="94"/>
              </w:rPr>
              <w:t>Interest on</w:t>
            </w:r>
          </w:p>
        </w:tc>
        <w:tc>
          <w:tcPr>
            <w:tcW w:w="160" w:type="dxa"/>
            <w:vAlign w:val="bottom"/>
          </w:tcPr>
          <w:p>
            <w:pPr>
              <w:spacing w:after="0"/>
              <w:rPr>
                <w:sz w:val="11"/>
                <w:szCs w:val="11"/>
                <w:color w:val="auto"/>
              </w:rPr>
            </w:pPr>
          </w:p>
        </w:tc>
        <w:tc>
          <w:tcPr>
            <w:tcW w:w="1060" w:type="dxa"/>
            <w:vAlign w:val="bottom"/>
            <w:vMerge w:val="restart"/>
          </w:tcPr>
          <w:p>
            <w:pPr>
              <w:jc w:val="right"/>
              <w:ind w:right="128"/>
              <w:spacing w:after="0"/>
              <w:rPr>
                <w:sz w:val="20"/>
                <w:szCs w:val="20"/>
                <w:color w:val="auto"/>
              </w:rPr>
            </w:pPr>
            <w:r>
              <w:rPr>
                <w:rFonts w:ascii="Arial" w:cs="Arial" w:eastAsia="Arial" w:hAnsi="Arial"/>
                <w:sz w:val="14"/>
                <w:szCs w:val="14"/>
                <w:b w:val="1"/>
                <w:bCs w:val="1"/>
                <w:color w:val="auto"/>
                <w:w w:val="99"/>
              </w:rPr>
              <w:t>Fair Value of</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6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91"/>
              </w:rPr>
              <w:t>Cost of</w:t>
            </w:r>
          </w:p>
        </w:tc>
        <w:tc>
          <w:tcPr>
            <w:tcW w:w="140" w:type="dxa"/>
            <w:vAlign w:val="bottom"/>
          </w:tcPr>
          <w:p>
            <w:pPr>
              <w:spacing w:after="0"/>
              <w:rPr>
                <w:sz w:val="11"/>
                <w:szCs w:val="11"/>
                <w:color w:val="auto"/>
              </w:rPr>
            </w:pPr>
          </w:p>
        </w:tc>
        <w:tc>
          <w:tcPr>
            <w:tcW w:w="900" w:type="dxa"/>
            <w:vAlign w:val="bottom"/>
          </w:tcPr>
          <w:p>
            <w:pPr>
              <w:jc w:val="center"/>
              <w:ind w:right="48"/>
              <w:spacing w:after="0" w:line="135" w:lineRule="exact"/>
              <w:rPr>
                <w:sz w:val="20"/>
                <w:szCs w:val="20"/>
                <w:color w:val="auto"/>
              </w:rPr>
            </w:pPr>
            <w:r>
              <w:rPr>
                <w:rFonts w:ascii="Arial" w:cs="Arial" w:eastAsia="Arial" w:hAnsi="Arial"/>
                <w:sz w:val="14"/>
                <w:szCs w:val="14"/>
                <w:b w:val="1"/>
                <w:bCs w:val="1"/>
                <w:color w:val="auto"/>
                <w:w w:val="92"/>
              </w:rPr>
              <w:t>Interest on</w:t>
            </w:r>
          </w:p>
        </w:tc>
        <w:tc>
          <w:tcPr>
            <w:tcW w:w="0" w:type="dxa"/>
            <w:vAlign w:val="bottom"/>
          </w:tcPr>
          <w:p>
            <w:pPr>
              <w:spacing w:after="0"/>
              <w:rPr>
                <w:sz w:val="1"/>
                <w:szCs w:val="1"/>
                <w:color w:val="auto"/>
              </w:rPr>
            </w:pPr>
          </w:p>
        </w:tc>
      </w:tr>
      <w:tr>
        <w:trPr>
          <w:trHeight w:val="135"/>
        </w:trPr>
        <w:tc>
          <w:tcPr>
            <w:tcW w:w="3920" w:type="dxa"/>
            <w:vAlign w:val="bottom"/>
            <w:gridSpan w:val="2"/>
            <w:vMerge w:val="continue"/>
          </w:tcPr>
          <w:p>
            <w:pPr>
              <w:spacing w:after="0"/>
              <w:rPr>
                <w:sz w:val="11"/>
                <w:szCs w:val="11"/>
                <w:color w:val="auto"/>
              </w:rPr>
            </w:pPr>
          </w:p>
        </w:tc>
        <w:tc>
          <w:tcPr>
            <w:tcW w:w="140" w:type="dxa"/>
            <w:vAlign w:val="bottom"/>
          </w:tcPr>
          <w:p>
            <w:pPr>
              <w:spacing w:after="0"/>
              <w:rPr>
                <w:sz w:val="11"/>
                <w:szCs w:val="11"/>
                <w:color w:val="auto"/>
              </w:rPr>
            </w:pPr>
          </w:p>
        </w:tc>
        <w:tc>
          <w:tcPr>
            <w:tcW w:w="1140" w:type="dxa"/>
            <w:vAlign w:val="bottom"/>
            <w:gridSpan w:val="2"/>
            <w:vMerge w:val="continue"/>
          </w:tcPr>
          <w:p>
            <w:pPr>
              <w:spacing w:after="0"/>
              <w:rPr>
                <w:sz w:val="11"/>
                <w:szCs w:val="11"/>
                <w:color w:val="auto"/>
              </w:rPr>
            </w:pPr>
          </w:p>
        </w:tc>
        <w:tc>
          <w:tcPr>
            <w:tcW w:w="160" w:type="dxa"/>
            <w:vAlign w:val="bottom"/>
          </w:tcPr>
          <w:p>
            <w:pPr>
              <w:spacing w:after="0"/>
              <w:rPr>
                <w:sz w:val="11"/>
                <w:szCs w:val="11"/>
                <w:color w:val="auto"/>
              </w:rPr>
            </w:pPr>
          </w:p>
        </w:tc>
        <w:tc>
          <w:tcPr>
            <w:tcW w:w="106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88"/>
              </w:rPr>
              <w:t>Pledged</w:t>
            </w:r>
          </w:p>
        </w:tc>
        <w:tc>
          <w:tcPr>
            <w:tcW w:w="140" w:type="dxa"/>
            <w:vAlign w:val="bottom"/>
          </w:tcPr>
          <w:p>
            <w:pPr>
              <w:spacing w:after="0"/>
              <w:rPr>
                <w:sz w:val="11"/>
                <w:szCs w:val="11"/>
                <w:color w:val="auto"/>
              </w:rPr>
            </w:pPr>
          </w:p>
        </w:tc>
        <w:tc>
          <w:tcPr>
            <w:tcW w:w="1000" w:type="dxa"/>
            <w:vAlign w:val="bottom"/>
            <w:gridSpan w:val="2"/>
          </w:tcPr>
          <w:p>
            <w:pPr>
              <w:jc w:val="center"/>
              <w:ind w:right="240"/>
              <w:spacing w:after="0" w:line="135" w:lineRule="exact"/>
              <w:rPr>
                <w:sz w:val="20"/>
                <w:szCs w:val="20"/>
                <w:color w:val="auto"/>
              </w:rPr>
            </w:pPr>
            <w:r>
              <w:rPr>
                <w:rFonts w:ascii="Arial" w:cs="Arial" w:eastAsia="Arial" w:hAnsi="Arial"/>
                <w:sz w:val="14"/>
                <w:szCs w:val="14"/>
                <w:b w:val="1"/>
                <w:bCs w:val="1"/>
                <w:color w:val="auto"/>
                <w:w w:val="88"/>
              </w:rPr>
              <w:t>Pledged</w:t>
            </w:r>
          </w:p>
        </w:tc>
        <w:tc>
          <w:tcPr>
            <w:tcW w:w="160" w:type="dxa"/>
            <w:vAlign w:val="bottom"/>
          </w:tcPr>
          <w:p>
            <w:pPr>
              <w:spacing w:after="0"/>
              <w:rPr>
                <w:sz w:val="11"/>
                <w:szCs w:val="11"/>
                <w:color w:val="auto"/>
              </w:rPr>
            </w:pPr>
          </w:p>
        </w:tc>
        <w:tc>
          <w:tcPr>
            <w:tcW w:w="1060" w:type="dxa"/>
            <w:vAlign w:val="bottom"/>
            <w:vMerge w:val="continue"/>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6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88"/>
              </w:rPr>
              <w:t>Pledged</w:t>
            </w:r>
          </w:p>
        </w:tc>
        <w:tc>
          <w:tcPr>
            <w:tcW w:w="140" w:type="dxa"/>
            <w:vAlign w:val="bottom"/>
          </w:tcPr>
          <w:p>
            <w:pPr>
              <w:spacing w:after="0"/>
              <w:rPr>
                <w:sz w:val="11"/>
                <w:szCs w:val="11"/>
                <w:color w:val="auto"/>
              </w:rPr>
            </w:pPr>
          </w:p>
        </w:tc>
        <w:tc>
          <w:tcPr>
            <w:tcW w:w="900" w:type="dxa"/>
            <w:vAlign w:val="bottom"/>
          </w:tcPr>
          <w:p>
            <w:pPr>
              <w:jc w:val="center"/>
              <w:ind w:right="48"/>
              <w:spacing w:after="0" w:line="135" w:lineRule="exact"/>
              <w:rPr>
                <w:sz w:val="20"/>
                <w:szCs w:val="20"/>
                <w:color w:val="auto"/>
              </w:rPr>
            </w:pPr>
            <w:r>
              <w:rPr>
                <w:rFonts w:ascii="Arial" w:cs="Arial" w:eastAsia="Arial" w:hAnsi="Arial"/>
                <w:sz w:val="14"/>
                <w:szCs w:val="14"/>
                <w:b w:val="1"/>
                <w:bCs w:val="1"/>
                <w:color w:val="auto"/>
                <w:w w:val="91"/>
              </w:rPr>
              <w:t>Pledged</w:t>
            </w:r>
          </w:p>
        </w:tc>
        <w:tc>
          <w:tcPr>
            <w:tcW w:w="0" w:type="dxa"/>
            <w:vAlign w:val="bottom"/>
          </w:tcPr>
          <w:p>
            <w:pPr>
              <w:spacing w:after="0"/>
              <w:rPr>
                <w:sz w:val="1"/>
                <w:szCs w:val="1"/>
                <w:color w:val="auto"/>
              </w:rPr>
            </w:pPr>
          </w:p>
        </w:tc>
      </w:tr>
      <w:tr>
        <w:trPr>
          <w:trHeight w:val="189"/>
        </w:trPr>
        <w:tc>
          <w:tcPr>
            <w:tcW w:w="3920" w:type="dxa"/>
            <w:vAlign w:val="bottom"/>
            <w:gridSpan w:val="2"/>
          </w:tcPr>
          <w:p>
            <w:pPr>
              <w:ind w:left="20"/>
              <w:spacing w:after="0" w:line="189" w:lineRule="exact"/>
              <w:rPr>
                <w:sz w:val="20"/>
                <w:szCs w:val="20"/>
                <w:color w:val="auto"/>
              </w:rPr>
            </w:pPr>
            <w:r>
              <w:rPr>
                <w:rFonts w:ascii="Arial" w:cs="Arial" w:eastAsia="Arial" w:hAnsi="Arial"/>
                <w:sz w:val="14"/>
                <w:szCs w:val="14"/>
                <w:b w:val="1"/>
                <w:bCs w:val="1"/>
                <w:color w:val="auto"/>
              </w:rPr>
              <w:t xml:space="preserve">Agreements </w:t>
            </w:r>
            <w:r>
              <w:rPr>
                <w:rFonts w:ascii="Arial" w:cs="Arial" w:eastAsia="Arial" w:hAnsi="Arial"/>
                <w:sz w:val="18"/>
                <w:szCs w:val="18"/>
                <w:b w:val="1"/>
                <w:bCs w:val="1"/>
                <w:color w:val="auto"/>
                <w:vertAlign w:val="superscript"/>
              </w:rPr>
              <w:t>1,2</w:t>
            </w:r>
          </w:p>
        </w:tc>
        <w:tc>
          <w:tcPr>
            <w:tcW w:w="1280" w:type="dxa"/>
            <w:vAlign w:val="bottom"/>
            <w:gridSpan w:val="3"/>
          </w:tcPr>
          <w:p>
            <w:pPr>
              <w:ind w:left="20"/>
              <w:spacing w:after="0"/>
              <w:rPr>
                <w:sz w:val="20"/>
                <w:szCs w:val="20"/>
                <w:color w:val="auto"/>
              </w:rPr>
            </w:pPr>
            <w:r>
              <w:rPr>
                <w:rFonts w:ascii="Arial" w:cs="Arial" w:eastAsia="Arial" w:hAnsi="Arial"/>
                <w:sz w:val="14"/>
                <w:szCs w:val="14"/>
                <w:b w:val="1"/>
                <w:bCs w:val="1"/>
                <w:color w:val="auto"/>
                <w:w w:val="98"/>
              </w:rPr>
              <w:t>Pledged Securities</w:t>
            </w:r>
          </w:p>
        </w:tc>
        <w:tc>
          <w:tcPr>
            <w:tcW w:w="160" w:type="dxa"/>
            <w:vAlign w:val="bottom"/>
          </w:tcPr>
          <w:p>
            <w:pPr>
              <w:spacing w:after="0"/>
              <w:rPr>
                <w:sz w:val="16"/>
                <w:szCs w:val="16"/>
                <w:color w:val="auto"/>
              </w:rPr>
            </w:pPr>
          </w:p>
        </w:tc>
        <w:tc>
          <w:tcPr>
            <w:tcW w:w="10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9"/>
              </w:rPr>
              <w:t>Securities</w:t>
            </w:r>
          </w:p>
        </w:tc>
        <w:tc>
          <w:tcPr>
            <w:tcW w:w="140" w:type="dxa"/>
            <w:vAlign w:val="bottom"/>
          </w:tcPr>
          <w:p>
            <w:pPr>
              <w:spacing w:after="0"/>
              <w:rPr>
                <w:sz w:val="16"/>
                <w:szCs w:val="16"/>
                <w:color w:val="auto"/>
              </w:rPr>
            </w:pPr>
          </w:p>
        </w:tc>
        <w:tc>
          <w:tcPr>
            <w:tcW w:w="10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9"/>
              </w:rPr>
              <w:t>Securities</w:t>
            </w:r>
          </w:p>
        </w:tc>
        <w:tc>
          <w:tcPr>
            <w:tcW w:w="1220" w:type="dxa"/>
            <w:vAlign w:val="bottom"/>
            <w:gridSpan w:val="2"/>
          </w:tcPr>
          <w:p>
            <w:pPr>
              <w:jc w:val="right"/>
              <w:spacing w:after="0"/>
              <w:rPr>
                <w:sz w:val="20"/>
                <w:szCs w:val="20"/>
                <w:color w:val="auto"/>
              </w:rPr>
            </w:pPr>
            <w:r>
              <w:rPr>
                <w:rFonts w:ascii="Arial" w:cs="Arial" w:eastAsia="Arial" w:hAnsi="Arial"/>
                <w:sz w:val="14"/>
                <w:szCs w:val="14"/>
                <w:b w:val="1"/>
                <w:bCs w:val="1"/>
                <w:color w:val="auto"/>
                <w:w w:val="94"/>
              </w:rPr>
              <w:t>Pledged Securities</w:t>
            </w: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9"/>
              </w:rPr>
              <w:t>Securities</w:t>
            </w:r>
          </w:p>
        </w:tc>
        <w:tc>
          <w:tcPr>
            <w:tcW w:w="140" w:type="dxa"/>
            <w:vAlign w:val="bottom"/>
          </w:tcPr>
          <w:p>
            <w:pPr>
              <w:spacing w:after="0"/>
              <w:rPr>
                <w:sz w:val="16"/>
                <w:szCs w:val="16"/>
                <w:color w:val="auto"/>
              </w:rPr>
            </w:pPr>
          </w:p>
        </w:tc>
        <w:tc>
          <w:tcPr>
            <w:tcW w:w="900" w:type="dxa"/>
            <w:vAlign w:val="bottom"/>
          </w:tcPr>
          <w:p>
            <w:pPr>
              <w:jc w:val="center"/>
              <w:ind w:right="68"/>
              <w:spacing w:after="0"/>
              <w:rPr>
                <w:sz w:val="20"/>
                <w:szCs w:val="20"/>
                <w:color w:val="auto"/>
              </w:rPr>
            </w:pPr>
            <w:r>
              <w:rPr>
                <w:rFonts w:ascii="Arial" w:cs="Arial" w:eastAsia="Arial" w:hAnsi="Arial"/>
                <w:sz w:val="14"/>
                <w:szCs w:val="14"/>
                <w:b w:val="1"/>
                <w:bCs w:val="1"/>
                <w:color w:val="auto"/>
                <w:w w:val="89"/>
              </w:rPr>
              <w:t>Securities</w:t>
            </w:r>
          </w:p>
        </w:tc>
        <w:tc>
          <w:tcPr>
            <w:tcW w:w="0" w:type="dxa"/>
            <w:vAlign w:val="bottom"/>
          </w:tcPr>
          <w:p>
            <w:pPr>
              <w:spacing w:after="0"/>
              <w:rPr>
                <w:sz w:val="1"/>
                <w:szCs w:val="1"/>
                <w:color w:val="auto"/>
              </w:rPr>
            </w:pPr>
          </w:p>
        </w:tc>
      </w:tr>
      <w:tr>
        <w:trPr>
          <w:trHeight w:val="183"/>
        </w:trPr>
        <w:tc>
          <w:tcPr>
            <w:tcW w:w="3820" w:type="dxa"/>
            <w:vAlign w:val="bottom"/>
            <w:tcBorders>
              <w:top w:val="single" w:sz="8" w:color="auto"/>
            </w:tcBorders>
            <w:shd w:val="clear" w:color="auto" w:fill="CCEEFF"/>
          </w:tcPr>
          <w:p>
            <w:pPr>
              <w:ind w:left="100"/>
              <w:spacing w:after="0"/>
              <w:rPr>
                <w:sz w:val="20"/>
                <w:szCs w:val="20"/>
                <w:color w:val="auto"/>
              </w:rPr>
            </w:pPr>
            <w:r>
              <w:rPr>
                <w:rFonts w:ascii="Arial" w:cs="Arial" w:eastAsia="Arial" w:hAnsi="Arial"/>
                <w:sz w:val="14"/>
                <w:szCs w:val="14"/>
                <w:color w:val="auto"/>
              </w:rPr>
              <w:t>≤ 30 days</w:t>
            </w:r>
          </w:p>
        </w:tc>
        <w:tc>
          <w:tcPr>
            <w:tcW w:w="10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10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29,010</w:t>
            </w:r>
          </w:p>
        </w:tc>
        <w:tc>
          <w:tcPr>
            <w:tcW w:w="100" w:type="dxa"/>
            <w:vAlign w:val="bottom"/>
            <w:tcBorders>
              <w:top w:val="single" w:sz="8" w:color="CCEEFF"/>
            </w:tcBorders>
            <w:shd w:val="clear" w:color="auto" w:fill="CCEEFF"/>
          </w:tcPr>
          <w:p>
            <w:pPr>
              <w:spacing w:after="0"/>
              <w:rPr>
                <w:sz w:val="15"/>
                <w:szCs w:val="15"/>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31,194</w:t>
            </w:r>
          </w:p>
        </w:tc>
        <w:tc>
          <w:tcPr>
            <w:tcW w:w="10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81</w:t>
            </w:r>
          </w:p>
        </w:tc>
        <w:tc>
          <w:tcPr>
            <w:tcW w:w="100" w:type="dxa"/>
            <w:vAlign w:val="bottom"/>
            <w:tcBorders>
              <w:top w:val="single" w:sz="8" w:color="CCEEFF"/>
            </w:tcBorders>
            <w:shd w:val="clear" w:color="auto" w:fill="CCEEFF"/>
          </w:tcPr>
          <w:p>
            <w:pPr>
              <w:spacing w:after="0"/>
              <w:rPr>
                <w:sz w:val="15"/>
                <w:szCs w:val="15"/>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24,548</w:t>
            </w:r>
          </w:p>
        </w:tc>
        <w:tc>
          <w:tcPr>
            <w:tcW w:w="2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16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9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24,075</w:t>
            </w:r>
          </w:p>
        </w:tc>
        <w:tc>
          <w:tcPr>
            <w:tcW w:w="10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61</w:t>
            </w:r>
          </w:p>
        </w:tc>
        <w:tc>
          <w:tcPr>
            <w:tcW w:w="0" w:type="dxa"/>
            <w:vAlign w:val="bottom"/>
          </w:tcPr>
          <w:p>
            <w:pPr>
              <w:spacing w:after="0"/>
              <w:rPr>
                <w:sz w:val="1"/>
                <w:szCs w:val="1"/>
                <w:color w:val="auto"/>
              </w:rPr>
            </w:pPr>
          </w:p>
        </w:tc>
      </w:tr>
      <w:tr>
        <w:trPr>
          <w:trHeight w:val="186"/>
        </w:trPr>
        <w:tc>
          <w:tcPr>
            <w:tcW w:w="3920" w:type="dxa"/>
            <w:vAlign w:val="bottom"/>
            <w:gridSpan w:val="2"/>
          </w:tcPr>
          <w:p>
            <w:pPr>
              <w:ind w:left="100"/>
              <w:spacing w:after="0"/>
              <w:rPr>
                <w:sz w:val="20"/>
                <w:szCs w:val="20"/>
                <w:color w:val="auto"/>
              </w:rPr>
            </w:pPr>
            <w:r>
              <w:rPr>
                <w:rFonts w:ascii="Arial" w:cs="Arial" w:eastAsia="Arial" w:hAnsi="Arial"/>
                <w:sz w:val="14"/>
                <w:szCs w:val="14"/>
                <w:color w:val="auto"/>
              </w:rPr>
              <w:t>&gt; 30 and ≤ 60 days</w:t>
            </w:r>
          </w:p>
        </w:tc>
        <w:tc>
          <w:tcPr>
            <w:tcW w:w="14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3,986</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60" w:type="dxa"/>
            <w:vAlign w:val="bottom"/>
          </w:tcPr>
          <w:p>
            <w:pPr>
              <w:jc w:val="right"/>
              <w:ind w:right="8"/>
              <w:spacing w:after="0"/>
              <w:rPr>
                <w:sz w:val="20"/>
                <w:szCs w:val="20"/>
                <w:color w:val="auto"/>
              </w:rPr>
            </w:pPr>
            <w:r>
              <w:rPr>
                <w:rFonts w:ascii="Arial" w:cs="Arial" w:eastAsia="Arial" w:hAnsi="Arial"/>
                <w:sz w:val="14"/>
                <w:szCs w:val="14"/>
                <w:color w:val="auto"/>
              </w:rPr>
              <w:t>4,357</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11</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7,869</w:t>
            </w: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7,735</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19</w:t>
            </w:r>
          </w:p>
        </w:tc>
        <w:tc>
          <w:tcPr>
            <w:tcW w:w="0" w:type="dxa"/>
            <w:vAlign w:val="bottom"/>
          </w:tcPr>
          <w:p>
            <w:pPr>
              <w:spacing w:after="0"/>
              <w:rPr>
                <w:sz w:val="1"/>
                <w:szCs w:val="1"/>
                <w:color w:val="auto"/>
              </w:rPr>
            </w:pPr>
          </w:p>
        </w:tc>
      </w:tr>
      <w:tr>
        <w:trPr>
          <w:trHeight w:val="192"/>
        </w:trPr>
        <w:tc>
          <w:tcPr>
            <w:tcW w:w="3920" w:type="dxa"/>
            <w:vAlign w:val="bottom"/>
            <w:gridSpan w:val="2"/>
            <w:shd w:val="clear" w:color="auto" w:fill="CCEEFF"/>
          </w:tcPr>
          <w:p>
            <w:pPr>
              <w:ind w:left="100"/>
              <w:spacing w:after="0"/>
              <w:rPr>
                <w:sz w:val="20"/>
                <w:szCs w:val="20"/>
                <w:color w:val="auto"/>
              </w:rPr>
            </w:pPr>
            <w:r>
              <w:rPr>
                <w:rFonts w:ascii="Arial" w:cs="Arial" w:eastAsia="Arial" w:hAnsi="Arial"/>
                <w:sz w:val="14"/>
                <w:szCs w:val="14"/>
                <w:color w:val="auto"/>
              </w:rPr>
              <w:t>&gt; 60 and ≤ 90 days</w:t>
            </w:r>
          </w:p>
        </w:tc>
        <w:tc>
          <w:tcPr>
            <w:tcW w:w="14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6,585</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9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7,110</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7,006</w:t>
            </w:r>
          </w:p>
        </w:tc>
        <w:tc>
          <w:tcPr>
            <w:tcW w:w="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6,906</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w:t>
            </w:r>
          </w:p>
        </w:tc>
        <w:tc>
          <w:tcPr>
            <w:tcW w:w="0" w:type="dxa"/>
            <w:vAlign w:val="bottom"/>
          </w:tcPr>
          <w:p>
            <w:pPr>
              <w:spacing w:after="0"/>
              <w:rPr>
                <w:sz w:val="1"/>
                <w:szCs w:val="1"/>
                <w:color w:val="auto"/>
              </w:rPr>
            </w:pPr>
          </w:p>
        </w:tc>
      </w:tr>
      <w:tr>
        <w:trPr>
          <w:trHeight w:val="186"/>
        </w:trPr>
        <w:tc>
          <w:tcPr>
            <w:tcW w:w="3920" w:type="dxa"/>
            <w:vAlign w:val="bottom"/>
            <w:tcBorders>
              <w:bottom w:val="single" w:sz="8" w:color="CCEEFF"/>
            </w:tcBorders>
            <w:gridSpan w:val="2"/>
          </w:tcPr>
          <w:p>
            <w:pPr>
              <w:ind w:left="100"/>
              <w:spacing w:after="0"/>
              <w:rPr>
                <w:sz w:val="20"/>
                <w:szCs w:val="20"/>
                <w:color w:val="auto"/>
              </w:rPr>
            </w:pPr>
            <w:r>
              <w:rPr>
                <w:rFonts w:ascii="Arial" w:cs="Arial" w:eastAsia="Arial" w:hAnsi="Arial"/>
                <w:sz w:val="14"/>
                <w:szCs w:val="14"/>
                <w:color w:val="auto"/>
              </w:rPr>
              <w:t>&gt; 90 days</w:t>
            </w:r>
          </w:p>
        </w:tc>
        <w:tc>
          <w:tcPr>
            <w:tcW w:w="14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5,262</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5,574</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15</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9,073</w:t>
            </w:r>
          </w:p>
        </w:tc>
        <w:tc>
          <w:tcPr>
            <w:tcW w:w="2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9,036</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21</w:t>
            </w:r>
          </w:p>
        </w:tc>
        <w:tc>
          <w:tcPr>
            <w:tcW w:w="0" w:type="dxa"/>
            <w:vAlign w:val="bottom"/>
          </w:tcPr>
          <w:p>
            <w:pPr>
              <w:spacing w:after="0"/>
              <w:rPr>
                <w:sz w:val="1"/>
                <w:szCs w:val="1"/>
                <w:color w:val="auto"/>
              </w:rPr>
            </w:pPr>
          </w:p>
        </w:tc>
      </w:tr>
      <w:tr>
        <w:trPr>
          <w:trHeight w:val="211"/>
        </w:trPr>
        <w:tc>
          <w:tcPr>
            <w:tcW w:w="392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4"/>
                <w:szCs w:val="14"/>
                <w:color w:val="auto"/>
              </w:rPr>
              <w:t>Total</w:t>
            </w:r>
          </w:p>
        </w:tc>
        <w:tc>
          <w:tcPr>
            <w:tcW w:w="1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44,843</w:t>
            </w:r>
          </w:p>
        </w:tc>
        <w:tc>
          <w:tcPr>
            <w:tcW w:w="100" w:type="dxa"/>
            <w:vAlign w:val="bottom"/>
            <w:tcBorders>
              <w:bottom w:val="single" w:sz="8" w:color="CCEEFF"/>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48,235</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125</w:t>
            </w:r>
          </w:p>
        </w:tc>
        <w:tc>
          <w:tcPr>
            <w:tcW w:w="100" w:type="dxa"/>
            <w:vAlign w:val="bottom"/>
            <w:tcBorders>
              <w:bottom w:val="single" w:sz="8" w:color="CCEEFF"/>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48,496</w:t>
            </w:r>
          </w:p>
        </w:tc>
        <w:tc>
          <w:tcPr>
            <w:tcW w:w="20" w:type="dxa"/>
            <w:vAlign w:val="bottom"/>
            <w:tcBorders>
              <w:bottom w:val="single" w:sz="8" w:color="auto"/>
            </w:tcBorders>
            <w:shd w:val="clear" w:color="auto" w:fill="CCEEFF"/>
          </w:tcPr>
          <w:p>
            <w:pPr>
              <w:spacing w:after="0"/>
              <w:rPr>
                <w:sz w:val="17"/>
                <w:szCs w:val="17"/>
                <w:color w:val="auto"/>
              </w:rPr>
            </w:pPr>
          </w:p>
        </w:tc>
        <w:tc>
          <w:tcPr>
            <w:tcW w:w="120" w:type="dxa"/>
            <w:vAlign w:val="bottom"/>
            <w:tcBorders>
              <w:bottom w:val="single" w:sz="8" w:color="CCEEFF"/>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47,752</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117</w:t>
            </w:r>
          </w:p>
        </w:tc>
        <w:tc>
          <w:tcPr>
            <w:tcW w:w="0" w:type="dxa"/>
            <w:vAlign w:val="bottom"/>
          </w:tcPr>
          <w:p>
            <w:pPr>
              <w:spacing w:after="0"/>
              <w:rPr>
                <w:sz w:val="1"/>
                <w:szCs w:val="1"/>
                <w:color w:val="auto"/>
              </w:rPr>
            </w:pPr>
          </w:p>
        </w:tc>
      </w:tr>
      <w:tr>
        <w:trPr>
          <w:trHeight w:val="20"/>
        </w:trPr>
        <w:tc>
          <w:tcPr>
            <w:tcW w:w="38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6"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right="280" w:hanging="328"/>
        <w:spacing w:after="0" w:line="241" w:lineRule="auto"/>
        <w:tabs>
          <w:tab w:leader="none" w:pos="660" w:val="left"/>
        </w:tabs>
        <w:numPr>
          <w:ilvl w:val="0"/>
          <w:numId w:val="13"/>
        </w:numPr>
        <w:rPr>
          <w:rFonts w:ascii="Arial" w:cs="Arial" w:eastAsia="Arial" w:hAnsi="Arial"/>
          <w:sz w:val="14"/>
          <w:szCs w:val="14"/>
          <w:color w:val="auto"/>
        </w:rPr>
      </w:pPr>
      <w:r>
        <w:rPr>
          <w:rFonts w:ascii="Arial" w:cs="Arial" w:eastAsia="Arial" w:hAnsi="Arial"/>
          <w:sz w:val="14"/>
          <w:szCs w:val="14"/>
          <w:color w:val="auto"/>
        </w:rPr>
        <w:t>Includes $60 million and $81 million of retained interests in our consolidated VIEs pledged as collateral under repurchase agreements as of June 30, 2022 and December 31, 2021, respectively.</w:t>
      </w:r>
    </w:p>
    <w:p>
      <w:pPr>
        <w:ind w:left="660" w:hanging="328"/>
        <w:spacing w:after="0"/>
        <w:tabs>
          <w:tab w:leader="none" w:pos="660" w:val="left"/>
        </w:tabs>
        <w:numPr>
          <w:ilvl w:val="0"/>
          <w:numId w:val="13"/>
        </w:numPr>
        <w:rPr>
          <w:rFonts w:ascii="Arial" w:cs="Arial" w:eastAsia="Arial" w:hAnsi="Arial"/>
          <w:sz w:val="13"/>
          <w:szCs w:val="13"/>
          <w:color w:val="auto"/>
        </w:rPr>
      </w:pPr>
      <w:r>
        <w:rPr>
          <w:rFonts w:ascii="Arial" w:cs="Arial" w:eastAsia="Arial" w:hAnsi="Arial"/>
          <w:sz w:val="13"/>
          <w:szCs w:val="13"/>
          <w:color w:val="auto"/>
        </w:rPr>
        <w:t>Excludes $0.1 billion and $0.6 billion of repledged U.S. Treasury securities received as collateral from counterparties as of June 30, 2022 and December 31, 2021, respectively.</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Assets Pledged from Counterparties</w:t>
      </w:r>
    </w:p>
    <w:p>
      <w:pPr>
        <w:spacing w:after="0" w:line="171" w:lineRule="exact"/>
        <w:rPr>
          <w:sz w:val="20"/>
          <w:szCs w:val="20"/>
          <w:color w:val="auto"/>
        </w:rPr>
      </w:pPr>
    </w:p>
    <w:p>
      <w:pPr>
        <w:ind w:firstLine="405"/>
        <w:spacing w:after="0" w:line="269" w:lineRule="auto"/>
        <w:rPr>
          <w:sz w:val="20"/>
          <w:szCs w:val="20"/>
          <w:color w:val="auto"/>
        </w:rPr>
      </w:pPr>
      <w:r>
        <w:rPr>
          <w:rFonts w:ascii="Arial" w:cs="Arial" w:eastAsia="Arial" w:hAnsi="Arial"/>
          <w:sz w:val="18"/>
          <w:szCs w:val="18"/>
          <w:color w:val="auto"/>
        </w:rPr>
        <w:t>As of June 30, 2022 and December 31, 2021, we had assets pledged to us from counterparties as collateral under our reverse repurchase and derivative agreements summarized in the tables below (in millions).</w:t>
      </w:r>
    </w:p>
    <w:tbl>
      <w:tblPr>
        <w:tblLayout w:type="fixed"/>
        <w:tblInd w:w="0" w:type="dxa"/>
        <w:tblCellMar>
          <w:top w:w="0" w:type="dxa"/>
          <w:left w:w="0" w:type="dxa"/>
          <w:bottom w:w="0" w:type="dxa"/>
          <w:right w:w="0" w:type="dxa"/>
        </w:tblCellMar>
      </w:tblPr>
      <w:tr>
        <w:trPr>
          <w:trHeight w:val="192"/>
        </w:trPr>
        <w:tc>
          <w:tcPr>
            <w:tcW w:w="2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80" w:type="dxa"/>
            <w:vAlign w:val="bottom"/>
            <w:tcBorders>
              <w:bottom w:val="single" w:sz="8" w:color="auto"/>
            </w:tcBorders>
            <w:gridSpan w:val="4"/>
          </w:tcPr>
          <w:p>
            <w:pPr>
              <w:jc w:val="right"/>
              <w:ind w:right="628"/>
              <w:spacing w:after="0"/>
              <w:rPr>
                <w:sz w:val="20"/>
                <w:szCs w:val="20"/>
                <w:color w:val="auto"/>
              </w:rPr>
            </w:pPr>
            <w:r>
              <w:rPr>
                <w:rFonts w:ascii="Arial" w:cs="Arial" w:eastAsia="Arial" w:hAnsi="Arial"/>
                <w:sz w:val="14"/>
                <w:szCs w:val="14"/>
                <w:b w:val="1"/>
                <w:bCs w:val="1"/>
                <w:color w:val="auto"/>
              </w:rPr>
              <w:t>June 30, 2022</w:t>
            </w:r>
          </w:p>
        </w:tc>
        <w:tc>
          <w:tcPr>
            <w:tcW w:w="3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60" w:type="dxa"/>
            <w:vAlign w:val="bottom"/>
            <w:tcBorders>
              <w:bottom w:val="single" w:sz="8" w:color="auto"/>
            </w:tcBorders>
            <w:gridSpan w:val="4"/>
          </w:tcPr>
          <w:p>
            <w:pPr>
              <w:jc w:val="right"/>
              <w:ind w:right="468"/>
              <w:spacing w:after="0"/>
              <w:rPr>
                <w:sz w:val="20"/>
                <w:szCs w:val="20"/>
                <w:color w:val="auto"/>
              </w:rPr>
            </w:pPr>
            <w:r>
              <w:rPr>
                <w:rFonts w:ascii="Arial" w:cs="Arial" w:eastAsia="Arial" w:hAnsi="Arial"/>
                <w:sz w:val="14"/>
                <w:szCs w:val="14"/>
                <w:b w:val="1"/>
                <w:bCs w:val="1"/>
                <w:color w:val="auto"/>
              </w:rPr>
              <w:t>December 31, 2021</w:t>
            </w:r>
          </w:p>
        </w:tc>
        <w:tc>
          <w:tcPr>
            <w:tcW w:w="3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4"/>
        </w:trPr>
        <w:tc>
          <w:tcPr>
            <w:tcW w:w="2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2"/>
          </w:tcPr>
          <w:p>
            <w:pPr>
              <w:jc w:val="center"/>
              <w:ind w:right="220"/>
              <w:spacing w:after="0" w:line="135" w:lineRule="exact"/>
              <w:rPr>
                <w:sz w:val="20"/>
                <w:szCs w:val="20"/>
                <w:color w:val="auto"/>
              </w:rPr>
            </w:pPr>
            <w:r>
              <w:rPr>
                <w:rFonts w:ascii="Arial" w:cs="Arial" w:eastAsia="Arial" w:hAnsi="Arial"/>
                <w:sz w:val="14"/>
                <w:szCs w:val="14"/>
                <w:b w:val="1"/>
                <w:bCs w:val="1"/>
                <w:color w:val="auto"/>
                <w:w w:val="91"/>
              </w:rPr>
              <w:t>Reverse</w:t>
            </w:r>
          </w:p>
        </w:tc>
        <w:tc>
          <w:tcPr>
            <w:tcW w:w="120" w:type="dxa"/>
            <w:vAlign w:val="bottom"/>
          </w:tcPr>
          <w:p>
            <w:pPr>
              <w:spacing w:after="0"/>
              <w:rPr>
                <w:sz w:val="11"/>
                <w:szCs w:val="11"/>
                <w:color w:val="auto"/>
              </w:rPr>
            </w:pPr>
          </w:p>
        </w:tc>
        <w:tc>
          <w:tcPr>
            <w:tcW w:w="102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Derivative</w:t>
            </w:r>
          </w:p>
        </w:tc>
        <w:tc>
          <w:tcPr>
            <w:tcW w:w="120" w:type="dxa"/>
            <w:vAlign w:val="bottom"/>
          </w:tcPr>
          <w:p>
            <w:pPr>
              <w:spacing w:after="0"/>
              <w:rPr>
                <w:sz w:val="11"/>
                <w:szCs w:val="11"/>
                <w:color w:val="auto"/>
              </w:rPr>
            </w:pPr>
          </w:p>
        </w:tc>
        <w:tc>
          <w:tcPr>
            <w:tcW w:w="940" w:type="dxa"/>
            <w:vAlign w:val="bottom"/>
            <w:vMerge w:val="restart"/>
          </w:tcPr>
          <w:p>
            <w:pPr>
              <w:jc w:val="right"/>
              <w:ind w:right="108"/>
              <w:spacing w:after="0"/>
              <w:rPr>
                <w:sz w:val="20"/>
                <w:szCs w:val="20"/>
                <w:color w:val="auto"/>
              </w:rPr>
            </w:pPr>
            <w:r>
              <w:rPr>
                <w:rFonts w:ascii="Arial" w:cs="Arial" w:eastAsia="Arial" w:hAnsi="Arial"/>
                <w:sz w:val="14"/>
                <w:szCs w:val="14"/>
                <w:b w:val="1"/>
                <w:bCs w:val="1"/>
                <w:color w:val="auto"/>
                <w:w w:val="92"/>
              </w:rPr>
              <w:t>Repurchase</w:t>
            </w:r>
          </w:p>
        </w:tc>
        <w:tc>
          <w:tcPr>
            <w:tcW w:w="3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gridSpan w:val="2"/>
          </w:tcPr>
          <w:p>
            <w:pPr>
              <w:jc w:val="center"/>
              <w:ind w:right="240"/>
              <w:spacing w:after="0" w:line="135" w:lineRule="exact"/>
              <w:rPr>
                <w:sz w:val="20"/>
                <w:szCs w:val="20"/>
                <w:color w:val="auto"/>
              </w:rPr>
            </w:pPr>
            <w:r>
              <w:rPr>
                <w:rFonts w:ascii="Arial" w:cs="Arial" w:eastAsia="Arial" w:hAnsi="Arial"/>
                <w:sz w:val="14"/>
                <w:szCs w:val="14"/>
                <w:b w:val="1"/>
                <w:bCs w:val="1"/>
                <w:color w:val="auto"/>
                <w:w w:val="91"/>
              </w:rPr>
              <w:t>Reverse</w:t>
            </w:r>
          </w:p>
        </w:tc>
        <w:tc>
          <w:tcPr>
            <w:tcW w:w="120" w:type="dxa"/>
            <w:vAlign w:val="bottom"/>
          </w:tcPr>
          <w:p>
            <w:pPr>
              <w:spacing w:after="0"/>
              <w:rPr>
                <w:sz w:val="11"/>
                <w:szCs w:val="11"/>
                <w:color w:val="auto"/>
              </w:rPr>
            </w:pPr>
          </w:p>
        </w:tc>
        <w:tc>
          <w:tcPr>
            <w:tcW w:w="100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5"/>
              </w:rPr>
              <w:t>Derivative</w:t>
            </w:r>
          </w:p>
        </w:tc>
        <w:tc>
          <w:tcPr>
            <w:tcW w:w="120" w:type="dxa"/>
            <w:vAlign w:val="bottom"/>
          </w:tcPr>
          <w:p>
            <w:pPr>
              <w:spacing w:after="0"/>
              <w:rPr>
                <w:sz w:val="11"/>
                <w:szCs w:val="11"/>
                <w:color w:val="auto"/>
              </w:rPr>
            </w:pPr>
          </w:p>
        </w:tc>
        <w:tc>
          <w:tcPr>
            <w:tcW w:w="940" w:type="dxa"/>
            <w:vAlign w:val="bottom"/>
            <w:vMerge w:val="restart"/>
          </w:tcPr>
          <w:p>
            <w:pPr>
              <w:jc w:val="right"/>
              <w:ind w:right="108"/>
              <w:spacing w:after="0"/>
              <w:rPr>
                <w:sz w:val="20"/>
                <w:szCs w:val="20"/>
                <w:color w:val="auto"/>
              </w:rPr>
            </w:pPr>
            <w:r>
              <w:rPr>
                <w:rFonts w:ascii="Arial" w:cs="Arial" w:eastAsia="Arial" w:hAnsi="Arial"/>
                <w:sz w:val="14"/>
                <w:szCs w:val="14"/>
                <w:b w:val="1"/>
                <w:bCs w:val="1"/>
                <w:color w:val="auto"/>
                <w:w w:val="92"/>
              </w:rPr>
              <w:t>Repurchase</w:t>
            </w:r>
          </w:p>
        </w:tc>
        <w:tc>
          <w:tcPr>
            <w:tcW w:w="3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16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Assets Pledged to AGNC</w:t>
            </w:r>
          </w:p>
        </w:tc>
        <w:tc>
          <w:tcPr>
            <w:tcW w:w="120" w:type="dxa"/>
            <w:vAlign w:val="bottom"/>
            <w:vMerge w:val="restart"/>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2"/>
          </w:tcPr>
          <w:p>
            <w:pPr>
              <w:jc w:val="center"/>
              <w:ind w:right="220"/>
              <w:spacing w:after="0" w:line="135" w:lineRule="exact"/>
              <w:rPr>
                <w:sz w:val="20"/>
                <w:szCs w:val="20"/>
                <w:color w:val="auto"/>
              </w:rPr>
            </w:pPr>
            <w:r>
              <w:rPr>
                <w:rFonts w:ascii="Arial" w:cs="Arial" w:eastAsia="Arial" w:hAnsi="Arial"/>
                <w:sz w:val="14"/>
                <w:szCs w:val="14"/>
                <w:b w:val="1"/>
                <w:bCs w:val="1"/>
                <w:color w:val="auto"/>
                <w:w w:val="92"/>
              </w:rPr>
              <w:t>Repurchase</w:t>
            </w:r>
          </w:p>
        </w:tc>
        <w:tc>
          <w:tcPr>
            <w:tcW w:w="120" w:type="dxa"/>
            <w:vAlign w:val="bottom"/>
          </w:tcPr>
          <w:p>
            <w:pPr>
              <w:spacing w:after="0"/>
              <w:rPr>
                <w:sz w:val="11"/>
                <w:szCs w:val="11"/>
                <w:color w:val="auto"/>
              </w:rPr>
            </w:pPr>
          </w:p>
        </w:tc>
        <w:tc>
          <w:tcPr>
            <w:tcW w:w="102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940" w:type="dxa"/>
            <w:vAlign w:val="bottom"/>
            <w:vMerge w:val="continue"/>
          </w:tcPr>
          <w:p>
            <w:pPr>
              <w:spacing w:after="0"/>
              <w:rPr>
                <w:sz w:val="11"/>
                <w:szCs w:val="11"/>
                <w:color w:val="auto"/>
              </w:rPr>
            </w:pPr>
          </w:p>
        </w:tc>
        <w:tc>
          <w:tcPr>
            <w:tcW w:w="300" w:type="dxa"/>
            <w:vAlign w:val="bottom"/>
          </w:tcPr>
          <w:p>
            <w:pPr>
              <w:spacing w:after="0"/>
              <w:rPr>
                <w:sz w:val="11"/>
                <w:szCs w:val="11"/>
                <w:color w:val="auto"/>
              </w:rPr>
            </w:pPr>
          </w:p>
        </w:tc>
        <w:tc>
          <w:tcPr>
            <w:tcW w:w="800" w:type="dxa"/>
            <w:vAlign w:val="bottom"/>
            <w:vMerge w:val="restart"/>
          </w:tcPr>
          <w:p>
            <w:pPr>
              <w:jc w:val="right"/>
              <w:ind w:right="288"/>
              <w:spacing w:after="0"/>
              <w:rPr>
                <w:sz w:val="20"/>
                <w:szCs w:val="20"/>
                <w:color w:val="auto"/>
              </w:rPr>
            </w:pPr>
            <w:r>
              <w:rPr>
                <w:rFonts w:ascii="Arial" w:cs="Arial" w:eastAsia="Arial" w:hAnsi="Arial"/>
                <w:sz w:val="14"/>
                <w:szCs w:val="14"/>
                <w:b w:val="1"/>
                <w:bCs w:val="1"/>
                <w:color w:val="auto"/>
              </w:rPr>
              <w:t>Total</w:t>
            </w:r>
          </w:p>
        </w:tc>
        <w:tc>
          <w:tcPr>
            <w:tcW w:w="100" w:type="dxa"/>
            <w:vAlign w:val="bottom"/>
            <w:vMerge w:val="restart"/>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gridSpan w:val="2"/>
          </w:tcPr>
          <w:p>
            <w:pPr>
              <w:jc w:val="center"/>
              <w:ind w:right="240"/>
              <w:spacing w:after="0" w:line="135" w:lineRule="exact"/>
              <w:rPr>
                <w:sz w:val="20"/>
                <w:szCs w:val="20"/>
                <w:color w:val="auto"/>
              </w:rPr>
            </w:pPr>
            <w:r>
              <w:rPr>
                <w:rFonts w:ascii="Arial" w:cs="Arial" w:eastAsia="Arial" w:hAnsi="Arial"/>
                <w:sz w:val="14"/>
                <w:szCs w:val="14"/>
                <w:b w:val="1"/>
                <w:bCs w:val="1"/>
                <w:color w:val="auto"/>
                <w:w w:val="92"/>
              </w:rPr>
              <w:t>Repurchase</w:t>
            </w:r>
          </w:p>
        </w:tc>
        <w:tc>
          <w:tcPr>
            <w:tcW w:w="120" w:type="dxa"/>
            <w:vAlign w:val="bottom"/>
          </w:tcPr>
          <w:p>
            <w:pPr>
              <w:spacing w:after="0"/>
              <w:rPr>
                <w:sz w:val="11"/>
                <w:szCs w:val="11"/>
                <w:color w:val="auto"/>
              </w:rPr>
            </w:pPr>
          </w:p>
        </w:tc>
        <w:tc>
          <w:tcPr>
            <w:tcW w:w="100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940" w:type="dxa"/>
            <w:vAlign w:val="bottom"/>
            <w:vMerge w:val="continue"/>
          </w:tcPr>
          <w:p>
            <w:pPr>
              <w:spacing w:after="0"/>
              <w:rPr>
                <w:sz w:val="11"/>
                <w:szCs w:val="11"/>
                <w:color w:val="auto"/>
              </w:rPr>
            </w:pPr>
          </w:p>
        </w:tc>
        <w:tc>
          <w:tcPr>
            <w:tcW w:w="300" w:type="dxa"/>
            <w:vAlign w:val="bottom"/>
          </w:tcPr>
          <w:p>
            <w:pPr>
              <w:spacing w:after="0"/>
              <w:rPr>
                <w:sz w:val="11"/>
                <w:szCs w:val="11"/>
                <w:color w:val="auto"/>
              </w:rPr>
            </w:pPr>
          </w:p>
        </w:tc>
        <w:tc>
          <w:tcPr>
            <w:tcW w:w="800" w:type="dxa"/>
            <w:vAlign w:val="bottom"/>
            <w:vMerge w:val="restart"/>
          </w:tcPr>
          <w:p>
            <w:pPr>
              <w:jc w:val="right"/>
              <w:ind w:right="28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88"/>
        </w:trPr>
        <w:tc>
          <w:tcPr>
            <w:tcW w:w="216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b w:val="1"/>
                <w:bCs w:val="1"/>
                <w:color w:val="auto"/>
                <w:w w:val="91"/>
              </w:rPr>
              <w:t>Agreements</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w w:val="91"/>
              </w:rPr>
              <w:t>Agreements</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b w:val="1"/>
                <w:bCs w:val="1"/>
                <w:color w:val="auto"/>
                <w:w w:val="91"/>
              </w:rPr>
              <w:t>Agreements</w:t>
            </w:r>
          </w:p>
        </w:tc>
        <w:tc>
          <w:tcPr>
            <w:tcW w:w="3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b w:val="1"/>
                <w:bCs w:val="1"/>
                <w:color w:val="auto"/>
                <w:w w:val="91"/>
              </w:rPr>
              <w:t>Agreements</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gridSpan w:val="2"/>
          </w:tcPr>
          <w:p>
            <w:pPr>
              <w:jc w:val="center"/>
              <w:ind w:right="220"/>
              <w:spacing w:after="0"/>
              <w:rPr>
                <w:sz w:val="20"/>
                <w:szCs w:val="20"/>
                <w:color w:val="auto"/>
              </w:rPr>
            </w:pPr>
            <w:r>
              <w:rPr>
                <w:rFonts w:ascii="Arial" w:cs="Arial" w:eastAsia="Arial" w:hAnsi="Arial"/>
                <w:sz w:val="14"/>
                <w:szCs w:val="14"/>
                <w:b w:val="1"/>
                <w:bCs w:val="1"/>
                <w:color w:val="auto"/>
                <w:w w:val="91"/>
              </w:rPr>
              <w:t>Agreements</w:t>
            </w:r>
          </w:p>
        </w:tc>
        <w:tc>
          <w:tcPr>
            <w:tcW w:w="1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b w:val="1"/>
                <w:bCs w:val="1"/>
                <w:color w:val="auto"/>
                <w:w w:val="91"/>
              </w:rPr>
              <w:t>Agreements</w:t>
            </w:r>
          </w:p>
        </w:tc>
        <w:tc>
          <w:tcPr>
            <w:tcW w:w="3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30"/>
        </w:trPr>
        <w:tc>
          <w:tcPr>
            <w:tcW w:w="2160" w:type="dxa"/>
            <w:vAlign w:val="bottom"/>
            <w:shd w:val="clear" w:color="auto" w:fill="CCEEFF"/>
          </w:tcPr>
          <w:p>
            <w:pPr>
              <w:ind w:left="20"/>
              <w:spacing w:after="0" w:line="130" w:lineRule="exact"/>
              <w:rPr>
                <w:sz w:val="20"/>
                <w:szCs w:val="20"/>
                <w:color w:val="auto"/>
              </w:rPr>
            </w:pPr>
            <w:r>
              <w:rPr>
                <w:rFonts w:ascii="Arial" w:cs="Arial" w:eastAsia="Arial" w:hAnsi="Arial"/>
                <w:sz w:val="14"/>
                <w:szCs w:val="14"/>
                <w:color w:val="auto"/>
                <w:w w:val="96"/>
              </w:rPr>
              <w:t>U.S. Treasury securities - fair value</w:t>
            </w:r>
          </w:p>
        </w:tc>
        <w:tc>
          <w:tcPr>
            <w:tcW w:w="120" w:type="dxa"/>
            <w:vAlign w:val="bottom"/>
            <w:shd w:val="clear" w:color="auto" w:fill="CCEEFF"/>
          </w:tcPr>
          <w:p>
            <w:pPr>
              <w:spacing w:after="0"/>
              <w:rPr>
                <w:sz w:val="11"/>
                <w:szCs w:val="11"/>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8,650</w:t>
            </w:r>
          </w:p>
        </w:tc>
        <w:tc>
          <w:tcPr>
            <w:tcW w:w="100" w:type="dxa"/>
            <w:vAlign w:val="bottom"/>
            <w:shd w:val="clear" w:color="auto" w:fill="CCEEFF"/>
          </w:tcPr>
          <w:p>
            <w:pPr>
              <w:spacing w:after="0"/>
              <w:rPr>
                <w:sz w:val="11"/>
                <w:szCs w:val="11"/>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7</w:t>
            </w:r>
          </w:p>
        </w:tc>
        <w:tc>
          <w:tcPr>
            <w:tcW w:w="30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80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8,657</w:t>
            </w:r>
          </w:p>
        </w:tc>
        <w:tc>
          <w:tcPr>
            <w:tcW w:w="100" w:type="dxa"/>
            <w:vAlign w:val="bottom"/>
            <w:shd w:val="clear" w:color="auto" w:fill="CCEEFF"/>
          </w:tcPr>
          <w:p>
            <w:pPr>
              <w:spacing w:after="0"/>
              <w:rPr>
                <w:sz w:val="11"/>
                <w:szCs w:val="11"/>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10,420</w:t>
            </w:r>
          </w:p>
        </w:tc>
        <w:tc>
          <w:tcPr>
            <w:tcW w:w="120" w:type="dxa"/>
            <w:vAlign w:val="bottom"/>
            <w:shd w:val="clear" w:color="auto" w:fill="CCEEFF"/>
          </w:tcPr>
          <w:p>
            <w:pPr>
              <w:spacing w:after="0"/>
              <w:rPr>
                <w:sz w:val="11"/>
                <w:szCs w:val="11"/>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0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11</w:t>
            </w:r>
          </w:p>
        </w:tc>
        <w:tc>
          <w:tcPr>
            <w:tcW w:w="30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10,431</w:t>
            </w:r>
          </w:p>
        </w:tc>
        <w:tc>
          <w:tcPr>
            <w:tcW w:w="0" w:type="dxa"/>
            <w:vAlign w:val="bottom"/>
          </w:tcPr>
          <w:p>
            <w:pPr>
              <w:spacing w:after="0"/>
              <w:rPr>
                <w:sz w:val="1"/>
                <w:szCs w:val="1"/>
                <w:color w:val="auto"/>
              </w:rPr>
            </w:pPr>
          </w:p>
        </w:tc>
      </w:tr>
      <w:tr>
        <w:trPr>
          <w:trHeight w:val="135"/>
        </w:trPr>
        <w:tc>
          <w:tcPr>
            <w:tcW w:w="2160" w:type="dxa"/>
            <w:vAlign w:val="bottom"/>
            <w:shd w:val="clear" w:color="auto" w:fill="CCEEFF"/>
          </w:tcPr>
          <w:p>
            <w:pPr>
              <w:ind w:left="180"/>
              <w:spacing w:after="0"/>
              <w:rPr>
                <w:sz w:val="20"/>
                <w:szCs w:val="20"/>
                <w:color w:val="auto"/>
              </w:rPr>
            </w:pPr>
            <w:r>
              <w:rPr>
                <w:rFonts w:ascii="Arial" w:cs="Arial" w:eastAsia="Arial" w:hAnsi="Arial"/>
                <w:sz w:val="9"/>
                <w:szCs w:val="9"/>
                <w:b w:val="1"/>
                <w:bCs w:val="1"/>
                <w:color w:val="auto"/>
              </w:rPr>
              <w:t>1</w:t>
            </w:r>
          </w:p>
        </w:tc>
        <w:tc>
          <w:tcPr>
            <w:tcW w:w="120" w:type="dxa"/>
            <w:vAlign w:val="bottom"/>
            <w:shd w:val="clear" w:color="auto" w:fill="CCEEFF"/>
          </w:tcPr>
          <w:p>
            <w:pPr>
              <w:spacing w:after="0"/>
              <w:rPr>
                <w:sz w:val="11"/>
                <w:szCs w:val="11"/>
                <w:color w:val="auto"/>
              </w:rPr>
            </w:pPr>
          </w:p>
        </w:tc>
        <w:tc>
          <w:tcPr>
            <w:tcW w:w="120" w:type="dxa"/>
            <w:vAlign w:val="bottom"/>
            <w:vMerge w:val="continue"/>
            <w:shd w:val="clear" w:color="auto" w:fill="CCEEFF"/>
          </w:tcPr>
          <w:p>
            <w:pPr>
              <w:spacing w:after="0"/>
              <w:rPr>
                <w:sz w:val="11"/>
                <w:szCs w:val="11"/>
                <w:color w:val="auto"/>
              </w:rPr>
            </w:pPr>
          </w:p>
        </w:tc>
        <w:tc>
          <w:tcPr>
            <w:tcW w:w="900" w:type="dxa"/>
            <w:vAlign w:val="bottom"/>
            <w:vMerge w:val="continue"/>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vMerge w:val="continue"/>
            <w:shd w:val="clear" w:color="auto" w:fill="CCEEFF"/>
          </w:tcPr>
          <w:p>
            <w:pPr>
              <w:spacing w:after="0"/>
              <w:rPr>
                <w:sz w:val="11"/>
                <w:szCs w:val="11"/>
                <w:color w:val="auto"/>
              </w:rPr>
            </w:pPr>
          </w:p>
        </w:tc>
        <w:tc>
          <w:tcPr>
            <w:tcW w:w="1020" w:type="dxa"/>
            <w:vAlign w:val="bottom"/>
            <w:gridSpan w:val="2"/>
            <w:vMerge w:val="continue"/>
            <w:shd w:val="clear" w:color="auto" w:fill="CCEEFF"/>
          </w:tcPr>
          <w:p>
            <w:pPr>
              <w:spacing w:after="0"/>
              <w:rPr>
                <w:sz w:val="11"/>
                <w:szCs w:val="11"/>
                <w:color w:val="auto"/>
              </w:rPr>
            </w:pPr>
          </w:p>
        </w:tc>
        <w:tc>
          <w:tcPr>
            <w:tcW w:w="120" w:type="dxa"/>
            <w:vAlign w:val="bottom"/>
            <w:vMerge w:val="continue"/>
            <w:shd w:val="clear" w:color="auto" w:fill="CCEEFF"/>
          </w:tcPr>
          <w:p>
            <w:pPr>
              <w:spacing w:after="0"/>
              <w:rPr>
                <w:sz w:val="11"/>
                <w:szCs w:val="11"/>
                <w:color w:val="auto"/>
              </w:rPr>
            </w:pPr>
          </w:p>
        </w:tc>
        <w:tc>
          <w:tcPr>
            <w:tcW w:w="940" w:type="dxa"/>
            <w:vAlign w:val="bottom"/>
            <w:vMerge w:val="continue"/>
            <w:shd w:val="clear" w:color="auto" w:fill="CCEEFF"/>
          </w:tcPr>
          <w:p>
            <w:pPr>
              <w:spacing w:after="0"/>
              <w:rPr>
                <w:sz w:val="11"/>
                <w:szCs w:val="11"/>
                <w:color w:val="auto"/>
              </w:rPr>
            </w:pPr>
          </w:p>
        </w:tc>
        <w:tc>
          <w:tcPr>
            <w:tcW w:w="300" w:type="dxa"/>
            <w:vAlign w:val="bottom"/>
            <w:vMerge w:val="continue"/>
            <w:shd w:val="clear" w:color="auto" w:fill="CCEEFF"/>
          </w:tcPr>
          <w:p>
            <w:pPr>
              <w:spacing w:after="0"/>
              <w:rPr>
                <w:sz w:val="11"/>
                <w:szCs w:val="11"/>
                <w:color w:val="auto"/>
              </w:rPr>
            </w:pPr>
          </w:p>
        </w:tc>
        <w:tc>
          <w:tcPr>
            <w:tcW w:w="800" w:type="dxa"/>
            <w:vAlign w:val="bottom"/>
            <w:vMerge w:val="continue"/>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vMerge w:val="continue"/>
            <w:shd w:val="clear" w:color="auto" w:fill="CCEEFF"/>
          </w:tcPr>
          <w:p>
            <w:pPr>
              <w:spacing w:after="0"/>
              <w:rPr>
                <w:sz w:val="11"/>
                <w:szCs w:val="11"/>
                <w:color w:val="auto"/>
              </w:rPr>
            </w:pPr>
          </w:p>
        </w:tc>
        <w:tc>
          <w:tcPr>
            <w:tcW w:w="900" w:type="dxa"/>
            <w:vAlign w:val="bottom"/>
            <w:vMerge w:val="continue"/>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0" w:type="dxa"/>
            <w:vAlign w:val="bottom"/>
            <w:vMerge w:val="continue"/>
            <w:shd w:val="clear" w:color="auto" w:fill="CCEEFF"/>
          </w:tcPr>
          <w:p>
            <w:pPr>
              <w:spacing w:after="0"/>
              <w:rPr>
                <w:sz w:val="11"/>
                <w:szCs w:val="11"/>
                <w:color w:val="auto"/>
              </w:rPr>
            </w:pPr>
          </w:p>
        </w:tc>
        <w:tc>
          <w:tcPr>
            <w:tcW w:w="1000" w:type="dxa"/>
            <w:vAlign w:val="bottom"/>
            <w:gridSpan w:val="2"/>
            <w:vMerge w:val="continue"/>
            <w:shd w:val="clear" w:color="auto" w:fill="CCEEFF"/>
          </w:tcPr>
          <w:p>
            <w:pPr>
              <w:spacing w:after="0"/>
              <w:rPr>
                <w:sz w:val="11"/>
                <w:szCs w:val="11"/>
                <w:color w:val="auto"/>
              </w:rPr>
            </w:pPr>
          </w:p>
        </w:tc>
        <w:tc>
          <w:tcPr>
            <w:tcW w:w="120" w:type="dxa"/>
            <w:vAlign w:val="bottom"/>
            <w:vMerge w:val="continue"/>
            <w:shd w:val="clear" w:color="auto" w:fill="CCEEFF"/>
          </w:tcPr>
          <w:p>
            <w:pPr>
              <w:spacing w:after="0"/>
              <w:rPr>
                <w:sz w:val="11"/>
                <w:szCs w:val="11"/>
                <w:color w:val="auto"/>
              </w:rPr>
            </w:pPr>
          </w:p>
        </w:tc>
        <w:tc>
          <w:tcPr>
            <w:tcW w:w="940" w:type="dxa"/>
            <w:vAlign w:val="bottom"/>
            <w:vMerge w:val="continue"/>
            <w:shd w:val="clear" w:color="auto" w:fill="CCEEFF"/>
          </w:tcPr>
          <w:p>
            <w:pPr>
              <w:spacing w:after="0"/>
              <w:rPr>
                <w:sz w:val="11"/>
                <w:szCs w:val="11"/>
                <w:color w:val="auto"/>
              </w:rPr>
            </w:pPr>
          </w:p>
        </w:tc>
        <w:tc>
          <w:tcPr>
            <w:tcW w:w="300" w:type="dxa"/>
            <w:vAlign w:val="bottom"/>
            <w:vMerge w:val="continue"/>
            <w:shd w:val="clear" w:color="auto" w:fill="CCEEFF"/>
          </w:tcPr>
          <w:p>
            <w:pPr>
              <w:spacing w:after="0"/>
              <w:rPr>
                <w:sz w:val="11"/>
                <w:szCs w:val="11"/>
                <w:color w:val="auto"/>
              </w:rPr>
            </w:pPr>
          </w:p>
        </w:tc>
        <w:tc>
          <w:tcPr>
            <w:tcW w:w="800" w:type="dxa"/>
            <w:vAlign w:val="bottom"/>
            <w:vMerge w:val="continue"/>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86"/>
        </w:trPr>
        <w:tc>
          <w:tcPr>
            <w:tcW w:w="2280" w:type="dxa"/>
            <w:vAlign w:val="bottom"/>
            <w:gridSpan w:val="2"/>
          </w:tcPr>
          <w:p>
            <w:pPr>
              <w:ind w:left="20"/>
              <w:spacing w:after="0"/>
              <w:rPr>
                <w:sz w:val="20"/>
                <w:szCs w:val="20"/>
                <w:color w:val="auto"/>
              </w:rPr>
            </w:pPr>
            <w:r>
              <w:rPr>
                <w:rFonts w:ascii="Arial" w:cs="Arial" w:eastAsia="Arial" w:hAnsi="Arial"/>
                <w:sz w:val="14"/>
                <w:szCs w:val="14"/>
                <w:color w:val="auto"/>
              </w:rPr>
              <w:t>Cash</w:t>
            </w:r>
          </w:p>
        </w:tc>
        <w:tc>
          <w:tcPr>
            <w:tcW w:w="120" w:type="dxa"/>
            <w:vAlign w:val="bottom"/>
          </w:tcPr>
          <w:p>
            <w:pPr>
              <w:spacing w:after="0"/>
              <w:rPr>
                <w:sz w:val="16"/>
                <w:szCs w:val="16"/>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451</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4</w:t>
            </w:r>
          </w:p>
        </w:tc>
        <w:tc>
          <w:tcPr>
            <w:tcW w:w="300" w:type="dxa"/>
            <w:vAlign w:val="bottom"/>
          </w:tcPr>
          <w:p>
            <w:pPr>
              <w:spacing w:after="0"/>
              <w:rPr>
                <w:sz w:val="16"/>
                <w:szCs w:val="16"/>
                <w:color w:val="auto"/>
              </w:rPr>
            </w:pP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455</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303</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7</w:t>
            </w:r>
          </w:p>
        </w:tc>
        <w:tc>
          <w:tcPr>
            <w:tcW w:w="3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310</w:t>
            </w:r>
          </w:p>
        </w:tc>
        <w:tc>
          <w:tcPr>
            <w:tcW w:w="0" w:type="dxa"/>
            <w:vAlign w:val="bottom"/>
          </w:tcPr>
          <w:p>
            <w:pPr>
              <w:spacing w:after="0"/>
              <w:rPr>
                <w:sz w:val="1"/>
                <w:szCs w:val="1"/>
                <w:color w:val="auto"/>
              </w:rPr>
            </w:pPr>
          </w:p>
        </w:tc>
      </w:tr>
      <w:tr>
        <w:trPr>
          <w:trHeight w:val="211"/>
        </w:trPr>
        <w:tc>
          <w:tcPr>
            <w:tcW w:w="2280" w:type="dxa"/>
            <w:vAlign w:val="bottom"/>
            <w:tcBorders>
              <w:top w:val="single" w:sz="8" w:color="CCEEFF"/>
              <w:bottom w:val="single" w:sz="8" w:color="CCEEFF"/>
            </w:tcBorders>
            <w:gridSpan w:val="2"/>
            <w:shd w:val="clear" w:color="auto" w:fill="CCEEFF"/>
          </w:tcPr>
          <w:p>
            <w:pPr>
              <w:ind w:left="180"/>
              <w:spacing w:after="0"/>
              <w:rPr>
                <w:sz w:val="20"/>
                <w:szCs w:val="20"/>
                <w:color w:val="auto"/>
              </w:rPr>
            </w:pPr>
            <w:r>
              <w:rPr>
                <w:rFonts w:ascii="Arial" w:cs="Arial" w:eastAsia="Arial" w:hAnsi="Arial"/>
                <w:sz w:val="16"/>
                <w:szCs w:val="16"/>
                <w:color w:val="auto"/>
              </w:rPr>
              <w:t>Total</w:t>
            </w: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8,650</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451</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11</w:t>
            </w:r>
          </w:p>
        </w:tc>
        <w:tc>
          <w:tcPr>
            <w:tcW w:w="300" w:type="dxa"/>
            <w:vAlign w:val="bottom"/>
            <w:tcBorders>
              <w:top w:val="single" w:sz="8" w:color="auto"/>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9,112</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10,420</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303</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18</w:t>
            </w:r>
          </w:p>
        </w:tc>
        <w:tc>
          <w:tcPr>
            <w:tcW w:w="3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10,741</w:t>
            </w:r>
          </w:p>
        </w:tc>
        <w:tc>
          <w:tcPr>
            <w:tcW w:w="0" w:type="dxa"/>
            <w:vAlign w:val="bottom"/>
          </w:tcPr>
          <w:p>
            <w:pPr>
              <w:spacing w:after="0"/>
              <w:rPr>
                <w:sz w:val="1"/>
                <w:szCs w:val="1"/>
                <w:color w:val="auto"/>
              </w:rPr>
            </w:pPr>
          </w:p>
        </w:tc>
      </w:tr>
      <w:tr>
        <w:trPr>
          <w:trHeight w:val="20"/>
        </w:trPr>
        <w:tc>
          <w:tcPr>
            <w:tcW w:w="21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6"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55" w:lineRule="auto"/>
        <w:tabs>
          <w:tab w:leader="none" w:pos="660" w:val="left"/>
        </w:tabs>
        <w:numPr>
          <w:ilvl w:val="0"/>
          <w:numId w:val="14"/>
        </w:numPr>
        <w:rPr>
          <w:rFonts w:ascii="Arial" w:cs="Arial" w:eastAsia="Arial" w:hAnsi="Arial"/>
          <w:sz w:val="14"/>
          <w:szCs w:val="14"/>
          <w:color w:val="auto"/>
        </w:rPr>
      </w:pPr>
      <w:r>
        <w:rPr>
          <w:rFonts w:ascii="Arial" w:cs="Arial" w:eastAsia="Arial" w:hAnsi="Arial"/>
          <w:sz w:val="14"/>
          <w:szCs w:val="14"/>
          <w:color w:val="auto"/>
        </w:rPr>
        <w:t>As of June 30, 2022 and December 31, 2021, amounts include $8.3 billion and $9.7 billion, respectively, of U.S. Treasury securities received from counterparties that were used to cover short sales of U.S. Treasury securities.</w:t>
      </w:r>
    </w:p>
    <w:p>
      <w:pPr>
        <w:spacing w:after="0" w:line="13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Offsetting Assets and Liabilities</w:t>
      </w:r>
    </w:p>
    <w:p>
      <w:pPr>
        <w:spacing w:after="0" w:line="171" w:lineRule="exact"/>
        <w:rPr>
          <w:sz w:val="20"/>
          <w:szCs w:val="20"/>
          <w:color w:val="auto"/>
        </w:rPr>
      </w:pPr>
    </w:p>
    <w:p>
      <w:pPr>
        <w:jc w:val="both"/>
        <w:ind w:firstLine="445"/>
        <w:spacing w:after="0" w:line="257" w:lineRule="auto"/>
        <w:rPr>
          <w:sz w:val="20"/>
          <w:szCs w:val="20"/>
          <w:color w:val="auto"/>
        </w:rPr>
      </w:pPr>
      <w:r>
        <w:rPr>
          <w:rFonts w:ascii="Arial" w:cs="Arial" w:eastAsia="Arial" w:hAnsi="Arial"/>
          <w:sz w:val="18"/>
          <w:szCs w:val="18"/>
          <w:color w:val="auto"/>
        </w:rPr>
        <w:t>Certain of our repurchase agreements and derivative transactions are governed by underlying agreements that generally provide for a right of setoff under master netting arrangements (or similar agreements), including in the event of default or in the event of bankruptcy of either party to the transactions. We present our assets and liabilities subject to such arrangements on a gross basis in our consolidated balance sheets. The following tables present information about our assets and liabilities that are subject to master netting arrangements and can potentially be offset on our consolidated balance sheets as of June 30, 2022 and December 31, 2021 (in millions):</w:t>
      </w:r>
    </w:p>
    <w:p>
      <w:pPr>
        <w:spacing w:after="0" w:line="200" w:lineRule="exact"/>
        <w:rPr>
          <w:sz w:val="20"/>
          <w:szCs w:val="20"/>
          <w:color w:val="auto"/>
        </w:rPr>
      </w:pPr>
    </w:p>
    <w:p>
      <w:pPr>
        <w:spacing w:after="0" w:line="3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21" w:name="page22"/>
    <w:bookmarkEnd w:id="21"/>
    <w:tbl>
      <w:tblPr>
        <w:tblLayout w:type="fixed"/>
        <w:tblInd w:w="0" w:type="dxa"/>
        <w:tblCellMar>
          <w:top w:w="0" w:type="dxa"/>
          <w:left w:w="0" w:type="dxa"/>
          <w:bottom w:w="0" w:type="dxa"/>
          <w:right w:w="0" w:type="dxa"/>
        </w:tblCellMar>
      </w:tblPr>
      <w:tr>
        <w:trPr>
          <w:trHeight w:val="192"/>
        </w:trPr>
        <w:tc>
          <w:tcPr>
            <w:tcW w:w="39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2820" w:type="dxa"/>
            <w:vAlign w:val="bottom"/>
            <w:tcBorders>
              <w:bottom w:val="single" w:sz="8" w:color="auto"/>
            </w:tcBorders>
            <w:gridSpan w:val="9"/>
          </w:tcPr>
          <w:p>
            <w:pPr>
              <w:jc w:val="right"/>
              <w:ind w:right="8"/>
              <w:spacing w:after="0"/>
              <w:rPr>
                <w:sz w:val="20"/>
                <w:szCs w:val="20"/>
                <w:color w:val="auto"/>
              </w:rPr>
            </w:pPr>
            <w:r>
              <w:rPr>
                <w:rFonts w:ascii="Arial" w:cs="Arial" w:eastAsia="Arial" w:hAnsi="Arial"/>
                <w:sz w:val="14"/>
                <w:szCs w:val="14"/>
                <w:b w:val="1"/>
                <w:bCs w:val="1"/>
                <w:color w:val="auto"/>
                <w:w w:val="91"/>
              </w:rPr>
              <w:t>Offsetting of Financial and Derivative Assets</w:t>
            </w:r>
          </w:p>
        </w:tc>
        <w:tc>
          <w:tcPr>
            <w:tcW w:w="9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43"/>
        </w:trPr>
        <w:tc>
          <w:tcPr>
            <w:tcW w:w="39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340" w:type="dxa"/>
            <w:vAlign w:val="bottom"/>
            <w:gridSpan w:val="5"/>
          </w:tcPr>
          <w:p>
            <w:pPr>
              <w:jc w:val="center"/>
              <w:ind w:right="240"/>
              <w:spacing w:after="0"/>
              <w:rPr>
                <w:sz w:val="20"/>
                <w:szCs w:val="20"/>
                <w:color w:val="auto"/>
              </w:rPr>
            </w:pPr>
            <w:r>
              <w:rPr>
                <w:rFonts w:ascii="Arial" w:cs="Arial" w:eastAsia="Arial" w:hAnsi="Arial"/>
                <w:sz w:val="14"/>
                <w:szCs w:val="14"/>
                <w:b w:val="1"/>
                <w:bCs w:val="1"/>
                <w:color w:val="auto"/>
                <w:w w:val="91"/>
              </w:rPr>
              <w:t>Gross Amounts Not Offset</w:t>
            </w:r>
          </w:p>
        </w:tc>
        <w:tc>
          <w:tcPr>
            <w:tcW w:w="1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35"/>
        </w:trPr>
        <w:tc>
          <w:tcPr>
            <w:tcW w:w="3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80" w:type="dxa"/>
            <w:vAlign w:val="bottom"/>
            <w:gridSpan w:val="3"/>
          </w:tcPr>
          <w:p>
            <w:pPr>
              <w:jc w:val="center"/>
              <w:ind w:left="728"/>
              <w:spacing w:after="0" w:line="135" w:lineRule="exact"/>
              <w:rPr>
                <w:sz w:val="20"/>
                <w:szCs w:val="20"/>
                <w:color w:val="auto"/>
              </w:rPr>
            </w:pPr>
            <w:r>
              <w:rPr>
                <w:rFonts w:ascii="Arial" w:cs="Arial" w:eastAsia="Arial" w:hAnsi="Arial"/>
                <w:sz w:val="14"/>
                <w:szCs w:val="14"/>
                <w:b w:val="1"/>
                <w:bCs w:val="1"/>
                <w:color w:val="auto"/>
                <w:w w:val="96"/>
              </w:rPr>
              <w:t>in the</w:t>
            </w:r>
          </w:p>
        </w:tc>
        <w:tc>
          <w:tcPr>
            <w:tcW w:w="9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9"/>
        </w:trPr>
        <w:tc>
          <w:tcPr>
            <w:tcW w:w="39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93"/>
              </w:rPr>
              <w:t>Net Amounts of</w:t>
            </w:r>
          </w:p>
        </w:tc>
        <w:tc>
          <w:tcPr>
            <w:tcW w:w="140" w:type="dxa"/>
            <w:vAlign w:val="bottom"/>
          </w:tcPr>
          <w:p>
            <w:pPr>
              <w:spacing w:after="0"/>
              <w:rPr>
                <w:sz w:val="16"/>
                <w:szCs w:val="16"/>
                <w:color w:val="auto"/>
              </w:rPr>
            </w:pPr>
          </w:p>
        </w:tc>
        <w:tc>
          <w:tcPr>
            <w:tcW w:w="2340" w:type="dxa"/>
            <w:vAlign w:val="bottom"/>
            <w:gridSpan w:val="5"/>
          </w:tcPr>
          <w:p>
            <w:pPr>
              <w:jc w:val="center"/>
              <w:ind w:right="260"/>
              <w:spacing w:after="0"/>
              <w:rPr>
                <w:sz w:val="20"/>
                <w:szCs w:val="20"/>
                <w:color w:val="auto"/>
              </w:rPr>
            </w:pPr>
            <w:r>
              <w:rPr>
                <w:rFonts w:ascii="Arial" w:cs="Arial" w:eastAsia="Arial" w:hAnsi="Arial"/>
                <w:sz w:val="14"/>
                <w:szCs w:val="14"/>
                <w:b w:val="1"/>
                <w:bCs w:val="1"/>
                <w:color w:val="auto"/>
                <w:w w:val="89"/>
              </w:rPr>
              <w:t>Consolidated Balance Sheets</w:t>
            </w:r>
          </w:p>
        </w:tc>
        <w:tc>
          <w:tcPr>
            <w:tcW w:w="12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5"/>
        </w:trPr>
        <w:tc>
          <w:tcPr>
            <w:tcW w:w="39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12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Gross Amounts</w:t>
            </w:r>
          </w:p>
        </w:tc>
        <w:tc>
          <w:tcPr>
            <w:tcW w:w="1060" w:type="dxa"/>
            <w:vAlign w:val="bottom"/>
            <w:gridSpan w:val="2"/>
          </w:tcPr>
          <w:p>
            <w:pPr>
              <w:jc w:val="center"/>
              <w:spacing w:after="0" w:line="115" w:lineRule="exact"/>
              <w:rPr>
                <w:sz w:val="20"/>
                <w:szCs w:val="20"/>
                <w:color w:val="auto"/>
              </w:rPr>
            </w:pPr>
            <w:r>
              <w:rPr>
                <w:rFonts w:ascii="Arial" w:cs="Arial" w:eastAsia="Arial" w:hAnsi="Arial"/>
                <w:sz w:val="13"/>
                <w:szCs w:val="13"/>
                <w:b w:val="1"/>
                <w:bCs w:val="1"/>
                <w:color w:val="auto"/>
                <w:w w:val="96"/>
              </w:rPr>
              <w:t>Gross Amounts</w:t>
            </w: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40" w:type="dxa"/>
            <w:vAlign w:val="bottom"/>
            <w:gridSpan w:val="3"/>
          </w:tcPr>
          <w:p>
            <w:pPr>
              <w:jc w:val="center"/>
              <w:ind w:right="100"/>
              <w:spacing w:after="0" w:line="115" w:lineRule="exact"/>
              <w:rPr>
                <w:sz w:val="20"/>
                <w:szCs w:val="20"/>
                <w:color w:val="auto"/>
              </w:rPr>
            </w:pPr>
            <w:r>
              <w:rPr>
                <w:rFonts w:ascii="Arial" w:cs="Arial" w:eastAsia="Arial" w:hAnsi="Arial"/>
                <w:sz w:val="13"/>
                <w:szCs w:val="13"/>
                <w:b w:val="1"/>
                <w:bCs w:val="1"/>
                <w:color w:val="auto"/>
                <w:w w:val="93"/>
              </w:rPr>
              <w:t>Assets Presented</w:t>
            </w:r>
          </w:p>
        </w:tc>
        <w:tc>
          <w:tcPr>
            <w:tcW w:w="140" w:type="dxa"/>
            <w:vAlign w:val="bottom"/>
            <w:tcBorders>
              <w:top w:val="single" w:sz="8" w:color="auto"/>
            </w:tcBorders>
          </w:tcPr>
          <w:p>
            <w:pPr>
              <w:spacing w:after="0"/>
              <w:rPr>
                <w:sz w:val="10"/>
                <w:szCs w:val="10"/>
                <w:color w:val="auto"/>
              </w:rPr>
            </w:pPr>
          </w:p>
        </w:tc>
        <w:tc>
          <w:tcPr>
            <w:tcW w:w="100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940" w:type="dxa"/>
            <w:vAlign w:val="bottom"/>
            <w:tcBorders>
              <w:top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5"/>
        </w:trPr>
        <w:tc>
          <w:tcPr>
            <w:tcW w:w="3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20" w:type="dxa"/>
            <w:vAlign w:val="bottom"/>
            <w:gridSpan w:val="3"/>
            <w:vMerge w:val="continue"/>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2"/>
              </w:rPr>
              <w:t>Offset in the</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40" w:type="dxa"/>
            <w:vAlign w:val="bottom"/>
            <w:gridSpan w:val="2"/>
          </w:tcPr>
          <w:p>
            <w:pPr>
              <w:jc w:val="center"/>
              <w:ind w:right="200"/>
              <w:spacing w:after="0" w:line="135" w:lineRule="exact"/>
              <w:rPr>
                <w:sz w:val="20"/>
                <w:szCs w:val="20"/>
                <w:color w:val="auto"/>
              </w:rPr>
            </w:pPr>
            <w:r>
              <w:rPr>
                <w:rFonts w:ascii="Arial" w:cs="Arial" w:eastAsia="Arial" w:hAnsi="Arial"/>
                <w:sz w:val="14"/>
                <w:szCs w:val="14"/>
                <w:b w:val="1"/>
                <w:bCs w:val="1"/>
                <w:color w:val="auto"/>
                <w:w w:val="90"/>
              </w:rPr>
              <w:t>in the</w:t>
            </w:r>
          </w:p>
        </w:tc>
        <w:tc>
          <w:tcPr>
            <w:tcW w:w="140" w:type="dxa"/>
            <w:vAlign w:val="bottom"/>
          </w:tcPr>
          <w:p>
            <w:pPr>
              <w:spacing w:after="0"/>
              <w:rPr>
                <w:sz w:val="11"/>
                <w:szCs w:val="11"/>
                <w:color w:val="auto"/>
              </w:rPr>
            </w:pPr>
          </w:p>
        </w:tc>
        <w:tc>
          <w:tcPr>
            <w:tcW w:w="110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5"/>
              </w:rPr>
              <w:t>Financial</w:t>
            </w:r>
          </w:p>
        </w:tc>
        <w:tc>
          <w:tcPr>
            <w:tcW w:w="180" w:type="dxa"/>
            <w:vAlign w:val="bottom"/>
          </w:tcPr>
          <w:p>
            <w:pPr>
              <w:spacing w:after="0"/>
              <w:rPr>
                <w:sz w:val="11"/>
                <w:szCs w:val="11"/>
                <w:color w:val="auto"/>
              </w:rPr>
            </w:pPr>
          </w:p>
        </w:tc>
        <w:tc>
          <w:tcPr>
            <w:tcW w:w="106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Collateral</w:t>
            </w:r>
          </w:p>
        </w:tc>
        <w:tc>
          <w:tcPr>
            <w:tcW w:w="1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3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20" w:type="dxa"/>
            <w:vAlign w:val="bottom"/>
            <w:gridSpan w:val="3"/>
          </w:tcPr>
          <w:p>
            <w:pPr>
              <w:jc w:val="center"/>
              <w:ind w:right="140"/>
              <w:spacing w:after="0" w:line="135" w:lineRule="exact"/>
              <w:rPr>
                <w:sz w:val="20"/>
                <w:szCs w:val="20"/>
                <w:color w:val="auto"/>
              </w:rPr>
            </w:pPr>
            <w:r>
              <w:rPr>
                <w:rFonts w:ascii="Arial" w:cs="Arial" w:eastAsia="Arial" w:hAnsi="Arial"/>
                <w:sz w:val="14"/>
                <w:szCs w:val="14"/>
                <w:b w:val="1"/>
                <w:bCs w:val="1"/>
                <w:color w:val="auto"/>
                <w:w w:val="89"/>
              </w:rPr>
              <w:t>of Recognized</w:t>
            </w:r>
          </w:p>
        </w:tc>
        <w:tc>
          <w:tcPr>
            <w:tcW w:w="80" w:type="dxa"/>
            <w:vAlign w:val="bottom"/>
          </w:tcPr>
          <w:p>
            <w:pPr>
              <w:spacing w:after="0"/>
              <w:rPr>
                <w:sz w:val="11"/>
                <w:szCs w:val="11"/>
                <w:color w:val="auto"/>
              </w:rPr>
            </w:pPr>
          </w:p>
        </w:tc>
        <w:tc>
          <w:tcPr>
            <w:tcW w:w="98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2"/>
              </w:rPr>
              <w:t>Consolidated</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40" w:type="dxa"/>
            <w:vAlign w:val="bottom"/>
            <w:gridSpan w:val="2"/>
          </w:tcPr>
          <w:p>
            <w:pPr>
              <w:jc w:val="center"/>
              <w:ind w:right="200"/>
              <w:spacing w:after="0" w:line="135" w:lineRule="exact"/>
              <w:rPr>
                <w:sz w:val="20"/>
                <w:szCs w:val="20"/>
                <w:color w:val="auto"/>
              </w:rPr>
            </w:pPr>
            <w:r>
              <w:rPr>
                <w:rFonts w:ascii="Arial" w:cs="Arial" w:eastAsia="Arial" w:hAnsi="Arial"/>
                <w:sz w:val="14"/>
                <w:szCs w:val="14"/>
                <w:b w:val="1"/>
                <w:bCs w:val="1"/>
                <w:color w:val="auto"/>
                <w:w w:val="92"/>
              </w:rPr>
              <w:t>Consolidated</w:t>
            </w:r>
          </w:p>
        </w:tc>
        <w:tc>
          <w:tcPr>
            <w:tcW w:w="140" w:type="dxa"/>
            <w:vAlign w:val="bottom"/>
          </w:tcPr>
          <w:p>
            <w:pPr>
              <w:spacing w:after="0"/>
              <w:rPr>
                <w:sz w:val="11"/>
                <w:szCs w:val="11"/>
                <w:color w:val="auto"/>
              </w:rPr>
            </w:pPr>
          </w:p>
        </w:tc>
        <w:tc>
          <w:tcPr>
            <w:tcW w:w="1100" w:type="dxa"/>
            <w:vAlign w:val="bottom"/>
            <w:gridSpan w:val="2"/>
            <w:vMerge w:val="continue"/>
          </w:tcPr>
          <w:p>
            <w:pPr>
              <w:spacing w:after="0"/>
              <w:rPr>
                <w:sz w:val="11"/>
                <w:szCs w:val="11"/>
                <w:color w:val="auto"/>
              </w:rPr>
            </w:pPr>
          </w:p>
        </w:tc>
        <w:tc>
          <w:tcPr>
            <w:tcW w:w="180" w:type="dxa"/>
            <w:vAlign w:val="bottom"/>
          </w:tcPr>
          <w:p>
            <w:pPr>
              <w:spacing w:after="0"/>
              <w:rPr>
                <w:sz w:val="11"/>
                <w:szCs w:val="11"/>
                <w:color w:val="auto"/>
              </w:rPr>
            </w:pPr>
          </w:p>
        </w:tc>
        <w:tc>
          <w:tcPr>
            <w:tcW w:w="106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vMerge w:val="restart"/>
          </w:tcPr>
          <w:p>
            <w:pPr>
              <w:jc w:val="right"/>
              <w:ind w:right="68"/>
              <w:spacing w:after="0"/>
              <w:rPr>
                <w:sz w:val="20"/>
                <w:szCs w:val="20"/>
                <w:color w:val="auto"/>
              </w:rPr>
            </w:pPr>
            <w:r>
              <w:rPr>
                <w:rFonts w:ascii="Arial" w:cs="Arial" w:eastAsia="Arial" w:hAnsi="Arial"/>
                <w:sz w:val="14"/>
                <w:szCs w:val="14"/>
                <w:b w:val="1"/>
                <w:bCs w:val="1"/>
                <w:color w:val="auto"/>
                <w:w w:val="95"/>
              </w:rPr>
              <w:t>Net Amount</w:t>
            </w:r>
          </w:p>
        </w:tc>
        <w:tc>
          <w:tcPr>
            <w:tcW w:w="0" w:type="dxa"/>
            <w:vAlign w:val="bottom"/>
          </w:tcPr>
          <w:p>
            <w:pPr>
              <w:spacing w:after="0"/>
              <w:rPr>
                <w:sz w:val="1"/>
                <w:szCs w:val="1"/>
                <w:color w:val="auto"/>
              </w:rPr>
            </w:pPr>
          </w:p>
        </w:tc>
      </w:tr>
      <w:tr>
        <w:trPr>
          <w:trHeight w:val="189"/>
        </w:trPr>
        <w:tc>
          <w:tcPr>
            <w:tcW w:w="39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2"/>
              </w:rPr>
              <w:t>Assets</w:t>
            </w:r>
          </w:p>
        </w:tc>
        <w:tc>
          <w:tcPr>
            <w:tcW w:w="80" w:type="dxa"/>
            <w:vAlign w:val="bottom"/>
          </w:tcPr>
          <w:p>
            <w:pPr>
              <w:spacing w:after="0"/>
              <w:rPr>
                <w:sz w:val="16"/>
                <w:szCs w:val="16"/>
                <w:color w:val="auto"/>
              </w:rPr>
            </w:pPr>
          </w:p>
        </w:tc>
        <w:tc>
          <w:tcPr>
            <w:tcW w:w="980" w:type="dxa"/>
            <w:vAlign w:val="bottom"/>
          </w:tcPr>
          <w:p>
            <w:pPr>
              <w:jc w:val="center"/>
              <w:spacing w:after="0"/>
              <w:rPr>
                <w:sz w:val="20"/>
                <w:szCs w:val="20"/>
                <w:color w:val="auto"/>
              </w:rPr>
            </w:pPr>
            <w:r>
              <w:rPr>
                <w:rFonts w:ascii="Arial" w:cs="Arial" w:eastAsia="Arial" w:hAnsi="Arial"/>
                <w:sz w:val="14"/>
                <w:szCs w:val="14"/>
                <w:b w:val="1"/>
                <w:bCs w:val="1"/>
                <w:color w:val="auto"/>
                <w:w w:val="86"/>
              </w:rPr>
              <w:t>Balance Sheets</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8"/>
              </w:rPr>
              <w:t>Balance Sheets</w:t>
            </w:r>
          </w:p>
        </w:tc>
        <w:tc>
          <w:tcPr>
            <w:tcW w:w="140" w:type="dxa"/>
            <w:vAlign w:val="bottom"/>
          </w:tcPr>
          <w:p>
            <w:pPr>
              <w:spacing w:after="0"/>
              <w:rPr>
                <w:sz w:val="16"/>
                <w:szCs w:val="16"/>
                <w:color w:val="auto"/>
              </w:rPr>
            </w:pPr>
          </w:p>
        </w:tc>
        <w:tc>
          <w:tcPr>
            <w:tcW w:w="11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2"/>
              </w:rPr>
              <w:t>Instruments</w:t>
            </w:r>
          </w:p>
        </w:tc>
        <w:tc>
          <w:tcPr>
            <w:tcW w:w="180" w:type="dxa"/>
            <w:vAlign w:val="bottom"/>
          </w:tcPr>
          <w:p>
            <w:pPr>
              <w:spacing w:after="0"/>
              <w:rPr>
                <w:sz w:val="16"/>
                <w:szCs w:val="16"/>
                <w:color w:val="auto"/>
              </w:rPr>
            </w:pPr>
          </w:p>
        </w:tc>
        <w:tc>
          <w:tcPr>
            <w:tcW w:w="1060" w:type="dxa"/>
            <w:vAlign w:val="bottom"/>
            <w:gridSpan w:val="2"/>
          </w:tcPr>
          <w:p>
            <w:pPr>
              <w:ind w:left="60"/>
              <w:spacing w:after="0" w:line="189" w:lineRule="exact"/>
              <w:rPr>
                <w:sz w:val="20"/>
                <w:szCs w:val="20"/>
                <w:color w:val="auto"/>
              </w:rPr>
            </w:pPr>
            <w:r>
              <w:rPr>
                <w:rFonts w:ascii="Arial" w:cs="Arial" w:eastAsia="Arial" w:hAnsi="Arial"/>
                <w:sz w:val="14"/>
                <w:szCs w:val="14"/>
                <w:b w:val="1"/>
                <w:bCs w:val="1"/>
                <w:color w:val="auto"/>
              </w:rPr>
              <w:t xml:space="preserve">Received </w:t>
            </w:r>
            <w:r>
              <w:rPr>
                <w:rFonts w:ascii="Arial" w:cs="Arial" w:eastAsia="Arial" w:hAnsi="Arial"/>
                <w:sz w:val="18"/>
                <w:szCs w:val="18"/>
                <w:b w:val="1"/>
                <w:bCs w:val="1"/>
                <w:color w:val="auto"/>
                <w:vertAlign w:val="superscript"/>
              </w:rPr>
              <w:t>2</w:t>
            </w:r>
          </w:p>
        </w:tc>
        <w:tc>
          <w:tcPr>
            <w:tcW w:w="120" w:type="dxa"/>
            <w:vAlign w:val="bottom"/>
          </w:tcPr>
          <w:p>
            <w:pPr>
              <w:spacing w:after="0"/>
              <w:rPr>
                <w:sz w:val="16"/>
                <w:szCs w:val="16"/>
                <w:color w:val="auto"/>
              </w:rPr>
            </w:pPr>
          </w:p>
        </w:tc>
        <w:tc>
          <w:tcPr>
            <w:tcW w:w="9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83"/>
        </w:trPr>
        <w:tc>
          <w:tcPr>
            <w:tcW w:w="39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June 30, 2022</w:t>
            </w:r>
          </w:p>
        </w:tc>
        <w:tc>
          <w:tcPr>
            <w:tcW w:w="12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spacing w:after="0"/>
              <w:rPr>
                <w:sz w:val="15"/>
                <w:szCs w:val="15"/>
                <w:color w:val="auto"/>
              </w:rPr>
            </w:pPr>
          </w:p>
        </w:tc>
        <w:tc>
          <w:tcPr>
            <w:tcW w:w="80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980" w:type="dxa"/>
            <w:vAlign w:val="bottom"/>
            <w:tcBorders>
              <w:top w:val="single" w:sz="8" w:color="auto"/>
            </w:tcBorders>
            <w:shd w:val="clear" w:color="auto" w:fill="CCEEFF"/>
          </w:tcPr>
          <w:p>
            <w:pPr>
              <w:spacing w:after="0"/>
              <w:rPr>
                <w:sz w:val="15"/>
                <w:szCs w:val="15"/>
                <w:color w:val="auto"/>
              </w:rPr>
            </w:pPr>
          </w:p>
        </w:tc>
        <w:tc>
          <w:tcPr>
            <w:tcW w:w="6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spacing w:after="0"/>
              <w:rPr>
                <w:sz w:val="15"/>
                <w:szCs w:val="15"/>
                <w:color w:val="auto"/>
              </w:rPr>
            </w:pPr>
          </w:p>
        </w:tc>
        <w:tc>
          <w:tcPr>
            <w:tcW w:w="104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spacing w:after="0"/>
              <w:rPr>
                <w:sz w:val="15"/>
                <w:szCs w:val="15"/>
                <w:color w:val="auto"/>
              </w:rPr>
            </w:pPr>
          </w:p>
        </w:tc>
        <w:tc>
          <w:tcPr>
            <w:tcW w:w="100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tcBorders>
            <w:shd w:val="clear" w:color="auto" w:fill="CCEEFF"/>
          </w:tcPr>
          <w:p>
            <w:pPr>
              <w:spacing w:after="0"/>
              <w:rPr>
                <w:sz w:val="15"/>
                <w:szCs w:val="15"/>
                <w:color w:val="auto"/>
              </w:rPr>
            </w:pPr>
          </w:p>
        </w:tc>
        <w:tc>
          <w:tcPr>
            <w:tcW w:w="94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spacing w:after="0"/>
              <w:rPr>
                <w:sz w:val="15"/>
                <w:szCs w:val="15"/>
                <w:color w:val="auto"/>
              </w:rPr>
            </w:pPr>
          </w:p>
        </w:tc>
        <w:tc>
          <w:tcPr>
            <w:tcW w:w="920" w:type="dxa"/>
            <w:vAlign w:val="bottom"/>
            <w:tcBorders>
              <w:top w:val="single" w:sz="8" w:color="auto"/>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9"/>
        </w:trPr>
        <w:tc>
          <w:tcPr>
            <w:tcW w:w="4040" w:type="dxa"/>
            <w:vAlign w:val="bottom"/>
            <w:gridSpan w:val="2"/>
          </w:tcPr>
          <w:p>
            <w:pPr>
              <w:ind w:left="140"/>
              <w:spacing w:after="0" w:line="189" w:lineRule="exact"/>
              <w:rPr>
                <w:sz w:val="20"/>
                <w:szCs w:val="20"/>
                <w:color w:val="auto"/>
              </w:rPr>
            </w:pPr>
            <w:r>
              <w:rPr>
                <w:rFonts w:ascii="Arial" w:cs="Arial" w:eastAsia="Arial" w:hAnsi="Arial"/>
                <w:sz w:val="14"/>
                <w:szCs w:val="14"/>
                <w:color w:val="auto"/>
              </w:rPr>
              <w:t xml:space="preserve">Interest rate swap and swaption agreements, at fair value </w:t>
            </w:r>
            <w:r>
              <w:rPr>
                <w:rFonts w:ascii="Arial" w:cs="Arial" w:eastAsia="Arial" w:hAnsi="Arial"/>
                <w:sz w:val="18"/>
                <w:szCs w:val="18"/>
                <w:color w:val="auto"/>
                <w:vertAlign w:val="superscript"/>
              </w:rPr>
              <w:t>1</w:t>
            </w:r>
          </w:p>
        </w:tc>
        <w:tc>
          <w:tcPr>
            <w:tcW w:w="200" w:type="dxa"/>
            <w:vAlign w:val="bottom"/>
          </w:tcPr>
          <w:p>
            <w:pPr>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412</w:t>
            </w:r>
          </w:p>
        </w:tc>
        <w:tc>
          <w:tcPr>
            <w:tcW w:w="120" w:type="dxa"/>
            <w:vAlign w:val="bottom"/>
          </w:tcPr>
          <w:p>
            <w:pPr>
              <w:spacing w:after="0"/>
              <w:rPr>
                <w:sz w:val="16"/>
                <w:szCs w:val="16"/>
                <w:color w:val="auto"/>
              </w:rPr>
            </w:pP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80" w:type="dxa"/>
            <w:vAlign w:val="bottom"/>
          </w:tcPr>
          <w:p>
            <w:pPr>
              <w:ind w:left="820"/>
              <w:spacing w:after="0"/>
              <w:rPr>
                <w:sz w:val="20"/>
                <w:szCs w:val="20"/>
                <w:color w:val="auto"/>
              </w:rPr>
            </w:pPr>
            <w:r>
              <w:rPr>
                <w:rFonts w:ascii="Arial" w:cs="Arial" w:eastAsia="Arial" w:hAnsi="Arial"/>
                <w:sz w:val="14"/>
                <w:szCs w:val="14"/>
                <w:color w:val="auto"/>
                <w:w w:val="99"/>
              </w:rPr>
              <w:t>—</w:t>
            </w:r>
          </w:p>
        </w:tc>
        <w:tc>
          <w:tcPr>
            <w:tcW w:w="26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spacing w:after="0"/>
              <w:rPr>
                <w:sz w:val="20"/>
                <w:szCs w:val="20"/>
                <w:color w:val="auto"/>
              </w:rPr>
            </w:pPr>
            <w:r>
              <w:rPr>
                <w:rFonts w:ascii="Arial" w:cs="Arial" w:eastAsia="Arial" w:hAnsi="Arial"/>
                <w:sz w:val="14"/>
                <w:szCs w:val="14"/>
                <w:color w:val="auto"/>
              </w:rPr>
              <w:t>412</w:t>
            </w:r>
          </w:p>
        </w:tc>
        <w:tc>
          <w:tcPr>
            <w:tcW w:w="10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100" w:type="dxa"/>
            <w:vAlign w:val="bottom"/>
            <w:gridSpan w:val="2"/>
          </w:tcPr>
          <w:p>
            <w:pPr>
              <w:ind w:left="780"/>
              <w:spacing w:after="0"/>
              <w:rPr>
                <w:sz w:val="20"/>
                <w:szCs w:val="20"/>
                <w:color w:val="auto"/>
              </w:rPr>
            </w:pPr>
            <w:r>
              <w:rPr>
                <w:rFonts w:ascii="Arial" w:cs="Arial" w:eastAsia="Arial" w:hAnsi="Arial"/>
                <w:sz w:val="14"/>
                <w:szCs w:val="14"/>
                <w:color w:val="auto"/>
              </w:rPr>
              <w:t>—</w:t>
            </w: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(412)</w:t>
            </w:r>
          </w:p>
        </w:tc>
        <w:tc>
          <w:tcPr>
            <w:tcW w:w="120" w:type="dxa"/>
            <w:vAlign w:val="bottom"/>
          </w:tcPr>
          <w:p>
            <w:pPr>
              <w:spacing w:after="0"/>
              <w:rPr>
                <w:sz w:val="16"/>
                <w:szCs w:val="16"/>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2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9"/>
        </w:trPr>
        <w:tc>
          <w:tcPr>
            <w:tcW w:w="4040" w:type="dxa"/>
            <w:vAlign w:val="bottom"/>
            <w:gridSpan w:val="2"/>
            <w:shd w:val="clear" w:color="auto" w:fill="CCEEFF"/>
          </w:tcPr>
          <w:p>
            <w:pPr>
              <w:ind w:left="140"/>
              <w:spacing w:after="0" w:line="189" w:lineRule="exact"/>
              <w:rPr>
                <w:sz w:val="20"/>
                <w:szCs w:val="20"/>
                <w:color w:val="auto"/>
              </w:rPr>
            </w:pPr>
            <w:r>
              <w:rPr>
                <w:rFonts w:ascii="Arial" w:cs="Arial" w:eastAsia="Arial" w:hAnsi="Arial"/>
                <w:sz w:val="14"/>
                <w:szCs w:val="14"/>
                <w:color w:val="auto"/>
              </w:rPr>
              <w:t xml:space="preserve">TBA and forward settling non-Agency securities, at fair value </w:t>
            </w:r>
            <w:r>
              <w:rPr>
                <w:rFonts w:ascii="Arial" w:cs="Arial" w:eastAsia="Arial" w:hAnsi="Arial"/>
                <w:sz w:val="18"/>
                <w:szCs w:val="18"/>
                <w:color w:val="auto"/>
                <w:vertAlign w:val="superscript"/>
              </w:rPr>
              <w:t>1</w:t>
            </w:r>
          </w:p>
        </w:tc>
        <w:tc>
          <w:tcPr>
            <w:tcW w:w="20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96</w:t>
            </w: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980" w:type="dxa"/>
            <w:vAlign w:val="bottom"/>
            <w:shd w:val="clear" w:color="auto" w:fill="CCEEFF"/>
          </w:tcPr>
          <w:p>
            <w:pPr>
              <w:ind w:left="820"/>
              <w:spacing w:after="0"/>
              <w:rPr>
                <w:sz w:val="20"/>
                <w:szCs w:val="20"/>
                <w:color w:val="auto"/>
              </w:rPr>
            </w:pPr>
            <w:r>
              <w:rPr>
                <w:rFonts w:ascii="Arial" w:cs="Arial" w:eastAsia="Arial" w:hAnsi="Arial"/>
                <w:sz w:val="14"/>
                <w:szCs w:val="14"/>
                <w:color w:val="auto"/>
                <w:w w:val="99"/>
              </w:rPr>
              <w:t>—</w:t>
            </w:r>
          </w:p>
        </w:tc>
        <w:tc>
          <w:tcPr>
            <w:tcW w:w="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96</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(96)</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060" w:type="dxa"/>
            <w:vAlign w:val="bottom"/>
            <w:gridSpan w:val="2"/>
            <w:shd w:val="clear" w:color="auto" w:fill="CCEEFF"/>
          </w:tcPr>
          <w:p>
            <w:pPr>
              <w:ind w:left="7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6"/>
        </w:trPr>
        <w:tc>
          <w:tcPr>
            <w:tcW w:w="4040" w:type="dxa"/>
            <w:vAlign w:val="bottom"/>
            <w:tcBorders>
              <w:bottom w:val="single" w:sz="8" w:color="CCEEFF"/>
            </w:tcBorders>
            <w:gridSpan w:val="2"/>
          </w:tcPr>
          <w:p>
            <w:pPr>
              <w:ind w:left="140"/>
              <w:spacing w:after="0"/>
              <w:rPr>
                <w:sz w:val="20"/>
                <w:szCs w:val="20"/>
                <w:color w:val="auto"/>
              </w:rPr>
            </w:pPr>
            <w:r>
              <w:rPr>
                <w:rFonts w:ascii="Arial" w:cs="Arial" w:eastAsia="Arial" w:hAnsi="Arial"/>
                <w:sz w:val="14"/>
                <w:szCs w:val="14"/>
                <w:color w:val="auto"/>
              </w:rPr>
              <w:t>Receivable under reverse repurchase agreements</w:t>
            </w:r>
          </w:p>
        </w:tc>
        <w:tc>
          <w:tcPr>
            <w:tcW w:w="2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8,438</w:t>
            </w:r>
          </w:p>
        </w:tc>
        <w:tc>
          <w:tcPr>
            <w:tcW w:w="120" w:type="dxa"/>
            <w:vAlign w:val="bottom"/>
            <w:tcBorders>
              <w:bottom w:val="single" w:sz="8" w:color="CCEEFF"/>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ind w:left="820"/>
              <w:spacing w:after="0"/>
              <w:rPr>
                <w:sz w:val="20"/>
                <w:szCs w:val="20"/>
                <w:color w:val="auto"/>
              </w:rPr>
            </w:pPr>
            <w:r>
              <w:rPr>
                <w:rFonts w:ascii="Arial" w:cs="Arial" w:eastAsia="Arial" w:hAnsi="Arial"/>
                <w:sz w:val="14"/>
                <w:szCs w:val="14"/>
                <w:color w:val="auto"/>
                <w:w w:val="99"/>
              </w:rPr>
              <w:t>—</w:t>
            </w:r>
          </w:p>
        </w:tc>
        <w:tc>
          <w:tcPr>
            <w:tcW w:w="6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8,438</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(7,347)</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(1,091)</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11"/>
        </w:trPr>
        <w:tc>
          <w:tcPr>
            <w:tcW w:w="4040" w:type="dxa"/>
            <w:vAlign w:val="bottom"/>
            <w:tcBorders>
              <w:bottom w:val="single" w:sz="8" w:color="CCEEFF"/>
            </w:tcBorders>
            <w:gridSpan w:val="2"/>
            <w:shd w:val="clear" w:color="auto" w:fill="CCEEFF"/>
          </w:tcPr>
          <w:p>
            <w:pPr>
              <w:ind w:left="260"/>
              <w:spacing w:after="0"/>
              <w:rPr>
                <w:sz w:val="20"/>
                <w:szCs w:val="20"/>
                <w:color w:val="auto"/>
              </w:rPr>
            </w:pPr>
            <w:r>
              <w:rPr>
                <w:rFonts w:ascii="Arial" w:cs="Arial" w:eastAsia="Arial" w:hAnsi="Arial"/>
                <w:sz w:val="14"/>
                <w:szCs w:val="14"/>
                <w:color w:val="auto"/>
              </w:rPr>
              <w:t>Total</w:t>
            </w:r>
          </w:p>
        </w:tc>
        <w:tc>
          <w:tcPr>
            <w:tcW w:w="20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8,946</w:t>
            </w:r>
          </w:p>
        </w:tc>
        <w:tc>
          <w:tcPr>
            <w:tcW w:w="12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80" w:type="dxa"/>
            <w:vAlign w:val="bottom"/>
            <w:tcBorders>
              <w:bottom w:val="single" w:sz="8" w:color="auto"/>
            </w:tcBorders>
            <w:shd w:val="clear" w:color="auto" w:fill="CCEEFF"/>
          </w:tcPr>
          <w:p>
            <w:pPr>
              <w:ind w:left="820"/>
              <w:spacing w:after="0"/>
              <w:rPr>
                <w:sz w:val="20"/>
                <w:szCs w:val="20"/>
                <w:color w:val="auto"/>
              </w:rPr>
            </w:pPr>
            <w:r>
              <w:rPr>
                <w:rFonts w:ascii="Arial" w:cs="Arial" w:eastAsia="Arial" w:hAnsi="Arial"/>
                <w:sz w:val="14"/>
                <w:szCs w:val="14"/>
                <w:color w:val="auto"/>
                <w:w w:val="99"/>
              </w:rPr>
              <w:t>—</w:t>
            </w:r>
          </w:p>
        </w:tc>
        <w:tc>
          <w:tcPr>
            <w:tcW w:w="60" w:type="dxa"/>
            <w:vAlign w:val="bottom"/>
            <w:tcBorders>
              <w:bottom w:val="single" w:sz="8" w:color="auto"/>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8,946</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(7,443)</w:t>
            </w:r>
          </w:p>
        </w:tc>
        <w:tc>
          <w:tcPr>
            <w:tcW w:w="10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(1,503)</w:t>
            </w:r>
          </w:p>
        </w:tc>
        <w:tc>
          <w:tcPr>
            <w:tcW w:w="12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
        </w:trPr>
        <w:tc>
          <w:tcPr>
            <w:tcW w:w="39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39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9"/>
        </w:trPr>
        <w:tc>
          <w:tcPr>
            <w:tcW w:w="4040" w:type="dxa"/>
            <w:vAlign w:val="bottom"/>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December 31, 2021</w:t>
            </w:r>
          </w:p>
        </w:tc>
        <w:tc>
          <w:tcPr>
            <w:tcW w:w="20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98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9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4040" w:type="dxa"/>
            <w:vAlign w:val="bottom"/>
            <w:gridSpan w:val="2"/>
          </w:tcPr>
          <w:p>
            <w:pPr>
              <w:ind w:left="140"/>
              <w:spacing w:after="0" w:line="189" w:lineRule="exact"/>
              <w:rPr>
                <w:sz w:val="20"/>
                <w:szCs w:val="20"/>
                <w:color w:val="auto"/>
              </w:rPr>
            </w:pPr>
            <w:r>
              <w:rPr>
                <w:rFonts w:ascii="Arial" w:cs="Arial" w:eastAsia="Arial" w:hAnsi="Arial"/>
                <w:sz w:val="14"/>
                <w:szCs w:val="14"/>
                <w:color w:val="auto"/>
              </w:rPr>
              <w:t xml:space="preserve">Interest rate swap and swaption agreements, at fair value </w:t>
            </w:r>
            <w:r>
              <w:rPr>
                <w:rFonts w:ascii="Arial" w:cs="Arial" w:eastAsia="Arial" w:hAnsi="Arial"/>
                <w:sz w:val="18"/>
                <w:szCs w:val="18"/>
                <w:color w:val="auto"/>
                <w:vertAlign w:val="superscript"/>
              </w:rPr>
              <w:t>1</w:t>
            </w:r>
          </w:p>
        </w:tc>
        <w:tc>
          <w:tcPr>
            <w:tcW w:w="200" w:type="dxa"/>
            <w:vAlign w:val="bottom"/>
          </w:tcPr>
          <w:p>
            <w:pPr>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290</w:t>
            </w:r>
          </w:p>
        </w:tc>
        <w:tc>
          <w:tcPr>
            <w:tcW w:w="120" w:type="dxa"/>
            <w:vAlign w:val="bottom"/>
          </w:tcPr>
          <w:p>
            <w:pPr>
              <w:spacing w:after="0"/>
              <w:rPr>
                <w:sz w:val="16"/>
                <w:szCs w:val="16"/>
                <w:color w:val="auto"/>
              </w:rPr>
            </w:pP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80" w:type="dxa"/>
            <w:vAlign w:val="bottom"/>
          </w:tcPr>
          <w:p>
            <w:pPr>
              <w:ind w:left="820"/>
              <w:spacing w:after="0"/>
              <w:rPr>
                <w:sz w:val="20"/>
                <w:szCs w:val="20"/>
                <w:color w:val="auto"/>
              </w:rPr>
            </w:pPr>
            <w:r>
              <w:rPr>
                <w:rFonts w:ascii="Arial" w:cs="Arial" w:eastAsia="Arial" w:hAnsi="Arial"/>
                <w:sz w:val="14"/>
                <w:szCs w:val="14"/>
                <w:color w:val="auto"/>
                <w:w w:val="99"/>
              </w:rPr>
              <w:t>—</w:t>
            </w:r>
          </w:p>
        </w:tc>
        <w:tc>
          <w:tcPr>
            <w:tcW w:w="26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spacing w:after="0"/>
              <w:rPr>
                <w:sz w:val="20"/>
                <w:szCs w:val="20"/>
                <w:color w:val="auto"/>
              </w:rPr>
            </w:pPr>
            <w:r>
              <w:rPr>
                <w:rFonts w:ascii="Arial" w:cs="Arial" w:eastAsia="Arial" w:hAnsi="Arial"/>
                <w:sz w:val="14"/>
                <w:szCs w:val="14"/>
                <w:color w:val="auto"/>
              </w:rPr>
              <w:t>290</w:t>
            </w:r>
          </w:p>
        </w:tc>
        <w:tc>
          <w:tcPr>
            <w:tcW w:w="10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100" w:type="dxa"/>
            <w:vAlign w:val="bottom"/>
            <w:gridSpan w:val="2"/>
          </w:tcPr>
          <w:p>
            <w:pPr>
              <w:ind w:left="780"/>
              <w:spacing w:after="0"/>
              <w:rPr>
                <w:sz w:val="20"/>
                <w:szCs w:val="20"/>
                <w:color w:val="auto"/>
              </w:rPr>
            </w:pPr>
            <w:r>
              <w:rPr>
                <w:rFonts w:ascii="Arial" w:cs="Arial" w:eastAsia="Arial" w:hAnsi="Arial"/>
                <w:sz w:val="14"/>
                <w:szCs w:val="14"/>
                <w:color w:val="auto"/>
              </w:rPr>
              <w:t>—</w:t>
            </w: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(290)</w:t>
            </w:r>
          </w:p>
        </w:tc>
        <w:tc>
          <w:tcPr>
            <w:tcW w:w="120" w:type="dxa"/>
            <w:vAlign w:val="bottom"/>
          </w:tcPr>
          <w:p>
            <w:pPr>
              <w:spacing w:after="0"/>
              <w:rPr>
                <w:sz w:val="16"/>
                <w:szCs w:val="16"/>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2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9"/>
        </w:trPr>
        <w:tc>
          <w:tcPr>
            <w:tcW w:w="4040" w:type="dxa"/>
            <w:vAlign w:val="bottom"/>
            <w:gridSpan w:val="2"/>
            <w:shd w:val="clear" w:color="auto" w:fill="CCEEFF"/>
          </w:tcPr>
          <w:p>
            <w:pPr>
              <w:ind w:left="140"/>
              <w:spacing w:after="0" w:line="189" w:lineRule="exact"/>
              <w:rPr>
                <w:sz w:val="20"/>
                <w:szCs w:val="20"/>
                <w:color w:val="auto"/>
              </w:rPr>
            </w:pPr>
            <w:r>
              <w:rPr>
                <w:rFonts w:ascii="Arial" w:cs="Arial" w:eastAsia="Arial" w:hAnsi="Arial"/>
                <w:sz w:val="14"/>
                <w:szCs w:val="14"/>
                <w:color w:val="auto"/>
              </w:rPr>
              <w:t xml:space="preserve">TBA securities, at fair value </w:t>
            </w:r>
            <w:r>
              <w:rPr>
                <w:rFonts w:ascii="Arial" w:cs="Arial" w:eastAsia="Arial" w:hAnsi="Arial"/>
                <w:sz w:val="18"/>
                <w:szCs w:val="18"/>
                <w:color w:val="auto"/>
                <w:vertAlign w:val="superscript"/>
              </w:rPr>
              <w:t>1</w:t>
            </w:r>
          </w:p>
        </w:tc>
        <w:tc>
          <w:tcPr>
            <w:tcW w:w="20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w:t>
            </w: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980" w:type="dxa"/>
            <w:vAlign w:val="bottom"/>
            <w:shd w:val="clear" w:color="auto" w:fill="CCEEFF"/>
          </w:tcPr>
          <w:p>
            <w:pPr>
              <w:ind w:left="820"/>
              <w:spacing w:after="0"/>
              <w:rPr>
                <w:sz w:val="20"/>
                <w:szCs w:val="20"/>
                <w:color w:val="auto"/>
              </w:rPr>
            </w:pPr>
            <w:r>
              <w:rPr>
                <w:rFonts w:ascii="Arial" w:cs="Arial" w:eastAsia="Arial" w:hAnsi="Arial"/>
                <w:sz w:val="14"/>
                <w:szCs w:val="14"/>
                <w:color w:val="auto"/>
                <w:w w:val="99"/>
              </w:rPr>
              <w:t>—</w:t>
            </w:r>
          </w:p>
        </w:tc>
        <w:tc>
          <w:tcPr>
            <w:tcW w:w="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060" w:type="dxa"/>
            <w:vAlign w:val="bottom"/>
            <w:gridSpan w:val="2"/>
            <w:shd w:val="clear" w:color="auto" w:fill="CCEEFF"/>
          </w:tcPr>
          <w:p>
            <w:pPr>
              <w:ind w:left="7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6"/>
        </w:trPr>
        <w:tc>
          <w:tcPr>
            <w:tcW w:w="4040" w:type="dxa"/>
            <w:vAlign w:val="bottom"/>
            <w:tcBorders>
              <w:bottom w:val="single" w:sz="8" w:color="CCEEFF"/>
            </w:tcBorders>
            <w:gridSpan w:val="2"/>
          </w:tcPr>
          <w:p>
            <w:pPr>
              <w:ind w:left="140"/>
              <w:spacing w:after="0"/>
              <w:rPr>
                <w:sz w:val="20"/>
                <w:szCs w:val="20"/>
                <w:color w:val="auto"/>
              </w:rPr>
            </w:pPr>
            <w:r>
              <w:rPr>
                <w:rFonts w:ascii="Arial" w:cs="Arial" w:eastAsia="Arial" w:hAnsi="Arial"/>
                <w:sz w:val="14"/>
                <w:szCs w:val="14"/>
                <w:color w:val="auto"/>
              </w:rPr>
              <w:t>Receivable under reverse repurchase agreements</w:t>
            </w:r>
          </w:p>
        </w:tc>
        <w:tc>
          <w:tcPr>
            <w:tcW w:w="2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10,475</w:t>
            </w:r>
          </w:p>
        </w:tc>
        <w:tc>
          <w:tcPr>
            <w:tcW w:w="120" w:type="dxa"/>
            <w:vAlign w:val="bottom"/>
            <w:tcBorders>
              <w:bottom w:val="single" w:sz="8" w:color="CCEEFF"/>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ind w:left="820"/>
              <w:spacing w:after="0"/>
              <w:rPr>
                <w:sz w:val="20"/>
                <w:szCs w:val="20"/>
                <w:color w:val="auto"/>
              </w:rPr>
            </w:pPr>
            <w:r>
              <w:rPr>
                <w:rFonts w:ascii="Arial" w:cs="Arial" w:eastAsia="Arial" w:hAnsi="Arial"/>
                <w:sz w:val="14"/>
                <w:szCs w:val="14"/>
                <w:color w:val="auto"/>
                <w:w w:val="99"/>
              </w:rPr>
              <w:t>—</w:t>
            </w:r>
          </w:p>
        </w:tc>
        <w:tc>
          <w:tcPr>
            <w:tcW w:w="6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10,475</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(6,087)</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(4,381)</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w:t>
            </w:r>
          </w:p>
        </w:tc>
        <w:tc>
          <w:tcPr>
            <w:tcW w:w="0" w:type="dxa"/>
            <w:vAlign w:val="bottom"/>
          </w:tcPr>
          <w:p>
            <w:pPr>
              <w:spacing w:after="0"/>
              <w:rPr>
                <w:sz w:val="1"/>
                <w:szCs w:val="1"/>
                <w:color w:val="auto"/>
              </w:rPr>
            </w:pPr>
          </w:p>
        </w:tc>
      </w:tr>
      <w:tr>
        <w:trPr>
          <w:trHeight w:val="211"/>
        </w:trPr>
        <w:tc>
          <w:tcPr>
            <w:tcW w:w="4040" w:type="dxa"/>
            <w:vAlign w:val="bottom"/>
            <w:tcBorders>
              <w:bottom w:val="single" w:sz="8" w:color="CCEEFF"/>
            </w:tcBorders>
            <w:gridSpan w:val="2"/>
            <w:shd w:val="clear" w:color="auto" w:fill="CCEEFF"/>
          </w:tcPr>
          <w:p>
            <w:pPr>
              <w:ind w:left="260"/>
              <w:spacing w:after="0"/>
              <w:rPr>
                <w:sz w:val="20"/>
                <w:szCs w:val="20"/>
                <w:color w:val="auto"/>
              </w:rPr>
            </w:pPr>
            <w:r>
              <w:rPr>
                <w:rFonts w:ascii="Arial" w:cs="Arial" w:eastAsia="Arial" w:hAnsi="Arial"/>
                <w:sz w:val="14"/>
                <w:szCs w:val="14"/>
                <w:color w:val="auto"/>
              </w:rPr>
              <w:t>Total</w:t>
            </w:r>
          </w:p>
        </w:tc>
        <w:tc>
          <w:tcPr>
            <w:tcW w:w="20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10,792</w:t>
            </w:r>
          </w:p>
        </w:tc>
        <w:tc>
          <w:tcPr>
            <w:tcW w:w="12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80" w:type="dxa"/>
            <w:vAlign w:val="bottom"/>
            <w:tcBorders>
              <w:bottom w:val="single" w:sz="8" w:color="auto"/>
            </w:tcBorders>
            <w:shd w:val="clear" w:color="auto" w:fill="CCEEFF"/>
          </w:tcPr>
          <w:p>
            <w:pPr>
              <w:ind w:left="820"/>
              <w:spacing w:after="0"/>
              <w:rPr>
                <w:sz w:val="20"/>
                <w:szCs w:val="20"/>
                <w:color w:val="auto"/>
              </w:rPr>
            </w:pPr>
            <w:r>
              <w:rPr>
                <w:rFonts w:ascii="Arial" w:cs="Arial" w:eastAsia="Arial" w:hAnsi="Arial"/>
                <w:sz w:val="14"/>
                <w:szCs w:val="14"/>
                <w:color w:val="auto"/>
                <w:w w:val="99"/>
              </w:rPr>
              <w:t>—</w:t>
            </w:r>
          </w:p>
        </w:tc>
        <w:tc>
          <w:tcPr>
            <w:tcW w:w="60" w:type="dxa"/>
            <w:vAlign w:val="bottom"/>
            <w:tcBorders>
              <w:bottom w:val="single" w:sz="8" w:color="auto"/>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10,792</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(6,114)</w:t>
            </w:r>
          </w:p>
        </w:tc>
        <w:tc>
          <w:tcPr>
            <w:tcW w:w="10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(4,671)</w:t>
            </w:r>
          </w:p>
        </w:tc>
        <w:tc>
          <w:tcPr>
            <w:tcW w:w="12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w:t>
            </w:r>
          </w:p>
        </w:tc>
        <w:tc>
          <w:tcPr>
            <w:tcW w:w="0" w:type="dxa"/>
            <w:vAlign w:val="bottom"/>
          </w:tcPr>
          <w:p>
            <w:pPr>
              <w:spacing w:after="0"/>
              <w:rPr>
                <w:sz w:val="1"/>
                <w:szCs w:val="1"/>
                <w:color w:val="auto"/>
              </w:rPr>
            </w:pPr>
          </w:p>
        </w:tc>
      </w:tr>
      <w:tr>
        <w:trPr>
          <w:trHeight w:val="20"/>
        </w:trPr>
        <w:tc>
          <w:tcPr>
            <w:tcW w:w="39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26" w:lineRule="exact"/>
        <w:rPr>
          <w:sz w:val="20"/>
          <w:szCs w:val="20"/>
          <w:color w:val="auto"/>
        </w:rPr>
      </w:pPr>
    </w:p>
    <w:p>
      <w:pPr>
        <w:ind w:left="6120"/>
        <w:spacing w:after="0"/>
        <w:rPr>
          <w:sz w:val="20"/>
          <w:szCs w:val="20"/>
          <w:color w:val="auto"/>
        </w:rPr>
      </w:pPr>
      <w:r>
        <w:rPr>
          <w:rFonts w:ascii="Arial" w:cs="Arial" w:eastAsia="Arial" w:hAnsi="Arial"/>
          <w:sz w:val="14"/>
          <w:szCs w:val="14"/>
          <w:b w:val="1"/>
          <w:bCs w:val="1"/>
          <w:color w:val="auto"/>
        </w:rPr>
        <w:t>Offsetting of Financial and Derivative Liabilities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2559685</wp:posOffset>
            </wp:positionH>
            <wp:positionV relativeFrom="paragraph">
              <wp:posOffset>23495</wp:posOffset>
            </wp:positionV>
            <wp:extent cx="455168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4551680" cy="8890"/>
                    </a:xfrm>
                    <a:prstGeom prst="rect">
                      <a:avLst/>
                    </a:prstGeom>
                    <a:noFill/>
                  </pic:spPr>
                </pic:pic>
              </a:graphicData>
            </a:graphic>
          </wp:anchor>
        </w:drawing>
      </w:r>
    </w:p>
    <w:p>
      <w:pPr>
        <w:sectPr>
          <w:pgSz w:w="11900" w:h="16838" w:orient="portrait"/>
          <w:cols w:equalWidth="0" w:num="1">
            <w:col w:w="11240"/>
          </w:cols>
          <w:pgMar w:left="320" w:top="1089"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80"/>
        <w:spacing w:after="0"/>
        <w:rPr>
          <w:sz w:val="20"/>
          <w:szCs w:val="20"/>
          <w:color w:val="auto"/>
        </w:rPr>
      </w:pPr>
      <w:r>
        <w:rPr>
          <w:rFonts w:ascii="Arial" w:cs="Arial" w:eastAsia="Arial" w:hAnsi="Arial"/>
          <w:sz w:val="14"/>
          <w:szCs w:val="14"/>
          <w:b w:val="1"/>
          <w:bCs w:val="1"/>
          <w:color w:val="auto"/>
        </w:rPr>
        <w:t>June 30, 2022</w:t>
      </w:r>
    </w:p>
    <w:p>
      <w:pPr>
        <w:spacing w:after="0" w:line="27" w:lineRule="exact"/>
        <w:rPr>
          <w:sz w:val="20"/>
          <w:szCs w:val="20"/>
          <w:color w:val="auto"/>
        </w:rPr>
      </w:pPr>
    </w:p>
    <w:p>
      <w:pPr>
        <w:ind w:left="200"/>
        <w:spacing w:after="0" w:line="249" w:lineRule="auto"/>
        <w:rPr>
          <w:sz w:val="20"/>
          <w:szCs w:val="20"/>
          <w:color w:val="auto"/>
        </w:rPr>
      </w:pPr>
      <w:r>
        <w:rPr>
          <w:rFonts w:ascii="Arial" w:cs="Arial" w:eastAsia="Arial" w:hAnsi="Arial"/>
          <w:sz w:val="14"/>
          <w:szCs w:val="14"/>
          <w:color w:val="auto"/>
        </w:rPr>
        <w:t xml:space="preserve">TBA and forward settling non-Agency securities, at fair value </w:t>
      </w:r>
      <w:r>
        <w:rPr>
          <w:rFonts w:ascii="Arial" w:cs="Arial" w:eastAsia="Arial" w:hAnsi="Arial"/>
          <w:sz w:val="18"/>
          <w:szCs w:val="18"/>
          <w:color w:val="auto"/>
          <w:vertAlign w:val="superscript"/>
        </w:rPr>
        <w:t>1</w:t>
      </w:r>
      <w:r>
        <w:rPr>
          <w:rFonts w:ascii="Arial" w:cs="Arial" w:eastAsia="Arial" w:hAnsi="Arial"/>
          <w:sz w:val="14"/>
          <w:szCs w:val="14"/>
          <w:color w:val="auto"/>
        </w:rPr>
        <w:t xml:space="preserve"> Repurchase agreements</w:t>
      </w:r>
    </w:p>
    <w:p>
      <w:pPr>
        <w:spacing w:after="0" w:line="42" w:lineRule="exact"/>
        <w:rPr>
          <w:sz w:val="20"/>
          <w:szCs w:val="20"/>
          <w:color w:val="auto"/>
        </w:rPr>
      </w:pPr>
    </w:p>
    <w:p>
      <w:pPr>
        <w:ind w:left="320"/>
        <w:spacing w:after="0"/>
        <w:rPr>
          <w:sz w:val="20"/>
          <w:szCs w:val="20"/>
          <w:color w:val="auto"/>
        </w:rPr>
      </w:pPr>
      <w:r>
        <w:rPr>
          <w:rFonts w:ascii="Arial" w:cs="Arial" w:eastAsia="Arial" w:hAnsi="Arial"/>
          <w:sz w:val="14"/>
          <w:szCs w:val="14"/>
          <w:color w:val="auto"/>
        </w:rPr>
        <w:t>Total</w:t>
      </w:r>
    </w:p>
    <w:p>
      <w:pPr>
        <w:spacing w:after="0" w:line="240" w:lineRule="exact"/>
        <w:rPr>
          <w:sz w:val="20"/>
          <w:szCs w:val="20"/>
          <w:color w:val="auto"/>
        </w:rPr>
      </w:pPr>
    </w:p>
    <w:p>
      <w:pPr>
        <w:ind w:left="80"/>
        <w:spacing w:after="0"/>
        <w:rPr>
          <w:sz w:val="20"/>
          <w:szCs w:val="20"/>
          <w:color w:val="auto"/>
        </w:rPr>
      </w:pPr>
      <w:r>
        <w:rPr>
          <w:rFonts w:ascii="Arial" w:cs="Arial" w:eastAsia="Arial" w:hAnsi="Arial"/>
          <w:sz w:val="14"/>
          <w:szCs w:val="14"/>
          <w:b w:val="1"/>
          <w:bCs w:val="1"/>
          <w:color w:val="auto"/>
        </w:rPr>
        <w:t>December 31, 2021</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4"/>
          <w:szCs w:val="14"/>
          <w:color w:val="auto"/>
        </w:rPr>
        <w:t>Repurchase agreements</w:t>
      </w:r>
    </w:p>
    <w:p>
      <w:pPr>
        <w:spacing w:after="0" w:line="69" w:lineRule="exact"/>
        <w:rPr>
          <w:sz w:val="20"/>
          <w:szCs w:val="20"/>
          <w:color w:val="auto"/>
        </w:rPr>
      </w:pPr>
    </w:p>
    <w:p>
      <w:pPr>
        <w:ind w:left="320"/>
        <w:spacing w:after="0"/>
        <w:rPr>
          <w:sz w:val="20"/>
          <w:szCs w:val="20"/>
          <w:color w:val="auto"/>
        </w:rPr>
      </w:pPr>
      <w:r>
        <w:rPr>
          <w:rFonts w:ascii="Arial" w:cs="Arial" w:eastAsia="Arial" w:hAnsi="Arial"/>
          <w:sz w:val="14"/>
          <w:szCs w:val="14"/>
          <w:color w:val="auto"/>
        </w:rPr>
        <w:t>Total</w:t>
      </w:r>
    </w:p>
    <w:p>
      <w:pPr>
        <w:spacing w:after="0" w:line="157"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spacing w:after="0" w:line="20" w:lineRule="exact"/>
        <w:rPr>
          <w:sz w:val="20"/>
          <w:szCs w:val="20"/>
          <w:color w:val="auto"/>
        </w:rPr>
      </w:pPr>
      <w:r>
        <w:rPr>
          <w:sz w:val="20"/>
          <w:szCs w:val="20"/>
          <w:color w:val="auto"/>
        </w:rPr>
        <w:br w:type="column"/>
      </w:r>
    </w:p>
    <w:p>
      <w:pPr>
        <w:spacing w:after="0" w:line="11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1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320" w:type="dxa"/>
            <w:vAlign w:val="bottom"/>
            <w:gridSpan w:val="5"/>
          </w:tcPr>
          <w:p>
            <w:pPr>
              <w:jc w:val="center"/>
              <w:ind w:right="220"/>
              <w:spacing w:after="0"/>
              <w:rPr>
                <w:sz w:val="20"/>
                <w:szCs w:val="20"/>
                <w:color w:val="auto"/>
              </w:rPr>
            </w:pPr>
            <w:r>
              <w:rPr>
                <w:rFonts w:ascii="Arial" w:cs="Arial" w:eastAsia="Arial" w:hAnsi="Arial"/>
                <w:sz w:val="14"/>
                <w:szCs w:val="14"/>
                <w:b w:val="1"/>
                <w:bCs w:val="1"/>
                <w:color w:val="auto"/>
                <w:w w:val="91"/>
              </w:rPr>
              <w:t>Gross Amounts Not Offset</w:t>
            </w:r>
          </w:p>
        </w:tc>
        <w:tc>
          <w:tcPr>
            <w:tcW w:w="1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1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80" w:type="dxa"/>
            <w:vAlign w:val="bottom"/>
            <w:gridSpan w:val="3"/>
          </w:tcPr>
          <w:p>
            <w:pPr>
              <w:jc w:val="center"/>
              <w:ind w:left="748"/>
              <w:spacing w:after="0" w:line="135" w:lineRule="exact"/>
              <w:rPr>
                <w:sz w:val="20"/>
                <w:szCs w:val="20"/>
                <w:color w:val="auto"/>
              </w:rPr>
            </w:pPr>
            <w:r>
              <w:rPr>
                <w:rFonts w:ascii="Arial" w:cs="Arial" w:eastAsia="Arial" w:hAnsi="Arial"/>
                <w:sz w:val="14"/>
                <w:szCs w:val="14"/>
                <w:b w:val="1"/>
                <w:bCs w:val="1"/>
                <w:color w:val="auto"/>
                <w:w w:val="90"/>
              </w:rPr>
              <w:t>in the</w:t>
            </w:r>
          </w:p>
        </w:tc>
        <w:tc>
          <w:tcPr>
            <w:tcW w:w="9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9"/>
        </w:trPr>
        <w:tc>
          <w:tcPr>
            <w:tcW w:w="1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2"/>
              </w:rPr>
              <w:t>Net Amounts of</w:t>
            </w:r>
          </w:p>
        </w:tc>
        <w:tc>
          <w:tcPr>
            <w:tcW w:w="120" w:type="dxa"/>
            <w:vAlign w:val="bottom"/>
          </w:tcPr>
          <w:p>
            <w:pPr>
              <w:spacing w:after="0"/>
              <w:rPr>
                <w:sz w:val="16"/>
                <w:szCs w:val="16"/>
                <w:color w:val="auto"/>
              </w:rPr>
            </w:pPr>
          </w:p>
        </w:tc>
        <w:tc>
          <w:tcPr>
            <w:tcW w:w="2320" w:type="dxa"/>
            <w:vAlign w:val="bottom"/>
            <w:gridSpan w:val="5"/>
          </w:tcPr>
          <w:p>
            <w:pPr>
              <w:jc w:val="center"/>
              <w:ind w:right="240"/>
              <w:spacing w:after="0"/>
              <w:rPr>
                <w:sz w:val="20"/>
                <w:szCs w:val="20"/>
                <w:color w:val="auto"/>
              </w:rPr>
            </w:pPr>
            <w:r>
              <w:rPr>
                <w:rFonts w:ascii="Arial" w:cs="Arial" w:eastAsia="Arial" w:hAnsi="Arial"/>
                <w:sz w:val="14"/>
                <w:szCs w:val="14"/>
                <w:b w:val="1"/>
                <w:bCs w:val="1"/>
                <w:color w:val="auto"/>
                <w:w w:val="89"/>
              </w:rPr>
              <w:t>Consolidated Balance Sheets</w:t>
            </w:r>
          </w:p>
        </w:tc>
        <w:tc>
          <w:tcPr>
            <w:tcW w:w="12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5"/>
        </w:trPr>
        <w:tc>
          <w:tcPr>
            <w:tcW w:w="112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Gross Amounts</w:t>
            </w:r>
          </w:p>
        </w:tc>
        <w:tc>
          <w:tcPr>
            <w:tcW w:w="100" w:type="dxa"/>
            <w:vAlign w:val="bottom"/>
          </w:tcPr>
          <w:p>
            <w:pPr>
              <w:spacing w:after="0"/>
              <w:rPr>
                <w:sz w:val="10"/>
                <w:szCs w:val="10"/>
                <w:color w:val="auto"/>
              </w:rPr>
            </w:pPr>
          </w:p>
        </w:tc>
        <w:tc>
          <w:tcPr>
            <w:tcW w:w="1200" w:type="dxa"/>
            <w:vAlign w:val="bottom"/>
            <w:gridSpan w:val="2"/>
          </w:tcPr>
          <w:p>
            <w:pPr>
              <w:jc w:val="center"/>
              <w:ind w:right="240"/>
              <w:spacing w:after="0" w:line="115" w:lineRule="exact"/>
              <w:rPr>
                <w:sz w:val="20"/>
                <w:szCs w:val="20"/>
                <w:color w:val="auto"/>
              </w:rPr>
            </w:pPr>
            <w:r>
              <w:rPr>
                <w:rFonts w:ascii="Arial" w:cs="Arial" w:eastAsia="Arial" w:hAnsi="Arial"/>
                <w:sz w:val="13"/>
                <w:szCs w:val="13"/>
                <w:b w:val="1"/>
                <w:bCs w:val="1"/>
                <w:color w:val="auto"/>
                <w:w w:val="98"/>
              </w:rPr>
              <w:t>Gross Amounts</w:t>
            </w:r>
          </w:p>
        </w:tc>
        <w:tc>
          <w:tcPr>
            <w:tcW w:w="100" w:type="dxa"/>
            <w:vAlign w:val="bottom"/>
          </w:tcPr>
          <w:p>
            <w:pPr>
              <w:spacing w:after="0"/>
              <w:rPr>
                <w:sz w:val="10"/>
                <w:szCs w:val="10"/>
                <w:color w:val="auto"/>
              </w:rPr>
            </w:pPr>
          </w:p>
        </w:tc>
        <w:tc>
          <w:tcPr>
            <w:tcW w:w="1140" w:type="dxa"/>
            <w:vAlign w:val="bottom"/>
            <w:gridSpan w:val="2"/>
          </w:tcPr>
          <w:p>
            <w:pPr>
              <w:jc w:val="center"/>
              <w:ind w:right="220"/>
              <w:spacing w:after="0" w:line="115" w:lineRule="exact"/>
              <w:rPr>
                <w:sz w:val="20"/>
                <w:szCs w:val="20"/>
                <w:color w:val="auto"/>
              </w:rPr>
            </w:pPr>
            <w:r>
              <w:rPr>
                <w:rFonts w:ascii="Arial" w:cs="Arial" w:eastAsia="Arial" w:hAnsi="Arial"/>
                <w:sz w:val="13"/>
                <w:szCs w:val="13"/>
                <w:b w:val="1"/>
                <w:bCs w:val="1"/>
                <w:color w:val="auto"/>
                <w:w w:val="99"/>
              </w:rPr>
              <w:t>Liabilities</w:t>
            </w:r>
          </w:p>
        </w:tc>
        <w:tc>
          <w:tcPr>
            <w:tcW w:w="120" w:type="dxa"/>
            <w:vAlign w:val="bottom"/>
            <w:tcBorders>
              <w:top w:val="single" w:sz="8" w:color="auto"/>
            </w:tcBorders>
          </w:tcPr>
          <w:p>
            <w:pPr>
              <w:spacing w:after="0"/>
              <w:rPr>
                <w:sz w:val="10"/>
                <w:szCs w:val="10"/>
                <w:color w:val="auto"/>
              </w:rPr>
            </w:pPr>
          </w:p>
        </w:tc>
        <w:tc>
          <w:tcPr>
            <w:tcW w:w="94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940" w:type="dxa"/>
            <w:vAlign w:val="bottom"/>
            <w:tcBorders>
              <w:top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5"/>
        </w:trPr>
        <w:tc>
          <w:tcPr>
            <w:tcW w:w="1120" w:type="dxa"/>
            <w:vAlign w:val="bottom"/>
            <w:gridSpan w:val="3"/>
            <w:vMerge w:val="continue"/>
          </w:tcPr>
          <w:p>
            <w:pPr>
              <w:spacing w:after="0"/>
              <w:rPr>
                <w:sz w:val="11"/>
                <w:szCs w:val="11"/>
                <w:color w:val="auto"/>
              </w:rPr>
            </w:pPr>
          </w:p>
        </w:tc>
        <w:tc>
          <w:tcPr>
            <w:tcW w:w="100" w:type="dxa"/>
            <w:vAlign w:val="bottom"/>
          </w:tcPr>
          <w:p>
            <w:pPr>
              <w:spacing w:after="0"/>
              <w:rPr>
                <w:sz w:val="11"/>
                <w:szCs w:val="11"/>
                <w:color w:val="auto"/>
              </w:rPr>
            </w:pPr>
          </w:p>
        </w:tc>
        <w:tc>
          <w:tcPr>
            <w:tcW w:w="1200" w:type="dxa"/>
            <w:vAlign w:val="bottom"/>
            <w:gridSpan w:val="2"/>
          </w:tcPr>
          <w:p>
            <w:pPr>
              <w:jc w:val="center"/>
              <w:ind w:right="240"/>
              <w:spacing w:after="0" w:line="135" w:lineRule="exact"/>
              <w:rPr>
                <w:sz w:val="20"/>
                <w:szCs w:val="20"/>
                <w:color w:val="auto"/>
              </w:rPr>
            </w:pPr>
            <w:r>
              <w:rPr>
                <w:rFonts w:ascii="Arial" w:cs="Arial" w:eastAsia="Arial" w:hAnsi="Arial"/>
                <w:sz w:val="14"/>
                <w:szCs w:val="14"/>
                <w:b w:val="1"/>
                <w:bCs w:val="1"/>
                <w:color w:val="auto"/>
                <w:w w:val="92"/>
              </w:rPr>
              <w:t>Offset in the</w:t>
            </w:r>
          </w:p>
        </w:tc>
        <w:tc>
          <w:tcPr>
            <w:tcW w:w="1240" w:type="dxa"/>
            <w:vAlign w:val="bottom"/>
            <w:gridSpan w:val="3"/>
          </w:tcPr>
          <w:p>
            <w:pPr>
              <w:jc w:val="center"/>
              <w:ind w:right="120"/>
              <w:spacing w:after="0" w:line="135" w:lineRule="exact"/>
              <w:rPr>
                <w:sz w:val="20"/>
                <w:szCs w:val="20"/>
                <w:color w:val="auto"/>
              </w:rPr>
            </w:pPr>
            <w:r>
              <w:rPr>
                <w:rFonts w:ascii="Arial" w:cs="Arial" w:eastAsia="Arial" w:hAnsi="Arial"/>
                <w:sz w:val="14"/>
                <w:szCs w:val="14"/>
                <w:b w:val="1"/>
                <w:bCs w:val="1"/>
                <w:color w:val="auto"/>
                <w:w w:val="91"/>
              </w:rPr>
              <w:t>Presented in the</w:t>
            </w:r>
          </w:p>
        </w:tc>
        <w:tc>
          <w:tcPr>
            <w:tcW w:w="120" w:type="dxa"/>
            <w:vAlign w:val="bottom"/>
          </w:tcPr>
          <w:p>
            <w:pPr>
              <w:spacing w:after="0"/>
              <w:rPr>
                <w:sz w:val="11"/>
                <w:szCs w:val="11"/>
                <w:color w:val="auto"/>
              </w:rPr>
            </w:pPr>
          </w:p>
        </w:tc>
        <w:tc>
          <w:tcPr>
            <w:tcW w:w="1060" w:type="dxa"/>
            <w:vAlign w:val="bottom"/>
            <w:gridSpan w:val="2"/>
            <w:vMerge w:val="restart"/>
          </w:tcPr>
          <w:p>
            <w:pPr>
              <w:ind w:left="120"/>
              <w:spacing w:after="0"/>
              <w:rPr>
                <w:sz w:val="20"/>
                <w:szCs w:val="20"/>
                <w:color w:val="auto"/>
              </w:rPr>
            </w:pPr>
            <w:r>
              <w:rPr>
                <w:rFonts w:ascii="Arial" w:cs="Arial" w:eastAsia="Arial" w:hAnsi="Arial"/>
                <w:sz w:val="14"/>
                <w:szCs w:val="14"/>
                <w:b w:val="1"/>
                <w:bCs w:val="1"/>
                <w:color w:val="auto"/>
              </w:rPr>
              <w:t>Financial</w:t>
            </w:r>
          </w:p>
        </w:tc>
        <w:tc>
          <w:tcPr>
            <w:tcW w:w="220" w:type="dxa"/>
            <w:vAlign w:val="bottom"/>
          </w:tcPr>
          <w:p>
            <w:pPr>
              <w:spacing w:after="0"/>
              <w:rPr>
                <w:sz w:val="11"/>
                <w:szCs w:val="11"/>
                <w:color w:val="auto"/>
              </w:rPr>
            </w:pPr>
          </w:p>
        </w:tc>
        <w:tc>
          <w:tcPr>
            <w:tcW w:w="104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Collateral</w:t>
            </w:r>
          </w:p>
        </w:tc>
        <w:tc>
          <w:tcPr>
            <w:tcW w:w="1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1120" w:type="dxa"/>
            <w:vAlign w:val="bottom"/>
            <w:gridSpan w:val="3"/>
          </w:tcPr>
          <w:p>
            <w:pPr>
              <w:ind w:left="60"/>
              <w:spacing w:after="0" w:line="135" w:lineRule="exact"/>
              <w:rPr>
                <w:sz w:val="20"/>
                <w:szCs w:val="20"/>
                <w:color w:val="auto"/>
              </w:rPr>
            </w:pPr>
            <w:r>
              <w:rPr>
                <w:rFonts w:ascii="Arial" w:cs="Arial" w:eastAsia="Arial" w:hAnsi="Arial"/>
                <w:sz w:val="14"/>
                <w:szCs w:val="14"/>
                <w:b w:val="1"/>
                <w:bCs w:val="1"/>
                <w:color w:val="auto"/>
              </w:rPr>
              <w:t>of Recognized</w:t>
            </w:r>
          </w:p>
        </w:tc>
        <w:tc>
          <w:tcPr>
            <w:tcW w:w="100" w:type="dxa"/>
            <w:vAlign w:val="bottom"/>
          </w:tcPr>
          <w:p>
            <w:pPr>
              <w:spacing w:after="0"/>
              <w:rPr>
                <w:sz w:val="11"/>
                <w:szCs w:val="11"/>
                <w:color w:val="auto"/>
              </w:rPr>
            </w:pPr>
          </w:p>
        </w:tc>
        <w:tc>
          <w:tcPr>
            <w:tcW w:w="1200" w:type="dxa"/>
            <w:vAlign w:val="bottom"/>
            <w:gridSpan w:val="2"/>
          </w:tcPr>
          <w:p>
            <w:pPr>
              <w:jc w:val="center"/>
              <w:ind w:right="240"/>
              <w:spacing w:after="0" w:line="135" w:lineRule="exact"/>
              <w:rPr>
                <w:sz w:val="20"/>
                <w:szCs w:val="20"/>
                <w:color w:val="auto"/>
              </w:rPr>
            </w:pPr>
            <w:r>
              <w:rPr>
                <w:rFonts w:ascii="Arial" w:cs="Arial" w:eastAsia="Arial" w:hAnsi="Arial"/>
                <w:sz w:val="14"/>
                <w:szCs w:val="14"/>
                <w:b w:val="1"/>
                <w:bCs w:val="1"/>
                <w:color w:val="auto"/>
                <w:w w:val="90"/>
              </w:rPr>
              <w:t>Consolidated</w:t>
            </w:r>
          </w:p>
        </w:tc>
        <w:tc>
          <w:tcPr>
            <w:tcW w:w="100" w:type="dxa"/>
            <w:vAlign w:val="bottom"/>
          </w:tcPr>
          <w:p>
            <w:pPr>
              <w:spacing w:after="0"/>
              <w:rPr>
                <w:sz w:val="11"/>
                <w:szCs w:val="11"/>
                <w:color w:val="auto"/>
              </w:rPr>
            </w:pPr>
          </w:p>
        </w:tc>
        <w:tc>
          <w:tcPr>
            <w:tcW w:w="1140" w:type="dxa"/>
            <w:vAlign w:val="bottom"/>
            <w:gridSpan w:val="2"/>
          </w:tcPr>
          <w:p>
            <w:pPr>
              <w:jc w:val="center"/>
              <w:ind w:right="220"/>
              <w:spacing w:after="0" w:line="135" w:lineRule="exact"/>
              <w:rPr>
                <w:sz w:val="20"/>
                <w:szCs w:val="20"/>
                <w:color w:val="auto"/>
              </w:rPr>
            </w:pPr>
            <w:r>
              <w:rPr>
                <w:rFonts w:ascii="Arial" w:cs="Arial" w:eastAsia="Arial" w:hAnsi="Arial"/>
                <w:sz w:val="14"/>
                <w:szCs w:val="14"/>
                <w:b w:val="1"/>
                <w:bCs w:val="1"/>
                <w:color w:val="auto"/>
                <w:w w:val="90"/>
              </w:rPr>
              <w:t>Consolidated</w:t>
            </w:r>
          </w:p>
        </w:tc>
        <w:tc>
          <w:tcPr>
            <w:tcW w:w="120" w:type="dxa"/>
            <w:vAlign w:val="bottom"/>
          </w:tcPr>
          <w:p>
            <w:pPr>
              <w:spacing w:after="0"/>
              <w:rPr>
                <w:sz w:val="11"/>
                <w:szCs w:val="11"/>
                <w:color w:val="auto"/>
              </w:rPr>
            </w:pPr>
          </w:p>
        </w:tc>
        <w:tc>
          <w:tcPr>
            <w:tcW w:w="1060" w:type="dxa"/>
            <w:vAlign w:val="bottom"/>
            <w:gridSpan w:val="2"/>
            <w:vMerge w:val="continue"/>
          </w:tcPr>
          <w:p>
            <w:pPr>
              <w:spacing w:after="0"/>
              <w:rPr>
                <w:sz w:val="11"/>
                <w:szCs w:val="11"/>
                <w:color w:val="auto"/>
              </w:rPr>
            </w:pPr>
          </w:p>
        </w:tc>
        <w:tc>
          <w:tcPr>
            <w:tcW w:w="220" w:type="dxa"/>
            <w:vAlign w:val="bottom"/>
          </w:tcPr>
          <w:p>
            <w:pPr>
              <w:spacing w:after="0"/>
              <w:rPr>
                <w:sz w:val="11"/>
                <w:szCs w:val="11"/>
                <w:color w:val="auto"/>
              </w:rPr>
            </w:pPr>
          </w:p>
        </w:tc>
        <w:tc>
          <w:tcPr>
            <w:tcW w:w="104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94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Net Amount</w:t>
            </w:r>
          </w:p>
        </w:tc>
        <w:tc>
          <w:tcPr>
            <w:tcW w:w="0" w:type="dxa"/>
            <w:vAlign w:val="bottom"/>
          </w:tcPr>
          <w:p>
            <w:pPr>
              <w:spacing w:after="0"/>
              <w:rPr>
                <w:sz w:val="1"/>
                <w:szCs w:val="1"/>
                <w:color w:val="auto"/>
              </w:rPr>
            </w:pPr>
          </w:p>
        </w:tc>
      </w:tr>
      <w:tr>
        <w:trPr>
          <w:trHeight w:val="189"/>
        </w:trPr>
        <w:tc>
          <w:tcPr>
            <w:tcW w:w="12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Liabilities</w:t>
            </w: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center"/>
              <w:ind w:right="69"/>
              <w:spacing w:after="0"/>
              <w:rPr>
                <w:sz w:val="20"/>
                <w:szCs w:val="20"/>
                <w:color w:val="auto"/>
              </w:rPr>
            </w:pPr>
            <w:r>
              <w:rPr>
                <w:rFonts w:ascii="Arial" w:cs="Arial" w:eastAsia="Arial" w:hAnsi="Arial"/>
                <w:sz w:val="14"/>
                <w:szCs w:val="14"/>
                <w:b w:val="1"/>
                <w:bCs w:val="1"/>
                <w:color w:val="auto"/>
                <w:w w:val="88"/>
              </w:rPr>
              <w:t>Balance Sheets</w:t>
            </w:r>
          </w:p>
        </w:tc>
        <w:tc>
          <w:tcPr>
            <w:tcW w:w="10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center"/>
              <w:ind w:right="49"/>
              <w:spacing w:after="0"/>
              <w:rPr>
                <w:sz w:val="20"/>
                <w:szCs w:val="20"/>
                <w:color w:val="auto"/>
              </w:rPr>
            </w:pPr>
            <w:r>
              <w:rPr>
                <w:rFonts w:ascii="Arial" w:cs="Arial" w:eastAsia="Arial" w:hAnsi="Arial"/>
                <w:sz w:val="14"/>
                <w:szCs w:val="14"/>
                <w:b w:val="1"/>
                <w:bCs w:val="1"/>
                <w:color w:val="auto"/>
                <w:w w:val="88"/>
              </w:rPr>
              <w:t>Balance Sheets</w:t>
            </w: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w w:val="94"/>
              </w:rPr>
              <w:t>Instruments</w:t>
            </w:r>
          </w:p>
        </w:tc>
        <w:tc>
          <w:tcPr>
            <w:tcW w:w="1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228"/>
              <w:spacing w:after="0" w:line="189" w:lineRule="exact"/>
              <w:rPr>
                <w:sz w:val="20"/>
                <w:szCs w:val="20"/>
                <w:color w:val="auto"/>
              </w:rPr>
            </w:pPr>
            <w:r>
              <w:rPr>
                <w:rFonts w:ascii="Arial" w:cs="Arial" w:eastAsia="Arial" w:hAnsi="Arial"/>
                <w:sz w:val="14"/>
                <w:szCs w:val="14"/>
                <w:b w:val="1"/>
                <w:bCs w:val="1"/>
                <w:color w:val="auto"/>
                <w:w w:val="95"/>
              </w:rPr>
              <w:t xml:space="preserve">Pledged </w:t>
            </w:r>
            <w:r>
              <w:rPr>
                <w:rFonts w:ascii="Arial" w:cs="Arial" w:eastAsia="Arial" w:hAnsi="Arial"/>
                <w:sz w:val="18"/>
                <w:szCs w:val="18"/>
                <w:b w:val="1"/>
                <w:bCs w:val="1"/>
                <w:color w:val="auto"/>
                <w:w w:val="95"/>
                <w:vertAlign w:val="superscript"/>
              </w:rPr>
              <w:t>2</w:t>
            </w: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359"/>
        </w:trPr>
        <w:tc>
          <w:tcPr>
            <w:tcW w:w="120" w:type="dxa"/>
            <w:vAlign w:val="bottom"/>
          </w:tcPr>
          <w:p>
            <w:pPr>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204</w:t>
            </w:r>
          </w:p>
        </w:tc>
        <w:tc>
          <w:tcPr>
            <w:tcW w:w="12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200" w:type="dxa"/>
            <w:vAlign w:val="bottom"/>
            <w:gridSpan w:val="2"/>
          </w:tcPr>
          <w:p>
            <w:pPr>
              <w:ind w:left="880"/>
              <w:spacing w:after="0"/>
              <w:rPr>
                <w:sz w:val="20"/>
                <w:szCs w:val="20"/>
                <w:color w:val="auto"/>
              </w:rPr>
            </w:pPr>
            <w:r>
              <w:rPr>
                <w:rFonts w:ascii="Arial" w:cs="Arial" w:eastAsia="Arial" w:hAnsi="Arial"/>
                <w:sz w:val="14"/>
                <w:szCs w:val="14"/>
                <w:color w:val="auto"/>
              </w:rPr>
              <w:t>—</w:t>
            </w:r>
          </w:p>
        </w:tc>
        <w:tc>
          <w:tcPr>
            <w:tcW w:w="10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Pr>
          <w:p>
            <w:pPr>
              <w:jc w:val="right"/>
              <w:ind w:right="9"/>
              <w:spacing w:after="0"/>
              <w:rPr>
                <w:sz w:val="20"/>
                <w:szCs w:val="20"/>
                <w:color w:val="auto"/>
              </w:rPr>
            </w:pPr>
            <w:r>
              <w:rPr>
                <w:rFonts w:ascii="Arial" w:cs="Arial" w:eastAsia="Arial" w:hAnsi="Arial"/>
                <w:sz w:val="14"/>
                <w:szCs w:val="14"/>
                <w:color w:val="auto"/>
              </w:rPr>
              <w:t>204</w:t>
            </w:r>
          </w:p>
        </w:tc>
        <w:tc>
          <w:tcPr>
            <w:tcW w:w="10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(96)</w:t>
            </w:r>
          </w:p>
        </w:tc>
        <w:tc>
          <w:tcPr>
            <w:tcW w:w="120" w:type="dxa"/>
            <w:vAlign w:val="bottom"/>
          </w:tcPr>
          <w:p>
            <w:pPr>
              <w:spacing w:after="0"/>
              <w:rPr>
                <w:sz w:val="24"/>
                <w:szCs w:val="24"/>
                <w:color w:val="auto"/>
              </w:rPr>
            </w:pP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(108)</w:t>
            </w:r>
          </w:p>
        </w:tc>
        <w:tc>
          <w:tcPr>
            <w:tcW w:w="10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tcPr>
          <w:p>
            <w:pPr>
              <w:ind w:left="7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95"/>
        </w:trPr>
        <w:tc>
          <w:tcPr>
            <w:tcW w:w="12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43,153</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0" w:type="dxa"/>
            <w:vAlign w:val="bottom"/>
            <w:gridSpan w:val="2"/>
          </w:tcPr>
          <w:p>
            <w:pPr>
              <w:ind w:left="88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040" w:type="dxa"/>
            <w:vAlign w:val="bottom"/>
          </w:tcPr>
          <w:p>
            <w:pPr>
              <w:jc w:val="right"/>
              <w:ind w:right="9"/>
              <w:spacing w:after="0"/>
              <w:rPr>
                <w:sz w:val="20"/>
                <w:szCs w:val="20"/>
                <w:color w:val="auto"/>
              </w:rPr>
            </w:pPr>
            <w:r>
              <w:rPr>
                <w:rFonts w:ascii="Arial" w:cs="Arial" w:eastAsia="Arial" w:hAnsi="Arial"/>
                <w:sz w:val="14"/>
                <w:szCs w:val="14"/>
                <w:color w:val="auto"/>
              </w:rPr>
              <w:t>43,153</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(7,347)</w:t>
            </w: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(35,806)</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40" w:type="dxa"/>
            <w:vAlign w:val="bottom"/>
          </w:tcPr>
          <w:p>
            <w:pPr>
              <w:ind w:left="7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5"/>
        </w:trPr>
        <w:tc>
          <w:tcPr>
            <w:tcW w:w="120" w:type="dxa"/>
            <w:vAlign w:val="bottom"/>
            <w:tcBorders>
              <w:top w:val="single" w:sz="8" w:color="auto"/>
              <w:bottom w:val="single" w:sz="8" w:color="auto"/>
            </w:tcBorders>
          </w:tcPr>
          <w:p>
            <w:pPr>
              <w:spacing w:after="0"/>
              <w:rPr>
                <w:sz w:val="20"/>
                <w:szCs w:val="20"/>
                <w:color w:val="auto"/>
              </w:rPr>
            </w:pPr>
            <w:r>
              <w:rPr>
                <w:rFonts w:ascii="Arial" w:cs="Arial" w:eastAsia="Arial" w:hAnsi="Arial"/>
                <w:sz w:val="14"/>
                <w:szCs w:val="14"/>
                <w:color w:val="auto"/>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43,357</w:t>
            </w:r>
          </w:p>
        </w:tc>
        <w:tc>
          <w:tcPr>
            <w:tcW w:w="120" w:type="dxa"/>
            <w:vAlign w:val="bottom"/>
          </w:tcPr>
          <w:p>
            <w:pPr>
              <w:spacing w:after="0"/>
              <w:rPr>
                <w:sz w:val="16"/>
                <w:szCs w:val="16"/>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100" w:type="dxa"/>
            <w:vAlign w:val="bottom"/>
            <w:tcBorders>
              <w:top w:val="single" w:sz="8" w:color="auto"/>
              <w:bottom w:val="single" w:sz="8" w:color="auto"/>
            </w:tcBorders>
          </w:tcPr>
          <w:p>
            <w:pPr>
              <w:ind w:left="88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4"/>
                <w:szCs w:val="14"/>
                <w:color w:val="auto"/>
              </w:rPr>
              <w:t>43,357</w:t>
            </w:r>
          </w:p>
        </w:tc>
        <w:tc>
          <w:tcPr>
            <w:tcW w:w="100" w:type="dxa"/>
            <w:vAlign w:val="bottom"/>
          </w:tcPr>
          <w:p>
            <w:pPr>
              <w:spacing w:after="0"/>
              <w:rPr>
                <w:sz w:val="16"/>
                <w:szCs w:val="16"/>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(7,443)</w:t>
            </w:r>
          </w:p>
        </w:tc>
        <w:tc>
          <w:tcPr>
            <w:tcW w:w="120" w:type="dxa"/>
            <w:vAlign w:val="bottom"/>
          </w:tcPr>
          <w:p>
            <w:pPr>
              <w:spacing w:after="0"/>
              <w:rPr>
                <w:sz w:val="16"/>
                <w:szCs w:val="16"/>
                <w:color w:val="auto"/>
              </w:rPr>
            </w:pPr>
          </w:p>
        </w:tc>
        <w:tc>
          <w:tcPr>
            <w:tcW w:w="22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(35,914)</w:t>
            </w:r>
          </w:p>
        </w:tc>
        <w:tc>
          <w:tcPr>
            <w:tcW w:w="100" w:type="dxa"/>
            <w:vAlign w:val="bottom"/>
          </w:tcPr>
          <w:p>
            <w:pPr>
              <w:spacing w:after="0"/>
              <w:rPr>
                <w:sz w:val="16"/>
                <w:szCs w:val="16"/>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bottom w:val="single" w:sz="8" w:color="auto"/>
            </w:tcBorders>
          </w:tcPr>
          <w:p>
            <w:pPr>
              <w:ind w:left="7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4"/>
        </w:trPr>
        <w:tc>
          <w:tcPr>
            <w:tcW w:w="12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554"/>
        </w:trPr>
        <w:tc>
          <w:tcPr>
            <w:tcW w:w="120" w:type="dxa"/>
            <w:vAlign w:val="bottom"/>
          </w:tcPr>
          <w:p>
            <w:pPr>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47,381</w:t>
            </w:r>
          </w:p>
        </w:tc>
        <w:tc>
          <w:tcPr>
            <w:tcW w:w="12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200" w:type="dxa"/>
            <w:vAlign w:val="bottom"/>
            <w:gridSpan w:val="2"/>
          </w:tcPr>
          <w:p>
            <w:pPr>
              <w:ind w:left="880"/>
              <w:spacing w:after="0"/>
              <w:rPr>
                <w:sz w:val="20"/>
                <w:szCs w:val="20"/>
                <w:color w:val="auto"/>
              </w:rPr>
            </w:pPr>
            <w:r>
              <w:rPr>
                <w:rFonts w:ascii="Arial" w:cs="Arial" w:eastAsia="Arial" w:hAnsi="Arial"/>
                <w:sz w:val="14"/>
                <w:szCs w:val="14"/>
                <w:color w:val="auto"/>
              </w:rPr>
              <w:t>—</w:t>
            </w:r>
          </w:p>
        </w:tc>
        <w:tc>
          <w:tcPr>
            <w:tcW w:w="10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Pr>
          <w:p>
            <w:pPr>
              <w:jc w:val="right"/>
              <w:ind w:right="9"/>
              <w:spacing w:after="0"/>
              <w:rPr>
                <w:sz w:val="20"/>
                <w:szCs w:val="20"/>
                <w:color w:val="auto"/>
              </w:rPr>
            </w:pPr>
            <w:r>
              <w:rPr>
                <w:rFonts w:ascii="Arial" w:cs="Arial" w:eastAsia="Arial" w:hAnsi="Arial"/>
                <w:sz w:val="14"/>
                <w:szCs w:val="14"/>
                <w:color w:val="auto"/>
              </w:rPr>
              <w:t>47,381</w:t>
            </w:r>
          </w:p>
        </w:tc>
        <w:tc>
          <w:tcPr>
            <w:tcW w:w="10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(6,087)</w:t>
            </w:r>
          </w:p>
        </w:tc>
        <w:tc>
          <w:tcPr>
            <w:tcW w:w="120" w:type="dxa"/>
            <w:vAlign w:val="bottom"/>
          </w:tcPr>
          <w:p>
            <w:pPr>
              <w:spacing w:after="0"/>
              <w:rPr>
                <w:sz w:val="24"/>
                <w:szCs w:val="24"/>
                <w:color w:val="auto"/>
              </w:rPr>
            </w:pP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(41,294)</w:t>
            </w:r>
          </w:p>
        </w:tc>
        <w:tc>
          <w:tcPr>
            <w:tcW w:w="10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tcPr>
          <w:p>
            <w:pPr>
              <w:ind w:left="7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5"/>
        </w:trPr>
        <w:tc>
          <w:tcPr>
            <w:tcW w:w="120" w:type="dxa"/>
            <w:vAlign w:val="bottom"/>
            <w:tcBorders>
              <w:top w:val="single" w:sz="8" w:color="auto"/>
              <w:bottom w:val="single" w:sz="8" w:color="auto"/>
            </w:tcBorders>
          </w:tcPr>
          <w:p>
            <w:pPr>
              <w:spacing w:after="0"/>
              <w:rPr>
                <w:sz w:val="20"/>
                <w:szCs w:val="20"/>
                <w:color w:val="auto"/>
              </w:rPr>
            </w:pPr>
            <w:r>
              <w:rPr>
                <w:rFonts w:ascii="Arial" w:cs="Arial" w:eastAsia="Arial" w:hAnsi="Arial"/>
                <w:sz w:val="14"/>
                <w:szCs w:val="14"/>
                <w:color w:val="auto"/>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47,452</w:t>
            </w:r>
          </w:p>
        </w:tc>
        <w:tc>
          <w:tcPr>
            <w:tcW w:w="120" w:type="dxa"/>
            <w:vAlign w:val="bottom"/>
          </w:tcPr>
          <w:p>
            <w:pPr>
              <w:spacing w:after="0"/>
              <w:rPr>
                <w:sz w:val="16"/>
                <w:szCs w:val="16"/>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100" w:type="dxa"/>
            <w:vAlign w:val="bottom"/>
            <w:tcBorders>
              <w:top w:val="single" w:sz="8" w:color="auto"/>
              <w:bottom w:val="single" w:sz="8" w:color="auto"/>
            </w:tcBorders>
          </w:tcPr>
          <w:p>
            <w:pPr>
              <w:ind w:left="88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4"/>
                <w:szCs w:val="14"/>
                <w:color w:val="auto"/>
              </w:rPr>
              <w:t>47,452</w:t>
            </w:r>
          </w:p>
        </w:tc>
        <w:tc>
          <w:tcPr>
            <w:tcW w:w="100" w:type="dxa"/>
            <w:vAlign w:val="bottom"/>
          </w:tcPr>
          <w:p>
            <w:pPr>
              <w:spacing w:after="0"/>
              <w:rPr>
                <w:sz w:val="16"/>
                <w:szCs w:val="16"/>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(6,114)</w:t>
            </w:r>
          </w:p>
        </w:tc>
        <w:tc>
          <w:tcPr>
            <w:tcW w:w="120" w:type="dxa"/>
            <w:vAlign w:val="bottom"/>
          </w:tcPr>
          <w:p>
            <w:pPr>
              <w:spacing w:after="0"/>
              <w:rPr>
                <w:sz w:val="16"/>
                <w:szCs w:val="16"/>
                <w:color w:val="auto"/>
              </w:rPr>
            </w:pPr>
          </w:p>
        </w:tc>
        <w:tc>
          <w:tcPr>
            <w:tcW w:w="22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(41,338)</w:t>
            </w:r>
          </w:p>
        </w:tc>
        <w:tc>
          <w:tcPr>
            <w:tcW w:w="100" w:type="dxa"/>
            <w:vAlign w:val="bottom"/>
          </w:tcPr>
          <w:p>
            <w:pPr>
              <w:spacing w:after="0"/>
              <w:rPr>
                <w:sz w:val="16"/>
                <w:szCs w:val="16"/>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bottom w:val="single" w:sz="8" w:color="auto"/>
            </w:tcBorders>
          </w:tcPr>
          <w:p>
            <w:pPr>
              <w:ind w:left="7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4"/>
        </w:trPr>
        <w:tc>
          <w:tcPr>
            <w:tcW w:w="12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-2525395</wp:posOffset>
            </wp:positionH>
            <wp:positionV relativeFrom="paragraph">
              <wp:posOffset>-805180</wp:posOffset>
            </wp:positionV>
            <wp:extent cx="7071995" cy="1200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071995" cy="120015"/>
                    </a:xfrm>
                    <a:prstGeom prst="rect">
                      <a:avLst/>
                    </a:prstGeom>
                    <a:noFill/>
                  </pic:spPr>
                </pic:pic>
              </a:graphicData>
            </a:graphic>
          </wp:anchor>
        </w:drawing>
        <w:drawing>
          <wp:anchor simplePos="0" relativeHeight="251657728" behindDoc="1" locked="0" layoutInCell="0" allowOverlap="1">
            <wp:simplePos x="0" y="0"/>
            <wp:positionH relativeFrom="column">
              <wp:posOffset>-2525395</wp:posOffset>
            </wp:positionH>
            <wp:positionV relativeFrom="paragraph">
              <wp:posOffset>-539115</wp:posOffset>
            </wp:positionV>
            <wp:extent cx="7071995" cy="13716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071995" cy="137160"/>
                    </a:xfrm>
                    <a:prstGeom prst="rect">
                      <a:avLst/>
                    </a:prstGeom>
                    <a:noFill/>
                  </pic:spPr>
                </pic:pic>
              </a:graphicData>
            </a:graphic>
          </wp:anchor>
        </w:drawing>
        <w:drawing>
          <wp:anchor simplePos="0" relativeHeight="251657728" behindDoc="1" locked="0" layoutInCell="0" allowOverlap="1">
            <wp:simplePos x="0" y="0"/>
            <wp:positionH relativeFrom="column">
              <wp:posOffset>-2525395</wp:posOffset>
            </wp:positionH>
            <wp:positionV relativeFrom="paragraph">
              <wp:posOffset>-281940</wp:posOffset>
            </wp:positionV>
            <wp:extent cx="7071995" cy="12001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071995" cy="120015"/>
                    </a:xfrm>
                    <a:prstGeom prst="rect">
                      <a:avLst/>
                    </a:prstGeom>
                    <a:noFill/>
                  </pic:spPr>
                </pic:pic>
              </a:graphicData>
            </a:graphic>
          </wp:anchor>
        </w:drawing>
        <w:drawing>
          <wp:anchor simplePos="0" relativeHeight="251657728" behindDoc="1" locked="0" layoutInCell="0" allowOverlap="1">
            <wp:simplePos x="0" y="0"/>
            <wp:positionH relativeFrom="column">
              <wp:posOffset>-2525395</wp:posOffset>
            </wp:positionH>
            <wp:positionV relativeFrom="paragraph">
              <wp:posOffset>-1053465</wp:posOffset>
            </wp:positionV>
            <wp:extent cx="7071995" cy="12890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071995" cy="128905"/>
                    </a:xfrm>
                    <a:prstGeom prst="rect">
                      <a:avLst/>
                    </a:prstGeom>
                    <a:noFill/>
                  </pic:spPr>
                </pic:pic>
              </a:graphicData>
            </a:graphic>
          </wp:anchor>
        </w:drawing>
      </w:r>
    </w:p>
    <w:p>
      <w:pPr>
        <w:spacing w:after="0" w:line="223" w:lineRule="exact"/>
        <w:rPr>
          <w:sz w:val="20"/>
          <w:szCs w:val="20"/>
          <w:color w:val="auto"/>
        </w:rPr>
      </w:pPr>
    </w:p>
    <w:p>
      <w:pPr>
        <w:sectPr>
          <w:pgSz w:w="11900" w:h="16838" w:orient="portrait"/>
          <w:cols w:equalWidth="0" w:num="2">
            <w:col w:w="3840" w:space="200"/>
            <w:col w:w="7200"/>
          </w:cols>
          <w:pgMar w:left="320" w:top="1089" w:right="339" w:bottom="1440" w:gutter="0" w:footer="0" w:header="0"/>
          <w:type w:val="continuous"/>
        </w:sectPr>
      </w:pPr>
    </w:p>
    <w:p>
      <w:pPr>
        <w:ind w:left="660" w:right="160" w:hanging="328"/>
        <w:spacing w:after="0" w:line="241" w:lineRule="auto"/>
        <w:tabs>
          <w:tab w:leader="none" w:pos="660" w:val="left"/>
        </w:tabs>
        <w:numPr>
          <w:ilvl w:val="0"/>
          <w:numId w:val="15"/>
        </w:numPr>
        <w:rPr>
          <w:rFonts w:ascii="Arial" w:cs="Arial" w:eastAsia="Arial" w:hAnsi="Arial"/>
          <w:sz w:val="14"/>
          <w:szCs w:val="14"/>
          <w:color w:val="auto"/>
        </w:rPr>
      </w:pPr>
      <w:r>
        <w:rPr>
          <w:rFonts w:ascii="Arial" w:cs="Arial" w:eastAsia="Arial" w:hAnsi="Arial"/>
          <w:sz w:val="14"/>
          <w:szCs w:val="14"/>
          <w:color w:val="auto"/>
        </w:rPr>
        <w:t>Reported under derivative assets / liabilities, at fair value in the accompanying consolidated balance sheets. Refer to Note 5 for a reconciliation of derivative assets / liabilities, at fair value to their sub-components.</w:t>
      </w:r>
    </w:p>
    <w:p>
      <w:pPr>
        <w:ind w:left="660" w:right="400" w:hanging="328"/>
        <w:spacing w:after="0" w:line="255" w:lineRule="auto"/>
        <w:tabs>
          <w:tab w:leader="none" w:pos="660" w:val="left"/>
        </w:tabs>
        <w:numPr>
          <w:ilvl w:val="0"/>
          <w:numId w:val="15"/>
        </w:numPr>
        <w:rPr>
          <w:rFonts w:ascii="Arial" w:cs="Arial" w:eastAsia="Arial" w:hAnsi="Arial"/>
          <w:sz w:val="14"/>
          <w:szCs w:val="14"/>
          <w:color w:val="auto"/>
        </w:rPr>
      </w:pPr>
      <w:r>
        <w:rPr>
          <w:rFonts w:ascii="Arial" w:cs="Arial" w:eastAsia="Arial" w:hAnsi="Arial"/>
          <w:sz w:val="14"/>
          <w:szCs w:val="14"/>
          <w:color w:val="auto"/>
        </w:rPr>
        <w:t>Includes cash and securities pledged / received as collateral, at fair value. Amounts include repledged collateral. Amounts presented are limited to collateral pledged sufficient to reduce the net amount to zero for individual counterparties, as applicable.</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7. Fair Value Measurements</w:t>
      </w:r>
    </w:p>
    <w:p>
      <w:pPr>
        <w:spacing w:after="0" w:line="175" w:lineRule="exact"/>
        <w:rPr>
          <w:sz w:val="20"/>
          <w:szCs w:val="20"/>
          <w:color w:val="auto"/>
        </w:rPr>
      </w:pPr>
    </w:p>
    <w:p>
      <w:pPr>
        <w:jc w:val="both"/>
        <w:ind w:firstLine="445"/>
        <w:spacing w:after="0" w:line="263" w:lineRule="auto"/>
        <w:rPr>
          <w:sz w:val="20"/>
          <w:szCs w:val="20"/>
          <w:color w:val="auto"/>
        </w:rPr>
      </w:pPr>
      <w:r>
        <w:rPr>
          <w:rFonts w:ascii="Arial" w:cs="Arial" w:eastAsia="Arial" w:hAnsi="Arial"/>
          <w:sz w:val="18"/>
          <w:szCs w:val="18"/>
          <w:color w:val="auto"/>
        </w:rPr>
        <w:t>The following table provides a summary of our assets and liabilities that are measured at fair value on a recurring basis, as of June 30, 2022 and December 31, 2021, based on their categorization within the valuation hierarchy (in millions). There were no transfers between valuation hierarchy levels during the periods presented in our accompanying consolidated statements of comprehensive income.</w:t>
      </w:r>
    </w:p>
    <w:p>
      <w:pPr>
        <w:spacing w:after="0" w:line="200" w:lineRule="exact"/>
        <w:rPr>
          <w:sz w:val="20"/>
          <w:szCs w:val="20"/>
          <w:color w:val="auto"/>
        </w:rPr>
      </w:pPr>
    </w:p>
    <w:p>
      <w:pPr>
        <w:spacing w:after="0" w:line="3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89" w:right="339" w:bottom="1440" w:gutter="0" w:footer="0" w:header="0"/>
          <w:type w:val="continuous"/>
        </w:sectPr>
      </w:pPr>
    </w:p>
    <w:bookmarkStart w:id="22" w:name="page23"/>
    <w:bookmarkEnd w:id="22"/>
    <w:tbl>
      <w:tblPr>
        <w:tblLayout w:type="fixed"/>
        <w:tblInd w:w="0" w:type="dxa"/>
        <w:tblCellMar>
          <w:top w:w="0" w:type="dxa"/>
          <w:left w:w="0" w:type="dxa"/>
          <w:bottom w:w="0" w:type="dxa"/>
          <w:right w:w="0" w:type="dxa"/>
        </w:tblCellMar>
      </w:tblPr>
      <w:tr>
        <w:trPr>
          <w:trHeight w:val="192"/>
        </w:trPr>
        <w:tc>
          <w:tcPr>
            <w:tcW w:w="466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gridSpan w:val="3"/>
          </w:tcPr>
          <w:p>
            <w:pPr>
              <w:jc w:val="center"/>
              <w:ind w:right="120"/>
              <w:spacing w:after="0"/>
              <w:rPr>
                <w:sz w:val="20"/>
                <w:szCs w:val="20"/>
                <w:color w:val="auto"/>
              </w:rPr>
            </w:pPr>
            <w:r>
              <w:rPr>
                <w:rFonts w:ascii="Arial" w:cs="Arial" w:eastAsia="Arial" w:hAnsi="Arial"/>
                <w:sz w:val="14"/>
                <w:szCs w:val="14"/>
                <w:b w:val="1"/>
                <w:bCs w:val="1"/>
                <w:color w:val="auto"/>
                <w:w w:val="92"/>
              </w:rPr>
              <w:t>June 30, 2022</w:t>
            </w:r>
          </w:p>
        </w:tc>
        <w:tc>
          <w:tcPr>
            <w:tcW w:w="18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1"/>
              </w:rPr>
              <w:t>December 31, 2021</w:t>
            </w:r>
          </w:p>
        </w:tc>
        <w:tc>
          <w:tcPr>
            <w:tcW w:w="18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46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20" w:type="dxa"/>
            <w:vAlign w:val="bottom"/>
            <w:gridSpan w:val="2"/>
          </w:tcPr>
          <w:p>
            <w:pPr>
              <w:ind w:left="100"/>
              <w:spacing w:after="0"/>
              <w:rPr>
                <w:sz w:val="20"/>
                <w:szCs w:val="20"/>
                <w:color w:val="auto"/>
              </w:rPr>
            </w:pPr>
            <w:r>
              <w:rPr>
                <w:rFonts w:ascii="Arial" w:cs="Arial" w:eastAsia="Arial" w:hAnsi="Arial"/>
                <w:sz w:val="14"/>
                <w:szCs w:val="14"/>
                <w:b w:val="1"/>
                <w:bCs w:val="1"/>
                <w:color w:val="auto"/>
              </w:rPr>
              <w:t>Level 1</w:t>
            </w:r>
          </w:p>
        </w:tc>
        <w:tc>
          <w:tcPr>
            <w:tcW w:w="180" w:type="dxa"/>
            <w:vAlign w:val="bottom"/>
          </w:tcPr>
          <w:p>
            <w:pPr>
              <w:spacing w:after="0"/>
              <w:rPr>
                <w:sz w:val="16"/>
                <w:szCs w:val="16"/>
                <w:color w:val="auto"/>
              </w:rPr>
            </w:pPr>
          </w:p>
        </w:tc>
        <w:tc>
          <w:tcPr>
            <w:tcW w:w="90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2"/>
              </w:rPr>
              <w:t>Level 2</w:t>
            </w:r>
          </w:p>
        </w:tc>
        <w:tc>
          <w:tcPr>
            <w:tcW w:w="180" w:type="dxa"/>
            <w:vAlign w:val="bottom"/>
          </w:tcPr>
          <w:p>
            <w:pPr>
              <w:spacing w:after="0"/>
              <w:rPr>
                <w:sz w:val="16"/>
                <w:szCs w:val="16"/>
                <w:color w:val="auto"/>
              </w:rPr>
            </w:pPr>
          </w:p>
        </w:tc>
        <w:tc>
          <w:tcPr>
            <w:tcW w:w="800" w:type="dxa"/>
            <w:vAlign w:val="bottom"/>
          </w:tcPr>
          <w:p>
            <w:pPr>
              <w:ind w:left="80"/>
              <w:spacing w:after="0"/>
              <w:rPr>
                <w:sz w:val="20"/>
                <w:szCs w:val="20"/>
                <w:color w:val="auto"/>
              </w:rPr>
            </w:pPr>
            <w:r>
              <w:rPr>
                <w:rFonts w:ascii="Arial" w:cs="Arial" w:eastAsia="Arial" w:hAnsi="Arial"/>
                <w:sz w:val="14"/>
                <w:szCs w:val="14"/>
                <w:b w:val="1"/>
                <w:bCs w:val="1"/>
                <w:color w:val="auto"/>
              </w:rPr>
              <w:t>Level 3</w:t>
            </w:r>
          </w:p>
        </w:tc>
        <w:tc>
          <w:tcPr>
            <w:tcW w:w="2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tcPr>
          <w:p>
            <w:pPr>
              <w:jc w:val="right"/>
              <w:ind w:right="208"/>
              <w:spacing w:after="0"/>
              <w:rPr>
                <w:sz w:val="20"/>
                <w:szCs w:val="20"/>
                <w:color w:val="auto"/>
              </w:rPr>
            </w:pPr>
            <w:r>
              <w:rPr>
                <w:rFonts w:ascii="Arial" w:cs="Arial" w:eastAsia="Arial" w:hAnsi="Arial"/>
                <w:sz w:val="14"/>
                <w:szCs w:val="14"/>
                <w:b w:val="1"/>
                <w:bCs w:val="1"/>
                <w:color w:val="auto"/>
              </w:rPr>
              <w:t>Level 1</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2"/>
              </w:rPr>
              <w:t>Level 2</w:t>
            </w:r>
          </w:p>
        </w:tc>
        <w:tc>
          <w:tcPr>
            <w:tcW w:w="180" w:type="dxa"/>
            <w:vAlign w:val="bottom"/>
          </w:tcPr>
          <w:p>
            <w:pPr>
              <w:spacing w:after="0"/>
              <w:rPr>
                <w:sz w:val="16"/>
                <w:szCs w:val="16"/>
                <w:color w:val="auto"/>
              </w:rPr>
            </w:pPr>
          </w:p>
        </w:tc>
        <w:tc>
          <w:tcPr>
            <w:tcW w:w="800" w:type="dxa"/>
            <w:vAlign w:val="bottom"/>
          </w:tcPr>
          <w:p>
            <w:pPr>
              <w:ind w:left="100"/>
              <w:spacing w:after="0"/>
              <w:rPr>
                <w:sz w:val="20"/>
                <w:szCs w:val="20"/>
                <w:color w:val="auto"/>
              </w:rPr>
            </w:pPr>
            <w:r>
              <w:rPr>
                <w:rFonts w:ascii="Arial" w:cs="Arial" w:eastAsia="Arial" w:hAnsi="Arial"/>
                <w:sz w:val="14"/>
                <w:szCs w:val="14"/>
                <w:b w:val="1"/>
                <w:bCs w:val="1"/>
                <w:color w:val="auto"/>
              </w:rPr>
              <w:t>Level 3</w:t>
            </w:r>
          </w:p>
        </w:tc>
        <w:tc>
          <w:tcPr>
            <w:tcW w:w="0" w:type="dxa"/>
            <w:vAlign w:val="bottom"/>
          </w:tcPr>
          <w:p>
            <w:pPr>
              <w:spacing w:after="0"/>
              <w:rPr>
                <w:sz w:val="1"/>
                <w:szCs w:val="1"/>
                <w:color w:val="auto"/>
              </w:rPr>
            </w:pPr>
          </w:p>
        </w:tc>
      </w:tr>
      <w:tr>
        <w:trPr>
          <w:trHeight w:val="170"/>
        </w:trPr>
        <w:tc>
          <w:tcPr>
            <w:tcW w:w="46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Assets:</w:t>
            </w:r>
          </w:p>
        </w:tc>
        <w:tc>
          <w:tcPr>
            <w:tcW w:w="160" w:type="dxa"/>
            <w:vAlign w:val="bottom"/>
            <w:tcBorders>
              <w:top w:val="single" w:sz="8" w:color="auto"/>
            </w:tcBorders>
            <w:shd w:val="clear" w:color="auto" w:fill="CCEEFF"/>
          </w:tcPr>
          <w:p>
            <w:pPr>
              <w:spacing w:after="0"/>
              <w:rPr>
                <w:sz w:val="14"/>
                <w:szCs w:val="14"/>
                <w:color w:val="auto"/>
              </w:rPr>
            </w:pPr>
          </w:p>
        </w:tc>
        <w:tc>
          <w:tcPr>
            <w:tcW w:w="800" w:type="dxa"/>
            <w:vAlign w:val="bottom"/>
            <w:tcBorders>
              <w:top w:val="single" w:sz="8" w:color="auto"/>
            </w:tcBorders>
            <w:shd w:val="clear" w:color="auto" w:fill="CCEEFF"/>
          </w:tcPr>
          <w:p>
            <w:pPr>
              <w:spacing w:after="0"/>
              <w:rPr>
                <w:sz w:val="14"/>
                <w:szCs w:val="14"/>
                <w:color w:val="auto"/>
              </w:rPr>
            </w:pPr>
          </w:p>
        </w:tc>
        <w:tc>
          <w:tcPr>
            <w:tcW w:w="120" w:type="dxa"/>
            <w:vAlign w:val="bottom"/>
            <w:tcBorders>
              <w:top w:val="single" w:sz="8" w:color="CCEEFF"/>
            </w:tcBorders>
            <w:shd w:val="clear" w:color="auto" w:fill="CCEEFF"/>
          </w:tcPr>
          <w:p>
            <w:pPr>
              <w:spacing w:after="0"/>
              <w:rPr>
                <w:sz w:val="14"/>
                <w:szCs w:val="14"/>
                <w:color w:val="auto"/>
              </w:rPr>
            </w:pPr>
          </w:p>
        </w:tc>
        <w:tc>
          <w:tcPr>
            <w:tcW w:w="180" w:type="dxa"/>
            <w:vAlign w:val="bottom"/>
            <w:tcBorders>
              <w:top w:val="single" w:sz="8" w:color="auto"/>
            </w:tcBorders>
            <w:shd w:val="clear" w:color="auto" w:fill="CCEEFF"/>
          </w:tcPr>
          <w:p>
            <w:pPr>
              <w:spacing w:after="0"/>
              <w:rPr>
                <w:sz w:val="14"/>
                <w:szCs w:val="14"/>
                <w:color w:val="auto"/>
              </w:rPr>
            </w:pPr>
          </w:p>
        </w:tc>
        <w:tc>
          <w:tcPr>
            <w:tcW w:w="80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180" w:type="dxa"/>
            <w:vAlign w:val="bottom"/>
            <w:tcBorders>
              <w:top w:val="single" w:sz="8" w:color="auto"/>
            </w:tcBorders>
            <w:shd w:val="clear" w:color="auto" w:fill="CCEEFF"/>
          </w:tcPr>
          <w:p>
            <w:pPr>
              <w:spacing w:after="0"/>
              <w:rPr>
                <w:sz w:val="14"/>
                <w:szCs w:val="14"/>
                <w:color w:val="auto"/>
              </w:rPr>
            </w:pPr>
          </w:p>
        </w:tc>
        <w:tc>
          <w:tcPr>
            <w:tcW w:w="800" w:type="dxa"/>
            <w:vAlign w:val="bottom"/>
            <w:tcBorders>
              <w:top w:val="single" w:sz="8" w:color="auto"/>
            </w:tcBorders>
            <w:shd w:val="clear" w:color="auto" w:fill="CCEEFF"/>
          </w:tcPr>
          <w:p>
            <w:pPr>
              <w:spacing w:after="0"/>
              <w:rPr>
                <w:sz w:val="14"/>
                <w:szCs w:val="14"/>
                <w:color w:val="auto"/>
              </w:rPr>
            </w:pPr>
          </w:p>
        </w:tc>
        <w:tc>
          <w:tcPr>
            <w:tcW w:w="220" w:type="dxa"/>
            <w:vAlign w:val="bottom"/>
            <w:tcBorders>
              <w:top w:val="single" w:sz="8" w:color="CCEEFF"/>
            </w:tcBorders>
            <w:shd w:val="clear" w:color="auto" w:fill="CCEEFF"/>
          </w:tcPr>
          <w:p>
            <w:pPr>
              <w:spacing w:after="0"/>
              <w:rPr>
                <w:sz w:val="14"/>
                <w:szCs w:val="14"/>
                <w:color w:val="auto"/>
              </w:rPr>
            </w:pPr>
          </w:p>
        </w:tc>
        <w:tc>
          <w:tcPr>
            <w:tcW w:w="180" w:type="dxa"/>
            <w:vAlign w:val="bottom"/>
            <w:tcBorders>
              <w:top w:val="single" w:sz="8" w:color="auto"/>
            </w:tcBorders>
            <w:shd w:val="clear" w:color="auto" w:fill="CCEEFF"/>
          </w:tcPr>
          <w:p>
            <w:pPr>
              <w:spacing w:after="0"/>
              <w:rPr>
                <w:sz w:val="14"/>
                <w:szCs w:val="14"/>
                <w:color w:val="auto"/>
              </w:rPr>
            </w:pPr>
          </w:p>
        </w:tc>
        <w:tc>
          <w:tcPr>
            <w:tcW w:w="80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180" w:type="dxa"/>
            <w:vAlign w:val="bottom"/>
            <w:tcBorders>
              <w:top w:val="single" w:sz="8" w:color="auto"/>
            </w:tcBorders>
            <w:shd w:val="clear" w:color="auto" w:fill="CCEEFF"/>
          </w:tcPr>
          <w:p>
            <w:pPr>
              <w:spacing w:after="0"/>
              <w:rPr>
                <w:sz w:val="14"/>
                <w:szCs w:val="14"/>
                <w:color w:val="auto"/>
              </w:rPr>
            </w:pPr>
          </w:p>
        </w:tc>
        <w:tc>
          <w:tcPr>
            <w:tcW w:w="82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180" w:type="dxa"/>
            <w:vAlign w:val="bottom"/>
            <w:tcBorders>
              <w:top w:val="single" w:sz="8" w:color="auto"/>
            </w:tcBorders>
            <w:shd w:val="clear" w:color="auto" w:fill="CCEEFF"/>
          </w:tcPr>
          <w:p>
            <w:pPr>
              <w:spacing w:after="0"/>
              <w:rPr>
                <w:sz w:val="14"/>
                <w:szCs w:val="14"/>
                <w:color w:val="auto"/>
              </w:rPr>
            </w:pPr>
          </w:p>
        </w:tc>
        <w:tc>
          <w:tcPr>
            <w:tcW w:w="800" w:type="dxa"/>
            <w:vAlign w:val="bottom"/>
            <w:tcBorders>
              <w:top w:val="single" w:sz="8" w:color="auto"/>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6"/>
        </w:trPr>
        <w:tc>
          <w:tcPr>
            <w:tcW w:w="4660" w:type="dxa"/>
            <w:vAlign w:val="bottom"/>
          </w:tcPr>
          <w:p>
            <w:pPr>
              <w:ind w:left="180"/>
              <w:spacing w:after="0"/>
              <w:rPr>
                <w:sz w:val="20"/>
                <w:szCs w:val="20"/>
                <w:color w:val="auto"/>
              </w:rPr>
            </w:pPr>
            <w:r>
              <w:rPr>
                <w:rFonts w:ascii="Arial" w:cs="Arial" w:eastAsia="Arial" w:hAnsi="Arial"/>
                <w:sz w:val="14"/>
                <w:szCs w:val="14"/>
                <w:color w:val="auto"/>
              </w:rPr>
              <w:t>Agency securities</w:t>
            </w:r>
          </w:p>
        </w:tc>
        <w:tc>
          <w:tcPr>
            <w:tcW w:w="160" w:type="dxa"/>
            <w:vAlign w:val="bottom"/>
          </w:tcPr>
          <w:p>
            <w:pPr>
              <w:jc w:val="right"/>
              <w:ind w:right="8"/>
              <w:spacing w:after="0"/>
              <w:rPr>
                <w:sz w:val="20"/>
                <w:szCs w:val="20"/>
                <w:color w:val="auto"/>
              </w:rPr>
            </w:pPr>
            <w:r>
              <w:rPr>
                <w:rFonts w:ascii="Arial" w:cs="Arial" w:eastAsia="Arial" w:hAnsi="Arial"/>
                <w:sz w:val="14"/>
                <w:szCs w:val="14"/>
                <w:color w:val="auto"/>
                <w:w w:val="76"/>
              </w:rPr>
              <w:t>$</w:t>
            </w:r>
          </w:p>
        </w:tc>
        <w:tc>
          <w:tcPr>
            <w:tcW w:w="9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43,459</w:t>
            </w:r>
          </w:p>
        </w:tc>
        <w:tc>
          <w:tcPr>
            <w:tcW w:w="100" w:type="dxa"/>
            <w:vAlign w:val="bottom"/>
          </w:tcPr>
          <w:p>
            <w:pPr>
              <w:spacing w:after="0"/>
              <w:rPr>
                <w:sz w:val="16"/>
                <w:szCs w:val="16"/>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020" w:type="dxa"/>
            <w:vAlign w:val="bottom"/>
            <w:gridSpan w:val="2"/>
          </w:tcPr>
          <w:p>
            <w:pPr>
              <w:ind w:left="600"/>
              <w:spacing w:after="0"/>
              <w:rPr>
                <w:sz w:val="20"/>
                <w:szCs w:val="20"/>
                <w:color w:val="auto"/>
              </w:rPr>
            </w:pPr>
            <w:r>
              <w:rPr>
                <w:rFonts w:ascii="Arial" w:cs="Arial" w:eastAsia="Arial" w:hAnsi="Arial"/>
                <w:sz w:val="14"/>
                <w:szCs w:val="14"/>
                <w:color w:val="auto"/>
              </w:rPr>
              <w:t>—</w:t>
            </w: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w:t>
            </w:r>
          </w:p>
        </w:tc>
        <w:tc>
          <w:tcPr>
            <w:tcW w:w="280" w:type="dxa"/>
            <w:vAlign w:val="bottom"/>
            <w:gridSpan w:val="2"/>
          </w:tcPr>
          <w:p>
            <w:pPr>
              <w:jc w:val="right"/>
              <w:ind w:right="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8"/>
              <w:spacing w:after="0"/>
              <w:rPr>
                <w:sz w:val="20"/>
                <w:szCs w:val="20"/>
                <w:color w:val="auto"/>
              </w:rPr>
            </w:pPr>
            <w:r>
              <w:rPr>
                <w:rFonts w:ascii="Arial" w:cs="Arial" w:eastAsia="Arial" w:hAnsi="Arial"/>
                <w:sz w:val="14"/>
                <w:szCs w:val="14"/>
                <w:color w:val="auto"/>
              </w:rPr>
              <w:t>52,396</w:t>
            </w:r>
          </w:p>
        </w:tc>
        <w:tc>
          <w:tcPr>
            <w:tcW w:w="100" w:type="dxa"/>
            <w:vAlign w:val="bottom"/>
          </w:tcPr>
          <w:p>
            <w:pPr>
              <w:spacing w:after="0"/>
              <w:rPr>
                <w:sz w:val="16"/>
                <w:szCs w:val="16"/>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800" w:type="dxa"/>
            <w:vAlign w:val="bottom"/>
          </w:tcPr>
          <w:p>
            <w:pPr>
              <w:ind w:left="6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92"/>
        </w:trPr>
        <w:tc>
          <w:tcPr>
            <w:tcW w:w="4660" w:type="dxa"/>
            <w:vAlign w:val="bottom"/>
            <w:shd w:val="clear" w:color="auto" w:fill="CCEEFF"/>
          </w:tcPr>
          <w:p>
            <w:pPr>
              <w:ind w:left="180"/>
              <w:spacing w:after="0"/>
              <w:rPr>
                <w:sz w:val="20"/>
                <w:szCs w:val="20"/>
                <w:color w:val="auto"/>
              </w:rPr>
            </w:pPr>
            <w:r>
              <w:rPr>
                <w:rFonts w:ascii="Arial" w:cs="Arial" w:eastAsia="Arial" w:hAnsi="Arial"/>
                <w:sz w:val="14"/>
                <w:szCs w:val="14"/>
                <w:color w:val="auto"/>
              </w:rPr>
              <w:t>Agency securities transferred to consolidated VIEs</w:t>
            </w:r>
          </w:p>
        </w:tc>
        <w:tc>
          <w:tcPr>
            <w:tcW w:w="160" w:type="dxa"/>
            <w:vAlign w:val="bottom"/>
            <w:shd w:val="clear" w:color="auto" w:fill="CCEEFF"/>
          </w:tcPr>
          <w:p>
            <w:pPr>
              <w:spacing w:after="0"/>
              <w:rPr>
                <w:sz w:val="16"/>
                <w:szCs w:val="16"/>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167</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208</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00" w:type="dxa"/>
            <w:vAlign w:val="bottom"/>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6"/>
        </w:trPr>
        <w:tc>
          <w:tcPr>
            <w:tcW w:w="4660" w:type="dxa"/>
            <w:vAlign w:val="bottom"/>
          </w:tcPr>
          <w:p>
            <w:pPr>
              <w:ind w:left="180"/>
              <w:spacing w:after="0"/>
              <w:rPr>
                <w:sz w:val="20"/>
                <w:szCs w:val="20"/>
                <w:color w:val="auto"/>
              </w:rPr>
            </w:pPr>
            <w:r>
              <w:rPr>
                <w:rFonts w:ascii="Arial" w:cs="Arial" w:eastAsia="Arial" w:hAnsi="Arial"/>
                <w:sz w:val="14"/>
                <w:szCs w:val="14"/>
                <w:color w:val="auto"/>
              </w:rPr>
              <w:t>Credit risk transfer securities</w:t>
            </w:r>
          </w:p>
        </w:tc>
        <w:tc>
          <w:tcPr>
            <w:tcW w:w="160" w:type="dxa"/>
            <w:vAlign w:val="bottom"/>
          </w:tcPr>
          <w:p>
            <w:pPr>
              <w:spacing w:after="0"/>
              <w:rPr>
                <w:sz w:val="16"/>
                <w:szCs w:val="16"/>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894</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20" w:type="dxa"/>
            <w:vAlign w:val="bottom"/>
            <w:gridSpan w:val="2"/>
          </w:tcPr>
          <w:p>
            <w:pPr>
              <w:ind w:left="6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20" w:type="dxa"/>
            <w:vAlign w:val="bottom"/>
          </w:tcPr>
          <w:p>
            <w:pPr>
              <w:jc w:val="right"/>
              <w:ind w:right="8"/>
              <w:spacing w:after="0"/>
              <w:rPr>
                <w:sz w:val="20"/>
                <w:szCs w:val="20"/>
                <w:color w:val="auto"/>
              </w:rPr>
            </w:pPr>
            <w:r>
              <w:rPr>
                <w:rFonts w:ascii="Arial" w:cs="Arial" w:eastAsia="Arial" w:hAnsi="Arial"/>
                <w:sz w:val="14"/>
                <w:szCs w:val="14"/>
                <w:color w:val="auto"/>
              </w:rPr>
              <w:t>974</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tcPr>
          <w:p>
            <w:pPr>
              <w:ind w:left="6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92"/>
        </w:trPr>
        <w:tc>
          <w:tcPr>
            <w:tcW w:w="4660" w:type="dxa"/>
            <w:vAlign w:val="bottom"/>
            <w:shd w:val="clear" w:color="auto" w:fill="CCEEFF"/>
          </w:tcPr>
          <w:p>
            <w:pPr>
              <w:ind w:left="180"/>
              <w:spacing w:after="0"/>
              <w:rPr>
                <w:sz w:val="20"/>
                <w:szCs w:val="20"/>
                <w:color w:val="auto"/>
              </w:rPr>
            </w:pPr>
            <w:r>
              <w:rPr>
                <w:rFonts w:ascii="Arial" w:cs="Arial" w:eastAsia="Arial" w:hAnsi="Arial"/>
                <w:sz w:val="14"/>
                <w:szCs w:val="14"/>
                <w:color w:val="auto"/>
              </w:rPr>
              <w:t>Non-Agency securities</w:t>
            </w:r>
          </w:p>
        </w:tc>
        <w:tc>
          <w:tcPr>
            <w:tcW w:w="160" w:type="dxa"/>
            <w:vAlign w:val="bottom"/>
            <w:shd w:val="clear" w:color="auto" w:fill="CCEEFF"/>
          </w:tcPr>
          <w:p>
            <w:pPr>
              <w:spacing w:after="0"/>
              <w:rPr>
                <w:sz w:val="16"/>
                <w:szCs w:val="16"/>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881</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843</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00" w:type="dxa"/>
            <w:vAlign w:val="bottom"/>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6"/>
        </w:trPr>
        <w:tc>
          <w:tcPr>
            <w:tcW w:w="4660" w:type="dxa"/>
            <w:vAlign w:val="bottom"/>
          </w:tcPr>
          <w:p>
            <w:pPr>
              <w:ind w:left="180"/>
              <w:spacing w:after="0"/>
              <w:rPr>
                <w:sz w:val="20"/>
                <w:szCs w:val="20"/>
                <w:color w:val="auto"/>
              </w:rPr>
            </w:pPr>
            <w:r>
              <w:rPr>
                <w:rFonts w:ascii="Arial" w:cs="Arial" w:eastAsia="Arial" w:hAnsi="Arial"/>
                <w:sz w:val="14"/>
                <w:szCs w:val="14"/>
                <w:color w:val="auto"/>
              </w:rPr>
              <w:t>U.S. Treasury securities</w:t>
            </w:r>
          </w:p>
        </w:tc>
        <w:tc>
          <w:tcPr>
            <w:tcW w:w="16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1,882</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1020" w:type="dxa"/>
            <w:vAlign w:val="bottom"/>
            <w:gridSpan w:val="2"/>
          </w:tcPr>
          <w:p>
            <w:pPr>
              <w:ind w:left="6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471</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800" w:type="dxa"/>
            <w:vAlign w:val="bottom"/>
          </w:tcPr>
          <w:p>
            <w:pPr>
              <w:ind w:left="6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92"/>
        </w:trPr>
        <w:tc>
          <w:tcPr>
            <w:tcW w:w="4660" w:type="dxa"/>
            <w:vAlign w:val="bottom"/>
            <w:shd w:val="clear" w:color="auto" w:fill="CCEEFF"/>
          </w:tcPr>
          <w:p>
            <w:pPr>
              <w:ind w:left="180"/>
              <w:spacing w:after="0" w:line="193" w:lineRule="exact"/>
              <w:rPr>
                <w:sz w:val="20"/>
                <w:szCs w:val="20"/>
                <w:color w:val="auto"/>
              </w:rPr>
            </w:pPr>
            <w:r>
              <w:rPr>
                <w:rFonts w:ascii="Arial" w:cs="Arial" w:eastAsia="Arial" w:hAnsi="Arial"/>
                <w:sz w:val="14"/>
                <w:szCs w:val="14"/>
                <w:color w:val="auto"/>
              </w:rPr>
              <w:t xml:space="preserve">Interest rate swaps </w:t>
            </w:r>
            <w:r>
              <w:rPr>
                <w:rFonts w:ascii="Arial" w:cs="Arial" w:eastAsia="Arial" w:hAnsi="Arial"/>
                <w:sz w:val="18"/>
                <w:szCs w:val="18"/>
                <w:color w:val="auto"/>
                <w:vertAlign w:val="superscript"/>
              </w:rPr>
              <w:t>1</w:t>
            </w:r>
          </w:p>
        </w:tc>
        <w:tc>
          <w:tcPr>
            <w:tcW w:w="160" w:type="dxa"/>
            <w:vAlign w:val="bottom"/>
            <w:shd w:val="clear" w:color="auto" w:fill="CCEEFF"/>
          </w:tcPr>
          <w:p>
            <w:pPr>
              <w:spacing w:after="0"/>
              <w:rPr>
                <w:sz w:val="16"/>
                <w:szCs w:val="16"/>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800" w:type="dxa"/>
            <w:vAlign w:val="bottom"/>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6"/>
        </w:trPr>
        <w:tc>
          <w:tcPr>
            <w:tcW w:w="4660" w:type="dxa"/>
            <w:vAlign w:val="bottom"/>
          </w:tcPr>
          <w:p>
            <w:pPr>
              <w:ind w:left="180"/>
              <w:spacing w:after="0"/>
              <w:rPr>
                <w:sz w:val="20"/>
                <w:szCs w:val="20"/>
                <w:color w:val="auto"/>
              </w:rPr>
            </w:pPr>
            <w:r>
              <w:rPr>
                <w:rFonts w:ascii="Arial" w:cs="Arial" w:eastAsia="Arial" w:hAnsi="Arial"/>
                <w:sz w:val="14"/>
                <w:szCs w:val="14"/>
                <w:color w:val="auto"/>
              </w:rPr>
              <w:t>Swaptions</w:t>
            </w:r>
          </w:p>
        </w:tc>
        <w:tc>
          <w:tcPr>
            <w:tcW w:w="160" w:type="dxa"/>
            <w:vAlign w:val="bottom"/>
          </w:tcPr>
          <w:p>
            <w:pPr>
              <w:spacing w:after="0"/>
              <w:rPr>
                <w:sz w:val="16"/>
                <w:szCs w:val="16"/>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412</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20" w:type="dxa"/>
            <w:vAlign w:val="bottom"/>
            <w:gridSpan w:val="2"/>
          </w:tcPr>
          <w:p>
            <w:pPr>
              <w:ind w:left="6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20" w:type="dxa"/>
            <w:vAlign w:val="bottom"/>
          </w:tcPr>
          <w:p>
            <w:pPr>
              <w:jc w:val="right"/>
              <w:ind w:right="8"/>
              <w:spacing w:after="0"/>
              <w:rPr>
                <w:sz w:val="20"/>
                <w:szCs w:val="20"/>
                <w:color w:val="auto"/>
              </w:rPr>
            </w:pPr>
            <w:r>
              <w:rPr>
                <w:rFonts w:ascii="Arial" w:cs="Arial" w:eastAsia="Arial" w:hAnsi="Arial"/>
                <w:sz w:val="14"/>
                <w:szCs w:val="14"/>
                <w:color w:val="auto"/>
              </w:rPr>
              <w:t>290</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tcPr>
          <w:p>
            <w:pPr>
              <w:ind w:left="6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92"/>
        </w:trPr>
        <w:tc>
          <w:tcPr>
            <w:tcW w:w="4660" w:type="dxa"/>
            <w:vAlign w:val="bottom"/>
            <w:shd w:val="clear" w:color="auto" w:fill="CCEEFF"/>
          </w:tcPr>
          <w:p>
            <w:pPr>
              <w:ind w:left="180"/>
              <w:spacing w:after="0"/>
              <w:rPr>
                <w:sz w:val="20"/>
                <w:szCs w:val="20"/>
                <w:color w:val="auto"/>
              </w:rPr>
            </w:pPr>
            <w:r>
              <w:rPr>
                <w:rFonts w:ascii="Arial" w:cs="Arial" w:eastAsia="Arial" w:hAnsi="Arial"/>
                <w:sz w:val="14"/>
                <w:szCs w:val="14"/>
                <w:color w:val="auto"/>
              </w:rPr>
              <w:t>TBA and forward settling securities</w:t>
            </w:r>
          </w:p>
        </w:tc>
        <w:tc>
          <w:tcPr>
            <w:tcW w:w="160" w:type="dxa"/>
            <w:vAlign w:val="bottom"/>
            <w:shd w:val="clear" w:color="auto" w:fill="CCEEFF"/>
          </w:tcPr>
          <w:p>
            <w:pPr>
              <w:spacing w:after="0"/>
              <w:rPr>
                <w:sz w:val="16"/>
                <w:szCs w:val="16"/>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96</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27</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00" w:type="dxa"/>
            <w:vAlign w:val="bottom"/>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6"/>
        </w:trPr>
        <w:tc>
          <w:tcPr>
            <w:tcW w:w="4660" w:type="dxa"/>
            <w:vAlign w:val="bottom"/>
          </w:tcPr>
          <w:p>
            <w:pPr>
              <w:ind w:left="180"/>
              <w:spacing w:after="0"/>
              <w:rPr>
                <w:sz w:val="20"/>
                <w:szCs w:val="20"/>
                <w:color w:val="auto"/>
              </w:rPr>
            </w:pPr>
            <w:r>
              <w:rPr>
                <w:rFonts w:ascii="Arial" w:cs="Arial" w:eastAsia="Arial" w:hAnsi="Arial"/>
                <w:sz w:val="14"/>
                <w:szCs w:val="14"/>
                <w:color w:val="auto"/>
              </w:rPr>
              <w:t>U.S. Treasury futures</w:t>
            </w:r>
          </w:p>
        </w:tc>
        <w:tc>
          <w:tcPr>
            <w:tcW w:w="16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28</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1020" w:type="dxa"/>
            <w:vAlign w:val="bottom"/>
            <w:gridSpan w:val="2"/>
          </w:tcPr>
          <w:p>
            <w:pPr>
              <w:ind w:left="6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800" w:type="dxa"/>
            <w:vAlign w:val="bottom"/>
          </w:tcPr>
          <w:p>
            <w:pPr>
              <w:ind w:left="6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11"/>
        </w:trPr>
        <w:tc>
          <w:tcPr>
            <w:tcW w:w="466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Total</w:t>
            </w:r>
          </w:p>
        </w:tc>
        <w:tc>
          <w:tcPr>
            <w:tcW w:w="16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1,910</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18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45,909</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220" w:type="dxa"/>
            <w:vAlign w:val="bottom"/>
            <w:tcBorders>
              <w:top w:val="single" w:sz="8" w:color="CCEEFF"/>
              <w:bottom w:val="single" w:sz="8" w:color="CCEEFF"/>
            </w:tcBorders>
            <w:shd w:val="clear" w:color="auto" w:fill="CCEEFF"/>
          </w:tcPr>
          <w:p>
            <w:pPr>
              <w:spacing w:after="0"/>
              <w:rPr>
                <w:sz w:val="17"/>
                <w:szCs w:val="17"/>
                <w:color w:val="auto"/>
              </w:rPr>
            </w:pPr>
          </w:p>
        </w:tc>
        <w:tc>
          <w:tcPr>
            <w:tcW w:w="18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471</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82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54,738</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
        </w:trPr>
        <w:tc>
          <w:tcPr>
            <w:tcW w:w="466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4"/>
                <w:szCs w:val="14"/>
                <w:color w:val="auto"/>
              </w:rPr>
              <w:t>Liabilities:</w:t>
            </w: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3"/>
        </w:trPr>
        <w:tc>
          <w:tcPr>
            <w:tcW w:w="4660" w:type="dxa"/>
            <w:vAlign w:val="bottom"/>
            <w:vMerge w:val="continue"/>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92"/>
        </w:trPr>
        <w:tc>
          <w:tcPr>
            <w:tcW w:w="4660" w:type="dxa"/>
            <w:vAlign w:val="bottom"/>
            <w:shd w:val="clear" w:color="auto" w:fill="CCEEFF"/>
          </w:tcPr>
          <w:p>
            <w:pPr>
              <w:ind w:left="180"/>
              <w:spacing w:after="0"/>
              <w:rPr>
                <w:sz w:val="20"/>
                <w:szCs w:val="20"/>
                <w:color w:val="auto"/>
              </w:rPr>
            </w:pPr>
            <w:r>
              <w:rPr>
                <w:rFonts w:ascii="Arial" w:cs="Arial" w:eastAsia="Arial" w:hAnsi="Arial"/>
                <w:sz w:val="14"/>
                <w:szCs w:val="14"/>
                <w:color w:val="auto"/>
              </w:rPr>
              <w:t>Debt of consolidated VIEs</w:t>
            </w:r>
          </w:p>
        </w:tc>
        <w:tc>
          <w:tcPr>
            <w:tcW w:w="1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107</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20" w:type="dxa"/>
            <w:vAlign w:val="bottom"/>
            <w:gridSpan w:val="2"/>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280" w:type="dxa"/>
            <w:vAlign w:val="bottom"/>
            <w:gridSpan w:val="2"/>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126</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35"/>
        </w:trPr>
        <w:tc>
          <w:tcPr>
            <w:tcW w:w="4660" w:type="dxa"/>
            <w:vAlign w:val="bottom"/>
          </w:tcPr>
          <w:p>
            <w:pPr>
              <w:ind w:left="180"/>
              <w:spacing w:after="0" w:line="135" w:lineRule="exact"/>
              <w:rPr>
                <w:sz w:val="20"/>
                <w:szCs w:val="20"/>
                <w:color w:val="auto"/>
              </w:rPr>
            </w:pPr>
            <w:r>
              <w:rPr>
                <w:rFonts w:ascii="Arial" w:cs="Arial" w:eastAsia="Arial" w:hAnsi="Arial"/>
                <w:sz w:val="14"/>
                <w:szCs w:val="14"/>
                <w:color w:val="auto"/>
              </w:rPr>
              <w:t>Obligation to return U.S. Treasury securities borrowed under reverse</w:t>
            </w:r>
          </w:p>
        </w:tc>
        <w:tc>
          <w:tcPr>
            <w:tcW w:w="160" w:type="dxa"/>
            <w:vAlign w:val="bottom"/>
          </w:tcPr>
          <w:p>
            <w:pPr>
              <w:spacing w:after="0"/>
              <w:rPr>
                <w:sz w:val="11"/>
                <w:szCs w:val="11"/>
                <w:color w:val="auto"/>
              </w:rPr>
            </w:pPr>
          </w:p>
        </w:tc>
        <w:tc>
          <w:tcPr>
            <w:tcW w:w="800" w:type="dxa"/>
            <w:vAlign w:val="bottom"/>
            <w:vMerge w:val="restart"/>
          </w:tcPr>
          <w:p>
            <w:pPr>
              <w:jc w:val="right"/>
              <w:spacing w:after="0"/>
              <w:rPr>
                <w:sz w:val="20"/>
                <w:szCs w:val="20"/>
                <w:color w:val="auto"/>
              </w:rPr>
            </w:pPr>
            <w:r>
              <w:rPr>
                <w:rFonts w:ascii="Arial" w:cs="Arial" w:eastAsia="Arial" w:hAnsi="Arial"/>
                <w:sz w:val="14"/>
                <w:szCs w:val="14"/>
                <w:color w:val="auto"/>
              </w:rPr>
              <w:t>8,265</w:t>
            </w: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00" w:type="dxa"/>
            <w:vAlign w:val="bottom"/>
            <w:gridSpan w:val="2"/>
            <w:vMerge w:val="restart"/>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1"/>
                <w:szCs w:val="11"/>
                <w:color w:val="auto"/>
              </w:rPr>
            </w:pPr>
          </w:p>
        </w:tc>
        <w:tc>
          <w:tcPr>
            <w:tcW w:w="1020" w:type="dxa"/>
            <w:vAlign w:val="bottom"/>
            <w:gridSpan w:val="2"/>
            <w:vMerge w:val="restart"/>
          </w:tcPr>
          <w:p>
            <w:pPr>
              <w:ind w:left="6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1"/>
                <w:szCs w:val="11"/>
                <w:color w:val="auto"/>
              </w:rPr>
            </w:pPr>
          </w:p>
        </w:tc>
        <w:tc>
          <w:tcPr>
            <w:tcW w:w="800" w:type="dxa"/>
            <w:vAlign w:val="bottom"/>
            <w:vMerge w:val="restart"/>
          </w:tcPr>
          <w:p>
            <w:pPr>
              <w:jc w:val="right"/>
              <w:spacing w:after="0"/>
              <w:rPr>
                <w:sz w:val="20"/>
                <w:szCs w:val="20"/>
                <w:color w:val="auto"/>
              </w:rPr>
            </w:pPr>
            <w:r>
              <w:rPr>
                <w:rFonts w:ascii="Arial" w:cs="Arial" w:eastAsia="Arial" w:hAnsi="Arial"/>
                <w:sz w:val="14"/>
                <w:szCs w:val="14"/>
                <w:color w:val="auto"/>
              </w:rPr>
              <w:t>9,697</w:t>
            </w: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20" w:type="dxa"/>
            <w:vAlign w:val="bottom"/>
            <w:gridSpan w:val="2"/>
            <w:vMerge w:val="restart"/>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1"/>
                <w:szCs w:val="11"/>
                <w:color w:val="auto"/>
              </w:rPr>
            </w:pPr>
          </w:p>
        </w:tc>
        <w:tc>
          <w:tcPr>
            <w:tcW w:w="800" w:type="dxa"/>
            <w:vAlign w:val="bottom"/>
            <w:vMerge w:val="restart"/>
          </w:tcPr>
          <w:p>
            <w:pPr>
              <w:ind w:left="6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6"/>
        </w:trPr>
        <w:tc>
          <w:tcPr>
            <w:tcW w:w="4660" w:type="dxa"/>
            <w:vAlign w:val="bottom"/>
          </w:tcPr>
          <w:p>
            <w:pPr>
              <w:ind w:left="180"/>
              <w:spacing w:after="0"/>
              <w:rPr>
                <w:sz w:val="20"/>
                <w:szCs w:val="20"/>
                <w:color w:val="auto"/>
              </w:rPr>
            </w:pPr>
            <w:r>
              <w:rPr>
                <w:rFonts w:ascii="Arial" w:cs="Arial" w:eastAsia="Arial" w:hAnsi="Arial"/>
                <w:sz w:val="14"/>
                <w:szCs w:val="14"/>
                <w:color w:val="auto"/>
              </w:rPr>
              <w:t>repurchase agreements</w:t>
            </w:r>
          </w:p>
        </w:tc>
        <w:tc>
          <w:tcPr>
            <w:tcW w:w="160" w:type="dxa"/>
            <w:vAlign w:val="bottom"/>
          </w:tcPr>
          <w:p>
            <w:pPr>
              <w:spacing w:after="0"/>
              <w:rPr>
                <w:sz w:val="16"/>
                <w:szCs w:val="16"/>
                <w:color w:val="auto"/>
              </w:rPr>
            </w:pPr>
          </w:p>
        </w:tc>
        <w:tc>
          <w:tcPr>
            <w:tcW w:w="80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0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102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2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4660" w:type="dxa"/>
            <w:vAlign w:val="bottom"/>
            <w:shd w:val="clear" w:color="auto" w:fill="CCEEFF"/>
          </w:tcPr>
          <w:p>
            <w:pPr>
              <w:ind w:left="180"/>
              <w:spacing w:after="0" w:line="193" w:lineRule="exact"/>
              <w:rPr>
                <w:sz w:val="20"/>
                <w:szCs w:val="20"/>
                <w:color w:val="auto"/>
              </w:rPr>
            </w:pPr>
            <w:r>
              <w:rPr>
                <w:rFonts w:ascii="Arial" w:cs="Arial" w:eastAsia="Arial" w:hAnsi="Arial"/>
                <w:sz w:val="14"/>
                <w:szCs w:val="14"/>
                <w:color w:val="auto"/>
              </w:rPr>
              <w:t xml:space="preserve">Interest rate swaps </w:t>
            </w:r>
            <w:r>
              <w:rPr>
                <w:rFonts w:ascii="Arial" w:cs="Arial" w:eastAsia="Arial" w:hAnsi="Arial"/>
                <w:sz w:val="18"/>
                <w:szCs w:val="18"/>
                <w:color w:val="auto"/>
                <w:vertAlign w:val="superscript"/>
              </w:rPr>
              <w:t>1</w:t>
            </w:r>
          </w:p>
        </w:tc>
        <w:tc>
          <w:tcPr>
            <w:tcW w:w="160" w:type="dxa"/>
            <w:vAlign w:val="bottom"/>
            <w:shd w:val="clear" w:color="auto" w:fill="CCEEFF"/>
          </w:tcPr>
          <w:p>
            <w:pPr>
              <w:spacing w:after="0"/>
              <w:rPr>
                <w:sz w:val="16"/>
                <w:szCs w:val="16"/>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800" w:type="dxa"/>
            <w:vAlign w:val="bottom"/>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9"/>
        </w:trPr>
        <w:tc>
          <w:tcPr>
            <w:tcW w:w="4660" w:type="dxa"/>
            <w:vAlign w:val="bottom"/>
          </w:tcPr>
          <w:p>
            <w:pPr>
              <w:ind w:left="180"/>
              <w:spacing w:after="0" w:line="189" w:lineRule="exact"/>
              <w:rPr>
                <w:sz w:val="20"/>
                <w:szCs w:val="20"/>
                <w:color w:val="auto"/>
              </w:rPr>
            </w:pPr>
            <w:r>
              <w:rPr>
                <w:rFonts w:ascii="Arial" w:cs="Arial" w:eastAsia="Arial" w:hAnsi="Arial"/>
                <w:sz w:val="14"/>
                <w:szCs w:val="14"/>
                <w:color w:val="auto"/>
              </w:rPr>
              <w:t xml:space="preserve">Credit default swaps </w:t>
            </w:r>
            <w:r>
              <w:rPr>
                <w:rFonts w:ascii="Arial" w:cs="Arial" w:eastAsia="Arial" w:hAnsi="Arial"/>
                <w:sz w:val="18"/>
                <w:szCs w:val="18"/>
                <w:color w:val="auto"/>
                <w:vertAlign w:val="superscript"/>
              </w:rPr>
              <w:t>1</w:t>
            </w:r>
          </w:p>
        </w:tc>
        <w:tc>
          <w:tcPr>
            <w:tcW w:w="160" w:type="dxa"/>
            <w:vAlign w:val="bottom"/>
          </w:tcPr>
          <w:p>
            <w:pPr>
              <w:spacing w:after="0"/>
              <w:rPr>
                <w:sz w:val="16"/>
                <w:szCs w:val="16"/>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1020" w:type="dxa"/>
            <w:vAlign w:val="bottom"/>
            <w:gridSpan w:val="2"/>
          </w:tcPr>
          <w:p>
            <w:pPr>
              <w:ind w:left="6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800" w:type="dxa"/>
            <w:vAlign w:val="bottom"/>
          </w:tcPr>
          <w:p>
            <w:pPr>
              <w:ind w:left="6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9"/>
        </w:trPr>
        <w:tc>
          <w:tcPr>
            <w:tcW w:w="4660" w:type="dxa"/>
            <w:vAlign w:val="bottom"/>
            <w:shd w:val="clear" w:color="auto" w:fill="CCEEFF"/>
          </w:tcPr>
          <w:p>
            <w:pPr>
              <w:ind w:left="180"/>
              <w:spacing w:after="0"/>
              <w:rPr>
                <w:sz w:val="20"/>
                <w:szCs w:val="20"/>
                <w:color w:val="auto"/>
              </w:rPr>
            </w:pPr>
            <w:r>
              <w:rPr>
                <w:rFonts w:ascii="Arial" w:cs="Arial" w:eastAsia="Arial" w:hAnsi="Arial"/>
                <w:sz w:val="14"/>
                <w:szCs w:val="14"/>
                <w:color w:val="auto"/>
              </w:rPr>
              <w:t>TBA and forward settling securities</w:t>
            </w:r>
          </w:p>
        </w:tc>
        <w:tc>
          <w:tcPr>
            <w:tcW w:w="160" w:type="dxa"/>
            <w:vAlign w:val="bottom"/>
            <w:shd w:val="clear" w:color="auto" w:fill="CCEEFF"/>
          </w:tcPr>
          <w:p>
            <w:pPr>
              <w:spacing w:after="0"/>
              <w:rPr>
                <w:sz w:val="16"/>
                <w:szCs w:val="16"/>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204</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71</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00" w:type="dxa"/>
            <w:vAlign w:val="bottom"/>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6"/>
        </w:trPr>
        <w:tc>
          <w:tcPr>
            <w:tcW w:w="4660" w:type="dxa"/>
            <w:vAlign w:val="bottom"/>
          </w:tcPr>
          <w:p>
            <w:pPr>
              <w:ind w:left="180"/>
              <w:spacing w:after="0"/>
              <w:rPr>
                <w:sz w:val="20"/>
                <w:szCs w:val="20"/>
                <w:color w:val="auto"/>
              </w:rPr>
            </w:pPr>
            <w:r>
              <w:rPr>
                <w:rFonts w:ascii="Arial" w:cs="Arial" w:eastAsia="Arial" w:hAnsi="Arial"/>
                <w:sz w:val="14"/>
                <w:szCs w:val="14"/>
                <w:color w:val="auto"/>
              </w:rPr>
              <w:t>U.S. Treasury futures</w:t>
            </w:r>
          </w:p>
        </w:tc>
        <w:tc>
          <w:tcPr>
            <w:tcW w:w="16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33</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1020" w:type="dxa"/>
            <w:vAlign w:val="bottom"/>
            <w:gridSpan w:val="2"/>
          </w:tcPr>
          <w:p>
            <w:pPr>
              <w:ind w:left="6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15</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800" w:type="dxa"/>
            <w:vAlign w:val="bottom"/>
          </w:tcPr>
          <w:p>
            <w:pPr>
              <w:ind w:left="6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11"/>
        </w:trPr>
        <w:tc>
          <w:tcPr>
            <w:tcW w:w="466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Total</w:t>
            </w:r>
          </w:p>
        </w:tc>
        <w:tc>
          <w:tcPr>
            <w:tcW w:w="16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8,298</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18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311</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220" w:type="dxa"/>
            <w:vAlign w:val="bottom"/>
            <w:tcBorders>
              <w:top w:val="single" w:sz="8" w:color="CCEEFF"/>
              <w:bottom w:val="single" w:sz="8" w:color="CCEEFF"/>
            </w:tcBorders>
            <w:shd w:val="clear" w:color="auto" w:fill="CCEEFF"/>
          </w:tcPr>
          <w:p>
            <w:pPr>
              <w:spacing w:after="0"/>
              <w:rPr>
                <w:sz w:val="17"/>
                <w:szCs w:val="17"/>
                <w:color w:val="auto"/>
              </w:rPr>
            </w:pPr>
          </w:p>
        </w:tc>
        <w:tc>
          <w:tcPr>
            <w:tcW w:w="18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9,712</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82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197</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
        </w:trPr>
        <w:tc>
          <w:tcPr>
            <w:tcW w:w="466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71"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spacing w:after="0" w:line="13" w:lineRule="exact"/>
        <w:rPr>
          <w:sz w:val="20"/>
          <w:szCs w:val="20"/>
          <w:color w:val="auto"/>
        </w:rPr>
      </w:pPr>
    </w:p>
    <w:p>
      <w:pPr>
        <w:jc w:val="both"/>
        <w:ind w:left="660" w:hanging="328"/>
        <w:spacing w:after="0" w:line="252" w:lineRule="auto"/>
        <w:tabs>
          <w:tab w:leader="none" w:pos="660" w:val="left"/>
        </w:tabs>
        <w:numPr>
          <w:ilvl w:val="0"/>
          <w:numId w:val="16"/>
        </w:numPr>
        <w:rPr>
          <w:rFonts w:ascii="Arial" w:cs="Arial" w:eastAsia="Arial" w:hAnsi="Arial"/>
          <w:sz w:val="14"/>
          <w:szCs w:val="14"/>
          <w:color w:val="auto"/>
        </w:rPr>
      </w:pPr>
      <w:r>
        <w:rPr>
          <w:rFonts w:ascii="Arial" w:cs="Arial" w:eastAsia="Arial" w:hAnsi="Arial"/>
          <w:sz w:val="14"/>
          <w:szCs w:val="14"/>
          <w:color w:val="auto"/>
        </w:rPr>
        <w:t>As of June 30, 2022 and December 31, 2021, the net fair value of our interest rate swaps excluding the recognition of variation margin settlements as a direct reduction of carrying value was a net asset (liability) of $4.3 billion and $1.6 billion, respectively, based on "Level 2" inputs. As of June 30, 2022, the net fair value of our credit default swaps excluding the recognition of variation margin settlements was $39 thousand based on "Level 2" inputs. We did not have credit default swaps outstanding as of December 31, 2021. See Notes 2 and 5 for additional details.</w:t>
      </w:r>
    </w:p>
    <w:p>
      <w:pPr>
        <w:spacing w:after="0" w:line="287" w:lineRule="exact"/>
        <w:rPr>
          <w:sz w:val="20"/>
          <w:szCs w:val="20"/>
          <w:color w:val="auto"/>
        </w:rPr>
      </w:pPr>
    </w:p>
    <w:p>
      <w:pPr>
        <w:jc w:val="both"/>
        <w:ind w:firstLine="445"/>
        <w:spacing w:after="0" w:line="257" w:lineRule="auto"/>
        <w:rPr>
          <w:sz w:val="20"/>
          <w:szCs w:val="20"/>
          <w:color w:val="auto"/>
        </w:rPr>
      </w:pPr>
      <w:r>
        <w:rPr>
          <w:rFonts w:ascii="Arial" w:cs="Arial" w:eastAsia="Arial" w:hAnsi="Arial"/>
          <w:sz w:val="18"/>
          <w:szCs w:val="18"/>
          <w:color w:val="auto"/>
        </w:rPr>
        <w:t>Excluded from the table above are financial instruments presented in our consolidated financial statements at cost. The fair value of our repurchase agreements approximated cost as of June 30, 2022 and December 31, 2021, as the rates on our outstanding repurchase agreements largely corresponded to prevailing rates observed in the repo market. The fair value of cash and cash equivalents, restricted cash, receivables and other payables were determined to approximate cost as of such dates due to their short duration. We estimate the fair value of these instruments carried at cost using "Level 1" or "Level 2" inputs.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8. Net Income (Loss) Per Common Share</w:t>
      </w:r>
    </w:p>
    <w:p>
      <w:pPr>
        <w:spacing w:after="0" w:line="256" w:lineRule="exact"/>
        <w:rPr>
          <w:sz w:val="20"/>
          <w:szCs w:val="20"/>
          <w:color w:val="auto"/>
        </w:rPr>
      </w:pPr>
    </w:p>
    <w:p>
      <w:pPr>
        <w:jc w:val="both"/>
        <w:ind w:firstLine="405"/>
        <w:spacing w:after="0" w:line="293" w:lineRule="auto"/>
        <w:rPr>
          <w:sz w:val="20"/>
          <w:szCs w:val="20"/>
          <w:color w:val="auto"/>
        </w:rPr>
      </w:pPr>
      <w:r>
        <w:rPr>
          <w:rFonts w:ascii="Arial" w:cs="Arial" w:eastAsia="Arial" w:hAnsi="Arial"/>
          <w:sz w:val="16"/>
          <w:szCs w:val="16"/>
          <w:color w:val="auto"/>
        </w:rPr>
        <w:t>Basic net income (loss) per common share is computed by dividing (i) net income (loss) available (attributable) to common stockholders by (ii) the sum of our weighted-average number of common shares outstanding and the weighted-average number of vested but not yet issued time and performance-based restricted stock units ("RSUs") outstanding for the period granted under our long-term incentive program to employees and non-employee Board of Directors. Diluted net income (loss) per common share assumes the issuance of all potential common stock equivalents unless the effect is to reduce a loss or increase the income per common share. Our potential common stock equivalents consist of unvested time and performance-based RSUs. The following table presents the computations of basic and diluted net income (loss) per common share for the periods indicated (shares and dollars in millions):</w:t>
      </w:r>
    </w:p>
    <w:p>
      <w:pPr>
        <w:spacing w:after="0" w:line="200" w:lineRule="exact"/>
        <w:rPr>
          <w:sz w:val="20"/>
          <w:szCs w:val="20"/>
          <w:color w:val="auto"/>
        </w:rPr>
      </w:pPr>
    </w:p>
    <w:p>
      <w:pPr>
        <w:spacing w:after="0" w:line="3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21" w:right="339" w:bottom="1440" w:gutter="0" w:footer="0" w:header="0"/>
        </w:sectPr>
      </w:pPr>
    </w:p>
    <w:bookmarkStart w:id="23" w:name="page24"/>
    <w:bookmarkEnd w:id="23"/>
    <w:tbl>
      <w:tblPr>
        <w:tblLayout w:type="fixed"/>
        <w:tblInd w:w="0" w:type="dxa"/>
        <w:tblCellMar>
          <w:top w:w="0" w:type="dxa"/>
          <w:left w:w="0" w:type="dxa"/>
          <w:bottom w:w="0" w:type="dxa"/>
          <w:right w:w="0" w:type="dxa"/>
        </w:tblCellMar>
      </w:tblPr>
      <w:tr>
        <w:trPr>
          <w:trHeight w:val="192"/>
        </w:trPr>
        <w:tc>
          <w:tcPr>
            <w:tcW w:w="7320" w:type="dxa"/>
            <w:vAlign w:val="bottom"/>
          </w:tcPr>
          <w:p>
            <w:pPr>
              <w:spacing w:after="0"/>
              <w:rPr>
                <w:sz w:val="16"/>
                <w:szCs w:val="16"/>
                <w:color w:val="auto"/>
              </w:rPr>
            </w:pPr>
          </w:p>
        </w:tc>
        <w:tc>
          <w:tcPr>
            <w:tcW w:w="2000" w:type="dxa"/>
            <w:vAlign w:val="bottom"/>
            <w:gridSpan w:val="6"/>
          </w:tcPr>
          <w:p>
            <w:pPr>
              <w:ind w:left="20"/>
              <w:spacing w:after="0"/>
              <w:rPr>
                <w:sz w:val="20"/>
                <w:szCs w:val="20"/>
                <w:color w:val="auto"/>
              </w:rPr>
            </w:pPr>
            <w:r>
              <w:rPr>
                <w:rFonts w:ascii="Arial" w:cs="Arial" w:eastAsia="Arial" w:hAnsi="Arial"/>
                <w:sz w:val="14"/>
                <w:szCs w:val="14"/>
                <w:b w:val="1"/>
                <w:bCs w:val="1"/>
                <w:color w:val="auto"/>
                <w:w w:val="98"/>
              </w:rPr>
              <w:t>Three Months Ended June 30,</w:t>
            </w:r>
          </w:p>
        </w:tc>
        <w:tc>
          <w:tcPr>
            <w:tcW w:w="100" w:type="dxa"/>
            <w:vAlign w:val="bottom"/>
          </w:tcPr>
          <w:p>
            <w:pPr>
              <w:spacing w:after="0"/>
              <w:rPr>
                <w:sz w:val="16"/>
                <w:szCs w:val="16"/>
                <w:color w:val="auto"/>
              </w:rPr>
            </w:pPr>
          </w:p>
        </w:tc>
        <w:tc>
          <w:tcPr>
            <w:tcW w:w="1820" w:type="dxa"/>
            <w:vAlign w:val="bottom"/>
            <w:gridSpan w:val="4"/>
          </w:tcPr>
          <w:p>
            <w:pPr>
              <w:jc w:val="right"/>
              <w:ind w:right="48"/>
              <w:spacing w:after="0"/>
              <w:rPr>
                <w:sz w:val="20"/>
                <w:szCs w:val="20"/>
                <w:color w:val="auto"/>
              </w:rPr>
            </w:pPr>
            <w:r>
              <w:rPr>
                <w:rFonts w:ascii="Arial" w:cs="Arial" w:eastAsia="Arial" w:hAnsi="Arial"/>
                <w:sz w:val="14"/>
                <w:szCs w:val="14"/>
                <w:b w:val="1"/>
                <w:bCs w:val="1"/>
                <w:color w:val="auto"/>
                <w:w w:val="92"/>
              </w:rPr>
              <w:t>Six Months Ended June 30,</w:t>
            </w:r>
          </w:p>
        </w:tc>
      </w:tr>
      <w:tr>
        <w:trPr>
          <w:trHeight w:val="187"/>
        </w:trPr>
        <w:tc>
          <w:tcPr>
            <w:tcW w:w="7320" w:type="dxa"/>
            <w:vAlign w:val="bottom"/>
            <w:tcBorders>
              <w:bottom w:val="single" w:sz="8" w:color="CCEEFF"/>
            </w:tcBorders>
          </w:tcPr>
          <w:p>
            <w:pPr>
              <w:spacing w:after="0"/>
              <w:rPr>
                <w:sz w:val="16"/>
                <w:szCs w:val="16"/>
                <w:color w:val="auto"/>
              </w:rPr>
            </w:pPr>
          </w:p>
        </w:tc>
        <w:tc>
          <w:tcPr>
            <w:tcW w:w="200" w:type="dxa"/>
            <w:vAlign w:val="bottom"/>
            <w:tcBorders>
              <w:top w:val="single" w:sz="8" w:color="auto"/>
              <w:bottom w:val="single" w:sz="8" w:color="auto"/>
            </w:tcBorders>
          </w:tcPr>
          <w:p>
            <w:pPr>
              <w:spacing w:after="0"/>
              <w:rPr>
                <w:sz w:val="16"/>
                <w:szCs w:val="16"/>
                <w:color w:val="auto"/>
              </w:rPr>
            </w:pPr>
          </w:p>
        </w:tc>
        <w:tc>
          <w:tcPr>
            <w:tcW w:w="700" w:type="dxa"/>
            <w:vAlign w:val="bottom"/>
            <w:tcBorders>
              <w:top w:val="single" w:sz="8" w:color="auto"/>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2022</w:t>
            </w:r>
          </w:p>
        </w:tc>
        <w:tc>
          <w:tcPr>
            <w:tcW w:w="100" w:type="dxa"/>
            <w:vAlign w:val="bottom"/>
            <w:tcBorders>
              <w:top w:val="single" w:sz="8" w:color="auto"/>
              <w:bottom w:val="single" w:sz="8" w:color="CCEEFF"/>
            </w:tcBorders>
          </w:tcPr>
          <w:p>
            <w:pPr>
              <w:spacing w:after="0"/>
              <w:rPr>
                <w:sz w:val="16"/>
                <w:szCs w:val="16"/>
                <w:color w:val="auto"/>
              </w:rPr>
            </w:pPr>
          </w:p>
        </w:tc>
        <w:tc>
          <w:tcPr>
            <w:tcW w:w="200" w:type="dxa"/>
            <w:vAlign w:val="bottom"/>
            <w:tcBorders>
              <w:top w:val="single" w:sz="8" w:color="auto"/>
              <w:bottom w:val="single" w:sz="8" w:color="auto"/>
            </w:tcBorders>
          </w:tcPr>
          <w:p>
            <w:pPr>
              <w:spacing w:after="0"/>
              <w:rPr>
                <w:sz w:val="16"/>
                <w:szCs w:val="16"/>
                <w:color w:val="auto"/>
              </w:rPr>
            </w:pPr>
          </w:p>
        </w:tc>
        <w:tc>
          <w:tcPr>
            <w:tcW w:w="700" w:type="dxa"/>
            <w:vAlign w:val="bottom"/>
            <w:tcBorders>
              <w:top w:val="single" w:sz="8" w:color="auto"/>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800" w:type="dxa"/>
            <w:vAlign w:val="bottom"/>
            <w:tcBorders>
              <w:top w:val="single" w:sz="8" w:color="auto"/>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2022</w:t>
            </w:r>
          </w:p>
        </w:tc>
        <w:tc>
          <w:tcPr>
            <w:tcW w:w="120" w:type="dxa"/>
            <w:vAlign w:val="bottom"/>
            <w:tcBorders>
              <w:top w:val="single" w:sz="8" w:color="auto"/>
              <w:bottom w:val="single" w:sz="8" w:color="CCEEFF"/>
            </w:tcBorders>
          </w:tcPr>
          <w:p>
            <w:pPr>
              <w:spacing w:after="0"/>
              <w:rPr>
                <w:sz w:val="16"/>
                <w:szCs w:val="16"/>
                <w:color w:val="auto"/>
              </w:rPr>
            </w:pPr>
          </w:p>
        </w:tc>
        <w:tc>
          <w:tcPr>
            <w:tcW w:w="200" w:type="dxa"/>
            <w:vAlign w:val="bottom"/>
            <w:tcBorders>
              <w:top w:val="single" w:sz="8" w:color="auto"/>
              <w:bottom w:val="single" w:sz="8" w:color="auto"/>
            </w:tcBorders>
          </w:tcPr>
          <w:p>
            <w:pPr>
              <w:spacing w:after="0"/>
              <w:rPr>
                <w:sz w:val="16"/>
                <w:szCs w:val="16"/>
                <w:color w:val="auto"/>
              </w:rPr>
            </w:pPr>
          </w:p>
        </w:tc>
        <w:tc>
          <w:tcPr>
            <w:tcW w:w="700" w:type="dxa"/>
            <w:vAlign w:val="bottom"/>
            <w:tcBorders>
              <w:top w:val="single" w:sz="8" w:color="auto"/>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2021</w:t>
            </w:r>
          </w:p>
        </w:tc>
      </w:tr>
      <w:tr>
        <w:trPr>
          <w:trHeight w:val="184"/>
        </w:trPr>
        <w:tc>
          <w:tcPr>
            <w:tcW w:w="73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issued and outstanding</w:t>
            </w:r>
          </w:p>
        </w:tc>
        <w:tc>
          <w:tcPr>
            <w:tcW w:w="2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524.7</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524.9</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523.7</w:t>
            </w:r>
          </w:p>
        </w:tc>
        <w:tc>
          <w:tcPr>
            <w:tcW w:w="1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528.7</w:t>
            </w:r>
          </w:p>
        </w:tc>
      </w:tr>
      <w:tr>
        <w:trPr>
          <w:trHeight w:val="186"/>
        </w:trPr>
        <w:tc>
          <w:tcPr>
            <w:tcW w:w="732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Weighted average number of fully vested restricted stock units outstanding</w:t>
            </w: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1.5</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w:t>
            </w: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w:t>
            </w:r>
          </w:p>
        </w:tc>
      </w:tr>
      <w:tr>
        <w:trPr>
          <w:trHeight w:val="186"/>
        </w:trPr>
        <w:tc>
          <w:tcPr>
            <w:tcW w:w="73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outstanding - basic</w:t>
            </w: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526.2</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526.6</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525.3</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530.1</w:t>
            </w:r>
          </w:p>
        </w:tc>
      </w:tr>
      <w:tr>
        <w:trPr>
          <w:trHeight w:val="186"/>
        </w:trPr>
        <w:tc>
          <w:tcPr>
            <w:tcW w:w="7320" w:type="dxa"/>
            <w:vAlign w:val="bottom"/>
          </w:tcPr>
          <w:p>
            <w:pPr>
              <w:ind w:left="20"/>
              <w:spacing w:after="0"/>
              <w:rPr>
                <w:sz w:val="20"/>
                <w:szCs w:val="20"/>
                <w:color w:val="auto"/>
              </w:rPr>
            </w:pPr>
            <w:r>
              <w:rPr>
                <w:rFonts w:ascii="Arial" w:cs="Arial" w:eastAsia="Arial" w:hAnsi="Arial"/>
                <w:sz w:val="14"/>
                <w:szCs w:val="14"/>
                <w:color w:val="auto"/>
              </w:rPr>
              <w:t>Weighted average number of dilutive unvested restricted stock units outstanding</w:t>
            </w:r>
          </w:p>
        </w:tc>
        <w:tc>
          <w:tcPr>
            <w:tcW w:w="200" w:type="dxa"/>
            <w:vAlign w:val="bottom"/>
          </w:tcPr>
          <w:p>
            <w:pPr>
              <w:spacing w:after="0"/>
              <w:rPr>
                <w:sz w:val="16"/>
                <w:szCs w:val="16"/>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1.8</w:t>
            </w:r>
          </w:p>
        </w:tc>
      </w:tr>
      <w:tr>
        <w:trPr>
          <w:trHeight w:val="211"/>
        </w:trPr>
        <w:tc>
          <w:tcPr>
            <w:tcW w:w="732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outstanding - diluted</w:t>
            </w:r>
          </w:p>
        </w:tc>
        <w:tc>
          <w:tcPr>
            <w:tcW w:w="200" w:type="dxa"/>
            <w:vAlign w:val="bottom"/>
            <w:tcBorders>
              <w:top w:val="single" w:sz="8" w:color="auto"/>
              <w:bottom w:val="single" w:sz="8" w:color="auto"/>
            </w:tcBorders>
            <w:shd w:val="clear" w:color="auto" w:fill="CCEEFF"/>
          </w:tcPr>
          <w:p>
            <w:pPr>
              <w:spacing w:after="0"/>
              <w:rPr>
                <w:sz w:val="17"/>
                <w:szCs w:val="17"/>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526.2</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200" w:type="dxa"/>
            <w:vAlign w:val="bottom"/>
            <w:tcBorders>
              <w:top w:val="single" w:sz="8" w:color="auto"/>
              <w:bottom w:val="single" w:sz="8" w:color="auto"/>
            </w:tcBorders>
            <w:shd w:val="clear" w:color="auto" w:fill="CCEEFF"/>
          </w:tcPr>
          <w:p>
            <w:pPr>
              <w:spacing w:after="0"/>
              <w:rPr>
                <w:sz w:val="17"/>
                <w:szCs w:val="17"/>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526.6</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spacing w:after="0"/>
              <w:rPr>
                <w:sz w:val="17"/>
                <w:szCs w:val="17"/>
                <w:color w:val="auto"/>
              </w:rPr>
            </w:pP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525.3</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200" w:type="dxa"/>
            <w:vAlign w:val="bottom"/>
            <w:tcBorders>
              <w:top w:val="single" w:sz="8" w:color="auto"/>
              <w:bottom w:val="single" w:sz="8" w:color="auto"/>
            </w:tcBorders>
            <w:shd w:val="clear" w:color="auto" w:fill="CCEEFF"/>
          </w:tcPr>
          <w:p>
            <w:pPr>
              <w:spacing w:after="0"/>
              <w:rPr>
                <w:sz w:val="17"/>
                <w:szCs w:val="17"/>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531.9</w:t>
            </w:r>
          </w:p>
        </w:tc>
      </w:tr>
      <w:tr>
        <w:trPr>
          <w:trHeight w:val="20"/>
        </w:trPr>
        <w:tc>
          <w:tcPr>
            <w:tcW w:w="73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r>
      <w:tr>
        <w:trPr>
          <w:trHeight w:val="163"/>
        </w:trPr>
        <w:tc>
          <w:tcPr>
            <w:tcW w:w="7320" w:type="dxa"/>
            <w:vAlign w:val="bottom"/>
          </w:tcPr>
          <w:p>
            <w:pPr>
              <w:ind w:left="20"/>
              <w:spacing w:after="0"/>
              <w:rPr>
                <w:sz w:val="20"/>
                <w:szCs w:val="20"/>
                <w:color w:val="auto"/>
              </w:rPr>
            </w:pPr>
            <w:r>
              <w:rPr>
                <w:rFonts w:ascii="Arial" w:cs="Arial" w:eastAsia="Arial" w:hAnsi="Arial"/>
                <w:sz w:val="14"/>
                <w:szCs w:val="14"/>
                <w:color w:val="auto"/>
              </w:rPr>
              <w:t>Net income (loss) available (attributable) to common stockholders</w:t>
            </w:r>
          </w:p>
        </w:tc>
        <w:tc>
          <w:tcPr>
            <w:tcW w:w="20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(459)</w:t>
            </w:r>
          </w:p>
        </w:tc>
        <w:tc>
          <w:tcPr>
            <w:tcW w:w="100" w:type="dxa"/>
            <w:vAlign w:val="bottom"/>
          </w:tcPr>
          <w:p>
            <w:pPr>
              <w:spacing w:after="0"/>
              <w:rPr>
                <w:sz w:val="14"/>
                <w:szCs w:val="14"/>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(436)</w:t>
            </w:r>
          </w:p>
        </w:tc>
        <w:tc>
          <w:tcPr>
            <w:tcW w:w="100" w:type="dxa"/>
            <w:vAlign w:val="bottom"/>
          </w:tcPr>
          <w:p>
            <w:pPr>
              <w:spacing w:after="0"/>
              <w:rPr>
                <w:sz w:val="14"/>
                <w:szCs w:val="14"/>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(1,135)</w:t>
            </w:r>
          </w:p>
        </w:tc>
        <w:tc>
          <w:tcPr>
            <w:tcW w:w="120" w:type="dxa"/>
            <w:vAlign w:val="bottom"/>
          </w:tcPr>
          <w:p>
            <w:pPr>
              <w:spacing w:after="0"/>
              <w:rPr>
                <w:sz w:val="14"/>
                <w:szCs w:val="14"/>
                <w:color w:val="auto"/>
              </w:rPr>
            </w:pPr>
          </w:p>
        </w:tc>
        <w:tc>
          <w:tcPr>
            <w:tcW w:w="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514</w:t>
            </w:r>
          </w:p>
        </w:tc>
      </w:tr>
      <w:tr>
        <w:trPr>
          <w:trHeight w:val="20"/>
        </w:trPr>
        <w:tc>
          <w:tcPr>
            <w:tcW w:w="73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r>
      <w:tr>
        <w:trPr>
          <w:trHeight w:val="208"/>
        </w:trPr>
        <w:tc>
          <w:tcPr>
            <w:tcW w:w="7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Net income (loss) per common share - basic</w:t>
            </w:r>
          </w:p>
        </w:tc>
        <w:tc>
          <w:tcPr>
            <w:tcW w:w="2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(0.87)</w:t>
            </w:r>
          </w:p>
        </w:tc>
        <w:tc>
          <w:tcPr>
            <w:tcW w:w="1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(0.83)</w:t>
            </w:r>
          </w:p>
        </w:tc>
        <w:tc>
          <w:tcPr>
            <w:tcW w:w="10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(2.16)</w:t>
            </w:r>
          </w:p>
        </w:tc>
        <w:tc>
          <w:tcPr>
            <w:tcW w:w="12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0.97</w:t>
            </w:r>
          </w:p>
        </w:tc>
      </w:tr>
      <w:tr>
        <w:trPr>
          <w:trHeight w:val="20"/>
        </w:trPr>
        <w:tc>
          <w:tcPr>
            <w:tcW w:w="73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r>
      <w:tr>
        <w:trPr>
          <w:trHeight w:val="163"/>
        </w:trPr>
        <w:tc>
          <w:tcPr>
            <w:tcW w:w="7320" w:type="dxa"/>
            <w:vAlign w:val="bottom"/>
          </w:tcPr>
          <w:p>
            <w:pPr>
              <w:ind w:left="20"/>
              <w:spacing w:after="0"/>
              <w:rPr>
                <w:sz w:val="20"/>
                <w:szCs w:val="20"/>
                <w:color w:val="auto"/>
              </w:rPr>
            </w:pPr>
            <w:r>
              <w:rPr>
                <w:rFonts w:ascii="Arial" w:cs="Arial" w:eastAsia="Arial" w:hAnsi="Arial"/>
                <w:sz w:val="14"/>
                <w:szCs w:val="14"/>
                <w:color w:val="auto"/>
              </w:rPr>
              <w:t>Net income (loss) per common share - diluted</w:t>
            </w:r>
          </w:p>
        </w:tc>
        <w:tc>
          <w:tcPr>
            <w:tcW w:w="20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(0.87)</w:t>
            </w:r>
          </w:p>
        </w:tc>
        <w:tc>
          <w:tcPr>
            <w:tcW w:w="100" w:type="dxa"/>
            <w:vAlign w:val="bottom"/>
          </w:tcPr>
          <w:p>
            <w:pPr>
              <w:spacing w:after="0"/>
              <w:rPr>
                <w:sz w:val="14"/>
                <w:szCs w:val="14"/>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(0.83)</w:t>
            </w:r>
          </w:p>
        </w:tc>
        <w:tc>
          <w:tcPr>
            <w:tcW w:w="100" w:type="dxa"/>
            <w:vAlign w:val="bottom"/>
          </w:tcPr>
          <w:p>
            <w:pPr>
              <w:spacing w:after="0"/>
              <w:rPr>
                <w:sz w:val="14"/>
                <w:szCs w:val="14"/>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(2.16)</w:t>
            </w:r>
          </w:p>
        </w:tc>
        <w:tc>
          <w:tcPr>
            <w:tcW w:w="120" w:type="dxa"/>
            <w:vAlign w:val="bottom"/>
          </w:tcPr>
          <w:p>
            <w:pPr>
              <w:spacing w:after="0"/>
              <w:rPr>
                <w:sz w:val="14"/>
                <w:szCs w:val="14"/>
                <w:color w:val="auto"/>
              </w:rPr>
            </w:pPr>
          </w:p>
        </w:tc>
        <w:tc>
          <w:tcPr>
            <w:tcW w:w="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0.97</w:t>
            </w:r>
          </w:p>
        </w:tc>
      </w:tr>
      <w:tr>
        <w:trPr>
          <w:trHeight w:val="21"/>
        </w:trPr>
        <w:tc>
          <w:tcPr>
            <w:tcW w:w="73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firstLine="405"/>
        <w:spacing w:after="0" w:line="263" w:lineRule="auto"/>
        <w:rPr>
          <w:sz w:val="20"/>
          <w:szCs w:val="20"/>
          <w:color w:val="auto"/>
        </w:rPr>
      </w:pPr>
      <w:r>
        <w:rPr>
          <w:rFonts w:ascii="Arial" w:cs="Arial" w:eastAsia="Arial" w:hAnsi="Arial"/>
          <w:sz w:val="18"/>
          <w:szCs w:val="18"/>
          <w:color w:val="auto"/>
        </w:rPr>
        <w:t>For the three and six months ended June 30, 2022, 0.9 million and 1.1 million, respectively, and for the three months ended June 30, 2021 1.7 million of potentially dilutive unvested time and performance based RSUs outstanding were excluded from the computation of diluted net income (loss) per common share because to do so would have been anti-dilutive for the period.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9. Stockholders' Equity</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Preferred Stock</w:t>
      </w:r>
    </w:p>
    <w:p>
      <w:pPr>
        <w:spacing w:after="0" w:line="171" w:lineRule="exact"/>
        <w:rPr>
          <w:sz w:val="20"/>
          <w:szCs w:val="20"/>
          <w:color w:val="auto"/>
        </w:rPr>
      </w:pPr>
    </w:p>
    <w:p>
      <w:pPr>
        <w:jc w:val="both"/>
        <w:ind w:firstLine="445"/>
        <w:spacing w:after="0" w:line="272" w:lineRule="auto"/>
        <w:rPr>
          <w:sz w:val="20"/>
          <w:szCs w:val="20"/>
          <w:color w:val="auto"/>
        </w:rPr>
      </w:pPr>
      <w:r>
        <w:rPr>
          <w:rFonts w:ascii="Arial" w:cs="Arial" w:eastAsia="Arial" w:hAnsi="Arial"/>
          <w:sz w:val="17"/>
          <w:szCs w:val="17"/>
          <w:color w:val="auto"/>
        </w:rPr>
        <w:t>We are authorized to designate and issue up to 10.0 million shares of preferred stock in one or more classes or series. As of June 30, 2022 and December 31, 2021, 13,800, 10,350, 16,100 and 23,000 shares of preferred stock were designated as 7.00% Series C Fixed-to-Floating Rate Cumulative Redeemable Preferred Stock, 6.875% Series D Fixed-to-Floating Rate Cumulative Redeemable Preferred Stock, 6.50% Series E Fixed-to-Floating Rate Cumulative Redeemable Preferred Stock and 6.125% Series F Fixed-to-Floating Rate Cumulative Redeemable Preferred Stock, respectively, (referred to as "Series C, D, E and F Preferred Stock", respectively). As of June 30, 2022 and December 31, 2021, 13,000, 9,400, 16,100 and 23,000 shares of Series C, D, E and F Preferred Stock, respectively, were issued and outstanding. Each share of preferred stock is represented by 1,000 depositary shares. Each share of preferred stock has a liquidation preference of $25,000 per share ($25 per depositary share).</w:t>
      </w:r>
    </w:p>
    <w:p>
      <w:pPr>
        <w:spacing w:after="0" w:line="123" w:lineRule="exact"/>
        <w:rPr>
          <w:sz w:val="20"/>
          <w:szCs w:val="20"/>
          <w:color w:val="auto"/>
        </w:rPr>
      </w:pPr>
    </w:p>
    <w:p>
      <w:pPr>
        <w:jc w:val="both"/>
        <w:ind w:firstLine="405"/>
        <w:spacing w:after="0" w:line="273" w:lineRule="auto"/>
        <w:rPr>
          <w:sz w:val="20"/>
          <w:szCs w:val="20"/>
          <w:color w:val="auto"/>
        </w:rPr>
      </w:pPr>
      <w:r>
        <w:rPr>
          <w:rFonts w:ascii="Arial" w:cs="Arial" w:eastAsia="Arial" w:hAnsi="Arial"/>
          <w:sz w:val="17"/>
          <w:szCs w:val="17"/>
          <w:color w:val="auto"/>
        </w:rPr>
        <w:t>Our preferred stock ranks senior to our common stock with respect to the payment of dividends and the distribution of assets upon a voluntary or involuntary liquidation, dissolution or winding up of the Company. Our preferred stock has no stated maturity, is not subject to any sinking fund or mandatory redemption and each series of preferred stock ranks on parity with one another. Under certain circumstances upon a change of control, our preferred stock is convertible to shares of our common stock. Holders of our preferred stock and depositary shares underlying our preferred stock have no voting rights, except under limited conditions. Beginning on each series' optional redemption date, we may redeem shares at $25.00 per depositary share, plus accumulated and unpaid dividends (whether or not declared), exclusively at our option.</w:t>
      </w:r>
    </w:p>
    <w:p>
      <w:pPr>
        <w:spacing w:after="0" w:line="124"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The following table includes a summary of preferred stock depositary shares issued and outstanding as of June 30, 2022 (dollars and shares in millions):</w:t>
      </w:r>
    </w:p>
    <w:p>
      <w:pPr>
        <w:spacing w:after="0" w:line="13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9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8"/>
              </w:rPr>
              <w:t>Depositary</w:t>
            </w:r>
          </w:p>
        </w:tc>
        <w:tc>
          <w:tcPr>
            <w:tcW w:w="1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2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1"/>
              </w:rPr>
              <w:t>Fixed-to-Floating</w:t>
            </w:r>
          </w:p>
        </w:tc>
        <w:tc>
          <w:tcPr>
            <w:tcW w:w="1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04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Fixed-to-Floating Rate</w:t>
            </w:r>
          </w:p>
        </w:tc>
        <w:tc>
          <w:tcPr>
            <w:tcW w:w="10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4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85"/>
              </w:rPr>
              <w:t>Shares</w:t>
            </w: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vMerge w:val="restart"/>
          </w:tcPr>
          <w:p>
            <w:pPr>
              <w:jc w:val="center"/>
              <w:ind w:right="30"/>
              <w:spacing w:after="0"/>
              <w:rPr>
                <w:sz w:val="20"/>
                <w:szCs w:val="20"/>
                <w:color w:val="auto"/>
              </w:rPr>
            </w:pPr>
            <w:r>
              <w:rPr>
                <w:rFonts w:ascii="Arial" w:cs="Arial" w:eastAsia="Arial" w:hAnsi="Arial"/>
                <w:sz w:val="14"/>
                <w:szCs w:val="14"/>
                <w:b w:val="1"/>
                <w:bCs w:val="1"/>
                <w:color w:val="auto"/>
                <w:w w:val="89"/>
              </w:rPr>
              <w:t>Aggregate</w:t>
            </w:r>
          </w:p>
        </w:tc>
        <w:tc>
          <w:tcPr>
            <w:tcW w:w="10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gridSpan w:val="2"/>
            <w:vMerge w:val="restart"/>
          </w:tcPr>
          <w:p>
            <w:pPr>
              <w:jc w:val="center"/>
              <w:ind w:right="80"/>
              <w:spacing w:after="0"/>
              <w:rPr>
                <w:sz w:val="20"/>
                <w:szCs w:val="20"/>
                <w:color w:val="auto"/>
              </w:rPr>
            </w:pPr>
            <w:r>
              <w:rPr>
                <w:rFonts w:ascii="Arial" w:cs="Arial" w:eastAsia="Arial" w:hAnsi="Arial"/>
                <w:sz w:val="14"/>
                <w:szCs w:val="14"/>
                <w:b w:val="1"/>
                <w:bCs w:val="1"/>
                <w:color w:val="auto"/>
                <w:w w:val="91"/>
              </w:rPr>
              <w:t>Optional</w:t>
            </w:r>
          </w:p>
        </w:tc>
        <w:tc>
          <w:tcPr>
            <w:tcW w:w="1220" w:type="dxa"/>
            <w:vAlign w:val="bottom"/>
            <w:gridSpan w:val="2"/>
            <w:vMerge w:val="continue"/>
          </w:tcPr>
          <w:p>
            <w:pPr>
              <w:spacing w:after="0"/>
              <w:rPr>
                <w:sz w:val="11"/>
                <w:szCs w:val="11"/>
                <w:color w:val="auto"/>
              </w:rPr>
            </w:pPr>
          </w:p>
        </w:tc>
        <w:tc>
          <w:tcPr>
            <w:tcW w:w="12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40" w:type="dxa"/>
            <w:vAlign w:val="bottom"/>
            <w:gridSpan w:val="2"/>
            <w:vMerge w:val="continue"/>
          </w:tcPr>
          <w:p>
            <w:pPr>
              <w:spacing w:after="0"/>
              <w:rPr>
                <w:sz w:val="11"/>
                <w:szCs w:val="11"/>
                <w:color w:val="auto"/>
              </w:rPr>
            </w:pPr>
          </w:p>
        </w:tc>
        <w:tc>
          <w:tcPr>
            <w:tcW w:w="118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83"/>
              </w:rPr>
              <w:t>Issuance</w:t>
            </w:r>
          </w:p>
        </w:tc>
        <w:tc>
          <w:tcPr>
            <w:tcW w:w="1140" w:type="dxa"/>
            <w:vAlign w:val="bottom"/>
            <w:gridSpan w:val="2"/>
          </w:tcPr>
          <w:p>
            <w:pPr>
              <w:jc w:val="center"/>
              <w:ind w:right="80"/>
              <w:spacing w:after="0" w:line="135" w:lineRule="exact"/>
              <w:rPr>
                <w:sz w:val="20"/>
                <w:szCs w:val="20"/>
                <w:color w:val="auto"/>
              </w:rPr>
            </w:pPr>
            <w:r>
              <w:rPr>
                <w:rFonts w:ascii="Arial" w:cs="Arial" w:eastAsia="Arial" w:hAnsi="Arial"/>
                <w:sz w:val="14"/>
                <w:szCs w:val="14"/>
                <w:b w:val="1"/>
                <w:bCs w:val="1"/>
                <w:color w:val="auto"/>
                <w:w w:val="85"/>
              </w:rPr>
              <w:t>Issued</w:t>
            </w:r>
          </w:p>
        </w:tc>
        <w:tc>
          <w:tcPr>
            <w:tcW w:w="160" w:type="dxa"/>
            <w:vAlign w:val="bottom"/>
          </w:tcPr>
          <w:p>
            <w:pPr>
              <w:spacing w:after="0"/>
              <w:rPr>
                <w:sz w:val="11"/>
                <w:szCs w:val="11"/>
                <w:color w:val="auto"/>
              </w:rPr>
            </w:pPr>
          </w:p>
        </w:tc>
        <w:tc>
          <w:tcPr>
            <w:tcW w:w="92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Carrying</w:t>
            </w:r>
          </w:p>
        </w:tc>
        <w:tc>
          <w:tcPr>
            <w:tcW w:w="120" w:type="dxa"/>
            <w:vAlign w:val="bottom"/>
          </w:tcPr>
          <w:p>
            <w:pPr>
              <w:spacing w:after="0"/>
              <w:rPr>
                <w:sz w:val="11"/>
                <w:szCs w:val="11"/>
                <w:color w:val="auto"/>
              </w:rPr>
            </w:pPr>
          </w:p>
        </w:tc>
        <w:tc>
          <w:tcPr>
            <w:tcW w:w="920" w:type="dxa"/>
            <w:vAlign w:val="bottom"/>
            <w:vMerge w:val="continue"/>
          </w:tcPr>
          <w:p>
            <w:pPr>
              <w:spacing w:after="0"/>
              <w:rPr>
                <w:sz w:val="11"/>
                <w:szCs w:val="11"/>
                <w:color w:val="auto"/>
              </w:rPr>
            </w:pPr>
          </w:p>
        </w:tc>
        <w:tc>
          <w:tcPr>
            <w:tcW w:w="1120" w:type="dxa"/>
            <w:vAlign w:val="bottom"/>
            <w:gridSpan w:val="2"/>
            <w:vMerge w:val="restart"/>
          </w:tcPr>
          <w:p>
            <w:pPr>
              <w:jc w:val="center"/>
              <w:spacing w:after="0"/>
              <w:rPr>
                <w:sz w:val="20"/>
                <w:szCs w:val="20"/>
                <w:color w:val="auto"/>
              </w:rPr>
            </w:pPr>
            <w:r>
              <w:rPr>
                <w:rFonts w:ascii="Arial" w:cs="Arial" w:eastAsia="Arial" w:hAnsi="Arial"/>
                <w:sz w:val="14"/>
                <w:szCs w:val="14"/>
                <w:b w:val="1"/>
                <w:bCs w:val="1"/>
                <w:color w:val="auto"/>
                <w:w w:val="92"/>
              </w:rPr>
              <w:t>Fixed</w:t>
            </w:r>
          </w:p>
        </w:tc>
        <w:tc>
          <w:tcPr>
            <w:tcW w:w="1160" w:type="dxa"/>
            <w:vAlign w:val="bottom"/>
            <w:gridSpan w:val="2"/>
            <w:vMerge w:val="continue"/>
          </w:tcPr>
          <w:p>
            <w:pPr>
              <w:spacing w:after="0"/>
              <w:rPr>
                <w:sz w:val="11"/>
                <w:szCs w:val="11"/>
                <w:color w:val="auto"/>
              </w:rPr>
            </w:pPr>
          </w:p>
        </w:tc>
        <w:tc>
          <w:tcPr>
            <w:tcW w:w="122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2"/>
              </w:rPr>
              <w:t>Rate</w:t>
            </w:r>
          </w:p>
        </w:tc>
        <w:tc>
          <w:tcPr>
            <w:tcW w:w="12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1"/>
              </w:rPr>
              <w:t>Floating</w:t>
            </w:r>
          </w:p>
        </w:tc>
        <w:tc>
          <w:tcPr>
            <w:tcW w:w="0" w:type="dxa"/>
            <w:vAlign w:val="bottom"/>
          </w:tcPr>
          <w:p>
            <w:pPr>
              <w:spacing w:after="0"/>
              <w:rPr>
                <w:sz w:val="1"/>
                <w:szCs w:val="1"/>
                <w:color w:val="auto"/>
              </w:rPr>
            </w:pPr>
          </w:p>
        </w:tc>
      </w:tr>
      <w:tr>
        <w:trPr>
          <w:trHeight w:val="135"/>
        </w:trPr>
        <w:tc>
          <w:tcPr>
            <w:tcW w:w="2040" w:type="dxa"/>
            <w:vAlign w:val="bottom"/>
            <w:gridSpan w:val="2"/>
          </w:tcPr>
          <w:p>
            <w:pPr>
              <w:ind w:left="20"/>
              <w:spacing w:after="0" w:line="135" w:lineRule="exact"/>
              <w:rPr>
                <w:sz w:val="20"/>
                <w:szCs w:val="20"/>
                <w:color w:val="auto"/>
              </w:rPr>
            </w:pPr>
            <w:r>
              <w:rPr>
                <w:rFonts w:ascii="Arial" w:cs="Arial" w:eastAsia="Arial" w:hAnsi="Arial"/>
                <w:sz w:val="14"/>
                <w:szCs w:val="14"/>
                <w:b w:val="1"/>
                <w:bCs w:val="1"/>
                <w:color w:val="auto"/>
              </w:rPr>
              <w:t>Cumulative Redeemable</w:t>
            </w:r>
          </w:p>
        </w:tc>
        <w:tc>
          <w:tcPr>
            <w:tcW w:w="1180" w:type="dxa"/>
            <w:vAlign w:val="bottom"/>
            <w:gridSpan w:val="2"/>
            <w:vMerge w:val="continue"/>
          </w:tcPr>
          <w:p>
            <w:pPr>
              <w:spacing w:after="0"/>
              <w:rPr>
                <w:sz w:val="11"/>
                <w:szCs w:val="11"/>
                <w:color w:val="auto"/>
              </w:rPr>
            </w:pPr>
          </w:p>
        </w:tc>
        <w:tc>
          <w:tcPr>
            <w:tcW w:w="114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6"/>
              </w:rPr>
              <w:t>and</w:t>
            </w:r>
          </w:p>
        </w:tc>
        <w:tc>
          <w:tcPr>
            <w:tcW w:w="160" w:type="dxa"/>
            <w:vAlign w:val="bottom"/>
          </w:tcPr>
          <w:p>
            <w:pPr>
              <w:spacing w:after="0"/>
              <w:rPr>
                <w:sz w:val="11"/>
                <w:szCs w:val="11"/>
                <w:color w:val="auto"/>
              </w:rPr>
            </w:pPr>
          </w:p>
        </w:tc>
        <w:tc>
          <w:tcPr>
            <w:tcW w:w="92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tcPr>
          <w:p>
            <w:pPr>
              <w:jc w:val="center"/>
              <w:ind w:right="70"/>
              <w:spacing w:after="0" w:line="135" w:lineRule="exact"/>
              <w:rPr>
                <w:sz w:val="20"/>
                <w:szCs w:val="20"/>
                <w:color w:val="auto"/>
              </w:rPr>
            </w:pPr>
            <w:r>
              <w:rPr>
                <w:rFonts w:ascii="Arial" w:cs="Arial" w:eastAsia="Arial" w:hAnsi="Arial"/>
                <w:sz w:val="14"/>
                <w:szCs w:val="14"/>
                <w:b w:val="1"/>
                <w:bCs w:val="1"/>
                <w:color w:val="auto"/>
                <w:w w:val="92"/>
              </w:rPr>
              <w:t>Liquidation</w:t>
            </w:r>
          </w:p>
        </w:tc>
        <w:tc>
          <w:tcPr>
            <w:tcW w:w="1120" w:type="dxa"/>
            <w:vAlign w:val="bottom"/>
            <w:gridSpan w:val="2"/>
            <w:vMerge w:val="continue"/>
          </w:tcPr>
          <w:p>
            <w:pPr>
              <w:spacing w:after="0"/>
              <w:rPr>
                <w:sz w:val="11"/>
                <w:szCs w:val="11"/>
                <w:color w:val="auto"/>
              </w:rPr>
            </w:pPr>
          </w:p>
        </w:tc>
        <w:tc>
          <w:tcPr>
            <w:tcW w:w="1160" w:type="dxa"/>
            <w:vAlign w:val="bottom"/>
            <w:gridSpan w:val="2"/>
          </w:tcPr>
          <w:p>
            <w:pPr>
              <w:jc w:val="center"/>
              <w:ind w:right="80"/>
              <w:spacing w:after="0" w:line="135" w:lineRule="exact"/>
              <w:rPr>
                <w:sz w:val="20"/>
                <w:szCs w:val="20"/>
                <w:color w:val="auto"/>
              </w:rPr>
            </w:pPr>
            <w:r>
              <w:rPr>
                <w:rFonts w:ascii="Arial" w:cs="Arial" w:eastAsia="Arial" w:hAnsi="Arial"/>
                <w:sz w:val="14"/>
                <w:szCs w:val="14"/>
                <w:b w:val="1"/>
                <w:bCs w:val="1"/>
                <w:color w:val="auto"/>
                <w:w w:val="88"/>
              </w:rPr>
              <w:t>Redemption</w:t>
            </w:r>
          </w:p>
        </w:tc>
        <w:tc>
          <w:tcPr>
            <w:tcW w:w="122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88"/>
              </w:rPr>
              <w:t>Conversion</w:t>
            </w:r>
          </w:p>
        </w:tc>
        <w:tc>
          <w:tcPr>
            <w:tcW w:w="12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89"/>
        </w:trPr>
        <w:tc>
          <w:tcPr>
            <w:tcW w:w="1920" w:type="dxa"/>
            <w:vAlign w:val="bottom"/>
            <w:tcBorders>
              <w:bottom w:val="single" w:sz="8" w:color="auto"/>
            </w:tcBorders>
          </w:tcPr>
          <w:p>
            <w:pPr>
              <w:ind w:left="20"/>
              <w:spacing w:after="0" w:line="189" w:lineRule="exact"/>
              <w:rPr>
                <w:sz w:val="20"/>
                <w:szCs w:val="20"/>
                <w:color w:val="auto"/>
              </w:rPr>
            </w:pPr>
            <w:r>
              <w:rPr>
                <w:rFonts w:ascii="Arial" w:cs="Arial" w:eastAsia="Arial" w:hAnsi="Arial"/>
                <w:sz w:val="14"/>
                <w:szCs w:val="14"/>
                <w:b w:val="1"/>
                <w:bCs w:val="1"/>
                <w:color w:val="auto"/>
              </w:rPr>
              <w:t xml:space="preserve">Preferred Stock </w:t>
            </w:r>
            <w:r>
              <w:rPr>
                <w:rFonts w:ascii="Arial" w:cs="Arial" w:eastAsia="Arial" w:hAnsi="Arial"/>
                <w:sz w:val="18"/>
                <w:szCs w:val="18"/>
                <w:b w:val="1"/>
                <w:bCs w:val="1"/>
                <w:color w:val="auto"/>
                <w:vertAlign w:val="superscript"/>
              </w:rPr>
              <w:t>1</w:t>
            </w:r>
          </w:p>
        </w:tc>
        <w:tc>
          <w:tcPr>
            <w:tcW w:w="120" w:type="dxa"/>
            <w:vAlign w:val="bottom"/>
            <w:tcBorders>
              <w:bottom w:val="single" w:sz="8" w:color="CCEEFF"/>
            </w:tcBorders>
          </w:tcPr>
          <w:p>
            <w:pPr>
              <w:spacing w:after="0"/>
              <w:rPr>
                <w:sz w:val="16"/>
                <w:szCs w:val="16"/>
                <w:color w:val="auto"/>
              </w:rPr>
            </w:pPr>
          </w:p>
        </w:tc>
        <w:tc>
          <w:tcPr>
            <w:tcW w:w="10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Date</w:t>
            </w:r>
          </w:p>
        </w:tc>
        <w:tc>
          <w:tcPr>
            <w:tcW w:w="10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Outstanding</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ind w:right="230"/>
              <w:spacing w:after="0"/>
              <w:rPr>
                <w:sz w:val="20"/>
                <w:szCs w:val="20"/>
                <w:color w:val="auto"/>
              </w:rPr>
            </w:pPr>
            <w:r>
              <w:rPr>
                <w:rFonts w:ascii="Arial" w:cs="Arial" w:eastAsia="Arial" w:hAnsi="Arial"/>
                <w:sz w:val="14"/>
                <w:szCs w:val="14"/>
                <w:b w:val="1"/>
                <w:bCs w:val="1"/>
                <w:color w:val="auto"/>
              </w:rPr>
              <w:t>Value</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center"/>
              <w:ind w:right="50"/>
              <w:spacing w:after="0"/>
              <w:rPr>
                <w:sz w:val="20"/>
                <w:szCs w:val="20"/>
                <w:color w:val="auto"/>
              </w:rPr>
            </w:pPr>
            <w:r>
              <w:rPr>
                <w:rFonts w:ascii="Arial" w:cs="Arial" w:eastAsia="Arial" w:hAnsi="Arial"/>
                <w:sz w:val="14"/>
                <w:szCs w:val="14"/>
                <w:b w:val="1"/>
                <w:bCs w:val="1"/>
                <w:color w:val="auto"/>
                <w:w w:val="88"/>
              </w:rPr>
              <w:t>Preference</w:t>
            </w:r>
          </w:p>
        </w:tc>
        <w:tc>
          <w:tcPr>
            <w:tcW w:w="1020" w:type="dxa"/>
            <w:vAlign w:val="bottom"/>
            <w:tcBorders>
              <w:bottom w:val="single" w:sz="8" w:color="auto"/>
            </w:tcBorders>
          </w:tcPr>
          <w:p>
            <w:pPr>
              <w:jc w:val="center"/>
              <w:ind w:left="70"/>
              <w:spacing w:after="0"/>
              <w:rPr>
                <w:sz w:val="20"/>
                <w:szCs w:val="20"/>
                <w:color w:val="auto"/>
              </w:rPr>
            </w:pPr>
            <w:r>
              <w:rPr>
                <w:rFonts w:ascii="Arial" w:cs="Arial" w:eastAsia="Arial" w:hAnsi="Arial"/>
                <w:sz w:val="14"/>
                <w:szCs w:val="14"/>
                <w:b w:val="1"/>
                <w:bCs w:val="1"/>
                <w:color w:val="auto"/>
                <w:w w:val="92"/>
              </w:rPr>
              <w:t>Rate</w:t>
            </w:r>
          </w:p>
        </w:tc>
        <w:tc>
          <w:tcPr>
            <w:tcW w:w="100" w:type="dxa"/>
            <w:vAlign w:val="bottom"/>
            <w:tcBorders>
              <w:bottom w:val="single" w:sz="8" w:color="CCEEFF"/>
            </w:tcBorders>
          </w:tcPr>
          <w:p>
            <w:pPr>
              <w:spacing w:after="0"/>
              <w:rPr>
                <w:sz w:val="16"/>
                <w:szCs w:val="16"/>
                <w:color w:val="auto"/>
              </w:rPr>
            </w:pPr>
          </w:p>
        </w:tc>
        <w:tc>
          <w:tcPr>
            <w:tcW w:w="1060" w:type="dxa"/>
            <w:vAlign w:val="bottom"/>
            <w:tcBorders>
              <w:bottom w:val="single" w:sz="8" w:color="auto"/>
            </w:tcBorders>
          </w:tcPr>
          <w:p>
            <w:pPr>
              <w:jc w:val="center"/>
              <w:spacing w:after="0" w:line="189" w:lineRule="exact"/>
              <w:rPr>
                <w:sz w:val="20"/>
                <w:szCs w:val="20"/>
                <w:color w:val="auto"/>
              </w:rPr>
            </w:pPr>
            <w:r>
              <w:rPr>
                <w:rFonts w:ascii="Arial" w:cs="Arial" w:eastAsia="Arial" w:hAnsi="Arial"/>
                <w:sz w:val="14"/>
                <w:szCs w:val="14"/>
                <w:b w:val="1"/>
                <w:bCs w:val="1"/>
                <w:color w:val="auto"/>
                <w:w w:val="87"/>
              </w:rPr>
              <w:t xml:space="preserve">Date </w:t>
            </w:r>
            <w:r>
              <w:rPr>
                <w:rFonts w:ascii="Arial" w:cs="Arial" w:eastAsia="Arial" w:hAnsi="Arial"/>
                <w:sz w:val="18"/>
                <w:szCs w:val="18"/>
                <w:b w:val="1"/>
                <w:bCs w:val="1"/>
                <w:color w:val="auto"/>
                <w:w w:val="87"/>
                <w:vertAlign w:val="superscript"/>
              </w:rPr>
              <w:t>2</w:t>
            </w:r>
          </w:p>
        </w:tc>
        <w:tc>
          <w:tcPr>
            <w:tcW w:w="100" w:type="dxa"/>
            <w:vAlign w:val="bottom"/>
            <w:tcBorders>
              <w:bottom w:val="single" w:sz="8" w:color="CCEEFF"/>
            </w:tcBorders>
          </w:tcPr>
          <w:p>
            <w:pPr>
              <w:spacing w:after="0"/>
              <w:rPr>
                <w:sz w:val="16"/>
                <w:szCs w:val="16"/>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Date</w:t>
            </w:r>
          </w:p>
        </w:tc>
        <w:tc>
          <w:tcPr>
            <w:tcW w:w="100" w:type="dxa"/>
            <w:vAlign w:val="bottom"/>
            <w:tcBorders>
              <w:bottom w:val="single" w:sz="8" w:color="CCEEFF"/>
            </w:tcBorders>
          </w:tcPr>
          <w:p>
            <w:pPr>
              <w:spacing w:after="0"/>
              <w:rPr>
                <w:sz w:val="16"/>
                <w:szCs w:val="16"/>
                <w:color w:val="auto"/>
              </w:rPr>
            </w:pPr>
          </w:p>
        </w:tc>
        <w:tc>
          <w:tcPr>
            <w:tcW w:w="12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Annual Rate</w:t>
            </w:r>
          </w:p>
        </w:tc>
        <w:tc>
          <w:tcPr>
            <w:tcW w:w="0" w:type="dxa"/>
            <w:vAlign w:val="bottom"/>
          </w:tcPr>
          <w:p>
            <w:pPr>
              <w:spacing w:after="0"/>
              <w:rPr>
                <w:sz w:val="1"/>
                <w:szCs w:val="1"/>
                <w:color w:val="auto"/>
              </w:rPr>
            </w:pPr>
          </w:p>
        </w:tc>
      </w:tr>
      <w:tr>
        <w:trPr>
          <w:trHeight w:val="128"/>
        </w:trPr>
        <w:tc>
          <w:tcPr>
            <w:tcW w:w="2040" w:type="dxa"/>
            <w:vAlign w:val="bottom"/>
            <w:gridSpan w:val="2"/>
            <w:vMerge w:val="restart"/>
            <w:shd w:val="clear" w:color="auto" w:fill="CCEEFF"/>
          </w:tcPr>
          <w:p>
            <w:pPr>
              <w:ind w:left="140"/>
              <w:spacing w:after="0"/>
              <w:rPr>
                <w:sz w:val="20"/>
                <w:szCs w:val="20"/>
                <w:color w:val="auto"/>
              </w:rPr>
            </w:pPr>
            <w:r>
              <w:rPr>
                <w:rFonts w:ascii="Arial" w:cs="Arial" w:eastAsia="Arial" w:hAnsi="Arial"/>
                <w:sz w:val="14"/>
                <w:szCs w:val="14"/>
                <w:color w:val="auto"/>
              </w:rPr>
              <w:t>Series C</w:t>
            </w:r>
          </w:p>
        </w:tc>
        <w:tc>
          <w:tcPr>
            <w:tcW w:w="1180" w:type="dxa"/>
            <w:vAlign w:val="bottom"/>
            <w:gridSpan w:val="2"/>
            <w:vMerge w:val="restart"/>
            <w:shd w:val="clear" w:color="auto" w:fill="CCEEFF"/>
          </w:tcPr>
          <w:p>
            <w:pPr>
              <w:jc w:val="center"/>
              <w:ind w:right="100"/>
              <w:spacing w:after="0"/>
              <w:rPr>
                <w:sz w:val="20"/>
                <w:szCs w:val="20"/>
                <w:color w:val="auto"/>
              </w:rPr>
            </w:pPr>
            <w:r>
              <w:rPr>
                <w:rFonts w:ascii="Arial" w:cs="Arial" w:eastAsia="Arial" w:hAnsi="Arial"/>
                <w:sz w:val="14"/>
                <w:szCs w:val="14"/>
                <w:color w:val="auto"/>
                <w:w w:val="90"/>
              </w:rPr>
              <w:t>August 22, 2017</w:t>
            </w:r>
          </w:p>
        </w:tc>
        <w:tc>
          <w:tcPr>
            <w:tcW w:w="10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13.0</w:t>
            </w: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315</w:t>
            </w: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325</w:t>
            </w:r>
          </w:p>
        </w:tc>
        <w:tc>
          <w:tcPr>
            <w:tcW w:w="1020" w:type="dxa"/>
            <w:vAlign w:val="bottom"/>
            <w:vMerge w:val="restart"/>
            <w:shd w:val="clear" w:color="auto" w:fill="CCEEFF"/>
          </w:tcPr>
          <w:p>
            <w:pPr>
              <w:jc w:val="center"/>
              <w:ind w:left="70"/>
              <w:spacing w:after="0"/>
              <w:rPr>
                <w:sz w:val="20"/>
                <w:szCs w:val="20"/>
                <w:color w:val="auto"/>
              </w:rPr>
            </w:pPr>
            <w:r>
              <w:rPr>
                <w:rFonts w:ascii="Arial" w:cs="Arial" w:eastAsia="Arial" w:hAnsi="Arial"/>
                <w:sz w:val="14"/>
                <w:szCs w:val="14"/>
                <w:color w:val="auto"/>
                <w:w w:val="92"/>
              </w:rPr>
              <w:t>7.000%</w:t>
            </w:r>
          </w:p>
        </w:tc>
        <w:tc>
          <w:tcPr>
            <w:tcW w:w="100" w:type="dxa"/>
            <w:vAlign w:val="bottom"/>
            <w:shd w:val="clear" w:color="auto" w:fill="CCEEFF"/>
          </w:tcPr>
          <w:p>
            <w:pPr>
              <w:spacing w:after="0"/>
              <w:rPr>
                <w:sz w:val="11"/>
                <w:szCs w:val="11"/>
                <w:color w:val="auto"/>
              </w:rPr>
            </w:pPr>
          </w:p>
        </w:tc>
        <w:tc>
          <w:tcPr>
            <w:tcW w:w="1160" w:type="dxa"/>
            <w:vAlign w:val="bottom"/>
            <w:gridSpan w:val="2"/>
            <w:vMerge w:val="restart"/>
            <w:shd w:val="clear" w:color="auto" w:fill="CCEEFF"/>
          </w:tcPr>
          <w:p>
            <w:pPr>
              <w:jc w:val="center"/>
              <w:ind w:right="100"/>
              <w:spacing w:after="0"/>
              <w:rPr>
                <w:sz w:val="20"/>
                <w:szCs w:val="20"/>
                <w:color w:val="auto"/>
              </w:rPr>
            </w:pPr>
            <w:r>
              <w:rPr>
                <w:rFonts w:ascii="Arial" w:cs="Arial" w:eastAsia="Arial" w:hAnsi="Arial"/>
                <w:sz w:val="14"/>
                <w:szCs w:val="14"/>
                <w:color w:val="auto"/>
                <w:w w:val="90"/>
              </w:rPr>
              <w:t>October 15, 2022</w:t>
            </w:r>
          </w:p>
        </w:tc>
        <w:tc>
          <w:tcPr>
            <w:tcW w:w="1220" w:type="dxa"/>
            <w:vAlign w:val="bottom"/>
            <w:gridSpan w:val="2"/>
            <w:vMerge w:val="restart"/>
            <w:shd w:val="clear" w:color="auto" w:fill="CCEEFF"/>
          </w:tcPr>
          <w:p>
            <w:pPr>
              <w:jc w:val="center"/>
              <w:ind w:right="100"/>
              <w:spacing w:after="0"/>
              <w:rPr>
                <w:sz w:val="20"/>
                <w:szCs w:val="20"/>
                <w:color w:val="auto"/>
              </w:rPr>
            </w:pPr>
            <w:r>
              <w:rPr>
                <w:rFonts w:ascii="Arial" w:cs="Arial" w:eastAsia="Arial" w:hAnsi="Arial"/>
                <w:sz w:val="14"/>
                <w:szCs w:val="14"/>
                <w:color w:val="auto"/>
                <w:w w:val="88"/>
              </w:rPr>
              <w:t>October 15, 2022</w:t>
            </w:r>
          </w:p>
        </w:tc>
        <w:tc>
          <w:tcPr>
            <w:tcW w:w="1220" w:type="dxa"/>
            <w:vAlign w:val="bottom"/>
            <w:shd w:val="clear" w:color="auto" w:fill="CCEEFF"/>
          </w:tcPr>
          <w:p>
            <w:pPr>
              <w:jc w:val="center"/>
              <w:spacing w:after="0" w:line="129" w:lineRule="exact"/>
              <w:rPr>
                <w:sz w:val="20"/>
                <w:szCs w:val="20"/>
                <w:color w:val="auto"/>
              </w:rPr>
            </w:pPr>
            <w:r>
              <w:rPr>
                <w:rFonts w:ascii="Arial" w:cs="Arial" w:eastAsia="Arial" w:hAnsi="Arial"/>
                <w:sz w:val="14"/>
                <w:szCs w:val="14"/>
                <w:color w:val="auto"/>
                <w:w w:val="98"/>
              </w:rPr>
              <w:t>3M LIBOR +</w:t>
            </w:r>
          </w:p>
        </w:tc>
        <w:tc>
          <w:tcPr>
            <w:tcW w:w="0" w:type="dxa"/>
            <w:vAlign w:val="bottom"/>
          </w:tcPr>
          <w:p>
            <w:pPr>
              <w:spacing w:after="0"/>
              <w:rPr>
                <w:sz w:val="1"/>
                <w:szCs w:val="1"/>
                <w:color w:val="auto"/>
              </w:rPr>
            </w:pPr>
          </w:p>
        </w:tc>
      </w:tr>
      <w:tr>
        <w:trPr>
          <w:trHeight w:val="110"/>
        </w:trPr>
        <w:tc>
          <w:tcPr>
            <w:tcW w:w="2040" w:type="dxa"/>
            <w:vAlign w:val="bottom"/>
            <w:gridSpan w:val="2"/>
            <w:vMerge w:val="continue"/>
            <w:shd w:val="clear" w:color="auto" w:fill="CCEEFF"/>
          </w:tcPr>
          <w:p>
            <w:pPr>
              <w:spacing w:after="0"/>
              <w:rPr>
                <w:sz w:val="9"/>
                <w:szCs w:val="9"/>
                <w:color w:val="auto"/>
              </w:rPr>
            </w:pPr>
          </w:p>
        </w:tc>
        <w:tc>
          <w:tcPr>
            <w:tcW w:w="1180" w:type="dxa"/>
            <w:vAlign w:val="bottom"/>
            <w:gridSpan w:val="2"/>
            <w:vMerge w:val="continue"/>
            <w:shd w:val="clear" w:color="auto" w:fill="CCEEFF"/>
          </w:tcPr>
          <w:p>
            <w:pPr>
              <w:spacing w:after="0"/>
              <w:rPr>
                <w:sz w:val="9"/>
                <w:szCs w:val="9"/>
                <w:color w:val="auto"/>
              </w:rPr>
            </w:pPr>
          </w:p>
        </w:tc>
        <w:tc>
          <w:tcPr>
            <w:tcW w:w="1040" w:type="dxa"/>
            <w:vAlign w:val="bottom"/>
            <w:vMerge w:val="continue"/>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800" w:type="dxa"/>
            <w:vAlign w:val="bottom"/>
            <w:vMerge w:val="continue"/>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920" w:type="dxa"/>
            <w:vAlign w:val="bottom"/>
            <w:vMerge w:val="continue"/>
            <w:shd w:val="clear" w:color="auto" w:fill="CCEEFF"/>
          </w:tcPr>
          <w:p>
            <w:pPr>
              <w:spacing w:after="0"/>
              <w:rPr>
                <w:sz w:val="9"/>
                <w:szCs w:val="9"/>
                <w:color w:val="auto"/>
              </w:rPr>
            </w:pPr>
          </w:p>
        </w:tc>
        <w:tc>
          <w:tcPr>
            <w:tcW w:w="1020" w:type="dxa"/>
            <w:vAlign w:val="bottom"/>
            <w:vMerge w:val="continue"/>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1160" w:type="dxa"/>
            <w:vAlign w:val="bottom"/>
            <w:gridSpan w:val="2"/>
            <w:vMerge w:val="continue"/>
            <w:shd w:val="clear" w:color="auto" w:fill="CCEEFF"/>
          </w:tcPr>
          <w:p>
            <w:pPr>
              <w:spacing w:after="0"/>
              <w:rPr>
                <w:sz w:val="9"/>
                <w:szCs w:val="9"/>
                <w:color w:val="auto"/>
              </w:rPr>
            </w:pPr>
          </w:p>
        </w:tc>
        <w:tc>
          <w:tcPr>
            <w:tcW w:w="1220" w:type="dxa"/>
            <w:vAlign w:val="bottom"/>
            <w:gridSpan w:val="2"/>
            <w:vMerge w:val="continue"/>
            <w:shd w:val="clear" w:color="auto" w:fill="CCEEFF"/>
          </w:tcPr>
          <w:p>
            <w:pPr>
              <w:spacing w:after="0"/>
              <w:rPr>
                <w:sz w:val="9"/>
                <w:szCs w:val="9"/>
                <w:color w:val="auto"/>
              </w:rPr>
            </w:pPr>
          </w:p>
        </w:tc>
        <w:tc>
          <w:tcPr>
            <w:tcW w:w="1220" w:type="dxa"/>
            <w:vAlign w:val="bottom"/>
            <w:vMerge w:val="restart"/>
            <w:shd w:val="clear" w:color="auto" w:fill="CCEEFF"/>
          </w:tcPr>
          <w:p>
            <w:pPr>
              <w:jc w:val="center"/>
              <w:spacing w:after="0"/>
              <w:rPr>
                <w:sz w:val="20"/>
                <w:szCs w:val="20"/>
                <w:color w:val="auto"/>
              </w:rPr>
            </w:pPr>
            <w:r>
              <w:rPr>
                <w:rFonts w:ascii="Arial" w:cs="Arial" w:eastAsia="Arial" w:hAnsi="Arial"/>
                <w:sz w:val="14"/>
                <w:szCs w:val="14"/>
                <w:color w:val="auto"/>
                <w:w w:val="88"/>
              </w:rPr>
              <w:t>5.111%</w:t>
            </w:r>
          </w:p>
        </w:tc>
        <w:tc>
          <w:tcPr>
            <w:tcW w:w="0" w:type="dxa"/>
            <w:vAlign w:val="bottom"/>
          </w:tcPr>
          <w:p>
            <w:pPr>
              <w:spacing w:after="0"/>
              <w:rPr>
                <w:sz w:val="1"/>
                <w:szCs w:val="1"/>
                <w:color w:val="auto"/>
              </w:rPr>
            </w:pPr>
          </w:p>
        </w:tc>
      </w:tr>
      <w:tr>
        <w:trPr>
          <w:trHeight w:val="80"/>
        </w:trPr>
        <w:tc>
          <w:tcPr>
            <w:tcW w:w="19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08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04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60" w:type="dxa"/>
            <w:vAlign w:val="bottom"/>
            <w:shd w:val="clear" w:color="auto" w:fill="CCEEFF"/>
          </w:tcPr>
          <w:p>
            <w:pPr>
              <w:spacing w:after="0"/>
              <w:rPr>
                <w:sz w:val="6"/>
                <w:szCs w:val="6"/>
                <w:color w:val="auto"/>
              </w:rPr>
            </w:pPr>
          </w:p>
        </w:tc>
        <w:tc>
          <w:tcPr>
            <w:tcW w:w="8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920" w:type="dxa"/>
            <w:vAlign w:val="bottom"/>
            <w:shd w:val="clear" w:color="auto" w:fill="CCEEFF"/>
          </w:tcPr>
          <w:p>
            <w:pPr>
              <w:spacing w:after="0"/>
              <w:rPr>
                <w:sz w:val="6"/>
                <w:szCs w:val="6"/>
                <w:color w:val="auto"/>
              </w:rPr>
            </w:pPr>
          </w:p>
        </w:tc>
        <w:tc>
          <w:tcPr>
            <w:tcW w:w="102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06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12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22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35"/>
        </w:trPr>
        <w:tc>
          <w:tcPr>
            <w:tcW w:w="2040" w:type="dxa"/>
            <w:vAlign w:val="bottom"/>
            <w:gridSpan w:val="2"/>
            <w:vMerge w:val="restart"/>
          </w:tcPr>
          <w:p>
            <w:pPr>
              <w:ind w:left="140"/>
              <w:spacing w:after="0"/>
              <w:rPr>
                <w:sz w:val="20"/>
                <w:szCs w:val="20"/>
                <w:color w:val="auto"/>
              </w:rPr>
            </w:pPr>
            <w:r>
              <w:rPr>
                <w:rFonts w:ascii="Arial" w:cs="Arial" w:eastAsia="Arial" w:hAnsi="Arial"/>
                <w:sz w:val="14"/>
                <w:szCs w:val="14"/>
                <w:color w:val="auto"/>
              </w:rPr>
              <w:t>Series D</w:t>
            </w:r>
          </w:p>
        </w:tc>
        <w:tc>
          <w:tcPr>
            <w:tcW w:w="1180" w:type="dxa"/>
            <w:vAlign w:val="bottom"/>
            <w:gridSpan w:val="2"/>
            <w:vMerge w:val="restart"/>
          </w:tcPr>
          <w:p>
            <w:pPr>
              <w:jc w:val="center"/>
              <w:ind w:right="120"/>
              <w:spacing w:after="0"/>
              <w:rPr>
                <w:sz w:val="20"/>
                <w:szCs w:val="20"/>
                <w:color w:val="auto"/>
              </w:rPr>
            </w:pPr>
            <w:r>
              <w:rPr>
                <w:rFonts w:ascii="Arial" w:cs="Arial" w:eastAsia="Arial" w:hAnsi="Arial"/>
                <w:sz w:val="14"/>
                <w:szCs w:val="14"/>
                <w:color w:val="auto"/>
                <w:w w:val="91"/>
              </w:rPr>
              <w:t>March 6, 2019</w:t>
            </w:r>
          </w:p>
        </w:tc>
        <w:tc>
          <w:tcPr>
            <w:tcW w:w="1040" w:type="dxa"/>
            <w:vAlign w:val="bottom"/>
            <w:vMerge w:val="restart"/>
          </w:tcPr>
          <w:p>
            <w:pPr>
              <w:jc w:val="right"/>
              <w:spacing w:after="0"/>
              <w:rPr>
                <w:sz w:val="20"/>
                <w:szCs w:val="20"/>
                <w:color w:val="auto"/>
              </w:rPr>
            </w:pPr>
            <w:r>
              <w:rPr>
                <w:rFonts w:ascii="Arial" w:cs="Arial" w:eastAsia="Arial" w:hAnsi="Arial"/>
                <w:sz w:val="14"/>
                <w:szCs w:val="14"/>
                <w:color w:val="auto"/>
              </w:rPr>
              <w:t>9.4</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vMerge w:val="restart"/>
          </w:tcPr>
          <w:p>
            <w:pPr>
              <w:jc w:val="right"/>
              <w:spacing w:after="0"/>
              <w:rPr>
                <w:sz w:val="20"/>
                <w:szCs w:val="20"/>
                <w:color w:val="auto"/>
              </w:rPr>
            </w:pPr>
            <w:r>
              <w:rPr>
                <w:rFonts w:ascii="Arial" w:cs="Arial" w:eastAsia="Arial" w:hAnsi="Arial"/>
                <w:sz w:val="14"/>
                <w:szCs w:val="14"/>
                <w:color w:val="auto"/>
              </w:rPr>
              <w:t>227</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vMerge w:val="restart"/>
          </w:tcPr>
          <w:p>
            <w:pPr>
              <w:jc w:val="right"/>
              <w:spacing w:after="0"/>
              <w:rPr>
                <w:sz w:val="20"/>
                <w:szCs w:val="20"/>
                <w:color w:val="auto"/>
              </w:rPr>
            </w:pPr>
            <w:r>
              <w:rPr>
                <w:rFonts w:ascii="Arial" w:cs="Arial" w:eastAsia="Arial" w:hAnsi="Arial"/>
                <w:sz w:val="14"/>
                <w:szCs w:val="14"/>
                <w:color w:val="auto"/>
              </w:rPr>
              <w:t>235</w:t>
            </w:r>
          </w:p>
        </w:tc>
        <w:tc>
          <w:tcPr>
            <w:tcW w:w="1020" w:type="dxa"/>
            <w:vAlign w:val="bottom"/>
            <w:vMerge w:val="restart"/>
          </w:tcPr>
          <w:p>
            <w:pPr>
              <w:jc w:val="center"/>
              <w:ind w:left="70"/>
              <w:spacing w:after="0"/>
              <w:rPr>
                <w:sz w:val="20"/>
                <w:szCs w:val="20"/>
                <w:color w:val="auto"/>
              </w:rPr>
            </w:pPr>
            <w:r>
              <w:rPr>
                <w:rFonts w:ascii="Arial" w:cs="Arial" w:eastAsia="Arial" w:hAnsi="Arial"/>
                <w:sz w:val="14"/>
                <w:szCs w:val="14"/>
                <w:color w:val="auto"/>
                <w:w w:val="92"/>
              </w:rPr>
              <w:t>6.875%</w:t>
            </w:r>
          </w:p>
        </w:tc>
        <w:tc>
          <w:tcPr>
            <w:tcW w:w="100" w:type="dxa"/>
            <w:vAlign w:val="bottom"/>
          </w:tcPr>
          <w:p>
            <w:pPr>
              <w:spacing w:after="0"/>
              <w:rPr>
                <w:sz w:val="11"/>
                <w:szCs w:val="11"/>
                <w:color w:val="auto"/>
              </w:rPr>
            </w:pPr>
          </w:p>
        </w:tc>
        <w:tc>
          <w:tcPr>
            <w:tcW w:w="1160" w:type="dxa"/>
            <w:vAlign w:val="bottom"/>
            <w:gridSpan w:val="2"/>
            <w:vMerge w:val="restart"/>
          </w:tcPr>
          <w:p>
            <w:pPr>
              <w:jc w:val="center"/>
              <w:ind w:right="100"/>
              <w:spacing w:after="0"/>
              <w:rPr>
                <w:sz w:val="20"/>
                <w:szCs w:val="20"/>
                <w:color w:val="auto"/>
              </w:rPr>
            </w:pPr>
            <w:r>
              <w:rPr>
                <w:rFonts w:ascii="Arial" w:cs="Arial" w:eastAsia="Arial" w:hAnsi="Arial"/>
                <w:sz w:val="14"/>
                <w:szCs w:val="14"/>
                <w:color w:val="auto"/>
                <w:w w:val="94"/>
              </w:rPr>
              <w:t>April 15, 2024</w:t>
            </w:r>
          </w:p>
        </w:tc>
        <w:tc>
          <w:tcPr>
            <w:tcW w:w="1220" w:type="dxa"/>
            <w:vAlign w:val="bottom"/>
            <w:gridSpan w:val="2"/>
            <w:vMerge w:val="restart"/>
          </w:tcPr>
          <w:p>
            <w:pPr>
              <w:jc w:val="center"/>
              <w:ind w:right="80"/>
              <w:spacing w:after="0"/>
              <w:rPr>
                <w:sz w:val="20"/>
                <w:szCs w:val="20"/>
                <w:color w:val="auto"/>
              </w:rPr>
            </w:pPr>
            <w:r>
              <w:rPr>
                <w:rFonts w:ascii="Arial" w:cs="Arial" w:eastAsia="Arial" w:hAnsi="Arial"/>
                <w:sz w:val="14"/>
                <w:szCs w:val="14"/>
                <w:color w:val="auto"/>
                <w:w w:val="94"/>
              </w:rPr>
              <w:t>April 15, 2024</w:t>
            </w:r>
          </w:p>
        </w:tc>
        <w:tc>
          <w:tcPr>
            <w:tcW w:w="1220" w:type="dxa"/>
            <w:vAlign w:val="bottom"/>
          </w:tcPr>
          <w:p>
            <w:pPr>
              <w:jc w:val="center"/>
              <w:spacing w:after="0" w:line="135" w:lineRule="exact"/>
              <w:rPr>
                <w:sz w:val="20"/>
                <w:szCs w:val="20"/>
                <w:color w:val="auto"/>
              </w:rPr>
            </w:pPr>
            <w:r>
              <w:rPr>
                <w:rFonts w:ascii="Arial" w:cs="Arial" w:eastAsia="Arial" w:hAnsi="Arial"/>
                <w:sz w:val="14"/>
                <w:szCs w:val="14"/>
                <w:color w:val="auto"/>
                <w:w w:val="98"/>
              </w:rPr>
              <w:t>3M LIBOR +</w:t>
            </w:r>
          </w:p>
        </w:tc>
        <w:tc>
          <w:tcPr>
            <w:tcW w:w="0" w:type="dxa"/>
            <w:vAlign w:val="bottom"/>
          </w:tcPr>
          <w:p>
            <w:pPr>
              <w:spacing w:after="0"/>
              <w:rPr>
                <w:sz w:val="1"/>
                <w:szCs w:val="1"/>
                <w:color w:val="auto"/>
              </w:rPr>
            </w:pPr>
          </w:p>
        </w:tc>
      </w:tr>
      <w:tr>
        <w:trPr>
          <w:trHeight w:val="110"/>
        </w:trPr>
        <w:tc>
          <w:tcPr>
            <w:tcW w:w="2040" w:type="dxa"/>
            <w:vAlign w:val="bottom"/>
            <w:gridSpan w:val="2"/>
            <w:vMerge w:val="continue"/>
          </w:tcPr>
          <w:p>
            <w:pPr>
              <w:spacing w:after="0"/>
              <w:rPr>
                <w:sz w:val="9"/>
                <w:szCs w:val="9"/>
                <w:color w:val="auto"/>
              </w:rPr>
            </w:pPr>
          </w:p>
        </w:tc>
        <w:tc>
          <w:tcPr>
            <w:tcW w:w="1180" w:type="dxa"/>
            <w:vAlign w:val="bottom"/>
            <w:gridSpan w:val="2"/>
            <w:vMerge w:val="continue"/>
          </w:tcPr>
          <w:p>
            <w:pPr>
              <w:spacing w:after="0"/>
              <w:rPr>
                <w:sz w:val="9"/>
                <w:szCs w:val="9"/>
                <w:color w:val="auto"/>
              </w:rPr>
            </w:pPr>
          </w:p>
        </w:tc>
        <w:tc>
          <w:tcPr>
            <w:tcW w:w="1040" w:type="dxa"/>
            <w:vAlign w:val="bottom"/>
            <w:vMerge w:val="continue"/>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92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00" w:type="dxa"/>
            <w:vAlign w:val="bottom"/>
          </w:tcPr>
          <w:p>
            <w:pPr>
              <w:spacing w:after="0"/>
              <w:rPr>
                <w:sz w:val="9"/>
                <w:szCs w:val="9"/>
                <w:color w:val="auto"/>
              </w:rPr>
            </w:pPr>
          </w:p>
        </w:tc>
        <w:tc>
          <w:tcPr>
            <w:tcW w:w="1160" w:type="dxa"/>
            <w:vAlign w:val="bottom"/>
            <w:gridSpan w:val="2"/>
            <w:vMerge w:val="continue"/>
          </w:tcPr>
          <w:p>
            <w:pPr>
              <w:spacing w:after="0"/>
              <w:rPr>
                <w:sz w:val="9"/>
                <w:szCs w:val="9"/>
                <w:color w:val="auto"/>
              </w:rPr>
            </w:pPr>
          </w:p>
        </w:tc>
        <w:tc>
          <w:tcPr>
            <w:tcW w:w="1220" w:type="dxa"/>
            <w:vAlign w:val="bottom"/>
            <w:gridSpan w:val="2"/>
            <w:vMerge w:val="continue"/>
          </w:tcPr>
          <w:p>
            <w:pPr>
              <w:spacing w:after="0"/>
              <w:rPr>
                <w:sz w:val="9"/>
                <w:szCs w:val="9"/>
                <w:color w:val="auto"/>
              </w:rPr>
            </w:pPr>
          </w:p>
        </w:tc>
        <w:tc>
          <w:tcPr>
            <w:tcW w:w="1220" w:type="dxa"/>
            <w:vAlign w:val="bottom"/>
            <w:vMerge w:val="restart"/>
          </w:tcPr>
          <w:p>
            <w:pPr>
              <w:jc w:val="center"/>
              <w:spacing w:after="0"/>
              <w:rPr>
                <w:sz w:val="20"/>
                <w:szCs w:val="20"/>
                <w:color w:val="auto"/>
              </w:rPr>
            </w:pPr>
            <w:r>
              <w:rPr>
                <w:rFonts w:ascii="Arial" w:cs="Arial" w:eastAsia="Arial" w:hAnsi="Arial"/>
                <w:sz w:val="14"/>
                <w:szCs w:val="14"/>
                <w:color w:val="auto"/>
                <w:w w:val="88"/>
              </w:rPr>
              <w:t>4.332%</w:t>
            </w:r>
          </w:p>
        </w:tc>
        <w:tc>
          <w:tcPr>
            <w:tcW w:w="0" w:type="dxa"/>
            <w:vAlign w:val="bottom"/>
          </w:tcPr>
          <w:p>
            <w:pPr>
              <w:spacing w:after="0"/>
              <w:rPr>
                <w:sz w:val="1"/>
                <w:szCs w:val="1"/>
                <w:color w:val="auto"/>
              </w:rPr>
            </w:pPr>
          </w:p>
        </w:tc>
      </w:tr>
      <w:tr>
        <w:trPr>
          <w:trHeight w:val="74"/>
        </w:trPr>
        <w:tc>
          <w:tcPr>
            <w:tcW w:w="192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0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00" w:type="dxa"/>
            <w:vAlign w:val="bottom"/>
          </w:tcPr>
          <w:p>
            <w:pPr>
              <w:spacing w:after="0"/>
              <w:rPr>
                <w:sz w:val="6"/>
                <w:szCs w:val="6"/>
                <w:color w:val="auto"/>
              </w:rPr>
            </w:pPr>
          </w:p>
        </w:tc>
        <w:tc>
          <w:tcPr>
            <w:tcW w:w="160" w:type="dxa"/>
            <w:vAlign w:val="bottom"/>
          </w:tcPr>
          <w:p>
            <w:pPr>
              <w:spacing w:after="0"/>
              <w:rPr>
                <w:sz w:val="6"/>
                <w:szCs w:val="6"/>
                <w:color w:val="auto"/>
              </w:rPr>
            </w:pPr>
          </w:p>
        </w:tc>
        <w:tc>
          <w:tcPr>
            <w:tcW w:w="80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920" w:type="dxa"/>
            <w:vAlign w:val="bottom"/>
          </w:tcPr>
          <w:p>
            <w:pPr>
              <w:spacing w:after="0"/>
              <w:rPr>
                <w:sz w:val="6"/>
                <w:szCs w:val="6"/>
                <w:color w:val="auto"/>
              </w:rPr>
            </w:pPr>
          </w:p>
        </w:tc>
        <w:tc>
          <w:tcPr>
            <w:tcW w:w="10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22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40"/>
        </w:trPr>
        <w:tc>
          <w:tcPr>
            <w:tcW w:w="2040" w:type="dxa"/>
            <w:vAlign w:val="bottom"/>
            <w:gridSpan w:val="2"/>
            <w:vMerge w:val="restart"/>
            <w:shd w:val="clear" w:color="auto" w:fill="CCEEFF"/>
          </w:tcPr>
          <w:p>
            <w:pPr>
              <w:ind w:left="140"/>
              <w:spacing w:after="0"/>
              <w:rPr>
                <w:sz w:val="20"/>
                <w:szCs w:val="20"/>
                <w:color w:val="auto"/>
              </w:rPr>
            </w:pPr>
            <w:r>
              <w:rPr>
                <w:rFonts w:ascii="Arial" w:cs="Arial" w:eastAsia="Arial" w:hAnsi="Arial"/>
                <w:sz w:val="14"/>
                <w:szCs w:val="14"/>
                <w:color w:val="auto"/>
              </w:rPr>
              <w:t>Series E</w:t>
            </w:r>
          </w:p>
        </w:tc>
        <w:tc>
          <w:tcPr>
            <w:tcW w:w="1180" w:type="dxa"/>
            <w:vAlign w:val="bottom"/>
            <w:gridSpan w:val="2"/>
            <w:vMerge w:val="restart"/>
            <w:shd w:val="clear" w:color="auto" w:fill="CCEEFF"/>
          </w:tcPr>
          <w:p>
            <w:pPr>
              <w:jc w:val="center"/>
              <w:ind w:right="120"/>
              <w:spacing w:after="0"/>
              <w:rPr>
                <w:sz w:val="20"/>
                <w:szCs w:val="20"/>
                <w:color w:val="auto"/>
              </w:rPr>
            </w:pPr>
            <w:r>
              <w:rPr>
                <w:rFonts w:ascii="Arial" w:cs="Arial" w:eastAsia="Arial" w:hAnsi="Arial"/>
                <w:sz w:val="14"/>
                <w:szCs w:val="14"/>
                <w:color w:val="auto"/>
                <w:w w:val="89"/>
              </w:rPr>
              <w:t>October 3, 2019</w:t>
            </w:r>
          </w:p>
        </w:tc>
        <w:tc>
          <w:tcPr>
            <w:tcW w:w="10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16.1</w:t>
            </w: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390</w:t>
            </w: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403</w:t>
            </w:r>
          </w:p>
        </w:tc>
        <w:tc>
          <w:tcPr>
            <w:tcW w:w="1020" w:type="dxa"/>
            <w:vAlign w:val="bottom"/>
            <w:vMerge w:val="restart"/>
            <w:shd w:val="clear" w:color="auto" w:fill="CCEEFF"/>
          </w:tcPr>
          <w:p>
            <w:pPr>
              <w:jc w:val="center"/>
              <w:ind w:left="70"/>
              <w:spacing w:after="0"/>
              <w:rPr>
                <w:sz w:val="20"/>
                <w:szCs w:val="20"/>
                <w:color w:val="auto"/>
              </w:rPr>
            </w:pPr>
            <w:r>
              <w:rPr>
                <w:rFonts w:ascii="Arial" w:cs="Arial" w:eastAsia="Arial" w:hAnsi="Arial"/>
                <w:sz w:val="14"/>
                <w:szCs w:val="14"/>
                <w:color w:val="auto"/>
                <w:w w:val="92"/>
              </w:rPr>
              <w:t>6.500%</w:t>
            </w:r>
          </w:p>
        </w:tc>
        <w:tc>
          <w:tcPr>
            <w:tcW w:w="100" w:type="dxa"/>
            <w:vAlign w:val="bottom"/>
            <w:shd w:val="clear" w:color="auto" w:fill="CCEEFF"/>
          </w:tcPr>
          <w:p>
            <w:pPr>
              <w:spacing w:after="0"/>
              <w:rPr>
                <w:sz w:val="12"/>
                <w:szCs w:val="12"/>
                <w:color w:val="auto"/>
              </w:rPr>
            </w:pPr>
          </w:p>
        </w:tc>
        <w:tc>
          <w:tcPr>
            <w:tcW w:w="1160" w:type="dxa"/>
            <w:vAlign w:val="bottom"/>
            <w:gridSpan w:val="2"/>
            <w:vMerge w:val="restart"/>
            <w:shd w:val="clear" w:color="auto" w:fill="CCEEFF"/>
          </w:tcPr>
          <w:p>
            <w:pPr>
              <w:jc w:val="center"/>
              <w:ind w:right="100"/>
              <w:spacing w:after="0"/>
              <w:rPr>
                <w:sz w:val="20"/>
                <w:szCs w:val="20"/>
                <w:color w:val="auto"/>
              </w:rPr>
            </w:pPr>
            <w:r>
              <w:rPr>
                <w:rFonts w:ascii="Arial" w:cs="Arial" w:eastAsia="Arial" w:hAnsi="Arial"/>
                <w:sz w:val="14"/>
                <w:szCs w:val="14"/>
                <w:color w:val="auto"/>
                <w:w w:val="90"/>
              </w:rPr>
              <w:t>October 15, 2024</w:t>
            </w:r>
          </w:p>
        </w:tc>
        <w:tc>
          <w:tcPr>
            <w:tcW w:w="1220" w:type="dxa"/>
            <w:vAlign w:val="bottom"/>
            <w:gridSpan w:val="2"/>
            <w:vMerge w:val="restart"/>
            <w:shd w:val="clear" w:color="auto" w:fill="CCEEFF"/>
          </w:tcPr>
          <w:p>
            <w:pPr>
              <w:jc w:val="center"/>
              <w:ind w:right="100"/>
              <w:spacing w:after="0"/>
              <w:rPr>
                <w:sz w:val="20"/>
                <w:szCs w:val="20"/>
                <w:color w:val="auto"/>
              </w:rPr>
            </w:pPr>
            <w:r>
              <w:rPr>
                <w:rFonts w:ascii="Arial" w:cs="Arial" w:eastAsia="Arial" w:hAnsi="Arial"/>
                <w:sz w:val="14"/>
                <w:szCs w:val="14"/>
                <w:color w:val="auto"/>
                <w:w w:val="88"/>
              </w:rPr>
              <w:t>October 15, 2024</w:t>
            </w:r>
          </w:p>
        </w:tc>
        <w:tc>
          <w:tcPr>
            <w:tcW w:w="1220" w:type="dxa"/>
            <w:vAlign w:val="bottom"/>
            <w:shd w:val="clear" w:color="auto" w:fill="CCEEFF"/>
          </w:tcPr>
          <w:p>
            <w:pPr>
              <w:jc w:val="center"/>
              <w:spacing w:after="0" w:line="141" w:lineRule="exact"/>
              <w:rPr>
                <w:sz w:val="20"/>
                <w:szCs w:val="20"/>
                <w:color w:val="auto"/>
              </w:rPr>
            </w:pPr>
            <w:r>
              <w:rPr>
                <w:rFonts w:ascii="Arial" w:cs="Arial" w:eastAsia="Arial" w:hAnsi="Arial"/>
                <w:sz w:val="14"/>
                <w:szCs w:val="14"/>
                <w:color w:val="auto"/>
                <w:w w:val="98"/>
              </w:rPr>
              <w:t>3M LIBOR +</w:t>
            </w:r>
          </w:p>
        </w:tc>
        <w:tc>
          <w:tcPr>
            <w:tcW w:w="0" w:type="dxa"/>
            <w:vAlign w:val="bottom"/>
          </w:tcPr>
          <w:p>
            <w:pPr>
              <w:spacing w:after="0"/>
              <w:rPr>
                <w:sz w:val="1"/>
                <w:szCs w:val="1"/>
                <w:color w:val="auto"/>
              </w:rPr>
            </w:pPr>
          </w:p>
        </w:tc>
      </w:tr>
      <w:tr>
        <w:trPr>
          <w:trHeight w:val="110"/>
        </w:trPr>
        <w:tc>
          <w:tcPr>
            <w:tcW w:w="2040" w:type="dxa"/>
            <w:vAlign w:val="bottom"/>
            <w:gridSpan w:val="2"/>
            <w:vMerge w:val="continue"/>
            <w:shd w:val="clear" w:color="auto" w:fill="CCEEFF"/>
          </w:tcPr>
          <w:p>
            <w:pPr>
              <w:spacing w:after="0"/>
              <w:rPr>
                <w:sz w:val="9"/>
                <w:szCs w:val="9"/>
                <w:color w:val="auto"/>
              </w:rPr>
            </w:pPr>
          </w:p>
        </w:tc>
        <w:tc>
          <w:tcPr>
            <w:tcW w:w="1180" w:type="dxa"/>
            <w:vAlign w:val="bottom"/>
            <w:gridSpan w:val="2"/>
            <w:vMerge w:val="continue"/>
            <w:shd w:val="clear" w:color="auto" w:fill="CCEEFF"/>
          </w:tcPr>
          <w:p>
            <w:pPr>
              <w:spacing w:after="0"/>
              <w:rPr>
                <w:sz w:val="9"/>
                <w:szCs w:val="9"/>
                <w:color w:val="auto"/>
              </w:rPr>
            </w:pPr>
          </w:p>
        </w:tc>
        <w:tc>
          <w:tcPr>
            <w:tcW w:w="1040" w:type="dxa"/>
            <w:vAlign w:val="bottom"/>
            <w:vMerge w:val="continue"/>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800" w:type="dxa"/>
            <w:vAlign w:val="bottom"/>
            <w:vMerge w:val="continue"/>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920" w:type="dxa"/>
            <w:vAlign w:val="bottom"/>
            <w:vMerge w:val="continue"/>
            <w:shd w:val="clear" w:color="auto" w:fill="CCEEFF"/>
          </w:tcPr>
          <w:p>
            <w:pPr>
              <w:spacing w:after="0"/>
              <w:rPr>
                <w:sz w:val="9"/>
                <w:szCs w:val="9"/>
                <w:color w:val="auto"/>
              </w:rPr>
            </w:pPr>
          </w:p>
        </w:tc>
        <w:tc>
          <w:tcPr>
            <w:tcW w:w="1020" w:type="dxa"/>
            <w:vAlign w:val="bottom"/>
            <w:vMerge w:val="continue"/>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1160" w:type="dxa"/>
            <w:vAlign w:val="bottom"/>
            <w:gridSpan w:val="2"/>
            <w:vMerge w:val="continue"/>
            <w:shd w:val="clear" w:color="auto" w:fill="CCEEFF"/>
          </w:tcPr>
          <w:p>
            <w:pPr>
              <w:spacing w:after="0"/>
              <w:rPr>
                <w:sz w:val="9"/>
                <w:szCs w:val="9"/>
                <w:color w:val="auto"/>
              </w:rPr>
            </w:pPr>
          </w:p>
        </w:tc>
        <w:tc>
          <w:tcPr>
            <w:tcW w:w="1220" w:type="dxa"/>
            <w:vAlign w:val="bottom"/>
            <w:gridSpan w:val="2"/>
            <w:vMerge w:val="continue"/>
            <w:shd w:val="clear" w:color="auto" w:fill="CCEEFF"/>
          </w:tcPr>
          <w:p>
            <w:pPr>
              <w:spacing w:after="0"/>
              <w:rPr>
                <w:sz w:val="9"/>
                <w:szCs w:val="9"/>
                <w:color w:val="auto"/>
              </w:rPr>
            </w:pPr>
          </w:p>
        </w:tc>
        <w:tc>
          <w:tcPr>
            <w:tcW w:w="1220" w:type="dxa"/>
            <w:vAlign w:val="bottom"/>
            <w:vMerge w:val="restart"/>
            <w:shd w:val="clear" w:color="auto" w:fill="CCEEFF"/>
          </w:tcPr>
          <w:p>
            <w:pPr>
              <w:jc w:val="center"/>
              <w:spacing w:after="0"/>
              <w:rPr>
                <w:sz w:val="20"/>
                <w:szCs w:val="20"/>
                <w:color w:val="auto"/>
              </w:rPr>
            </w:pPr>
            <w:r>
              <w:rPr>
                <w:rFonts w:ascii="Arial" w:cs="Arial" w:eastAsia="Arial" w:hAnsi="Arial"/>
                <w:sz w:val="14"/>
                <w:szCs w:val="14"/>
                <w:color w:val="auto"/>
                <w:w w:val="88"/>
              </w:rPr>
              <w:t>4.993%</w:t>
            </w:r>
          </w:p>
        </w:tc>
        <w:tc>
          <w:tcPr>
            <w:tcW w:w="0" w:type="dxa"/>
            <w:vAlign w:val="bottom"/>
          </w:tcPr>
          <w:p>
            <w:pPr>
              <w:spacing w:after="0"/>
              <w:rPr>
                <w:sz w:val="1"/>
                <w:szCs w:val="1"/>
                <w:color w:val="auto"/>
              </w:rPr>
            </w:pPr>
          </w:p>
        </w:tc>
      </w:tr>
      <w:tr>
        <w:trPr>
          <w:trHeight w:val="80"/>
        </w:trPr>
        <w:tc>
          <w:tcPr>
            <w:tcW w:w="19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08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04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60" w:type="dxa"/>
            <w:vAlign w:val="bottom"/>
            <w:shd w:val="clear" w:color="auto" w:fill="CCEEFF"/>
          </w:tcPr>
          <w:p>
            <w:pPr>
              <w:spacing w:after="0"/>
              <w:rPr>
                <w:sz w:val="6"/>
                <w:szCs w:val="6"/>
                <w:color w:val="auto"/>
              </w:rPr>
            </w:pPr>
          </w:p>
        </w:tc>
        <w:tc>
          <w:tcPr>
            <w:tcW w:w="8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920" w:type="dxa"/>
            <w:vAlign w:val="bottom"/>
            <w:shd w:val="clear" w:color="auto" w:fill="CCEEFF"/>
          </w:tcPr>
          <w:p>
            <w:pPr>
              <w:spacing w:after="0"/>
              <w:rPr>
                <w:sz w:val="6"/>
                <w:szCs w:val="6"/>
                <w:color w:val="auto"/>
              </w:rPr>
            </w:pPr>
          </w:p>
        </w:tc>
        <w:tc>
          <w:tcPr>
            <w:tcW w:w="102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06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12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22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35"/>
        </w:trPr>
        <w:tc>
          <w:tcPr>
            <w:tcW w:w="2040" w:type="dxa"/>
            <w:vAlign w:val="bottom"/>
            <w:gridSpan w:val="2"/>
            <w:vMerge w:val="restart"/>
          </w:tcPr>
          <w:p>
            <w:pPr>
              <w:ind w:left="140"/>
              <w:spacing w:after="0"/>
              <w:rPr>
                <w:sz w:val="20"/>
                <w:szCs w:val="20"/>
                <w:color w:val="auto"/>
              </w:rPr>
            </w:pPr>
            <w:r>
              <w:rPr>
                <w:rFonts w:ascii="Arial" w:cs="Arial" w:eastAsia="Arial" w:hAnsi="Arial"/>
                <w:sz w:val="14"/>
                <w:szCs w:val="14"/>
                <w:color w:val="auto"/>
              </w:rPr>
              <w:t>Series F</w:t>
            </w:r>
          </w:p>
        </w:tc>
        <w:tc>
          <w:tcPr>
            <w:tcW w:w="1180" w:type="dxa"/>
            <w:vAlign w:val="bottom"/>
            <w:gridSpan w:val="2"/>
            <w:vMerge w:val="restart"/>
          </w:tcPr>
          <w:p>
            <w:pPr>
              <w:jc w:val="center"/>
              <w:ind w:right="120"/>
              <w:spacing w:after="0"/>
              <w:rPr>
                <w:sz w:val="20"/>
                <w:szCs w:val="20"/>
                <w:color w:val="auto"/>
              </w:rPr>
            </w:pPr>
            <w:r>
              <w:rPr>
                <w:rFonts w:ascii="Arial" w:cs="Arial" w:eastAsia="Arial" w:hAnsi="Arial"/>
                <w:sz w:val="14"/>
                <w:szCs w:val="14"/>
                <w:color w:val="auto"/>
                <w:w w:val="89"/>
              </w:rPr>
              <w:t>February 11, 2020</w:t>
            </w:r>
          </w:p>
        </w:tc>
        <w:tc>
          <w:tcPr>
            <w:tcW w:w="1040" w:type="dxa"/>
            <w:vAlign w:val="bottom"/>
            <w:vMerge w:val="restart"/>
          </w:tcPr>
          <w:p>
            <w:pPr>
              <w:jc w:val="right"/>
              <w:spacing w:after="0"/>
              <w:rPr>
                <w:sz w:val="20"/>
                <w:szCs w:val="20"/>
                <w:color w:val="auto"/>
              </w:rPr>
            </w:pPr>
            <w:r>
              <w:rPr>
                <w:rFonts w:ascii="Arial" w:cs="Arial" w:eastAsia="Arial" w:hAnsi="Arial"/>
                <w:sz w:val="14"/>
                <w:szCs w:val="14"/>
                <w:color w:val="auto"/>
              </w:rPr>
              <w:t>23.0</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vMerge w:val="restart"/>
          </w:tcPr>
          <w:p>
            <w:pPr>
              <w:jc w:val="right"/>
              <w:spacing w:after="0"/>
              <w:rPr>
                <w:sz w:val="20"/>
                <w:szCs w:val="20"/>
                <w:color w:val="auto"/>
              </w:rPr>
            </w:pPr>
            <w:r>
              <w:rPr>
                <w:rFonts w:ascii="Arial" w:cs="Arial" w:eastAsia="Arial" w:hAnsi="Arial"/>
                <w:sz w:val="14"/>
                <w:szCs w:val="14"/>
                <w:color w:val="auto"/>
              </w:rPr>
              <w:t>557</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vMerge w:val="restart"/>
          </w:tcPr>
          <w:p>
            <w:pPr>
              <w:jc w:val="right"/>
              <w:spacing w:after="0"/>
              <w:rPr>
                <w:sz w:val="20"/>
                <w:szCs w:val="20"/>
                <w:color w:val="auto"/>
              </w:rPr>
            </w:pPr>
            <w:r>
              <w:rPr>
                <w:rFonts w:ascii="Arial" w:cs="Arial" w:eastAsia="Arial" w:hAnsi="Arial"/>
                <w:sz w:val="14"/>
                <w:szCs w:val="14"/>
                <w:color w:val="auto"/>
              </w:rPr>
              <w:t>575</w:t>
            </w:r>
          </w:p>
        </w:tc>
        <w:tc>
          <w:tcPr>
            <w:tcW w:w="1020" w:type="dxa"/>
            <w:vAlign w:val="bottom"/>
            <w:vMerge w:val="restart"/>
          </w:tcPr>
          <w:p>
            <w:pPr>
              <w:jc w:val="center"/>
              <w:ind w:left="70"/>
              <w:spacing w:after="0"/>
              <w:rPr>
                <w:sz w:val="20"/>
                <w:szCs w:val="20"/>
                <w:color w:val="auto"/>
              </w:rPr>
            </w:pPr>
            <w:r>
              <w:rPr>
                <w:rFonts w:ascii="Arial" w:cs="Arial" w:eastAsia="Arial" w:hAnsi="Arial"/>
                <w:sz w:val="14"/>
                <w:szCs w:val="14"/>
                <w:color w:val="auto"/>
                <w:w w:val="92"/>
              </w:rPr>
              <w:t>6.125%</w:t>
            </w:r>
          </w:p>
        </w:tc>
        <w:tc>
          <w:tcPr>
            <w:tcW w:w="100" w:type="dxa"/>
            <w:vAlign w:val="bottom"/>
          </w:tcPr>
          <w:p>
            <w:pPr>
              <w:spacing w:after="0"/>
              <w:rPr>
                <w:sz w:val="11"/>
                <w:szCs w:val="11"/>
                <w:color w:val="auto"/>
              </w:rPr>
            </w:pPr>
          </w:p>
        </w:tc>
        <w:tc>
          <w:tcPr>
            <w:tcW w:w="1160" w:type="dxa"/>
            <w:vAlign w:val="bottom"/>
            <w:gridSpan w:val="2"/>
            <w:vMerge w:val="restart"/>
          </w:tcPr>
          <w:p>
            <w:pPr>
              <w:jc w:val="center"/>
              <w:ind w:right="100"/>
              <w:spacing w:after="0"/>
              <w:rPr>
                <w:sz w:val="20"/>
                <w:szCs w:val="20"/>
                <w:color w:val="auto"/>
              </w:rPr>
            </w:pPr>
            <w:r>
              <w:rPr>
                <w:rFonts w:ascii="Arial" w:cs="Arial" w:eastAsia="Arial" w:hAnsi="Arial"/>
                <w:sz w:val="14"/>
                <w:szCs w:val="14"/>
                <w:color w:val="auto"/>
                <w:w w:val="94"/>
              </w:rPr>
              <w:t>April 15, 2025</w:t>
            </w:r>
          </w:p>
        </w:tc>
        <w:tc>
          <w:tcPr>
            <w:tcW w:w="1220" w:type="dxa"/>
            <w:vAlign w:val="bottom"/>
            <w:gridSpan w:val="2"/>
            <w:vMerge w:val="restart"/>
          </w:tcPr>
          <w:p>
            <w:pPr>
              <w:jc w:val="center"/>
              <w:ind w:right="80"/>
              <w:spacing w:after="0"/>
              <w:rPr>
                <w:sz w:val="20"/>
                <w:szCs w:val="20"/>
                <w:color w:val="auto"/>
              </w:rPr>
            </w:pPr>
            <w:r>
              <w:rPr>
                <w:rFonts w:ascii="Arial" w:cs="Arial" w:eastAsia="Arial" w:hAnsi="Arial"/>
                <w:sz w:val="14"/>
                <w:szCs w:val="14"/>
                <w:color w:val="auto"/>
                <w:w w:val="94"/>
              </w:rPr>
              <w:t>April 15, 2025</w:t>
            </w:r>
          </w:p>
        </w:tc>
        <w:tc>
          <w:tcPr>
            <w:tcW w:w="1220" w:type="dxa"/>
            <w:vAlign w:val="bottom"/>
          </w:tcPr>
          <w:p>
            <w:pPr>
              <w:jc w:val="center"/>
              <w:spacing w:after="0" w:line="135" w:lineRule="exact"/>
              <w:rPr>
                <w:sz w:val="20"/>
                <w:szCs w:val="20"/>
                <w:color w:val="auto"/>
              </w:rPr>
            </w:pPr>
            <w:r>
              <w:rPr>
                <w:rFonts w:ascii="Arial" w:cs="Arial" w:eastAsia="Arial" w:hAnsi="Arial"/>
                <w:sz w:val="14"/>
                <w:szCs w:val="14"/>
                <w:color w:val="auto"/>
                <w:w w:val="98"/>
              </w:rPr>
              <w:t>3M LIBOR +</w:t>
            </w:r>
          </w:p>
        </w:tc>
        <w:tc>
          <w:tcPr>
            <w:tcW w:w="0" w:type="dxa"/>
            <w:vAlign w:val="bottom"/>
          </w:tcPr>
          <w:p>
            <w:pPr>
              <w:spacing w:after="0"/>
              <w:rPr>
                <w:sz w:val="1"/>
                <w:szCs w:val="1"/>
                <w:color w:val="auto"/>
              </w:rPr>
            </w:pPr>
          </w:p>
        </w:tc>
      </w:tr>
      <w:tr>
        <w:trPr>
          <w:trHeight w:val="110"/>
        </w:trPr>
        <w:tc>
          <w:tcPr>
            <w:tcW w:w="2040" w:type="dxa"/>
            <w:vAlign w:val="bottom"/>
            <w:gridSpan w:val="2"/>
            <w:vMerge w:val="continue"/>
          </w:tcPr>
          <w:p>
            <w:pPr>
              <w:spacing w:after="0"/>
              <w:rPr>
                <w:sz w:val="9"/>
                <w:szCs w:val="9"/>
                <w:color w:val="auto"/>
              </w:rPr>
            </w:pPr>
          </w:p>
        </w:tc>
        <w:tc>
          <w:tcPr>
            <w:tcW w:w="1180" w:type="dxa"/>
            <w:vAlign w:val="bottom"/>
            <w:gridSpan w:val="2"/>
            <w:vMerge w:val="continue"/>
          </w:tcPr>
          <w:p>
            <w:pPr>
              <w:spacing w:after="0"/>
              <w:rPr>
                <w:sz w:val="9"/>
                <w:szCs w:val="9"/>
                <w:color w:val="auto"/>
              </w:rPr>
            </w:pPr>
          </w:p>
        </w:tc>
        <w:tc>
          <w:tcPr>
            <w:tcW w:w="1040" w:type="dxa"/>
            <w:vAlign w:val="bottom"/>
            <w:vMerge w:val="continue"/>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92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00" w:type="dxa"/>
            <w:vAlign w:val="bottom"/>
          </w:tcPr>
          <w:p>
            <w:pPr>
              <w:spacing w:after="0"/>
              <w:rPr>
                <w:sz w:val="9"/>
                <w:szCs w:val="9"/>
                <w:color w:val="auto"/>
              </w:rPr>
            </w:pPr>
          </w:p>
        </w:tc>
        <w:tc>
          <w:tcPr>
            <w:tcW w:w="1160" w:type="dxa"/>
            <w:vAlign w:val="bottom"/>
            <w:gridSpan w:val="2"/>
            <w:vMerge w:val="continue"/>
          </w:tcPr>
          <w:p>
            <w:pPr>
              <w:spacing w:after="0"/>
              <w:rPr>
                <w:sz w:val="9"/>
                <w:szCs w:val="9"/>
                <w:color w:val="auto"/>
              </w:rPr>
            </w:pPr>
          </w:p>
        </w:tc>
        <w:tc>
          <w:tcPr>
            <w:tcW w:w="1220" w:type="dxa"/>
            <w:vAlign w:val="bottom"/>
            <w:gridSpan w:val="2"/>
            <w:vMerge w:val="continue"/>
          </w:tcPr>
          <w:p>
            <w:pPr>
              <w:spacing w:after="0"/>
              <w:rPr>
                <w:sz w:val="9"/>
                <w:szCs w:val="9"/>
                <w:color w:val="auto"/>
              </w:rPr>
            </w:pPr>
          </w:p>
        </w:tc>
        <w:tc>
          <w:tcPr>
            <w:tcW w:w="1220" w:type="dxa"/>
            <w:vAlign w:val="bottom"/>
            <w:vMerge w:val="restart"/>
          </w:tcPr>
          <w:p>
            <w:pPr>
              <w:jc w:val="center"/>
              <w:spacing w:after="0"/>
              <w:rPr>
                <w:sz w:val="20"/>
                <w:szCs w:val="20"/>
                <w:color w:val="auto"/>
              </w:rPr>
            </w:pPr>
            <w:r>
              <w:rPr>
                <w:rFonts w:ascii="Arial" w:cs="Arial" w:eastAsia="Arial" w:hAnsi="Arial"/>
                <w:sz w:val="14"/>
                <w:szCs w:val="14"/>
                <w:color w:val="auto"/>
                <w:w w:val="88"/>
              </w:rPr>
              <w:t>4.697%</w:t>
            </w:r>
          </w:p>
        </w:tc>
        <w:tc>
          <w:tcPr>
            <w:tcW w:w="0" w:type="dxa"/>
            <w:vAlign w:val="bottom"/>
          </w:tcPr>
          <w:p>
            <w:pPr>
              <w:spacing w:after="0"/>
              <w:rPr>
                <w:sz w:val="1"/>
                <w:szCs w:val="1"/>
                <w:color w:val="auto"/>
              </w:rPr>
            </w:pPr>
          </w:p>
        </w:tc>
      </w:tr>
      <w:tr>
        <w:trPr>
          <w:trHeight w:val="74"/>
        </w:trPr>
        <w:tc>
          <w:tcPr>
            <w:tcW w:w="1920" w:type="dxa"/>
            <w:vAlign w:val="bottom"/>
            <w:tcBorders>
              <w:bottom w:val="single" w:sz="8" w:color="CCEEFF"/>
            </w:tcBorders>
          </w:tcPr>
          <w:p>
            <w:pPr>
              <w:spacing w:after="0"/>
              <w:rPr>
                <w:sz w:val="6"/>
                <w:szCs w:val="6"/>
                <w:color w:val="auto"/>
              </w:rPr>
            </w:pPr>
          </w:p>
        </w:tc>
        <w:tc>
          <w:tcPr>
            <w:tcW w:w="120" w:type="dxa"/>
            <w:vAlign w:val="bottom"/>
            <w:tcBorders>
              <w:bottom w:val="single" w:sz="8" w:color="CCEEFF"/>
            </w:tcBorders>
          </w:tcPr>
          <w:p>
            <w:pPr>
              <w:spacing w:after="0"/>
              <w:rPr>
                <w:sz w:val="6"/>
                <w:szCs w:val="6"/>
                <w:color w:val="auto"/>
              </w:rPr>
            </w:pPr>
          </w:p>
        </w:tc>
        <w:tc>
          <w:tcPr>
            <w:tcW w:w="1080" w:type="dxa"/>
            <w:vAlign w:val="bottom"/>
            <w:tcBorders>
              <w:bottom w:val="single" w:sz="8" w:color="CCEEFF"/>
            </w:tcBorders>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1040" w:type="dxa"/>
            <w:vAlign w:val="bottom"/>
            <w:tcBorders>
              <w:bottom w:val="single" w:sz="8" w:color="auto"/>
            </w:tcBorders>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800" w:type="dxa"/>
            <w:vAlign w:val="bottom"/>
            <w:tcBorders>
              <w:bottom w:val="single" w:sz="8" w:color="auto"/>
            </w:tcBorders>
          </w:tcPr>
          <w:p>
            <w:pPr>
              <w:spacing w:after="0"/>
              <w:rPr>
                <w:sz w:val="6"/>
                <w:szCs w:val="6"/>
                <w:color w:val="auto"/>
              </w:rPr>
            </w:pPr>
          </w:p>
        </w:tc>
        <w:tc>
          <w:tcPr>
            <w:tcW w:w="120" w:type="dxa"/>
            <w:vAlign w:val="bottom"/>
            <w:tcBorders>
              <w:bottom w:val="single" w:sz="8" w:color="CCEEFF"/>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920" w:type="dxa"/>
            <w:vAlign w:val="bottom"/>
            <w:tcBorders>
              <w:bottom w:val="single" w:sz="8" w:color="auto"/>
            </w:tcBorders>
          </w:tcPr>
          <w:p>
            <w:pPr>
              <w:spacing w:after="0"/>
              <w:rPr>
                <w:sz w:val="6"/>
                <w:szCs w:val="6"/>
                <w:color w:val="auto"/>
              </w:rPr>
            </w:pPr>
          </w:p>
        </w:tc>
        <w:tc>
          <w:tcPr>
            <w:tcW w:w="1020" w:type="dxa"/>
            <w:vAlign w:val="bottom"/>
            <w:tcBorders>
              <w:bottom w:val="single" w:sz="8" w:color="CCEEFF"/>
            </w:tcBorders>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1060" w:type="dxa"/>
            <w:vAlign w:val="bottom"/>
            <w:tcBorders>
              <w:bottom w:val="single" w:sz="8" w:color="CCEEFF"/>
            </w:tcBorders>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1120" w:type="dxa"/>
            <w:vAlign w:val="bottom"/>
            <w:tcBorders>
              <w:bottom w:val="single" w:sz="8" w:color="CCEEFF"/>
            </w:tcBorders>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1220" w:type="dxa"/>
            <w:vAlign w:val="bottom"/>
            <w:tcBorders>
              <w:bottom w:val="single" w:sz="8" w:color="CCEEFF"/>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08"/>
        </w:trPr>
        <w:tc>
          <w:tcPr>
            <w:tcW w:w="2040" w:type="dxa"/>
            <w:vAlign w:val="bottom"/>
            <w:tcBorders>
              <w:bottom w:val="single" w:sz="8" w:color="CCEEFF"/>
            </w:tcBorders>
            <w:gridSpan w:val="2"/>
            <w:shd w:val="clear" w:color="auto" w:fill="CCEEFF"/>
          </w:tcPr>
          <w:p>
            <w:pPr>
              <w:ind w:left="140"/>
              <w:spacing w:after="0"/>
              <w:rPr>
                <w:sz w:val="20"/>
                <w:szCs w:val="20"/>
                <w:color w:val="auto"/>
              </w:rPr>
            </w:pPr>
            <w:r>
              <w:rPr>
                <w:rFonts w:ascii="Arial" w:cs="Arial" w:eastAsia="Arial" w:hAnsi="Arial"/>
                <w:sz w:val="14"/>
                <w:szCs w:val="14"/>
                <w:color w:val="auto"/>
              </w:rPr>
              <w:t>Total</w:t>
            </w:r>
          </w:p>
        </w:tc>
        <w:tc>
          <w:tcPr>
            <w:tcW w:w="108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61.5</w:t>
            </w:r>
          </w:p>
        </w:tc>
        <w:tc>
          <w:tcPr>
            <w:tcW w:w="100" w:type="dxa"/>
            <w:vAlign w:val="bottom"/>
            <w:tcBorders>
              <w:bottom w:val="single" w:sz="8" w:color="CCEEFF"/>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1,489</w:t>
            </w:r>
          </w:p>
        </w:tc>
        <w:tc>
          <w:tcPr>
            <w:tcW w:w="12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1,538</w:t>
            </w:r>
          </w:p>
        </w:tc>
        <w:tc>
          <w:tcPr>
            <w:tcW w:w="102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06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12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22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9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6"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41" w:lineRule="auto"/>
        <w:tabs>
          <w:tab w:leader="none" w:pos="660" w:val="left"/>
        </w:tabs>
        <w:numPr>
          <w:ilvl w:val="0"/>
          <w:numId w:val="17"/>
        </w:numPr>
        <w:rPr>
          <w:rFonts w:ascii="Arial" w:cs="Arial" w:eastAsia="Arial" w:hAnsi="Arial"/>
          <w:sz w:val="14"/>
          <w:szCs w:val="14"/>
          <w:color w:val="auto"/>
        </w:rPr>
      </w:pPr>
      <w:r>
        <w:rPr>
          <w:rFonts w:ascii="Arial" w:cs="Arial" w:eastAsia="Arial" w:hAnsi="Arial"/>
          <w:sz w:val="14"/>
          <w:szCs w:val="14"/>
          <w:color w:val="auto"/>
        </w:rPr>
        <w:t>Fixed-to-floating rate redeemable preferred stock accrue dividends at an annual fixed rate of the $25.00 liquidation preference per depositary share from the issuance date up to, but not including, the fixed-to-floating rate conversion date; thereafter, dividends will accrue on a floating rate basis equal to 3-month LIBOR plus a fixed spread.</w:t>
      </w:r>
    </w:p>
    <w:p>
      <w:pPr>
        <w:ind w:left="660" w:hanging="328"/>
        <w:spacing w:after="0"/>
        <w:tabs>
          <w:tab w:leader="none" w:pos="660" w:val="left"/>
        </w:tabs>
        <w:numPr>
          <w:ilvl w:val="0"/>
          <w:numId w:val="17"/>
        </w:numPr>
        <w:rPr>
          <w:rFonts w:ascii="Arial" w:cs="Arial" w:eastAsia="Arial" w:hAnsi="Arial"/>
          <w:sz w:val="13"/>
          <w:szCs w:val="13"/>
          <w:color w:val="auto"/>
        </w:rPr>
      </w:pPr>
      <w:r>
        <w:rPr>
          <w:rFonts w:ascii="Arial" w:cs="Arial" w:eastAsia="Arial" w:hAnsi="Arial"/>
          <w:sz w:val="13"/>
          <w:szCs w:val="13"/>
          <w:color w:val="auto"/>
        </w:rPr>
        <w:t>Shares may be redeemed prior to our optional redemption date under certain circumstances intended to preserve our qualification as a REIT for U.S federal income tax purposes.</w:t>
      </w: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21" w:right="339" w:bottom="1440" w:gutter="0" w:footer="0" w:header="0"/>
        </w:sectPr>
      </w:pPr>
    </w:p>
    <w:bookmarkStart w:id="24" w:name="page25"/>
    <w:bookmarkEnd w:id="24"/>
    <w:p>
      <w:pPr>
        <w:spacing w:after="0"/>
        <w:rPr>
          <w:sz w:val="20"/>
          <w:szCs w:val="20"/>
          <w:color w:val="auto"/>
        </w:rPr>
      </w:pPr>
      <w:r>
        <w:rPr>
          <w:rFonts w:ascii="Arial" w:cs="Arial" w:eastAsia="Arial" w:hAnsi="Arial"/>
          <w:sz w:val="18"/>
          <w:szCs w:val="18"/>
          <w:b w:val="1"/>
          <w:bCs w:val="1"/>
          <w:i w:val="1"/>
          <w:iCs w:val="1"/>
          <w:color w:val="auto"/>
        </w:rPr>
        <w:t>At-the-Market Offering Program</w:t>
      </w:r>
    </w:p>
    <w:p>
      <w:pPr>
        <w:spacing w:after="0" w:line="171"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We are authorized by our Board of Directors to enter into agreements with sales agents to publicly offer and sell shares of our common stock in privately negotiated and/or at-the-market transactions from time-to-time up to a maximum aggregate offering price of our common stock. During the three and six months ended June 30, 2022, we sold 4.1 million shares of our common stock under the sales agreements for proceeds of $50 million, or $12.19 per common share, net of offering costs. As of June 30, 2022, shares of our common stock with an aggregate offering price of $1.20 billion remained authorized for issuance under this program through June 11, 2024.</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Common Stock Repurchase Program</w:t>
      </w:r>
    </w:p>
    <w:p>
      <w:pPr>
        <w:spacing w:after="0" w:line="171"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We are authorized by our Board of Directors to repurchase shares of our common stock in open market or through privately negotiated transactions or pursuant to a trading plan that may be adopted in accordance with Rule 10b5-1 of the Securities Exchange Act of 1934, as amended (the "Exchange Act"). During the three and six months ended June 30, 2022, we repurchased 4.7 million shares, or $51 million, of our common stock for an average repurchase price of $10.78 per common share, inclusive of transaction costs. As of June 30, 2022, shares of our common stock with an aggregate repurchase price of $907 million remained authorized for repurchase through December 31, 2022.</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Accumulated Other Comprehensive Income (Loss)</w:t>
      </w:r>
    </w:p>
    <w:p>
      <w:pPr>
        <w:spacing w:after="0" w:line="17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table summarizes changes to accumulated OCI for the three and six months ended June 30, 2022 and 2021 (in millions):</w:t>
      </w:r>
    </w:p>
    <w:p>
      <w:pPr>
        <w:spacing w:after="0" w:line="13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0" w:type="dxa"/>
            <w:vAlign w:val="bottom"/>
            <w:gridSpan w:val="6"/>
          </w:tcPr>
          <w:p>
            <w:pPr>
              <w:ind w:left="20"/>
              <w:spacing w:after="0"/>
              <w:rPr>
                <w:sz w:val="20"/>
                <w:szCs w:val="20"/>
                <w:color w:val="auto"/>
              </w:rPr>
            </w:pPr>
            <w:r>
              <w:rPr>
                <w:rFonts w:ascii="Arial" w:cs="Arial" w:eastAsia="Arial" w:hAnsi="Arial"/>
                <w:sz w:val="14"/>
                <w:szCs w:val="14"/>
                <w:b w:val="1"/>
                <w:bCs w:val="1"/>
                <w:color w:val="auto"/>
                <w:w w:val="98"/>
              </w:rPr>
              <w:t>Three Months Ended June 30,</w:t>
            </w:r>
          </w:p>
        </w:tc>
        <w:tc>
          <w:tcPr>
            <w:tcW w:w="100" w:type="dxa"/>
            <w:vAlign w:val="bottom"/>
          </w:tcPr>
          <w:p>
            <w:pPr>
              <w:spacing w:after="0"/>
              <w:rPr>
                <w:sz w:val="16"/>
                <w:szCs w:val="16"/>
                <w:color w:val="auto"/>
              </w:rPr>
            </w:pPr>
          </w:p>
        </w:tc>
        <w:tc>
          <w:tcPr>
            <w:tcW w:w="1800" w:type="dxa"/>
            <w:vAlign w:val="bottom"/>
            <w:gridSpan w:val="4"/>
          </w:tcPr>
          <w:p>
            <w:pPr>
              <w:jc w:val="right"/>
              <w:ind w:right="48"/>
              <w:spacing w:after="0"/>
              <w:rPr>
                <w:sz w:val="20"/>
                <w:szCs w:val="20"/>
                <w:color w:val="auto"/>
              </w:rPr>
            </w:pPr>
            <w:r>
              <w:rPr>
                <w:rFonts w:ascii="Arial" w:cs="Arial" w:eastAsia="Arial" w:hAnsi="Arial"/>
                <w:sz w:val="14"/>
                <w:szCs w:val="14"/>
                <w:b w:val="1"/>
                <w:bCs w:val="1"/>
                <w:color w:val="auto"/>
                <w:w w:val="91"/>
              </w:rPr>
              <w:t>Six Months Ended June 30,</w:t>
            </w:r>
          </w:p>
        </w:tc>
        <w:tc>
          <w:tcPr>
            <w:tcW w:w="0" w:type="dxa"/>
            <w:vAlign w:val="bottom"/>
          </w:tcPr>
          <w:p>
            <w:pPr>
              <w:spacing w:after="0"/>
              <w:rPr>
                <w:sz w:val="1"/>
                <w:szCs w:val="1"/>
                <w:color w:val="auto"/>
              </w:rPr>
            </w:pPr>
          </w:p>
        </w:tc>
      </w:tr>
      <w:tr>
        <w:trPr>
          <w:trHeight w:val="188"/>
        </w:trPr>
        <w:tc>
          <w:tcPr>
            <w:tcW w:w="7340" w:type="dxa"/>
            <w:vAlign w:val="bottom"/>
            <w:gridSpan w:val="2"/>
          </w:tcPr>
          <w:p>
            <w:pPr>
              <w:ind w:left="20"/>
              <w:spacing w:after="0"/>
              <w:rPr>
                <w:sz w:val="20"/>
                <w:szCs w:val="20"/>
                <w:color w:val="auto"/>
              </w:rPr>
            </w:pPr>
            <w:r>
              <w:rPr>
                <w:rFonts w:ascii="Arial" w:cs="Arial" w:eastAsia="Arial" w:hAnsi="Arial"/>
                <w:sz w:val="14"/>
                <w:szCs w:val="14"/>
                <w:b w:val="1"/>
                <w:bCs w:val="1"/>
                <w:color w:val="auto"/>
              </w:rPr>
              <w:t>Accumulated Other Comprehensive Income (Loss)</w:t>
            </w:r>
          </w:p>
        </w:tc>
        <w:tc>
          <w:tcPr>
            <w:tcW w:w="200" w:type="dxa"/>
            <w:vAlign w:val="bottom"/>
            <w:tcBorders>
              <w:top w:val="single" w:sz="8" w:color="auto"/>
            </w:tcBorders>
          </w:tcPr>
          <w:p>
            <w:pPr>
              <w:spacing w:after="0"/>
              <w:rPr>
                <w:sz w:val="16"/>
                <w:szCs w:val="16"/>
                <w:color w:val="auto"/>
              </w:rPr>
            </w:pPr>
          </w:p>
        </w:tc>
        <w:tc>
          <w:tcPr>
            <w:tcW w:w="700" w:type="dxa"/>
            <w:vAlign w:val="bottom"/>
            <w:tcBorders>
              <w:top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2022</w:t>
            </w:r>
          </w:p>
        </w:tc>
        <w:tc>
          <w:tcPr>
            <w:tcW w:w="100" w:type="dxa"/>
            <w:vAlign w:val="bottom"/>
            <w:tcBorders>
              <w:top w:val="single" w:sz="8" w:color="auto"/>
            </w:tcBorders>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700" w:type="dxa"/>
            <w:vAlign w:val="bottom"/>
            <w:tcBorders>
              <w:top w:val="single" w:sz="8" w:color="auto"/>
            </w:tcBorders>
          </w:tcPr>
          <w:p>
            <w:pPr>
              <w:ind w:left="100"/>
              <w:spacing w:after="0"/>
              <w:rPr>
                <w:sz w:val="20"/>
                <w:szCs w:val="20"/>
                <w:color w:val="auto"/>
              </w:rPr>
            </w:pPr>
            <w:r>
              <w:rPr>
                <w:rFonts w:ascii="Arial" w:cs="Arial" w:eastAsia="Arial" w:hAnsi="Arial"/>
                <w:sz w:val="14"/>
                <w:szCs w:val="14"/>
                <w:b w:val="1"/>
                <w:bCs w:val="1"/>
                <w:color w:val="auto"/>
              </w:rPr>
              <w:t>2021</w:t>
            </w:r>
          </w:p>
        </w:tc>
        <w:tc>
          <w:tcPr>
            <w:tcW w:w="100" w:type="dxa"/>
            <w:vAlign w:val="bottom"/>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800" w:type="dxa"/>
            <w:vAlign w:val="bottom"/>
            <w:tcBorders>
              <w:top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2022</w:t>
            </w:r>
          </w:p>
        </w:tc>
        <w:tc>
          <w:tcPr>
            <w:tcW w:w="100" w:type="dxa"/>
            <w:vAlign w:val="bottom"/>
            <w:tcBorders>
              <w:top w:val="single" w:sz="8" w:color="auto"/>
            </w:tcBorders>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700" w:type="dxa"/>
            <w:vAlign w:val="bottom"/>
            <w:tcBorders>
              <w:top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183"/>
        </w:trPr>
        <w:tc>
          <w:tcPr>
            <w:tcW w:w="7240" w:type="dxa"/>
            <w:vAlign w:val="bottom"/>
            <w:tcBorders>
              <w:top w:val="single" w:sz="8" w:color="auto"/>
            </w:tcBorders>
          </w:tcPr>
          <w:p>
            <w:pPr>
              <w:ind w:left="20"/>
              <w:spacing w:after="0"/>
              <w:rPr>
                <w:sz w:val="20"/>
                <w:szCs w:val="20"/>
                <w:color w:val="auto"/>
              </w:rPr>
            </w:pPr>
            <w:r>
              <w:rPr>
                <w:rFonts w:ascii="Arial" w:cs="Arial" w:eastAsia="Arial" w:hAnsi="Arial"/>
                <w:sz w:val="14"/>
                <w:szCs w:val="14"/>
                <w:b w:val="1"/>
                <w:bCs w:val="1"/>
                <w:color w:val="auto"/>
              </w:rPr>
              <w:t>Beginning Balance</w:t>
            </w:r>
          </w:p>
        </w:tc>
        <w:tc>
          <w:tcPr>
            <w:tcW w:w="100" w:type="dxa"/>
            <w:vAlign w:val="bottom"/>
          </w:tcPr>
          <w:p>
            <w:pPr>
              <w:spacing w:after="0"/>
              <w:rPr>
                <w:sz w:val="15"/>
                <w:szCs w:val="15"/>
                <w:color w:val="auto"/>
              </w:rPr>
            </w:pPr>
          </w:p>
        </w:tc>
        <w:tc>
          <w:tcPr>
            <w:tcW w:w="200" w:type="dxa"/>
            <w:vAlign w:val="bottom"/>
            <w:tcBorders>
              <w:top w:val="single" w:sz="8" w:color="auto"/>
            </w:tcBorders>
          </w:tcPr>
          <w:p>
            <w:pPr>
              <w:ind w:left="20"/>
              <w:spacing w:after="0"/>
              <w:rPr>
                <w:sz w:val="20"/>
                <w:szCs w:val="20"/>
                <w:color w:val="auto"/>
              </w:rPr>
            </w:pPr>
            <w:r>
              <w:rPr>
                <w:rFonts w:ascii="Arial" w:cs="Arial" w:eastAsia="Arial" w:hAnsi="Arial"/>
                <w:sz w:val="14"/>
                <w:szCs w:val="14"/>
                <w:color w:val="auto"/>
              </w:rPr>
              <w:t>$</w:t>
            </w: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(190)</w:t>
            </w:r>
          </w:p>
        </w:tc>
        <w:tc>
          <w:tcPr>
            <w:tcW w:w="100" w:type="dxa"/>
            <w:vAlign w:val="bottom"/>
          </w:tcPr>
          <w:p>
            <w:pPr>
              <w:spacing w:after="0"/>
              <w:rPr>
                <w:sz w:val="15"/>
                <w:szCs w:val="15"/>
                <w:color w:val="auto"/>
              </w:rPr>
            </w:pPr>
          </w:p>
        </w:tc>
        <w:tc>
          <w:tcPr>
            <w:tcW w:w="20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tcBorders>
              <w:top w:val="single" w:sz="8" w:color="auto"/>
            </w:tcBorders>
          </w:tcPr>
          <w:p>
            <w:pPr>
              <w:ind w:left="420"/>
              <w:spacing w:after="0"/>
              <w:rPr>
                <w:sz w:val="20"/>
                <w:szCs w:val="20"/>
                <w:color w:val="auto"/>
              </w:rPr>
            </w:pPr>
            <w:r>
              <w:rPr>
                <w:rFonts w:ascii="Arial" w:cs="Arial" w:eastAsia="Arial" w:hAnsi="Arial"/>
                <w:sz w:val="14"/>
                <w:szCs w:val="14"/>
                <w:color w:val="auto"/>
              </w:rPr>
              <w:t>482</w:t>
            </w:r>
          </w:p>
        </w:tc>
        <w:tc>
          <w:tcPr>
            <w:tcW w:w="100" w:type="dxa"/>
            <w:vAlign w:val="bottom"/>
          </w:tcPr>
          <w:p>
            <w:pPr>
              <w:spacing w:after="0"/>
              <w:rPr>
                <w:sz w:val="15"/>
                <w:szCs w:val="15"/>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301</w:t>
            </w:r>
          </w:p>
        </w:tc>
        <w:tc>
          <w:tcPr>
            <w:tcW w:w="100" w:type="dxa"/>
            <w:vAlign w:val="bottom"/>
          </w:tcPr>
          <w:p>
            <w:pPr>
              <w:spacing w:after="0"/>
              <w:rPr>
                <w:sz w:val="15"/>
                <w:szCs w:val="15"/>
                <w:color w:val="auto"/>
              </w:rPr>
            </w:pPr>
          </w:p>
        </w:tc>
        <w:tc>
          <w:tcPr>
            <w:tcW w:w="20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719</w:t>
            </w:r>
          </w:p>
        </w:tc>
        <w:tc>
          <w:tcPr>
            <w:tcW w:w="0" w:type="dxa"/>
            <w:vAlign w:val="bottom"/>
          </w:tcPr>
          <w:p>
            <w:pPr>
              <w:spacing w:after="0"/>
              <w:rPr>
                <w:sz w:val="1"/>
                <w:szCs w:val="1"/>
                <w:color w:val="auto"/>
              </w:rPr>
            </w:pPr>
          </w:p>
        </w:tc>
      </w:tr>
      <w:tr>
        <w:trPr>
          <w:trHeight w:val="190"/>
        </w:trPr>
        <w:tc>
          <w:tcPr>
            <w:tcW w:w="734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OCI before reclassifications</w:t>
            </w: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(269)</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ind w:left="440"/>
              <w:spacing w:after="0"/>
              <w:rPr>
                <w:sz w:val="20"/>
                <w:szCs w:val="20"/>
                <w:color w:val="auto"/>
              </w:rPr>
            </w:pPr>
            <w:r>
              <w:rPr>
                <w:rFonts w:ascii="Arial" w:cs="Arial" w:eastAsia="Arial" w:hAnsi="Arial"/>
                <w:sz w:val="14"/>
                <w:szCs w:val="14"/>
                <w:color w:val="auto"/>
                <w:w w:val="96"/>
              </w:rPr>
              <w:t>(63)</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(760)</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(282)</w:t>
            </w:r>
          </w:p>
        </w:tc>
        <w:tc>
          <w:tcPr>
            <w:tcW w:w="0" w:type="dxa"/>
            <w:vAlign w:val="bottom"/>
          </w:tcPr>
          <w:p>
            <w:pPr>
              <w:spacing w:after="0"/>
              <w:rPr>
                <w:sz w:val="1"/>
                <w:szCs w:val="1"/>
                <w:color w:val="auto"/>
              </w:rPr>
            </w:pPr>
          </w:p>
        </w:tc>
      </w:tr>
      <w:tr>
        <w:trPr>
          <w:trHeight w:val="135"/>
        </w:trPr>
        <w:tc>
          <w:tcPr>
            <w:tcW w:w="7340" w:type="dxa"/>
            <w:vAlign w:val="bottom"/>
            <w:gridSpan w:val="2"/>
          </w:tcPr>
          <w:p>
            <w:pPr>
              <w:ind w:left="180"/>
              <w:spacing w:after="0" w:line="135" w:lineRule="exact"/>
              <w:rPr>
                <w:sz w:val="20"/>
                <w:szCs w:val="20"/>
                <w:color w:val="auto"/>
              </w:rPr>
            </w:pPr>
            <w:r>
              <w:rPr>
                <w:rFonts w:ascii="Arial" w:cs="Arial" w:eastAsia="Arial" w:hAnsi="Arial"/>
                <w:sz w:val="14"/>
                <w:szCs w:val="14"/>
                <w:color w:val="auto"/>
                <w:w w:val="98"/>
              </w:rPr>
              <w:t>Net loss amounts for available-for-sale securities reclassified from accumulated OCI to realized gain (loss) on sale of</w:t>
            </w:r>
          </w:p>
        </w:tc>
        <w:tc>
          <w:tcPr>
            <w:tcW w:w="200" w:type="dxa"/>
            <w:vAlign w:val="bottom"/>
          </w:tcPr>
          <w:p>
            <w:pPr>
              <w:spacing w:after="0"/>
              <w:rPr>
                <w:sz w:val="11"/>
                <w:szCs w:val="11"/>
                <w:color w:val="auto"/>
              </w:rPr>
            </w:pPr>
          </w:p>
        </w:tc>
        <w:tc>
          <w:tcPr>
            <w:tcW w:w="700" w:type="dxa"/>
            <w:vAlign w:val="bottom"/>
            <w:vMerge w:val="restart"/>
          </w:tcPr>
          <w:p>
            <w:pPr>
              <w:jc w:val="right"/>
              <w:spacing w:after="0"/>
              <w:rPr>
                <w:sz w:val="20"/>
                <w:szCs w:val="20"/>
                <w:color w:val="auto"/>
              </w:rPr>
            </w:pPr>
            <w:r>
              <w:rPr>
                <w:rFonts w:ascii="Arial" w:cs="Arial" w:eastAsia="Arial" w:hAnsi="Arial"/>
                <w:sz w:val="14"/>
                <w:szCs w:val="14"/>
                <w:color w:val="auto"/>
              </w:rPr>
              <w:t>24</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00" w:type="dxa"/>
            <w:vAlign w:val="bottom"/>
            <w:vMerge w:val="restart"/>
          </w:tcPr>
          <w:p>
            <w:pPr>
              <w:ind w:left="440"/>
              <w:spacing w:after="0"/>
              <w:rPr>
                <w:sz w:val="20"/>
                <w:szCs w:val="20"/>
                <w:color w:val="auto"/>
              </w:rPr>
            </w:pPr>
            <w:r>
              <w:rPr>
                <w:rFonts w:ascii="Arial" w:cs="Arial" w:eastAsia="Arial" w:hAnsi="Arial"/>
                <w:sz w:val="14"/>
                <w:szCs w:val="14"/>
                <w:color w:val="auto"/>
                <w:w w:val="96"/>
              </w:rPr>
              <w:t>(14)</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vMerge w:val="restart"/>
          </w:tcPr>
          <w:p>
            <w:pPr>
              <w:jc w:val="right"/>
              <w:spacing w:after="0"/>
              <w:rPr>
                <w:sz w:val="20"/>
                <w:szCs w:val="20"/>
                <w:color w:val="auto"/>
              </w:rPr>
            </w:pPr>
            <w:r>
              <w:rPr>
                <w:rFonts w:ascii="Arial" w:cs="Arial" w:eastAsia="Arial" w:hAnsi="Arial"/>
                <w:sz w:val="14"/>
                <w:szCs w:val="14"/>
                <w:color w:val="auto"/>
              </w:rPr>
              <w:t>24</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00" w:type="dxa"/>
            <w:vAlign w:val="bottom"/>
            <w:vMerge w:val="restart"/>
          </w:tcPr>
          <w:p>
            <w:pPr>
              <w:jc w:val="right"/>
              <w:spacing w:after="0"/>
              <w:rPr>
                <w:sz w:val="20"/>
                <w:szCs w:val="20"/>
                <w:color w:val="auto"/>
              </w:rPr>
            </w:pPr>
            <w:r>
              <w:rPr>
                <w:rFonts w:ascii="Arial" w:cs="Arial" w:eastAsia="Arial" w:hAnsi="Arial"/>
                <w:sz w:val="14"/>
                <w:szCs w:val="14"/>
                <w:color w:val="auto"/>
              </w:rPr>
              <w:t>(32)</w:t>
            </w:r>
          </w:p>
        </w:tc>
        <w:tc>
          <w:tcPr>
            <w:tcW w:w="0" w:type="dxa"/>
            <w:vAlign w:val="bottom"/>
          </w:tcPr>
          <w:p>
            <w:pPr>
              <w:spacing w:after="0"/>
              <w:rPr>
                <w:sz w:val="1"/>
                <w:szCs w:val="1"/>
                <w:color w:val="auto"/>
              </w:rPr>
            </w:pPr>
          </w:p>
        </w:tc>
      </w:tr>
      <w:tr>
        <w:trPr>
          <w:trHeight w:val="186"/>
        </w:trPr>
        <w:tc>
          <w:tcPr>
            <w:tcW w:w="7340" w:type="dxa"/>
            <w:vAlign w:val="bottom"/>
            <w:tcBorders>
              <w:bottom w:val="single" w:sz="8" w:color="CCEEFF"/>
            </w:tcBorders>
            <w:gridSpan w:val="2"/>
          </w:tcPr>
          <w:p>
            <w:pPr>
              <w:ind w:left="180"/>
              <w:spacing w:after="0"/>
              <w:rPr>
                <w:sz w:val="20"/>
                <w:szCs w:val="20"/>
                <w:color w:val="auto"/>
              </w:rPr>
            </w:pPr>
            <w:r>
              <w:rPr>
                <w:rFonts w:ascii="Arial" w:cs="Arial" w:eastAsia="Arial" w:hAnsi="Arial"/>
                <w:sz w:val="14"/>
                <w:szCs w:val="14"/>
                <w:color w:val="auto"/>
              </w:rPr>
              <w:t>investment securities, net</w:t>
            </w: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73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Ending Balance</w:t>
            </w:r>
          </w:p>
        </w:tc>
        <w:tc>
          <w:tcPr>
            <w:tcW w:w="2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(435)</w:t>
            </w:r>
          </w:p>
        </w:tc>
        <w:tc>
          <w:tcPr>
            <w:tcW w:w="1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shd w:val="clear" w:color="auto" w:fill="CCEEFF"/>
          </w:tcPr>
          <w:p>
            <w:pPr>
              <w:ind w:left="420"/>
              <w:spacing w:after="0"/>
              <w:rPr>
                <w:sz w:val="20"/>
                <w:szCs w:val="20"/>
                <w:color w:val="auto"/>
              </w:rPr>
            </w:pPr>
            <w:r>
              <w:rPr>
                <w:rFonts w:ascii="Arial" w:cs="Arial" w:eastAsia="Arial" w:hAnsi="Arial"/>
                <w:sz w:val="14"/>
                <w:szCs w:val="14"/>
                <w:color w:val="auto"/>
              </w:rPr>
              <w:t>405</w:t>
            </w:r>
          </w:p>
        </w:tc>
        <w:tc>
          <w:tcPr>
            <w:tcW w:w="10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(435)</w:t>
            </w:r>
          </w:p>
        </w:tc>
        <w:tc>
          <w:tcPr>
            <w:tcW w:w="1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405</w:t>
            </w:r>
          </w:p>
        </w:tc>
        <w:tc>
          <w:tcPr>
            <w:tcW w:w="0" w:type="dxa"/>
            <w:vAlign w:val="bottom"/>
          </w:tcPr>
          <w:p>
            <w:pPr>
              <w:spacing w:after="0"/>
              <w:rPr>
                <w:sz w:val="1"/>
                <w:szCs w:val="1"/>
                <w:color w:val="auto"/>
              </w:rPr>
            </w:pPr>
          </w:p>
        </w:tc>
      </w:tr>
      <w:tr>
        <w:trPr>
          <w:trHeight w:val="20"/>
        </w:trPr>
        <w:tc>
          <w:tcPr>
            <w:tcW w:w="72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2. </w:t>
      </w:r>
      <w:r>
        <w:rPr>
          <w:rFonts w:ascii="Arial" w:cs="Arial" w:eastAsia="Arial" w:hAnsi="Arial"/>
          <w:sz w:val="18"/>
          <w:szCs w:val="18"/>
          <w:b w:val="1"/>
          <w:bCs w:val="1"/>
          <w:i w:val="1"/>
          <w:iCs w:val="1"/>
          <w:color w:val="auto"/>
        </w:rPr>
        <w:t>Management's Discussion and Analysis of Financial Condition and Results of Operations</w:t>
      </w:r>
    </w:p>
    <w:p>
      <w:pPr>
        <w:spacing w:after="0" w:line="175"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Management's Discussion and Analysis of Financial Condition and Results of Operations ("MD&amp;A") is designed to provide a reader of AGNC Investment Corp.'s consolidated financial statements with a narrative from the perspective of management and should be read in conjunction with the consolidated financial statements and accompanying notes included in this Quarterly Report on Form 10-Q for quarterly period ended June 30, 2022. Our MD&amp;A is presented in the following sections:</w:t>
      </w:r>
    </w:p>
    <w:p>
      <w:pPr>
        <w:spacing w:after="0" w:line="52" w:lineRule="exact"/>
        <w:rPr>
          <w:sz w:val="20"/>
          <w:szCs w:val="20"/>
          <w:color w:val="auto"/>
        </w:rPr>
      </w:pPr>
    </w:p>
    <w:p>
      <w:pPr>
        <w:ind w:left="660" w:hanging="328"/>
        <w:spacing w:after="0"/>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Executive Overview</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Financial Condition</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Results of Operations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Liquidity and Capital Resources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Off-Balance Sheet Arrangements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Forward-Looking Statements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OVERVIEW</w:t>
      </w:r>
    </w:p>
    <w:p>
      <w:pPr>
        <w:spacing w:after="0" w:line="175" w:lineRule="exact"/>
        <w:rPr>
          <w:sz w:val="20"/>
          <w:szCs w:val="20"/>
          <w:color w:val="auto"/>
        </w:rPr>
      </w:pPr>
    </w:p>
    <w:p>
      <w:pPr>
        <w:jc w:val="both"/>
        <w:ind w:firstLine="405"/>
        <w:spacing w:after="0" w:line="254" w:lineRule="auto"/>
        <w:rPr>
          <w:sz w:val="20"/>
          <w:szCs w:val="20"/>
          <w:color w:val="auto"/>
        </w:rPr>
      </w:pPr>
      <w:r>
        <w:rPr>
          <w:rFonts w:ascii="Arial" w:cs="Arial" w:eastAsia="Arial" w:hAnsi="Arial"/>
          <w:sz w:val="18"/>
          <w:szCs w:val="18"/>
          <w:color w:val="auto"/>
        </w:rPr>
        <w:t>We are a leading provider of private capital to the U.S. housing market, enhancing liquidity in the residential real estate mortgage markets and, in turn, facilitating home ownership in the U.S. We invest primarily in Agency residential mortgage-backed securities ("Agency RMBS") on a leveraged basis. These investments consist of residential mortgage pass-through securities and collateralized mortgage obligations for which the principal and interest payments are guaranteed by a U.S. Government-sponsored enterprise, such as Federal National Mortgage Association ("Fannie Mae") and Federal Home Loan Mortgage Corporation ("Freddie Mac," and together with Fannie Mae, the "GSEs"), or by a U.S. Government agency, such as Government National Mortgage Association ("Ginnie Mae"). We may also invest in other assets related to the housing, mortgage or real estate markets that are not guaranteed by a GSE or U.S. Government agency.</w:t>
      </w:r>
    </w:p>
    <w:p>
      <w:pPr>
        <w:spacing w:after="0" w:line="141"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We are internally managed with the principal objective of providing our stockholders with favorable long-term returns on a risk-adjusted basis through attractive monthly dividends. We generate income from the interest earned on our investments, net</w:t>
      </w:r>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25" w:name="page26"/>
    <w:bookmarkEnd w:id="25"/>
    <w:p>
      <w:pPr>
        <w:jc w:val="both"/>
        <w:spacing w:after="0" w:line="263" w:lineRule="auto"/>
        <w:rPr>
          <w:sz w:val="20"/>
          <w:szCs w:val="20"/>
          <w:color w:val="auto"/>
        </w:rPr>
      </w:pPr>
      <w:r>
        <w:rPr>
          <w:rFonts w:ascii="Arial" w:cs="Arial" w:eastAsia="Arial" w:hAnsi="Arial"/>
          <w:sz w:val="18"/>
          <w:szCs w:val="18"/>
          <w:color w:val="auto"/>
        </w:rPr>
        <w:t>of associated borrowing and hedging costs, and net realized gains and losses on our investment and hedging activities. We fund our investments primarily through collateralized borrowings structured as repurchase agreements. We operate in a manner to qualify to be taxed as a REIT under the Internal Revenue Code.</w:t>
      </w:r>
    </w:p>
    <w:p>
      <w:pPr>
        <w:spacing w:after="0" w:line="130"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The size and composition of our investment portfolio depends on the investment strategies we implement, availability of attractively priced investments, suitable financing to appropriately leverage our investment portfolio and overall market conditions. Market conditions are influenced by a variety of factors, including interest rates, prepayment expectations, liquidity, housing prices, unemployment rates, general economic conditions, government participation in the mortgage market, regulations and relative returns on other assets.</w:t>
      </w: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Trends and Recent Market Impacts</w:t>
      </w:r>
    </w:p>
    <w:p>
      <w:pPr>
        <w:spacing w:after="0" w:line="175"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Financial markets have been under significant pressure since the start of the year as a result of the Federal Reserve’s intent to pursue a more aggressive path of monetary policy tightening. Elevated inflation and the expectation of materially higher short-term rates increased the probability of a recession and drove significant interest rate volatility. This challenging monetary policy and macro-economic environment led to broad-based financial market weakness. As a result, the S&amp;P 500 Index posted its worst first-half year performance in over 50 years, while the Bloomberg Aggregate Bond Index, representing more than $25 trillion in bonds, also experienced its deepest decline on record.</w:t>
      </w:r>
    </w:p>
    <w:p>
      <w:pPr>
        <w:spacing w:after="0" w:line="134" w:lineRule="exact"/>
        <w:rPr>
          <w:sz w:val="20"/>
          <w:szCs w:val="20"/>
          <w:color w:val="auto"/>
        </w:rPr>
      </w:pPr>
    </w:p>
    <w:p>
      <w:pPr>
        <w:jc w:val="both"/>
        <w:ind w:firstLine="405"/>
        <w:spacing w:after="0" w:line="279" w:lineRule="auto"/>
        <w:rPr>
          <w:sz w:val="20"/>
          <w:szCs w:val="20"/>
          <w:color w:val="auto"/>
        </w:rPr>
      </w:pPr>
      <w:r>
        <w:rPr>
          <w:rFonts w:ascii="Arial" w:cs="Arial" w:eastAsia="Arial" w:hAnsi="Arial"/>
          <w:sz w:val="17"/>
          <w:szCs w:val="17"/>
          <w:color w:val="auto"/>
        </w:rPr>
        <w:t>Agency RMBS performed largely in line with the broader fixed income market. Concerns associated with the Federal Reserve’s balance sheet normalization drove Agency RMBS spreads significantly wider relative to interest rate swap and U.S. Treasury hedges. This mortgage spread widening was the primary driver of AGNC’s economic loss on tangible net book value per common share of -10.1% for the second quarter and -22.9% for the first half of the year, which consists of dividends declared per common share and the decline in our tangible net book value.</w:t>
      </w:r>
    </w:p>
    <w:p>
      <w:pPr>
        <w:spacing w:after="0" w:line="117" w:lineRule="exact"/>
        <w:rPr>
          <w:sz w:val="20"/>
          <w:szCs w:val="20"/>
          <w:color w:val="auto"/>
        </w:rPr>
      </w:pPr>
    </w:p>
    <w:p>
      <w:pPr>
        <w:jc w:val="both"/>
        <w:ind w:firstLine="405"/>
        <w:spacing w:after="0" w:line="293" w:lineRule="auto"/>
        <w:rPr>
          <w:sz w:val="20"/>
          <w:szCs w:val="20"/>
          <w:color w:val="auto"/>
        </w:rPr>
      </w:pPr>
      <w:r>
        <w:rPr>
          <w:rFonts w:ascii="Arial" w:cs="Arial" w:eastAsia="Arial" w:hAnsi="Arial"/>
          <w:sz w:val="16"/>
          <w:szCs w:val="16"/>
          <w:color w:val="auto"/>
        </w:rPr>
        <w:t>As a result of these challenging market conditions, we maintained a defensive position during the first half of the year. AGNC’s at-risk leverage has remained below our historical operating levels, ending the second quarter at 7.4x tangible stockholders’ equity, down from 7.7x as of December 31, 2021. We also operated with very low interest rate exposure, as evidenced by our significant hedge ratio, which totaled 126% of the outstanding balance of our Agency repurchase agreements, net TBA position and other debt as of June 30, 2022, an increase from 101% as of December 31, 2021. Thus, as of June 30, 2022, our duration gap, which is a measure of the difference between the interest rate sensitivity of our assets and liabilities, inclusive of our interest rate hedges, was 0.4 years, compared to 0.1 years as of December 31, 2021, despite materially higher benchmark interest rates.</w:t>
      </w:r>
    </w:p>
    <w:p>
      <w:pPr>
        <w:spacing w:after="0" w:line="110" w:lineRule="exact"/>
        <w:rPr>
          <w:sz w:val="20"/>
          <w:szCs w:val="20"/>
          <w:color w:val="auto"/>
        </w:rPr>
      </w:pPr>
    </w:p>
    <w:p>
      <w:pPr>
        <w:jc w:val="both"/>
        <w:ind w:firstLine="405"/>
        <w:spacing w:after="0" w:line="275" w:lineRule="auto"/>
        <w:rPr>
          <w:sz w:val="20"/>
          <w:szCs w:val="20"/>
          <w:color w:val="auto"/>
        </w:rPr>
      </w:pPr>
      <w:r>
        <w:rPr>
          <w:rFonts w:ascii="Arial" w:cs="Arial" w:eastAsia="Arial" w:hAnsi="Arial"/>
          <w:sz w:val="17"/>
          <w:szCs w:val="17"/>
          <w:color w:val="auto"/>
        </w:rPr>
        <w:t>As of June 30, 2022, our unencumbered assets totaled $4.4 billion, or 58% of tangible equity, consisting of $3.9 billion of unencumbered cash and Agency RMBS and $0.5 billion of unencumbered credit assets. This compares to unencumbered assets of $6.5 billion, or 67% of tangible equity, as of December 31, 2021, consisting of $5.8 billion of unencumbered cash and Agency RMBS and $0.7 billion of unencumbered credit assets. The decline in our unencumbered assets both on an absolute basis and as a percentage of our tangible equity reflects the additional initial margin cost of maintaining our elevated interest rate hedge position and the material repricing of Agency RMBS assets.</w:t>
      </w:r>
    </w:p>
    <w:p>
      <w:pPr>
        <w:spacing w:after="0" w:line="122" w:lineRule="exact"/>
        <w:rPr>
          <w:sz w:val="20"/>
          <w:szCs w:val="20"/>
          <w:color w:val="auto"/>
        </w:rPr>
      </w:pPr>
    </w:p>
    <w:p>
      <w:pPr>
        <w:jc w:val="both"/>
        <w:ind w:firstLine="405"/>
        <w:spacing w:after="0" w:line="254" w:lineRule="auto"/>
        <w:rPr>
          <w:sz w:val="20"/>
          <w:szCs w:val="20"/>
          <w:color w:val="auto"/>
        </w:rPr>
      </w:pPr>
      <w:r>
        <w:rPr>
          <w:rFonts w:ascii="Arial" w:cs="Arial" w:eastAsia="Arial" w:hAnsi="Arial"/>
          <w:sz w:val="18"/>
          <w:szCs w:val="18"/>
          <w:color w:val="auto"/>
        </w:rPr>
        <w:t>Despite our defensive positioning, our annualized net interest spread and TBA dollar roll income, excluding "catch-up" premium amortization, increased to 2.70% for the second quarter, from 2.19% for the first quarter, averaging 2.43% for the first half of the year. Thus, although we operated with a smaller asset base, net spread and dollar roll income per diluted common share, excluding "catch-up" premium amortization, increased to $0.83 for the second quarter, from $0.72 for the first quarter. This improvement was largely due to exceptionally strong TBA dollar roll performance, higher asset yields as we shifted the portfolio up in coupon and stable funding costs, net of our interest rate hedges. Although dollar roll performance has moderated following the end of the second quarter, our net spread and dollar roll income should continue to be well protected against the effects of higher short-term interest rates as a result of our significant hedge portfolio.</w:t>
      </w:r>
    </w:p>
    <w:p>
      <w:pPr>
        <w:spacing w:after="0" w:line="141" w:lineRule="exact"/>
        <w:rPr>
          <w:sz w:val="20"/>
          <w:szCs w:val="20"/>
          <w:color w:val="auto"/>
        </w:rPr>
      </w:pPr>
    </w:p>
    <w:p>
      <w:pPr>
        <w:jc w:val="both"/>
        <w:ind w:firstLine="405"/>
        <w:spacing w:after="0" w:line="272" w:lineRule="auto"/>
        <w:rPr>
          <w:sz w:val="20"/>
          <w:szCs w:val="20"/>
          <w:color w:val="auto"/>
        </w:rPr>
      </w:pPr>
      <w:r>
        <w:rPr>
          <w:rFonts w:ascii="Arial" w:cs="Arial" w:eastAsia="Arial" w:hAnsi="Arial"/>
          <w:sz w:val="17"/>
          <w:szCs w:val="17"/>
          <w:color w:val="auto"/>
        </w:rPr>
        <w:t>Looking ahead, the longer-term outlook for Agency RMBS has improved substantially. Although spreads could widen further and volatility may persist over the near-term, positive developments in the supply and demand outlook for Agency RMBS suggest that this period of weakness in the Agency RMBS market may be nearing its end. Although the Federal Reserve has begun to reduce its portfolio organically, this runoff is expected to occur at a slower pace than previously anticipated as a result of higher mortgage rates and reduced prepayments. Lower net supply expectations combined with the stock effect of the Federal Reserve holding a significant portion of the outstanding Agency RMBS market should provide a supportive backdrop for Agency RMBS. At current valuation levels, Agency RMBS appear extremely attractive on an absolute and relative basis. As volatility stabilizes, we believe AGNC is well-positioned to increase leverage to take advantage of this stronger risk-adjusted return environment.</w:t>
      </w:r>
    </w:p>
    <w:p>
      <w:pPr>
        <w:spacing w:after="0" w:line="200" w:lineRule="exact"/>
        <w:rPr>
          <w:sz w:val="20"/>
          <w:szCs w:val="20"/>
          <w:color w:val="auto"/>
        </w:rPr>
      </w:pPr>
    </w:p>
    <w:p>
      <w:pPr>
        <w:spacing w:after="0" w:line="3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26" w:name="page27"/>
    <w:bookmarkEnd w:id="26"/>
    <w:p>
      <w:pPr>
        <w:jc w:val="both"/>
        <w:ind w:firstLine="405"/>
        <w:spacing w:after="0" w:line="286" w:lineRule="auto"/>
        <w:rPr>
          <w:sz w:val="20"/>
          <w:szCs w:val="20"/>
          <w:color w:val="auto"/>
        </w:rPr>
      </w:pPr>
      <w:r>
        <w:rPr>
          <w:rFonts w:ascii="Arial" w:cs="Arial" w:eastAsia="Arial" w:hAnsi="Arial"/>
          <w:sz w:val="17"/>
          <w:szCs w:val="17"/>
          <w:color w:val="auto"/>
        </w:rPr>
        <w:t xml:space="preserve">For information regarding non-GAAP financial measures, including reconciliations to the most comparable GAAP measure please refer to Results of Operations included in this MD&amp;A below. For further discussion regarding the sensitivity of our tangible net book value to changes in interest rates and mortgage spreads, please refer to Item 3. </w:t>
      </w:r>
      <w:r>
        <w:rPr>
          <w:rFonts w:ascii="Arial" w:cs="Arial" w:eastAsia="Arial" w:hAnsi="Arial"/>
          <w:sz w:val="17"/>
          <w:szCs w:val="17"/>
          <w:i w:val="1"/>
          <w:iCs w:val="1"/>
          <w:color w:val="auto"/>
        </w:rPr>
        <w:t>Quantitative and Qualitative Disclosures about Market Risk</w:t>
      </w:r>
      <w:r>
        <w:rPr>
          <w:rFonts w:ascii="Arial" w:cs="Arial" w:eastAsia="Arial" w:hAnsi="Arial"/>
          <w:sz w:val="17"/>
          <w:szCs w:val="17"/>
          <w:color w:val="auto"/>
        </w:rPr>
        <w:t xml:space="preserve"> in this form 10-Q.</w:t>
      </w:r>
    </w:p>
    <w:p>
      <w:pPr>
        <w:spacing w:after="0" w:line="1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Market Information</w:t>
      </w:r>
    </w:p>
    <w:p>
      <w:pPr>
        <w:spacing w:after="0" w:line="171" w:lineRule="exact"/>
        <w:rPr>
          <w:sz w:val="20"/>
          <w:szCs w:val="20"/>
          <w:color w:val="auto"/>
        </w:rPr>
      </w:pPr>
    </w:p>
    <w:p>
      <w:pPr>
        <w:ind w:left="420"/>
        <w:spacing w:after="0"/>
        <w:rPr>
          <w:sz w:val="20"/>
          <w:szCs w:val="20"/>
          <w:color w:val="auto"/>
        </w:rPr>
      </w:pPr>
      <w:r>
        <w:rPr>
          <w:rFonts w:ascii="Arial" w:cs="Arial" w:eastAsia="Arial" w:hAnsi="Arial"/>
          <w:sz w:val="17"/>
          <w:szCs w:val="17"/>
          <w:color w:val="auto"/>
        </w:rPr>
        <w:t>The following table summarizes benchmark interest rates and prices of generic fixed rate Agency RMBS as of each date presented below:</w:t>
      </w:r>
    </w:p>
    <w:p>
      <w:pPr>
        <w:spacing w:after="0" w:line="19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9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20" w:type="dxa"/>
            <w:vAlign w:val="bottom"/>
            <w:gridSpan w:val="2"/>
            <w:vMerge w:val="restart"/>
          </w:tcPr>
          <w:p>
            <w:pPr>
              <w:ind w:left="120"/>
              <w:spacing w:after="0"/>
              <w:rPr>
                <w:sz w:val="20"/>
                <w:szCs w:val="20"/>
                <w:color w:val="auto"/>
              </w:rPr>
            </w:pPr>
            <w:r>
              <w:rPr>
                <w:rFonts w:ascii="Arial" w:cs="Arial" w:eastAsia="Arial" w:hAnsi="Arial"/>
                <w:sz w:val="14"/>
                <w:szCs w:val="14"/>
                <w:b w:val="1"/>
                <w:bCs w:val="1"/>
                <w:color w:val="auto"/>
              </w:rPr>
              <w:t>June 30,</w:t>
            </w:r>
          </w:p>
        </w:tc>
        <w:tc>
          <w:tcPr>
            <w:tcW w:w="940" w:type="dxa"/>
            <w:vAlign w:val="bottom"/>
            <w:gridSpan w:val="2"/>
            <w:vMerge w:val="restart"/>
          </w:tcPr>
          <w:p>
            <w:pPr>
              <w:ind w:left="140"/>
              <w:spacing w:after="0"/>
              <w:rPr>
                <w:sz w:val="20"/>
                <w:szCs w:val="20"/>
                <w:color w:val="auto"/>
              </w:rPr>
            </w:pPr>
            <w:r>
              <w:rPr>
                <w:rFonts w:ascii="Arial" w:cs="Arial" w:eastAsia="Arial" w:hAnsi="Arial"/>
                <w:sz w:val="14"/>
                <w:szCs w:val="14"/>
                <w:b w:val="1"/>
                <w:bCs w:val="1"/>
                <w:color w:val="auto"/>
              </w:rPr>
              <w:t>Sept. 30,</w:t>
            </w:r>
          </w:p>
        </w:tc>
        <w:tc>
          <w:tcPr>
            <w:tcW w:w="940" w:type="dxa"/>
            <w:vAlign w:val="bottom"/>
            <w:gridSpan w:val="2"/>
            <w:vMerge w:val="restart"/>
          </w:tcPr>
          <w:p>
            <w:pPr>
              <w:ind w:left="140"/>
              <w:spacing w:after="0"/>
              <w:rPr>
                <w:sz w:val="20"/>
                <w:szCs w:val="20"/>
                <w:color w:val="auto"/>
              </w:rPr>
            </w:pPr>
            <w:r>
              <w:rPr>
                <w:rFonts w:ascii="Arial" w:cs="Arial" w:eastAsia="Arial" w:hAnsi="Arial"/>
                <w:sz w:val="14"/>
                <w:szCs w:val="14"/>
                <w:b w:val="1"/>
                <w:bCs w:val="1"/>
                <w:color w:val="auto"/>
              </w:rPr>
              <w:t>Dec. 31,</w:t>
            </w:r>
          </w:p>
        </w:tc>
        <w:tc>
          <w:tcPr>
            <w:tcW w:w="920" w:type="dxa"/>
            <w:vAlign w:val="bottom"/>
            <w:gridSpan w:val="2"/>
            <w:vMerge w:val="restart"/>
          </w:tcPr>
          <w:p>
            <w:pPr>
              <w:ind w:left="120"/>
              <w:spacing w:after="0"/>
              <w:rPr>
                <w:sz w:val="20"/>
                <w:szCs w:val="20"/>
                <w:color w:val="auto"/>
              </w:rPr>
            </w:pPr>
            <w:r>
              <w:rPr>
                <w:rFonts w:ascii="Arial" w:cs="Arial" w:eastAsia="Arial" w:hAnsi="Arial"/>
                <w:sz w:val="14"/>
                <w:szCs w:val="14"/>
                <w:b w:val="1"/>
                <w:bCs w:val="1"/>
                <w:color w:val="auto"/>
              </w:rPr>
              <w:t>Mar. 31,</w:t>
            </w:r>
          </w:p>
        </w:tc>
        <w:tc>
          <w:tcPr>
            <w:tcW w:w="940" w:type="dxa"/>
            <w:vAlign w:val="bottom"/>
            <w:gridSpan w:val="2"/>
            <w:vMerge w:val="restart"/>
          </w:tcPr>
          <w:p>
            <w:pPr>
              <w:ind w:left="140"/>
              <w:spacing w:after="0"/>
              <w:rPr>
                <w:sz w:val="20"/>
                <w:szCs w:val="20"/>
                <w:color w:val="auto"/>
              </w:rPr>
            </w:pPr>
            <w:r>
              <w:rPr>
                <w:rFonts w:ascii="Arial" w:cs="Arial" w:eastAsia="Arial" w:hAnsi="Arial"/>
                <w:sz w:val="14"/>
                <w:szCs w:val="14"/>
                <w:b w:val="1"/>
                <w:bCs w:val="1"/>
                <w:color w:val="auto"/>
              </w:rPr>
              <w:t>June 30,</w:t>
            </w:r>
          </w:p>
        </w:tc>
        <w:tc>
          <w:tcPr>
            <w:tcW w:w="132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92"/>
              </w:rPr>
              <w:t>June 30, 2022</w:t>
            </w:r>
          </w:p>
        </w:tc>
        <w:tc>
          <w:tcPr>
            <w:tcW w:w="1160" w:type="dxa"/>
            <w:vAlign w:val="bottom"/>
            <w:gridSpan w:val="2"/>
          </w:tcPr>
          <w:p>
            <w:pPr>
              <w:jc w:val="center"/>
              <w:spacing w:after="0"/>
              <w:rPr>
                <w:sz w:val="20"/>
                <w:szCs w:val="20"/>
                <w:color w:val="auto"/>
              </w:rPr>
            </w:pPr>
            <w:r>
              <w:rPr>
                <w:rFonts w:ascii="Arial" w:cs="Arial" w:eastAsia="Arial" w:hAnsi="Arial"/>
                <w:sz w:val="14"/>
                <w:szCs w:val="14"/>
                <w:b w:val="1"/>
                <w:bCs w:val="1"/>
                <w:color w:val="auto"/>
                <w:w w:val="92"/>
              </w:rPr>
              <w:t>June 30, 2022</w:t>
            </w:r>
          </w:p>
        </w:tc>
        <w:tc>
          <w:tcPr>
            <w:tcW w:w="0" w:type="dxa"/>
            <w:vAlign w:val="bottom"/>
          </w:tcPr>
          <w:p>
            <w:pPr>
              <w:spacing w:after="0"/>
              <w:rPr>
                <w:sz w:val="1"/>
                <w:szCs w:val="1"/>
                <w:color w:val="auto"/>
              </w:rPr>
            </w:pPr>
          </w:p>
        </w:tc>
      </w:tr>
      <w:tr>
        <w:trPr>
          <w:trHeight w:val="135"/>
        </w:trPr>
        <w:tc>
          <w:tcPr>
            <w:tcW w:w="4100" w:type="dxa"/>
            <w:vAlign w:val="bottom"/>
            <w:gridSpan w:val="2"/>
            <w:vMerge w:val="restart"/>
          </w:tcPr>
          <w:p>
            <w:pPr>
              <w:ind w:left="1080"/>
              <w:spacing w:after="0"/>
              <w:rPr>
                <w:sz w:val="20"/>
                <w:szCs w:val="20"/>
                <w:color w:val="auto"/>
              </w:rPr>
            </w:pPr>
            <w:r>
              <w:rPr>
                <w:rFonts w:ascii="Arial" w:cs="Arial" w:eastAsia="Arial" w:hAnsi="Arial"/>
                <w:sz w:val="14"/>
                <w:szCs w:val="14"/>
                <w:b w:val="1"/>
                <w:bCs w:val="1"/>
                <w:color w:val="auto"/>
              </w:rPr>
              <w:t xml:space="preserve">Interest Rate/Security Price </w:t>
            </w:r>
            <w:r>
              <w:rPr>
                <w:rFonts w:ascii="Arial" w:cs="Arial" w:eastAsia="Arial" w:hAnsi="Arial"/>
                <w:sz w:val="18"/>
                <w:szCs w:val="18"/>
                <w:b w:val="1"/>
                <w:bCs w:val="1"/>
                <w:color w:val="auto"/>
                <w:vertAlign w:val="superscript"/>
              </w:rPr>
              <w:t>1</w:t>
            </w:r>
          </w:p>
        </w:tc>
        <w:tc>
          <w:tcPr>
            <w:tcW w:w="920" w:type="dxa"/>
            <w:vAlign w:val="bottom"/>
            <w:gridSpan w:val="2"/>
            <w:vMerge w:val="continue"/>
          </w:tcPr>
          <w:p>
            <w:pPr>
              <w:spacing w:after="0"/>
              <w:rPr>
                <w:sz w:val="11"/>
                <w:szCs w:val="11"/>
                <w:color w:val="auto"/>
              </w:rPr>
            </w:pPr>
          </w:p>
        </w:tc>
        <w:tc>
          <w:tcPr>
            <w:tcW w:w="940" w:type="dxa"/>
            <w:vAlign w:val="bottom"/>
            <w:gridSpan w:val="2"/>
            <w:vMerge w:val="continue"/>
          </w:tcPr>
          <w:p>
            <w:pPr>
              <w:spacing w:after="0"/>
              <w:rPr>
                <w:sz w:val="11"/>
                <w:szCs w:val="11"/>
                <w:color w:val="auto"/>
              </w:rPr>
            </w:pPr>
          </w:p>
        </w:tc>
        <w:tc>
          <w:tcPr>
            <w:tcW w:w="940" w:type="dxa"/>
            <w:vAlign w:val="bottom"/>
            <w:gridSpan w:val="2"/>
            <w:vMerge w:val="continue"/>
          </w:tcPr>
          <w:p>
            <w:pPr>
              <w:spacing w:after="0"/>
              <w:rPr>
                <w:sz w:val="11"/>
                <w:szCs w:val="11"/>
                <w:color w:val="auto"/>
              </w:rPr>
            </w:pPr>
          </w:p>
        </w:tc>
        <w:tc>
          <w:tcPr>
            <w:tcW w:w="920" w:type="dxa"/>
            <w:vAlign w:val="bottom"/>
            <w:gridSpan w:val="2"/>
            <w:vMerge w:val="continue"/>
          </w:tcPr>
          <w:p>
            <w:pPr>
              <w:spacing w:after="0"/>
              <w:rPr>
                <w:sz w:val="11"/>
                <w:szCs w:val="11"/>
                <w:color w:val="auto"/>
              </w:rPr>
            </w:pPr>
          </w:p>
        </w:tc>
        <w:tc>
          <w:tcPr>
            <w:tcW w:w="940" w:type="dxa"/>
            <w:vAlign w:val="bottom"/>
            <w:gridSpan w:val="2"/>
            <w:vMerge w:val="continue"/>
          </w:tcPr>
          <w:p>
            <w:pPr>
              <w:spacing w:after="0"/>
              <w:rPr>
                <w:sz w:val="11"/>
                <w:szCs w:val="11"/>
                <w:color w:val="auto"/>
              </w:rPr>
            </w:pPr>
          </w:p>
        </w:tc>
        <w:tc>
          <w:tcPr>
            <w:tcW w:w="1320" w:type="dxa"/>
            <w:vAlign w:val="bottom"/>
            <w:gridSpan w:val="3"/>
          </w:tcPr>
          <w:p>
            <w:pPr>
              <w:jc w:val="center"/>
              <w:ind w:right="160"/>
              <w:spacing w:after="0" w:line="135" w:lineRule="exact"/>
              <w:rPr>
                <w:sz w:val="20"/>
                <w:szCs w:val="20"/>
                <w:color w:val="auto"/>
              </w:rPr>
            </w:pPr>
            <w:r>
              <w:rPr>
                <w:rFonts w:ascii="Arial" w:cs="Arial" w:eastAsia="Arial" w:hAnsi="Arial"/>
                <w:sz w:val="14"/>
                <w:szCs w:val="14"/>
                <w:b w:val="1"/>
                <w:bCs w:val="1"/>
                <w:color w:val="auto"/>
                <w:w w:val="76"/>
              </w:rPr>
              <w:t>vs</w:t>
            </w:r>
          </w:p>
        </w:tc>
        <w:tc>
          <w:tcPr>
            <w:tcW w:w="520" w:type="dxa"/>
            <w:vAlign w:val="bottom"/>
          </w:tcPr>
          <w:p>
            <w:pPr>
              <w:spacing w:after="0"/>
              <w:rPr>
                <w:sz w:val="11"/>
                <w:szCs w:val="11"/>
                <w:color w:val="auto"/>
              </w:rPr>
            </w:pPr>
          </w:p>
        </w:tc>
        <w:tc>
          <w:tcPr>
            <w:tcW w:w="640" w:type="dxa"/>
            <w:vAlign w:val="bottom"/>
          </w:tcPr>
          <w:p>
            <w:pPr>
              <w:jc w:val="center"/>
              <w:ind w:right="448"/>
              <w:spacing w:after="0" w:line="135" w:lineRule="exact"/>
              <w:rPr>
                <w:sz w:val="20"/>
                <w:szCs w:val="20"/>
                <w:color w:val="auto"/>
              </w:rPr>
            </w:pPr>
            <w:r>
              <w:rPr>
                <w:rFonts w:ascii="Arial" w:cs="Arial" w:eastAsia="Arial" w:hAnsi="Arial"/>
                <w:sz w:val="14"/>
                <w:szCs w:val="14"/>
                <w:b w:val="1"/>
                <w:bCs w:val="1"/>
                <w:color w:val="auto"/>
                <w:w w:val="76"/>
              </w:rPr>
              <w:t>vs</w:t>
            </w:r>
          </w:p>
        </w:tc>
        <w:tc>
          <w:tcPr>
            <w:tcW w:w="0" w:type="dxa"/>
            <w:vAlign w:val="bottom"/>
          </w:tcPr>
          <w:p>
            <w:pPr>
              <w:spacing w:after="0"/>
              <w:rPr>
                <w:sz w:val="1"/>
                <w:szCs w:val="1"/>
                <w:color w:val="auto"/>
              </w:rPr>
            </w:pPr>
          </w:p>
        </w:tc>
      </w:tr>
      <w:tr>
        <w:trPr>
          <w:trHeight w:val="189"/>
        </w:trPr>
        <w:tc>
          <w:tcPr>
            <w:tcW w:w="4100" w:type="dxa"/>
            <w:vAlign w:val="bottom"/>
            <w:gridSpan w:val="2"/>
            <w:vMerge w:val="continue"/>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b w:val="1"/>
                <w:bCs w:val="1"/>
                <w:color w:val="auto"/>
                <w:w w:val="89"/>
              </w:rPr>
              <w:t>2021</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b w:val="1"/>
                <w:bCs w:val="1"/>
                <w:color w:val="auto"/>
                <w:w w:val="89"/>
              </w:rPr>
              <w:t>2021</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b w:val="1"/>
                <w:bCs w:val="1"/>
                <w:color w:val="auto"/>
                <w:w w:val="96"/>
              </w:rPr>
              <w:t>2021</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b w:val="1"/>
                <w:bCs w:val="1"/>
                <w:color w:val="auto"/>
                <w:w w:val="89"/>
              </w:rPr>
              <w:t>2022</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b w:val="1"/>
                <w:bCs w:val="1"/>
                <w:color w:val="auto"/>
                <w:w w:val="89"/>
              </w:rPr>
              <w:t>2022</w:t>
            </w:r>
          </w:p>
        </w:tc>
        <w:tc>
          <w:tcPr>
            <w:tcW w:w="160" w:type="dxa"/>
            <w:vAlign w:val="bottom"/>
          </w:tcPr>
          <w:p>
            <w:pPr>
              <w:spacing w:after="0"/>
              <w:rPr>
                <w:sz w:val="16"/>
                <w:szCs w:val="16"/>
                <w:color w:val="auto"/>
              </w:rPr>
            </w:pPr>
          </w:p>
        </w:tc>
        <w:tc>
          <w:tcPr>
            <w:tcW w:w="132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96"/>
              </w:rPr>
              <w:t>Mar. 31, 2022</w:t>
            </w:r>
          </w:p>
        </w:tc>
        <w:tc>
          <w:tcPr>
            <w:tcW w:w="1160" w:type="dxa"/>
            <w:vAlign w:val="bottom"/>
            <w:gridSpan w:val="2"/>
          </w:tcPr>
          <w:p>
            <w:pPr>
              <w:jc w:val="center"/>
              <w:spacing w:after="0"/>
              <w:rPr>
                <w:sz w:val="20"/>
                <w:szCs w:val="20"/>
                <w:color w:val="auto"/>
              </w:rPr>
            </w:pPr>
            <w:r>
              <w:rPr>
                <w:rFonts w:ascii="Arial" w:cs="Arial" w:eastAsia="Arial" w:hAnsi="Arial"/>
                <w:sz w:val="14"/>
                <w:szCs w:val="14"/>
                <w:b w:val="1"/>
                <w:bCs w:val="1"/>
                <w:color w:val="auto"/>
                <w:w w:val="90"/>
              </w:rPr>
              <w:t>Dec. 31, 2021</w:t>
            </w:r>
          </w:p>
        </w:tc>
        <w:tc>
          <w:tcPr>
            <w:tcW w:w="0" w:type="dxa"/>
            <w:vAlign w:val="bottom"/>
          </w:tcPr>
          <w:p>
            <w:pPr>
              <w:spacing w:after="0"/>
              <w:rPr>
                <w:sz w:val="1"/>
                <w:szCs w:val="1"/>
                <w:color w:val="auto"/>
              </w:rPr>
            </w:pPr>
          </w:p>
        </w:tc>
      </w:tr>
      <w:tr>
        <w:trPr>
          <w:trHeight w:val="183"/>
        </w:trPr>
        <w:tc>
          <w:tcPr>
            <w:tcW w:w="39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Target Federal Funds Rate:</w:t>
            </w:r>
          </w:p>
        </w:tc>
        <w:tc>
          <w:tcPr>
            <w:tcW w:w="160" w:type="dxa"/>
            <w:vAlign w:val="bottom"/>
            <w:tcBorders>
              <w:top w:val="single" w:sz="8" w:color="CCEEFF"/>
            </w:tcBorders>
            <w:shd w:val="clear" w:color="auto" w:fill="CCEEFF"/>
          </w:tcPr>
          <w:p>
            <w:pPr>
              <w:spacing w:after="0"/>
              <w:rPr>
                <w:sz w:val="15"/>
                <w:szCs w:val="15"/>
                <w:color w:val="auto"/>
              </w:rPr>
            </w:pPr>
          </w:p>
        </w:tc>
        <w:tc>
          <w:tcPr>
            <w:tcW w:w="760" w:type="dxa"/>
            <w:vAlign w:val="bottom"/>
            <w:tcBorders>
              <w:top w:val="single" w:sz="8" w:color="auto"/>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15"/>
                <w:szCs w:val="15"/>
                <w:color w:val="auto"/>
              </w:rPr>
            </w:pPr>
          </w:p>
        </w:tc>
        <w:tc>
          <w:tcPr>
            <w:tcW w:w="780" w:type="dxa"/>
            <w:vAlign w:val="bottom"/>
            <w:tcBorders>
              <w:top w:val="single" w:sz="8" w:color="auto"/>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15"/>
                <w:szCs w:val="15"/>
                <w:color w:val="auto"/>
              </w:rPr>
            </w:pPr>
          </w:p>
        </w:tc>
        <w:tc>
          <w:tcPr>
            <w:tcW w:w="780" w:type="dxa"/>
            <w:vAlign w:val="bottom"/>
            <w:tcBorders>
              <w:top w:val="single" w:sz="8" w:color="auto"/>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15"/>
                <w:szCs w:val="15"/>
                <w:color w:val="auto"/>
              </w:rPr>
            </w:pPr>
          </w:p>
        </w:tc>
        <w:tc>
          <w:tcPr>
            <w:tcW w:w="760" w:type="dxa"/>
            <w:vAlign w:val="bottom"/>
            <w:tcBorders>
              <w:top w:val="single" w:sz="8" w:color="auto"/>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15"/>
                <w:szCs w:val="15"/>
                <w:color w:val="auto"/>
              </w:rPr>
            </w:pPr>
          </w:p>
        </w:tc>
        <w:tc>
          <w:tcPr>
            <w:tcW w:w="780" w:type="dxa"/>
            <w:vAlign w:val="bottom"/>
            <w:tcBorders>
              <w:top w:val="single" w:sz="8" w:color="auto"/>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15"/>
                <w:szCs w:val="15"/>
                <w:color w:val="auto"/>
              </w:rPr>
            </w:pPr>
          </w:p>
        </w:tc>
        <w:tc>
          <w:tcPr>
            <w:tcW w:w="560" w:type="dxa"/>
            <w:vAlign w:val="bottom"/>
            <w:tcBorders>
              <w:top w:val="single" w:sz="8" w:color="auto"/>
            </w:tcBorders>
            <w:shd w:val="clear" w:color="auto" w:fill="CCEEFF"/>
          </w:tcPr>
          <w:p>
            <w:pPr>
              <w:spacing w:after="0"/>
              <w:rPr>
                <w:sz w:val="15"/>
                <w:szCs w:val="15"/>
                <w:color w:val="auto"/>
              </w:rPr>
            </w:pPr>
          </w:p>
        </w:tc>
        <w:tc>
          <w:tcPr>
            <w:tcW w:w="600" w:type="dxa"/>
            <w:vAlign w:val="bottom"/>
            <w:tcBorders>
              <w:top w:val="single" w:sz="8" w:color="auto"/>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15"/>
                <w:szCs w:val="15"/>
                <w:color w:val="auto"/>
              </w:rPr>
            </w:pPr>
          </w:p>
        </w:tc>
        <w:tc>
          <w:tcPr>
            <w:tcW w:w="520" w:type="dxa"/>
            <w:vAlign w:val="bottom"/>
            <w:tcBorders>
              <w:top w:val="single" w:sz="8" w:color="auto"/>
            </w:tcBorders>
            <w:shd w:val="clear" w:color="auto" w:fill="CCEEFF"/>
          </w:tcPr>
          <w:p>
            <w:pPr>
              <w:spacing w:after="0"/>
              <w:rPr>
                <w:sz w:val="15"/>
                <w:szCs w:val="15"/>
                <w:color w:val="auto"/>
              </w:rPr>
            </w:pPr>
          </w:p>
        </w:tc>
        <w:tc>
          <w:tcPr>
            <w:tcW w:w="640" w:type="dxa"/>
            <w:vAlign w:val="bottom"/>
            <w:tcBorders>
              <w:top w:val="single" w:sz="8" w:color="auto"/>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6"/>
        </w:trPr>
        <w:tc>
          <w:tcPr>
            <w:tcW w:w="4100" w:type="dxa"/>
            <w:vAlign w:val="bottom"/>
            <w:gridSpan w:val="2"/>
          </w:tcPr>
          <w:p>
            <w:pPr>
              <w:ind w:left="180"/>
              <w:spacing w:after="0"/>
              <w:rPr>
                <w:sz w:val="20"/>
                <w:szCs w:val="20"/>
                <w:color w:val="auto"/>
              </w:rPr>
            </w:pPr>
            <w:r>
              <w:rPr>
                <w:rFonts w:ascii="Arial" w:cs="Arial" w:eastAsia="Arial" w:hAnsi="Arial"/>
                <w:sz w:val="14"/>
                <w:szCs w:val="14"/>
                <w:color w:val="auto"/>
              </w:rPr>
              <w:t>Target Federal Funds Rate - Upper Band</w:t>
            </w: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0.25%</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0.25%</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0.25%</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0.50%</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1.75%</w:t>
            </w:r>
          </w:p>
        </w:tc>
        <w:tc>
          <w:tcPr>
            <w:tcW w:w="16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+125</w:t>
            </w:r>
          </w:p>
        </w:tc>
        <w:tc>
          <w:tcPr>
            <w:tcW w:w="760" w:type="dxa"/>
            <w:vAlign w:val="bottom"/>
            <w:gridSpan w:val="2"/>
          </w:tcPr>
          <w:p>
            <w:pPr>
              <w:ind w:left="40"/>
              <w:spacing w:after="0"/>
              <w:rPr>
                <w:sz w:val="20"/>
                <w:szCs w:val="20"/>
                <w:color w:val="auto"/>
              </w:rPr>
            </w:pPr>
            <w:r>
              <w:rPr>
                <w:rFonts w:ascii="Arial" w:cs="Arial" w:eastAsia="Arial" w:hAnsi="Arial"/>
                <w:sz w:val="14"/>
                <w:szCs w:val="14"/>
                <w:color w:val="auto"/>
              </w:rPr>
              <w:t>bps</w:t>
            </w:r>
          </w:p>
        </w:tc>
        <w:tc>
          <w:tcPr>
            <w:tcW w:w="520" w:type="dxa"/>
            <w:vAlign w:val="bottom"/>
          </w:tcPr>
          <w:p>
            <w:pPr>
              <w:jc w:val="right"/>
              <w:spacing w:after="0"/>
              <w:rPr>
                <w:sz w:val="20"/>
                <w:szCs w:val="20"/>
                <w:color w:val="auto"/>
              </w:rPr>
            </w:pPr>
            <w:r>
              <w:rPr>
                <w:rFonts w:ascii="Arial" w:cs="Arial" w:eastAsia="Arial" w:hAnsi="Arial"/>
                <w:sz w:val="14"/>
                <w:szCs w:val="14"/>
                <w:color w:val="auto"/>
              </w:rPr>
              <w:t>+150</w:t>
            </w:r>
          </w:p>
        </w:tc>
        <w:tc>
          <w:tcPr>
            <w:tcW w:w="640" w:type="dxa"/>
            <w:vAlign w:val="bottom"/>
          </w:tcPr>
          <w:p>
            <w:pPr>
              <w:ind w:left="8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192"/>
        </w:trPr>
        <w:tc>
          <w:tcPr>
            <w:tcW w:w="4100" w:type="dxa"/>
            <w:vAlign w:val="bottom"/>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SOFR:</w:t>
            </w:r>
          </w:p>
        </w:tc>
        <w:tc>
          <w:tcPr>
            <w:tcW w:w="7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6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4100" w:type="dxa"/>
            <w:vAlign w:val="bottom"/>
            <w:gridSpan w:val="2"/>
          </w:tcPr>
          <w:p>
            <w:pPr>
              <w:ind w:left="180"/>
              <w:spacing w:after="0"/>
              <w:rPr>
                <w:sz w:val="20"/>
                <w:szCs w:val="20"/>
                <w:color w:val="auto"/>
              </w:rPr>
            </w:pPr>
            <w:r>
              <w:rPr>
                <w:rFonts w:ascii="Arial" w:cs="Arial" w:eastAsia="Arial" w:hAnsi="Arial"/>
                <w:sz w:val="14"/>
                <w:szCs w:val="14"/>
                <w:color w:val="auto"/>
              </w:rPr>
              <w:t>SOFR Rate</w:t>
            </w: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0.05%</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0.05%</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0.05%</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0.29%</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1.50%</w:t>
            </w:r>
          </w:p>
        </w:tc>
        <w:tc>
          <w:tcPr>
            <w:tcW w:w="16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+121</w:t>
            </w:r>
          </w:p>
        </w:tc>
        <w:tc>
          <w:tcPr>
            <w:tcW w:w="760" w:type="dxa"/>
            <w:vAlign w:val="bottom"/>
            <w:gridSpan w:val="2"/>
          </w:tcPr>
          <w:p>
            <w:pPr>
              <w:ind w:left="40"/>
              <w:spacing w:after="0"/>
              <w:rPr>
                <w:sz w:val="20"/>
                <w:szCs w:val="20"/>
                <w:color w:val="auto"/>
              </w:rPr>
            </w:pPr>
            <w:r>
              <w:rPr>
                <w:rFonts w:ascii="Arial" w:cs="Arial" w:eastAsia="Arial" w:hAnsi="Arial"/>
                <w:sz w:val="14"/>
                <w:szCs w:val="14"/>
                <w:color w:val="auto"/>
              </w:rPr>
              <w:t>bps</w:t>
            </w:r>
          </w:p>
        </w:tc>
        <w:tc>
          <w:tcPr>
            <w:tcW w:w="520" w:type="dxa"/>
            <w:vAlign w:val="bottom"/>
          </w:tcPr>
          <w:p>
            <w:pPr>
              <w:jc w:val="right"/>
              <w:spacing w:after="0"/>
              <w:rPr>
                <w:sz w:val="20"/>
                <w:szCs w:val="20"/>
                <w:color w:val="auto"/>
              </w:rPr>
            </w:pPr>
            <w:r>
              <w:rPr>
                <w:rFonts w:ascii="Arial" w:cs="Arial" w:eastAsia="Arial" w:hAnsi="Arial"/>
                <w:sz w:val="14"/>
                <w:szCs w:val="14"/>
                <w:color w:val="auto"/>
              </w:rPr>
              <w:t>+145</w:t>
            </w:r>
          </w:p>
        </w:tc>
        <w:tc>
          <w:tcPr>
            <w:tcW w:w="640" w:type="dxa"/>
            <w:vAlign w:val="bottom"/>
          </w:tcPr>
          <w:p>
            <w:pPr>
              <w:ind w:left="8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192"/>
        </w:trPr>
        <w:tc>
          <w:tcPr>
            <w:tcW w:w="4100" w:type="dxa"/>
            <w:vAlign w:val="bottom"/>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SOFR Interest Rate Swap Rate:</w:t>
            </w:r>
          </w:p>
        </w:tc>
        <w:tc>
          <w:tcPr>
            <w:tcW w:w="7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6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4100" w:type="dxa"/>
            <w:vAlign w:val="bottom"/>
            <w:gridSpan w:val="2"/>
          </w:tcPr>
          <w:p>
            <w:pPr>
              <w:ind w:left="180"/>
              <w:spacing w:after="0"/>
              <w:rPr>
                <w:sz w:val="20"/>
                <w:szCs w:val="20"/>
                <w:color w:val="auto"/>
              </w:rPr>
            </w:pPr>
            <w:r>
              <w:rPr>
                <w:rFonts w:ascii="Arial" w:cs="Arial" w:eastAsia="Arial" w:hAnsi="Arial"/>
                <w:sz w:val="14"/>
                <w:szCs w:val="14"/>
                <w:color w:val="auto"/>
              </w:rPr>
              <w:t>2-Year Swap</w:t>
            </w: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0.19%</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0.24%</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0.74%</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2.28%</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2.99%</w:t>
            </w:r>
          </w:p>
        </w:tc>
        <w:tc>
          <w:tcPr>
            <w:tcW w:w="16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+71</w:t>
            </w:r>
          </w:p>
        </w:tc>
        <w:tc>
          <w:tcPr>
            <w:tcW w:w="760" w:type="dxa"/>
            <w:vAlign w:val="bottom"/>
            <w:gridSpan w:val="2"/>
          </w:tcPr>
          <w:p>
            <w:pPr>
              <w:ind w:left="40"/>
              <w:spacing w:after="0"/>
              <w:rPr>
                <w:sz w:val="20"/>
                <w:szCs w:val="20"/>
                <w:color w:val="auto"/>
              </w:rPr>
            </w:pPr>
            <w:r>
              <w:rPr>
                <w:rFonts w:ascii="Arial" w:cs="Arial" w:eastAsia="Arial" w:hAnsi="Arial"/>
                <w:sz w:val="14"/>
                <w:szCs w:val="14"/>
                <w:color w:val="auto"/>
              </w:rPr>
              <w:t>bps</w:t>
            </w:r>
          </w:p>
        </w:tc>
        <w:tc>
          <w:tcPr>
            <w:tcW w:w="520" w:type="dxa"/>
            <w:vAlign w:val="bottom"/>
          </w:tcPr>
          <w:p>
            <w:pPr>
              <w:jc w:val="right"/>
              <w:spacing w:after="0"/>
              <w:rPr>
                <w:sz w:val="20"/>
                <w:szCs w:val="20"/>
                <w:color w:val="auto"/>
              </w:rPr>
            </w:pPr>
            <w:r>
              <w:rPr>
                <w:rFonts w:ascii="Arial" w:cs="Arial" w:eastAsia="Arial" w:hAnsi="Arial"/>
                <w:sz w:val="14"/>
                <w:szCs w:val="14"/>
                <w:color w:val="auto"/>
              </w:rPr>
              <w:t>+225</w:t>
            </w:r>
          </w:p>
        </w:tc>
        <w:tc>
          <w:tcPr>
            <w:tcW w:w="640" w:type="dxa"/>
            <w:vAlign w:val="bottom"/>
          </w:tcPr>
          <w:p>
            <w:pPr>
              <w:ind w:left="8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192"/>
        </w:trPr>
        <w:tc>
          <w:tcPr>
            <w:tcW w:w="410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5-Year Swap</w:t>
            </w: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0.75%</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0.83%</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1.12%</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2.25%</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2.79%</w:t>
            </w:r>
          </w:p>
        </w:tc>
        <w:tc>
          <w:tcPr>
            <w:tcW w:w="16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+54</w:t>
            </w:r>
          </w:p>
        </w:tc>
        <w:tc>
          <w:tcPr>
            <w:tcW w:w="7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bps</w:t>
            </w: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+167</w:t>
            </w:r>
          </w:p>
        </w:tc>
        <w:tc>
          <w:tcPr>
            <w:tcW w:w="640" w:type="dxa"/>
            <w:vAlign w:val="bottom"/>
            <w:shd w:val="clear" w:color="auto" w:fill="CCEEFF"/>
          </w:tcPr>
          <w:p>
            <w:pPr>
              <w:ind w:left="8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186"/>
        </w:trPr>
        <w:tc>
          <w:tcPr>
            <w:tcW w:w="4100" w:type="dxa"/>
            <w:vAlign w:val="bottom"/>
            <w:gridSpan w:val="2"/>
          </w:tcPr>
          <w:p>
            <w:pPr>
              <w:ind w:left="180"/>
              <w:spacing w:after="0"/>
              <w:rPr>
                <w:sz w:val="20"/>
                <w:szCs w:val="20"/>
                <w:color w:val="auto"/>
              </w:rPr>
            </w:pPr>
            <w:r>
              <w:rPr>
                <w:rFonts w:ascii="Arial" w:cs="Arial" w:eastAsia="Arial" w:hAnsi="Arial"/>
                <w:sz w:val="14"/>
                <w:szCs w:val="14"/>
                <w:color w:val="auto"/>
              </w:rPr>
              <w:t>10-Year Swap</w:t>
            </w: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1.19%</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1.26%</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1.32%</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2.13%</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2.81%</w:t>
            </w:r>
          </w:p>
        </w:tc>
        <w:tc>
          <w:tcPr>
            <w:tcW w:w="16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+68</w:t>
            </w:r>
          </w:p>
        </w:tc>
        <w:tc>
          <w:tcPr>
            <w:tcW w:w="760" w:type="dxa"/>
            <w:vAlign w:val="bottom"/>
            <w:gridSpan w:val="2"/>
          </w:tcPr>
          <w:p>
            <w:pPr>
              <w:ind w:left="40"/>
              <w:spacing w:after="0"/>
              <w:rPr>
                <w:sz w:val="20"/>
                <w:szCs w:val="20"/>
                <w:color w:val="auto"/>
              </w:rPr>
            </w:pPr>
            <w:r>
              <w:rPr>
                <w:rFonts w:ascii="Arial" w:cs="Arial" w:eastAsia="Arial" w:hAnsi="Arial"/>
                <w:sz w:val="14"/>
                <w:szCs w:val="14"/>
                <w:color w:val="auto"/>
              </w:rPr>
              <w:t>bps</w:t>
            </w:r>
          </w:p>
        </w:tc>
        <w:tc>
          <w:tcPr>
            <w:tcW w:w="520" w:type="dxa"/>
            <w:vAlign w:val="bottom"/>
          </w:tcPr>
          <w:p>
            <w:pPr>
              <w:jc w:val="right"/>
              <w:spacing w:after="0"/>
              <w:rPr>
                <w:sz w:val="20"/>
                <w:szCs w:val="20"/>
                <w:color w:val="auto"/>
              </w:rPr>
            </w:pPr>
            <w:r>
              <w:rPr>
                <w:rFonts w:ascii="Arial" w:cs="Arial" w:eastAsia="Arial" w:hAnsi="Arial"/>
                <w:sz w:val="14"/>
                <w:szCs w:val="14"/>
                <w:color w:val="auto"/>
              </w:rPr>
              <w:t>+149</w:t>
            </w:r>
          </w:p>
        </w:tc>
        <w:tc>
          <w:tcPr>
            <w:tcW w:w="640" w:type="dxa"/>
            <w:vAlign w:val="bottom"/>
          </w:tcPr>
          <w:p>
            <w:pPr>
              <w:ind w:left="8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192"/>
        </w:trPr>
        <w:tc>
          <w:tcPr>
            <w:tcW w:w="410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30-Year Swap</w:t>
            </w: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1.50%</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1.52%</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1.46%</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1.97%</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2.66%</w:t>
            </w:r>
          </w:p>
        </w:tc>
        <w:tc>
          <w:tcPr>
            <w:tcW w:w="16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+69</w:t>
            </w:r>
          </w:p>
        </w:tc>
        <w:tc>
          <w:tcPr>
            <w:tcW w:w="7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bps</w:t>
            </w: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+120</w:t>
            </w:r>
          </w:p>
        </w:tc>
        <w:tc>
          <w:tcPr>
            <w:tcW w:w="640" w:type="dxa"/>
            <w:vAlign w:val="bottom"/>
            <w:shd w:val="clear" w:color="auto" w:fill="CCEEFF"/>
          </w:tcPr>
          <w:p>
            <w:pPr>
              <w:ind w:left="8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188"/>
        </w:trPr>
        <w:tc>
          <w:tcPr>
            <w:tcW w:w="4100" w:type="dxa"/>
            <w:vAlign w:val="bottom"/>
            <w:gridSpan w:val="2"/>
          </w:tcPr>
          <w:p>
            <w:pPr>
              <w:ind w:left="20"/>
              <w:spacing w:after="0"/>
              <w:rPr>
                <w:sz w:val="20"/>
                <w:szCs w:val="20"/>
                <w:color w:val="auto"/>
              </w:rPr>
            </w:pPr>
            <w:r>
              <w:rPr>
                <w:rFonts w:ascii="Arial" w:cs="Arial" w:eastAsia="Arial" w:hAnsi="Arial"/>
                <w:sz w:val="14"/>
                <w:szCs w:val="14"/>
                <w:b w:val="1"/>
                <w:bCs w:val="1"/>
                <w:color w:val="auto"/>
              </w:rPr>
              <w:t>U.S. Treasury Security Rate:</w:t>
            </w:r>
          </w:p>
        </w:tc>
        <w:tc>
          <w:tcPr>
            <w:tcW w:w="7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410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2-Year U.S. Treasury</w:t>
            </w: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0.25%</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0.28%</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0.73%</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2.34%</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2.96%</w:t>
            </w:r>
          </w:p>
        </w:tc>
        <w:tc>
          <w:tcPr>
            <w:tcW w:w="16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+62</w:t>
            </w:r>
          </w:p>
        </w:tc>
        <w:tc>
          <w:tcPr>
            <w:tcW w:w="7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bps</w:t>
            </w: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+223</w:t>
            </w:r>
          </w:p>
        </w:tc>
        <w:tc>
          <w:tcPr>
            <w:tcW w:w="640" w:type="dxa"/>
            <w:vAlign w:val="bottom"/>
            <w:shd w:val="clear" w:color="auto" w:fill="CCEEFF"/>
          </w:tcPr>
          <w:p>
            <w:pPr>
              <w:ind w:left="8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186"/>
        </w:trPr>
        <w:tc>
          <w:tcPr>
            <w:tcW w:w="4100" w:type="dxa"/>
            <w:vAlign w:val="bottom"/>
            <w:gridSpan w:val="2"/>
          </w:tcPr>
          <w:p>
            <w:pPr>
              <w:ind w:left="180"/>
              <w:spacing w:after="0"/>
              <w:rPr>
                <w:sz w:val="20"/>
                <w:szCs w:val="20"/>
                <w:color w:val="auto"/>
              </w:rPr>
            </w:pPr>
            <w:r>
              <w:rPr>
                <w:rFonts w:ascii="Arial" w:cs="Arial" w:eastAsia="Arial" w:hAnsi="Arial"/>
                <w:sz w:val="14"/>
                <w:szCs w:val="14"/>
                <w:color w:val="auto"/>
              </w:rPr>
              <w:t>5-Year U.S. Treasury</w:t>
            </w: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0.89%</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0.97%</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1.26%</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2.46%</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3.04%</w:t>
            </w:r>
          </w:p>
        </w:tc>
        <w:tc>
          <w:tcPr>
            <w:tcW w:w="16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+58</w:t>
            </w:r>
          </w:p>
        </w:tc>
        <w:tc>
          <w:tcPr>
            <w:tcW w:w="760" w:type="dxa"/>
            <w:vAlign w:val="bottom"/>
            <w:gridSpan w:val="2"/>
          </w:tcPr>
          <w:p>
            <w:pPr>
              <w:ind w:left="40"/>
              <w:spacing w:after="0"/>
              <w:rPr>
                <w:sz w:val="20"/>
                <w:szCs w:val="20"/>
                <w:color w:val="auto"/>
              </w:rPr>
            </w:pPr>
            <w:r>
              <w:rPr>
                <w:rFonts w:ascii="Arial" w:cs="Arial" w:eastAsia="Arial" w:hAnsi="Arial"/>
                <w:sz w:val="14"/>
                <w:szCs w:val="14"/>
                <w:color w:val="auto"/>
              </w:rPr>
              <w:t>bps</w:t>
            </w:r>
          </w:p>
        </w:tc>
        <w:tc>
          <w:tcPr>
            <w:tcW w:w="520" w:type="dxa"/>
            <w:vAlign w:val="bottom"/>
          </w:tcPr>
          <w:p>
            <w:pPr>
              <w:jc w:val="right"/>
              <w:spacing w:after="0"/>
              <w:rPr>
                <w:sz w:val="20"/>
                <w:szCs w:val="20"/>
                <w:color w:val="auto"/>
              </w:rPr>
            </w:pPr>
            <w:r>
              <w:rPr>
                <w:rFonts w:ascii="Arial" w:cs="Arial" w:eastAsia="Arial" w:hAnsi="Arial"/>
                <w:sz w:val="14"/>
                <w:szCs w:val="14"/>
                <w:color w:val="auto"/>
              </w:rPr>
              <w:t>+178</w:t>
            </w:r>
          </w:p>
        </w:tc>
        <w:tc>
          <w:tcPr>
            <w:tcW w:w="640" w:type="dxa"/>
            <w:vAlign w:val="bottom"/>
          </w:tcPr>
          <w:p>
            <w:pPr>
              <w:ind w:left="8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192"/>
        </w:trPr>
        <w:tc>
          <w:tcPr>
            <w:tcW w:w="410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10-Year U.S. Treasury</w:t>
            </w: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1.47%</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1.49%</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1.51%</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2.34%</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3.02%</w:t>
            </w:r>
          </w:p>
        </w:tc>
        <w:tc>
          <w:tcPr>
            <w:tcW w:w="16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+68</w:t>
            </w:r>
          </w:p>
        </w:tc>
        <w:tc>
          <w:tcPr>
            <w:tcW w:w="7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bps</w:t>
            </w: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+151</w:t>
            </w:r>
          </w:p>
        </w:tc>
        <w:tc>
          <w:tcPr>
            <w:tcW w:w="640" w:type="dxa"/>
            <w:vAlign w:val="bottom"/>
            <w:shd w:val="clear" w:color="auto" w:fill="CCEEFF"/>
          </w:tcPr>
          <w:p>
            <w:pPr>
              <w:ind w:left="8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186"/>
        </w:trPr>
        <w:tc>
          <w:tcPr>
            <w:tcW w:w="4100" w:type="dxa"/>
            <w:vAlign w:val="bottom"/>
            <w:gridSpan w:val="2"/>
          </w:tcPr>
          <w:p>
            <w:pPr>
              <w:ind w:left="180"/>
              <w:spacing w:after="0"/>
              <w:rPr>
                <w:sz w:val="20"/>
                <w:szCs w:val="20"/>
                <w:color w:val="auto"/>
              </w:rPr>
            </w:pPr>
            <w:r>
              <w:rPr>
                <w:rFonts w:ascii="Arial" w:cs="Arial" w:eastAsia="Arial" w:hAnsi="Arial"/>
                <w:sz w:val="14"/>
                <w:szCs w:val="14"/>
                <w:color w:val="auto"/>
              </w:rPr>
              <w:t>30-Year U.S. Treasury</w:t>
            </w: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2.09%</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2.05%</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1.90%</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2.45%</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3.19%</w:t>
            </w:r>
          </w:p>
        </w:tc>
        <w:tc>
          <w:tcPr>
            <w:tcW w:w="16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+74</w:t>
            </w:r>
          </w:p>
        </w:tc>
        <w:tc>
          <w:tcPr>
            <w:tcW w:w="760" w:type="dxa"/>
            <w:vAlign w:val="bottom"/>
            <w:gridSpan w:val="2"/>
          </w:tcPr>
          <w:p>
            <w:pPr>
              <w:ind w:left="40"/>
              <w:spacing w:after="0"/>
              <w:rPr>
                <w:sz w:val="20"/>
                <w:szCs w:val="20"/>
                <w:color w:val="auto"/>
              </w:rPr>
            </w:pPr>
            <w:r>
              <w:rPr>
                <w:rFonts w:ascii="Arial" w:cs="Arial" w:eastAsia="Arial" w:hAnsi="Arial"/>
                <w:sz w:val="14"/>
                <w:szCs w:val="14"/>
                <w:color w:val="auto"/>
              </w:rPr>
              <w:t>bps</w:t>
            </w:r>
          </w:p>
        </w:tc>
        <w:tc>
          <w:tcPr>
            <w:tcW w:w="520" w:type="dxa"/>
            <w:vAlign w:val="bottom"/>
          </w:tcPr>
          <w:p>
            <w:pPr>
              <w:jc w:val="right"/>
              <w:spacing w:after="0"/>
              <w:rPr>
                <w:sz w:val="20"/>
                <w:szCs w:val="20"/>
                <w:color w:val="auto"/>
              </w:rPr>
            </w:pPr>
            <w:r>
              <w:rPr>
                <w:rFonts w:ascii="Arial" w:cs="Arial" w:eastAsia="Arial" w:hAnsi="Arial"/>
                <w:sz w:val="14"/>
                <w:szCs w:val="14"/>
                <w:color w:val="auto"/>
              </w:rPr>
              <w:t>+129</w:t>
            </w:r>
          </w:p>
        </w:tc>
        <w:tc>
          <w:tcPr>
            <w:tcW w:w="640" w:type="dxa"/>
            <w:vAlign w:val="bottom"/>
          </w:tcPr>
          <w:p>
            <w:pPr>
              <w:ind w:left="8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192"/>
        </w:trPr>
        <w:tc>
          <w:tcPr>
            <w:tcW w:w="4100" w:type="dxa"/>
            <w:vAlign w:val="bottom"/>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30-Year Fixed Rate Agency Price:</w:t>
            </w:r>
          </w:p>
        </w:tc>
        <w:tc>
          <w:tcPr>
            <w:tcW w:w="7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6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3940" w:type="dxa"/>
            <w:vAlign w:val="bottom"/>
          </w:tcPr>
          <w:p>
            <w:pPr>
              <w:ind w:left="180"/>
              <w:spacing w:after="0"/>
              <w:rPr>
                <w:sz w:val="20"/>
                <w:szCs w:val="20"/>
                <w:color w:val="auto"/>
              </w:rPr>
            </w:pPr>
            <w:r>
              <w:rPr>
                <w:rFonts w:ascii="Arial" w:cs="Arial" w:eastAsia="Arial" w:hAnsi="Arial"/>
                <w:sz w:val="14"/>
                <w:szCs w:val="14"/>
                <w:color w:val="auto"/>
              </w:rPr>
              <w:t>2.0%</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4"/>
              </w:rPr>
              <w:t>$101.09</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$100.21</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3"/>
              </w:rPr>
              <w:t>$99.79</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3"/>
              </w:rPr>
              <w:t>$92.84</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3"/>
              </w:rPr>
              <w:t>$86.96</w:t>
            </w:r>
          </w:p>
        </w:tc>
        <w:tc>
          <w:tcPr>
            <w:tcW w:w="160" w:type="dxa"/>
            <w:vAlign w:val="bottom"/>
          </w:tcPr>
          <w:p>
            <w:pPr>
              <w:spacing w:after="0"/>
              <w:rPr>
                <w:sz w:val="16"/>
                <w:szCs w:val="16"/>
                <w:color w:val="auto"/>
              </w:rPr>
            </w:pPr>
          </w:p>
        </w:tc>
        <w:tc>
          <w:tcPr>
            <w:tcW w:w="1160" w:type="dxa"/>
            <w:vAlign w:val="bottom"/>
            <w:gridSpan w:val="2"/>
          </w:tcPr>
          <w:p>
            <w:pPr>
              <w:jc w:val="center"/>
              <w:spacing w:after="0"/>
              <w:rPr>
                <w:sz w:val="20"/>
                <w:szCs w:val="20"/>
                <w:color w:val="auto"/>
              </w:rPr>
            </w:pPr>
            <w:r>
              <w:rPr>
                <w:rFonts w:ascii="Arial" w:cs="Arial" w:eastAsia="Arial" w:hAnsi="Arial"/>
                <w:sz w:val="14"/>
                <w:szCs w:val="14"/>
                <w:color w:val="auto"/>
                <w:w w:val="90"/>
              </w:rPr>
              <w:t>-$5.88</w:t>
            </w:r>
          </w:p>
        </w:tc>
        <w:tc>
          <w:tcPr>
            <w:tcW w:w="160" w:type="dxa"/>
            <w:vAlign w:val="bottom"/>
          </w:tcPr>
          <w:p>
            <w:pPr>
              <w:spacing w:after="0"/>
              <w:rPr>
                <w:sz w:val="16"/>
                <w:szCs w:val="16"/>
                <w:color w:val="auto"/>
              </w:rPr>
            </w:pPr>
          </w:p>
        </w:tc>
        <w:tc>
          <w:tcPr>
            <w:tcW w:w="1160" w:type="dxa"/>
            <w:vAlign w:val="bottom"/>
            <w:gridSpan w:val="2"/>
          </w:tcPr>
          <w:p>
            <w:pPr>
              <w:jc w:val="center"/>
              <w:spacing w:after="0"/>
              <w:rPr>
                <w:sz w:val="20"/>
                <w:szCs w:val="20"/>
                <w:color w:val="auto"/>
              </w:rPr>
            </w:pPr>
            <w:r>
              <w:rPr>
                <w:rFonts w:ascii="Arial" w:cs="Arial" w:eastAsia="Arial" w:hAnsi="Arial"/>
                <w:sz w:val="14"/>
                <w:szCs w:val="14"/>
                <w:color w:val="auto"/>
                <w:w w:val="92"/>
              </w:rPr>
              <w:t>-$12.83</w:t>
            </w:r>
          </w:p>
        </w:tc>
        <w:tc>
          <w:tcPr>
            <w:tcW w:w="0" w:type="dxa"/>
            <w:vAlign w:val="bottom"/>
          </w:tcPr>
          <w:p>
            <w:pPr>
              <w:spacing w:after="0"/>
              <w:rPr>
                <w:sz w:val="1"/>
                <w:szCs w:val="1"/>
                <w:color w:val="auto"/>
              </w:rPr>
            </w:pPr>
          </w:p>
        </w:tc>
      </w:tr>
      <w:tr>
        <w:trPr>
          <w:trHeight w:val="192"/>
        </w:trPr>
        <w:tc>
          <w:tcPr>
            <w:tcW w:w="39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2.5%</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$103.48</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$103.04</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$102.12</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$95.45</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$90.09</w:t>
            </w:r>
          </w:p>
        </w:tc>
        <w:tc>
          <w:tcPr>
            <w:tcW w:w="16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0"/>
              </w:rPr>
              <w:t>-$5.36</w:t>
            </w:r>
          </w:p>
        </w:tc>
        <w:tc>
          <w:tcPr>
            <w:tcW w:w="16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2"/>
              </w:rPr>
              <w:t>-$12.03</w:t>
            </w:r>
          </w:p>
        </w:tc>
        <w:tc>
          <w:tcPr>
            <w:tcW w:w="0" w:type="dxa"/>
            <w:vAlign w:val="bottom"/>
          </w:tcPr>
          <w:p>
            <w:pPr>
              <w:spacing w:after="0"/>
              <w:rPr>
                <w:sz w:val="1"/>
                <w:szCs w:val="1"/>
                <w:color w:val="auto"/>
              </w:rPr>
            </w:pPr>
          </w:p>
        </w:tc>
      </w:tr>
      <w:tr>
        <w:trPr>
          <w:trHeight w:val="186"/>
        </w:trPr>
        <w:tc>
          <w:tcPr>
            <w:tcW w:w="3940" w:type="dxa"/>
            <w:vAlign w:val="bottom"/>
          </w:tcPr>
          <w:p>
            <w:pPr>
              <w:ind w:left="180"/>
              <w:spacing w:after="0"/>
              <w:rPr>
                <w:sz w:val="20"/>
                <w:szCs w:val="20"/>
                <w:color w:val="auto"/>
              </w:rPr>
            </w:pPr>
            <w:r>
              <w:rPr>
                <w:rFonts w:ascii="Arial" w:cs="Arial" w:eastAsia="Arial" w:hAnsi="Arial"/>
                <w:sz w:val="14"/>
                <w:szCs w:val="14"/>
                <w:color w:val="auto"/>
              </w:rPr>
              <w:t>3.0%</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4"/>
              </w:rPr>
              <w:t>$104.27</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$104.61</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$103.68</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3"/>
              </w:rPr>
              <w:t>$97.86</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3"/>
              </w:rPr>
              <w:t>$93.27</w:t>
            </w:r>
          </w:p>
        </w:tc>
        <w:tc>
          <w:tcPr>
            <w:tcW w:w="160" w:type="dxa"/>
            <w:vAlign w:val="bottom"/>
          </w:tcPr>
          <w:p>
            <w:pPr>
              <w:spacing w:after="0"/>
              <w:rPr>
                <w:sz w:val="16"/>
                <w:szCs w:val="16"/>
                <w:color w:val="auto"/>
              </w:rPr>
            </w:pPr>
          </w:p>
        </w:tc>
        <w:tc>
          <w:tcPr>
            <w:tcW w:w="1160" w:type="dxa"/>
            <w:vAlign w:val="bottom"/>
            <w:gridSpan w:val="2"/>
          </w:tcPr>
          <w:p>
            <w:pPr>
              <w:jc w:val="center"/>
              <w:spacing w:after="0"/>
              <w:rPr>
                <w:sz w:val="20"/>
                <w:szCs w:val="20"/>
                <w:color w:val="auto"/>
              </w:rPr>
            </w:pPr>
            <w:r>
              <w:rPr>
                <w:rFonts w:ascii="Arial" w:cs="Arial" w:eastAsia="Arial" w:hAnsi="Arial"/>
                <w:sz w:val="14"/>
                <w:szCs w:val="14"/>
                <w:color w:val="auto"/>
                <w:w w:val="90"/>
              </w:rPr>
              <w:t>-$4.59</w:t>
            </w:r>
          </w:p>
        </w:tc>
        <w:tc>
          <w:tcPr>
            <w:tcW w:w="160" w:type="dxa"/>
            <w:vAlign w:val="bottom"/>
          </w:tcPr>
          <w:p>
            <w:pPr>
              <w:spacing w:after="0"/>
              <w:rPr>
                <w:sz w:val="16"/>
                <w:szCs w:val="16"/>
                <w:color w:val="auto"/>
              </w:rPr>
            </w:pPr>
          </w:p>
        </w:tc>
        <w:tc>
          <w:tcPr>
            <w:tcW w:w="1160" w:type="dxa"/>
            <w:vAlign w:val="bottom"/>
            <w:gridSpan w:val="2"/>
          </w:tcPr>
          <w:p>
            <w:pPr>
              <w:jc w:val="center"/>
              <w:spacing w:after="0"/>
              <w:rPr>
                <w:sz w:val="20"/>
                <w:szCs w:val="20"/>
                <w:color w:val="auto"/>
              </w:rPr>
            </w:pPr>
            <w:r>
              <w:rPr>
                <w:rFonts w:ascii="Arial" w:cs="Arial" w:eastAsia="Arial" w:hAnsi="Arial"/>
                <w:sz w:val="14"/>
                <w:szCs w:val="14"/>
                <w:color w:val="auto"/>
                <w:w w:val="92"/>
              </w:rPr>
              <w:t>-$10.41</w:t>
            </w:r>
          </w:p>
        </w:tc>
        <w:tc>
          <w:tcPr>
            <w:tcW w:w="0" w:type="dxa"/>
            <w:vAlign w:val="bottom"/>
          </w:tcPr>
          <w:p>
            <w:pPr>
              <w:spacing w:after="0"/>
              <w:rPr>
                <w:sz w:val="1"/>
                <w:szCs w:val="1"/>
                <w:color w:val="auto"/>
              </w:rPr>
            </w:pPr>
          </w:p>
        </w:tc>
      </w:tr>
      <w:tr>
        <w:trPr>
          <w:trHeight w:val="192"/>
        </w:trPr>
        <w:tc>
          <w:tcPr>
            <w:tcW w:w="39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3.5%</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$105.28</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$105.80</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$105.32</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$100.21</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$96.29</w:t>
            </w:r>
          </w:p>
        </w:tc>
        <w:tc>
          <w:tcPr>
            <w:tcW w:w="16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0"/>
              </w:rPr>
              <w:t>-$3.92</w:t>
            </w:r>
          </w:p>
        </w:tc>
        <w:tc>
          <w:tcPr>
            <w:tcW w:w="16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0"/>
              </w:rPr>
              <w:t>-$9.03</w:t>
            </w:r>
          </w:p>
        </w:tc>
        <w:tc>
          <w:tcPr>
            <w:tcW w:w="0" w:type="dxa"/>
            <w:vAlign w:val="bottom"/>
          </w:tcPr>
          <w:p>
            <w:pPr>
              <w:spacing w:after="0"/>
              <w:rPr>
                <w:sz w:val="1"/>
                <w:szCs w:val="1"/>
                <w:color w:val="auto"/>
              </w:rPr>
            </w:pPr>
          </w:p>
        </w:tc>
      </w:tr>
      <w:tr>
        <w:trPr>
          <w:trHeight w:val="186"/>
        </w:trPr>
        <w:tc>
          <w:tcPr>
            <w:tcW w:w="3940" w:type="dxa"/>
            <w:vAlign w:val="bottom"/>
          </w:tcPr>
          <w:p>
            <w:pPr>
              <w:ind w:left="180"/>
              <w:spacing w:after="0"/>
              <w:rPr>
                <w:sz w:val="20"/>
                <w:szCs w:val="20"/>
                <w:color w:val="auto"/>
              </w:rPr>
            </w:pPr>
            <w:r>
              <w:rPr>
                <w:rFonts w:ascii="Arial" w:cs="Arial" w:eastAsia="Arial" w:hAnsi="Arial"/>
                <w:sz w:val="14"/>
                <w:szCs w:val="14"/>
                <w:color w:val="auto"/>
              </w:rPr>
              <w:t>4.0%</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4"/>
              </w:rPr>
              <w:t>$106.53</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$107.13</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$106.44</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4"/>
              </w:rPr>
              <w:t>$102.10</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3"/>
              </w:rPr>
              <w:t>$98.74</w:t>
            </w:r>
          </w:p>
        </w:tc>
        <w:tc>
          <w:tcPr>
            <w:tcW w:w="160" w:type="dxa"/>
            <w:vAlign w:val="bottom"/>
          </w:tcPr>
          <w:p>
            <w:pPr>
              <w:spacing w:after="0"/>
              <w:rPr>
                <w:sz w:val="16"/>
                <w:szCs w:val="16"/>
                <w:color w:val="auto"/>
              </w:rPr>
            </w:pPr>
          </w:p>
        </w:tc>
        <w:tc>
          <w:tcPr>
            <w:tcW w:w="1160" w:type="dxa"/>
            <w:vAlign w:val="bottom"/>
            <w:gridSpan w:val="2"/>
          </w:tcPr>
          <w:p>
            <w:pPr>
              <w:jc w:val="center"/>
              <w:spacing w:after="0"/>
              <w:rPr>
                <w:sz w:val="20"/>
                <w:szCs w:val="20"/>
                <w:color w:val="auto"/>
              </w:rPr>
            </w:pPr>
            <w:r>
              <w:rPr>
                <w:rFonts w:ascii="Arial" w:cs="Arial" w:eastAsia="Arial" w:hAnsi="Arial"/>
                <w:sz w:val="14"/>
                <w:szCs w:val="14"/>
                <w:color w:val="auto"/>
                <w:w w:val="90"/>
              </w:rPr>
              <w:t>-$3.36</w:t>
            </w:r>
          </w:p>
        </w:tc>
        <w:tc>
          <w:tcPr>
            <w:tcW w:w="160" w:type="dxa"/>
            <w:vAlign w:val="bottom"/>
          </w:tcPr>
          <w:p>
            <w:pPr>
              <w:spacing w:after="0"/>
              <w:rPr>
                <w:sz w:val="16"/>
                <w:szCs w:val="16"/>
                <w:color w:val="auto"/>
              </w:rPr>
            </w:pPr>
          </w:p>
        </w:tc>
        <w:tc>
          <w:tcPr>
            <w:tcW w:w="1160" w:type="dxa"/>
            <w:vAlign w:val="bottom"/>
            <w:gridSpan w:val="2"/>
          </w:tcPr>
          <w:p>
            <w:pPr>
              <w:jc w:val="center"/>
              <w:spacing w:after="0"/>
              <w:rPr>
                <w:sz w:val="20"/>
                <w:szCs w:val="20"/>
                <w:color w:val="auto"/>
              </w:rPr>
            </w:pPr>
            <w:r>
              <w:rPr>
                <w:rFonts w:ascii="Arial" w:cs="Arial" w:eastAsia="Arial" w:hAnsi="Arial"/>
                <w:sz w:val="14"/>
                <w:szCs w:val="14"/>
                <w:color w:val="auto"/>
                <w:w w:val="90"/>
              </w:rPr>
              <w:t>-$7.70</w:t>
            </w:r>
          </w:p>
        </w:tc>
        <w:tc>
          <w:tcPr>
            <w:tcW w:w="0" w:type="dxa"/>
            <w:vAlign w:val="bottom"/>
          </w:tcPr>
          <w:p>
            <w:pPr>
              <w:spacing w:after="0"/>
              <w:rPr>
                <w:sz w:val="1"/>
                <w:szCs w:val="1"/>
                <w:color w:val="auto"/>
              </w:rPr>
            </w:pPr>
          </w:p>
        </w:tc>
      </w:tr>
      <w:tr>
        <w:trPr>
          <w:trHeight w:val="192"/>
        </w:trPr>
        <w:tc>
          <w:tcPr>
            <w:tcW w:w="39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4.5%</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$107.66</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$108.13</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$107.19</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$103.73</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$100.51</w:t>
            </w:r>
          </w:p>
        </w:tc>
        <w:tc>
          <w:tcPr>
            <w:tcW w:w="16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0"/>
              </w:rPr>
              <w:t>-$3.22</w:t>
            </w:r>
          </w:p>
        </w:tc>
        <w:tc>
          <w:tcPr>
            <w:tcW w:w="16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0"/>
              </w:rPr>
              <w:t>-$6.68</w:t>
            </w:r>
          </w:p>
        </w:tc>
        <w:tc>
          <w:tcPr>
            <w:tcW w:w="0" w:type="dxa"/>
            <w:vAlign w:val="bottom"/>
          </w:tcPr>
          <w:p>
            <w:pPr>
              <w:spacing w:after="0"/>
              <w:rPr>
                <w:sz w:val="1"/>
                <w:szCs w:val="1"/>
                <w:color w:val="auto"/>
              </w:rPr>
            </w:pPr>
          </w:p>
        </w:tc>
      </w:tr>
      <w:tr>
        <w:trPr>
          <w:trHeight w:val="188"/>
        </w:trPr>
        <w:tc>
          <w:tcPr>
            <w:tcW w:w="4100" w:type="dxa"/>
            <w:vAlign w:val="bottom"/>
            <w:gridSpan w:val="2"/>
          </w:tcPr>
          <w:p>
            <w:pPr>
              <w:ind w:left="20"/>
              <w:spacing w:after="0"/>
              <w:rPr>
                <w:sz w:val="20"/>
                <w:szCs w:val="20"/>
                <w:color w:val="auto"/>
              </w:rPr>
            </w:pPr>
            <w:r>
              <w:rPr>
                <w:rFonts w:ascii="Arial" w:cs="Arial" w:eastAsia="Arial" w:hAnsi="Arial"/>
                <w:sz w:val="14"/>
                <w:szCs w:val="14"/>
                <w:b w:val="1"/>
                <w:bCs w:val="1"/>
                <w:color w:val="auto"/>
              </w:rPr>
              <w:t>15-Year Fixed Rate Agency Price:</w:t>
            </w:r>
          </w:p>
        </w:tc>
        <w:tc>
          <w:tcPr>
            <w:tcW w:w="7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39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1.5%</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$101.23</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$100.95</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$100.33</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$94.81</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$91.16</w:t>
            </w:r>
          </w:p>
        </w:tc>
        <w:tc>
          <w:tcPr>
            <w:tcW w:w="16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0"/>
              </w:rPr>
              <w:t>-$3.65</w:t>
            </w:r>
          </w:p>
        </w:tc>
        <w:tc>
          <w:tcPr>
            <w:tcW w:w="16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0"/>
              </w:rPr>
              <w:t>-$9.17</w:t>
            </w:r>
          </w:p>
        </w:tc>
        <w:tc>
          <w:tcPr>
            <w:tcW w:w="0" w:type="dxa"/>
            <w:vAlign w:val="bottom"/>
          </w:tcPr>
          <w:p>
            <w:pPr>
              <w:spacing w:after="0"/>
              <w:rPr>
                <w:sz w:val="1"/>
                <w:szCs w:val="1"/>
                <w:color w:val="auto"/>
              </w:rPr>
            </w:pPr>
          </w:p>
        </w:tc>
      </w:tr>
      <w:tr>
        <w:trPr>
          <w:trHeight w:val="186"/>
        </w:trPr>
        <w:tc>
          <w:tcPr>
            <w:tcW w:w="3940" w:type="dxa"/>
            <w:vAlign w:val="bottom"/>
          </w:tcPr>
          <w:p>
            <w:pPr>
              <w:ind w:left="180"/>
              <w:spacing w:after="0"/>
              <w:rPr>
                <w:sz w:val="20"/>
                <w:szCs w:val="20"/>
                <w:color w:val="auto"/>
              </w:rPr>
            </w:pPr>
            <w:r>
              <w:rPr>
                <w:rFonts w:ascii="Arial" w:cs="Arial" w:eastAsia="Arial" w:hAnsi="Arial"/>
                <w:sz w:val="14"/>
                <w:szCs w:val="14"/>
                <w:color w:val="auto"/>
              </w:rPr>
              <w:t>2.0%</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4"/>
              </w:rPr>
              <w:t>$103.19</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$102.96</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$102.45</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3"/>
              </w:rPr>
              <w:t>$97.11</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3"/>
              </w:rPr>
              <w:t>$93.52</w:t>
            </w:r>
          </w:p>
        </w:tc>
        <w:tc>
          <w:tcPr>
            <w:tcW w:w="160" w:type="dxa"/>
            <w:vAlign w:val="bottom"/>
          </w:tcPr>
          <w:p>
            <w:pPr>
              <w:spacing w:after="0"/>
              <w:rPr>
                <w:sz w:val="16"/>
                <w:szCs w:val="16"/>
                <w:color w:val="auto"/>
              </w:rPr>
            </w:pPr>
          </w:p>
        </w:tc>
        <w:tc>
          <w:tcPr>
            <w:tcW w:w="1160" w:type="dxa"/>
            <w:vAlign w:val="bottom"/>
            <w:gridSpan w:val="2"/>
          </w:tcPr>
          <w:p>
            <w:pPr>
              <w:jc w:val="center"/>
              <w:spacing w:after="0"/>
              <w:rPr>
                <w:sz w:val="20"/>
                <w:szCs w:val="20"/>
                <w:color w:val="auto"/>
              </w:rPr>
            </w:pPr>
            <w:r>
              <w:rPr>
                <w:rFonts w:ascii="Arial" w:cs="Arial" w:eastAsia="Arial" w:hAnsi="Arial"/>
                <w:sz w:val="14"/>
                <w:szCs w:val="14"/>
                <w:color w:val="auto"/>
                <w:w w:val="90"/>
              </w:rPr>
              <w:t>-$3.59</w:t>
            </w:r>
          </w:p>
        </w:tc>
        <w:tc>
          <w:tcPr>
            <w:tcW w:w="160" w:type="dxa"/>
            <w:vAlign w:val="bottom"/>
          </w:tcPr>
          <w:p>
            <w:pPr>
              <w:spacing w:after="0"/>
              <w:rPr>
                <w:sz w:val="16"/>
                <w:szCs w:val="16"/>
                <w:color w:val="auto"/>
              </w:rPr>
            </w:pPr>
          </w:p>
        </w:tc>
        <w:tc>
          <w:tcPr>
            <w:tcW w:w="1160" w:type="dxa"/>
            <w:vAlign w:val="bottom"/>
            <w:gridSpan w:val="2"/>
          </w:tcPr>
          <w:p>
            <w:pPr>
              <w:jc w:val="center"/>
              <w:spacing w:after="0"/>
              <w:rPr>
                <w:sz w:val="20"/>
                <w:szCs w:val="20"/>
                <w:color w:val="auto"/>
              </w:rPr>
            </w:pPr>
            <w:r>
              <w:rPr>
                <w:rFonts w:ascii="Arial" w:cs="Arial" w:eastAsia="Arial" w:hAnsi="Arial"/>
                <w:sz w:val="14"/>
                <w:szCs w:val="14"/>
                <w:color w:val="auto"/>
                <w:w w:val="90"/>
              </w:rPr>
              <w:t>-$8.93</w:t>
            </w:r>
          </w:p>
        </w:tc>
        <w:tc>
          <w:tcPr>
            <w:tcW w:w="0" w:type="dxa"/>
            <w:vAlign w:val="bottom"/>
          </w:tcPr>
          <w:p>
            <w:pPr>
              <w:spacing w:after="0"/>
              <w:rPr>
                <w:sz w:val="1"/>
                <w:szCs w:val="1"/>
                <w:color w:val="auto"/>
              </w:rPr>
            </w:pPr>
          </w:p>
        </w:tc>
      </w:tr>
      <w:tr>
        <w:trPr>
          <w:trHeight w:val="192"/>
        </w:trPr>
        <w:tc>
          <w:tcPr>
            <w:tcW w:w="39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2.5%</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$104.29</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$104.16</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$103.45</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$98.83</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$95.70</w:t>
            </w:r>
          </w:p>
        </w:tc>
        <w:tc>
          <w:tcPr>
            <w:tcW w:w="16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0"/>
              </w:rPr>
              <w:t>-$3.13</w:t>
            </w:r>
          </w:p>
        </w:tc>
        <w:tc>
          <w:tcPr>
            <w:tcW w:w="16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0"/>
              </w:rPr>
              <w:t>-$7.75</w:t>
            </w:r>
          </w:p>
        </w:tc>
        <w:tc>
          <w:tcPr>
            <w:tcW w:w="0" w:type="dxa"/>
            <w:vAlign w:val="bottom"/>
          </w:tcPr>
          <w:p>
            <w:pPr>
              <w:spacing w:after="0"/>
              <w:rPr>
                <w:sz w:val="1"/>
                <w:szCs w:val="1"/>
                <w:color w:val="auto"/>
              </w:rPr>
            </w:pPr>
          </w:p>
        </w:tc>
      </w:tr>
      <w:tr>
        <w:trPr>
          <w:trHeight w:val="186"/>
        </w:trPr>
        <w:tc>
          <w:tcPr>
            <w:tcW w:w="3940" w:type="dxa"/>
            <w:vAlign w:val="bottom"/>
          </w:tcPr>
          <w:p>
            <w:pPr>
              <w:ind w:left="180"/>
              <w:spacing w:after="0"/>
              <w:rPr>
                <w:sz w:val="20"/>
                <w:szCs w:val="20"/>
                <w:color w:val="auto"/>
              </w:rPr>
            </w:pPr>
            <w:r>
              <w:rPr>
                <w:rFonts w:ascii="Arial" w:cs="Arial" w:eastAsia="Arial" w:hAnsi="Arial"/>
                <w:sz w:val="14"/>
                <w:szCs w:val="14"/>
                <w:color w:val="auto"/>
              </w:rPr>
              <w:t>3.0%</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4"/>
              </w:rPr>
              <w:t>$105.05</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$105.14</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$104.59</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4"/>
              </w:rPr>
              <w:t>$100.70</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3"/>
              </w:rPr>
              <w:t>$97.82</w:t>
            </w:r>
          </w:p>
        </w:tc>
        <w:tc>
          <w:tcPr>
            <w:tcW w:w="160" w:type="dxa"/>
            <w:vAlign w:val="bottom"/>
          </w:tcPr>
          <w:p>
            <w:pPr>
              <w:spacing w:after="0"/>
              <w:rPr>
                <w:sz w:val="16"/>
                <w:szCs w:val="16"/>
                <w:color w:val="auto"/>
              </w:rPr>
            </w:pPr>
          </w:p>
        </w:tc>
        <w:tc>
          <w:tcPr>
            <w:tcW w:w="1160" w:type="dxa"/>
            <w:vAlign w:val="bottom"/>
            <w:gridSpan w:val="2"/>
          </w:tcPr>
          <w:p>
            <w:pPr>
              <w:jc w:val="center"/>
              <w:spacing w:after="0"/>
              <w:rPr>
                <w:sz w:val="20"/>
                <w:szCs w:val="20"/>
                <w:color w:val="auto"/>
              </w:rPr>
            </w:pPr>
            <w:r>
              <w:rPr>
                <w:rFonts w:ascii="Arial" w:cs="Arial" w:eastAsia="Arial" w:hAnsi="Arial"/>
                <w:sz w:val="14"/>
                <w:szCs w:val="14"/>
                <w:color w:val="auto"/>
                <w:w w:val="90"/>
              </w:rPr>
              <w:t>-$2.88</w:t>
            </w:r>
          </w:p>
        </w:tc>
        <w:tc>
          <w:tcPr>
            <w:tcW w:w="160" w:type="dxa"/>
            <w:vAlign w:val="bottom"/>
          </w:tcPr>
          <w:p>
            <w:pPr>
              <w:spacing w:after="0"/>
              <w:rPr>
                <w:sz w:val="16"/>
                <w:szCs w:val="16"/>
                <w:color w:val="auto"/>
              </w:rPr>
            </w:pPr>
          </w:p>
        </w:tc>
        <w:tc>
          <w:tcPr>
            <w:tcW w:w="1160" w:type="dxa"/>
            <w:vAlign w:val="bottom"/>
            <w:gridSpan w:val="2"/>
          </w:tcPr>
          <w:p>
            <w:pPr>
              <w:jc w:val="center"/>
              <w:spacing w:after="0"/>
              <w:rPr>
                <w:sz w:val="20"/>
                <w:szCs w:val="20"/>
                <w:color w:val="auto"/>
              </w:rPr>
            </w:pPr>
            <w:r>
              <w:rPr>
                <w:rFonts w:ascii="Arial" w:cs="Arial" w:eastAsia="Arial" w:hAnsi="Arial"/>
                <w:sz w:val="14"/>
                <w:szCs w:val="14"/>
                <w:color w:val="auto"/>
                <w:w w:val="90"/>
              </w:rPr>
              <w:t>-$6.77</w:t>
            </w:r>
          </w:p>
        </w:tc>
        <w:tc>
          <w:tcPr>
            <w:tcW w:w="0" w:type="dxa"/>
            <w:vAlign w:val="bottom"/>
          </w:tcPr>
          <w:p>
            <w:pPr>
              <w:spacing w:after="0"/>
              <w:rPr>
                <w:sz w:val="1"/>
                <w:szCs w:val="1"/>
                <w:color w:val="auto"/>
              </w:rPr>
            </w:pPr>
          </w:p>
        </w:tc>
      </w:tr>
      <w:tr>
        <w:trPr>
          <w:trHeight w:val="192"/>
        </w:trPr>
        <w:tc>
          <w:tcPr>
            <w:tcW w:w="39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3.5%</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$106.83</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$106.56</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$105.52</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$101.97</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$99.52</w:t>
            </w:r>
          </w:p>
        </w:tc>
        <w:tc>
          <w:tcPr>
            <w:tcW w:w="16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0"/>
              </w:rPr>
              <w:t>-$2.45</w:t>
            </w:r>
          </w:p>
        </w:tc>
        <w:tc>
          <w:tcPr>
            <w:tcW w:w="16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0"/>
              </w:rPr>
              <w:t>-$6.00</w:t>
            </w:r>
          </w:p>
        </w:tc>
        <w:tc>
          <w:tcPr>
            <w:tcW w:w="0" w:type="dxa"/>
            <w:vAlign w:val="bottom"/>
          </w:tcPr>
          <w:p>
            <w:pPr>
              <w:spacing w:after="0"/>
              <w:rPr>
                <w:sz w:val="1"/>
                <w:szCs w:val="1"/>
                <w:color w:val="auto"/>
              </w:rPr>
            </w:pPr>
          </w:p>
        </w:tc>
      </w:tr>
      <w:tr>
        <w:trPr>
          <w:trHeight w:val="182"/>
        </w:trPr>
        <w:tc>
          <w:tcPr>
            <w:tcW w:w="3940" w:type="dxa"/>
            <w:vAlign w:val="bottom"/>
          </w:tcPr>
          <w:p>
            <w:pPr>
              <w:ind w:left="180"/>
              <w:spacing w:after="0"/>
              <w:rPr>
                <w:sz w:val="20"/>
                <w:szCs w:val="20"/>
                <w:color w:val="auto"/>
              </w:rPr>
            </w:pPr>
            <w:r>
              <w:rPr>
                <w:rFonts w:ascii="Arial" w:cs="Arial" w:eastAsia="Arial" w:hAnsi="Arial"/>
                <w:sz w:val="14"/>
                <w:szCs w:val="14"/>
                <w:color w:val="auto"/>
              </w:rPr>
              <w:t>4.0%</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4"/>
              </w:rPr>
              <w:t>$106.19</w:t>
            </w:r>
          </w:p>
        </w:tc>
        <w:tc>
          <w:tcPr>
            <w:tcW w:w="160" w:type="dxa"/>
            <w:vAlign w:val="bottom"/>
          </w:tcPr>
          <w:p>
            <w:pPr>
              <w:spacing w:after="0"/>
              <w:rPr>
                <w:sz w:val="15"/>
                <w:szCs w:val="15"/>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$106.06</w:t>
            </w:r>
          </w:p>
        </w:tc>
        <w:tc>
          <w:tcPr>
            <w:tcW w:w="160" w:type="dxa"/>
            <w:vAlign w:val="bottom"/>
          </w:tcPr>
          <w:p>
            <w:pPr>
              <w:spacing w:after="0"/>
              <w:rPr>
                <w:sz w:val="15"/>
                <w:szCs w:val="15"/>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$105.47</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4"/>
              </w:rPr>
              <w:t>$102.50</w:t>
            </w:r>
          </w:p>
        </w:tc>
        <w:tc>
          <w:tcPr>
            <w:tcW w:w="160" w:type="dxa"/>
            <w:vAlign w:val="bottom"/>
          </w:tcPr>
          <w:p>
            <w:pPr>
              <w:spacing w:after="0"/>
              <w:rPr>
                <w:sz w:val="15"/>
                <w:szCs w:val="15"/>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$100.95</w:t>
            </w:r>
          </w:p>
        </w:tc>
        <w:tc>
          <w:tcPr>
            <w:tcW w:w="160" w:type="dxa"/>
            <w:vAlign w:val="bottom"/>
          </w:tcPr>
          <w:p>
            <w:pPr>
              <w:spacing w:after="0"/>
              <w:rPr>
                <w:sz w:val="15"/>
                <w:szCs w:val="15"/>
                <w:color w:val="auto"/>
              </w:rPr>
            </w:pPr>
          </w:p>
        </w:tc>
        <w:tc>
          <w:tcPr>
            <w:tcW w:w="1160" w:type="dxa"/>
            <w:vAlign w:val="bottom"/>
            <w:gridSpan w:val="2"/>
          </w:tcPr>
          <w:p>
            <w:pPr>
              <w:jc w:val="center"/>
              <w:spacing w:after="0"/>
              <w:rPr>
                <w:sz w:val="20"/>
                <w:szCs w:val="20"/>
                <w:color w:val="auto"/>
              </w:rPr>
            </w:pPr>
            <w:r>
              <w:rPr>
                <w:rFonts w:ascii="Arial" w:cs="Arial" w:eastAsia="Arial" w:hAnsi="Arial"/>
                <w:sz w:val="14"/>
                <w:szCs w:val="14"/>
                <w:color w:val="auto"/>
                <w:w w:val="90"/>
              </w:rPr>
              <w:t>-$1.55</w:t>
            </w:r>
          </w:p>
        </w:tc>
        <w:tc>
          <w:tcPr>
            <w:tcW w:w="160" w:type="dxa"/>
            <w:vAlign w:val="bottom"/>
          </w:tcPr>
          <w:p>
            <w:pPr>
              <w:spacing w:after="0"/>
              <w:rPr>
                <w:sz w:val="15"/>
                <w:szCs w:val="15"/>
                <w:color w:val="auto"/>
              </w:rPr>
            </w:pPr>
          </w:p>
        </w:tc>
        <w:tc>
          <w:tcPr>
            <w:tcW w:w="1160" w:type="dxa"/>
            <w:vAlign w:val="bottom"/>
            <w:gridSpan w:val="2"/>
          </w:tcPr>
          <w:p>
            <w:pPr>
              <w:jc w:val="center"/>
              <w:spacing w:after="0"/>
              <w:rPr>
                <w:sz w:val="20"/>
                <w:szCs w:val="20"/>
                <w:color w:val="auto"/>
              </w:rPr>
            </w:pPr>
            <w:r>
              <w:rPr>
                <w:rFonts w:ascii="Arial" w:cs="Arial" w:eastAsia="Arial" w:hAnsi="Arial"/>
                <w:sz w:val="14"/>
                <w:szCs w:val="14"/>
                <w:color w:val="auto"/>
                <w:w w:val="90"/>
              </w:rPr>
              <w:t>-$4.52</w:t>
            </w:r>
          </w:p>
        </w:tc>
        <w:tc>
          <w:tcPr>
            <w:tcW w:w="0" w:type="dxa"/>
            <w:vAlign w:val="bottom"/>
          </w:tcPr>
          <w:p>
            <w:pPr>
              <w:spacing w:after="0"/>
              <w:rPr>
                <w:sz w:val="1"/>
                <w:szCs w:val="1"/>
                <w:color w:val="auto"/>
              </w:rPr>
            </w:pPr>
          </w:p>
        </w:tc>
      </w:tr>
    </w:tbl>
    <w:p>
      <w:pPr>
        <w:spacing w:after="0" w:line="92"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spacing w:after="0" w:line="10" w:lineRule="exact"/>
        <w:rPr>
          <w:sz w:val="20"/>
          <w:szCs w:val="20"/>
          <w:color w:val="auto"/>
        </w:rPr>
      </w:pPr>
    </w:p>
    <w:p>
      <w:pPr>
        <w:ind w:left="660" w:hanging="328"/>
        <w:spacing w:after="0" w:line="257" w:lineRule="auto"/>
        <w:tabs>
          <w:tab w:leader="none" w:pos="660" w:val="left"/>
        </w:tabs>
        <w:numPr>
          <w:ilvl w:val="0"/>
          <w:numId w:val="19"/>
        </w:numPr>
        <w:rPr>
          <w:rFonts w:ascii="Arial" w:cs="Arial" w:eastAsia="Arial" w:hAnsi="Arial"/>
          <w:sz w:val="14"/>
          <w:szCs w:val="14"/>
          <w:color w:val="auto"/>
        </w:rPr>
      </w:pPr>
      <w:r>
        <w:rPr>
          <w:rFonts w:ascii="Arial" w:cs="Arial" w:eastAsia="Arial" w:hAnsi="Arial"/>
          <w:sz w:val="14"/>
          <w:szCs w:val="14"/>
          <w:color w:val="auto"/>
        </w:rPr>
        <w:t>Price information is for generic instruments only and is not reflective of our specific portfolio holdings. Price information is as of 3:00 p.m. (EST) on such date and can vary by source. Prices in the table above were obtained from Barclays. Interest rates were obtained from Bloomberg.</w:t>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27" w:name="page28"/>
    <w:bookmarkEnd w:id="27"/>
    <w:p>
      <w:pPr>
        <w:ind w:left="420"/>
        <w:spacing w:after="0"/>
        <w:rPr>
          <w:sz w:val="20"/>
          <w:szCs w:val="20"/>
          <w:color w:val="auto"/>
        </w:rPr>
      </w:pPr>
      <w:r>
        <w:rPr>
          <w:rFonts w:ascii="Arial" w:cs="Arial" w:eastAsia="Arial" w:hAnsi="Arial"/>
          <w:sz w:val="18"/>
          <w:szCs w:val="18"/>
          <w:color w:val="auto"/>
        </w:rPr>
        <w:t>The following table summarizes mortgage and credit spreads as of each date presented below:</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9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20" w:type="dxa"/>
            <w:vAlign w:val="bottom"/>
            <w:gridSpan w:val="2"/>
            <w:vMerge w:val="restart"/>
          </w:tcPr>
          <w:p>
            <w:pPr>
              <w:ind w:left="120"/>
              <w:spacing w:after="0"/>
              <w:rPr>
                <w:sz w:val="20"/>
                <w:szCs w:val="20"/>
                <w:color w:val="auto"/>
              </w:rPr>
            </w:pPr>
            <w:r>
              <w:rPr>
                <w:rFonts w:ascii="Arial" w:cs="Arial" w:eastAsia="Arial" w:hAnsi="Arial"/>
                <w:sz w:val="14"/>
                <w:szCs w:val="14"/>
                <w:b w:val="1"/>
                <w:bCs w:val="1"/>
                <w:color w:val="auto"/>
              </w:rPr>
              <w:t>June 30,</w:t>
            </w:r>
          </w:p>
        </w:tc>
        <w:tc>
          <w:tcPr>
            <w:tcW w:w="940" w:type="dxa"/>
            <w:vAlign w:val="bottom"/>
            <w:gridSpan w:val="2"/>
            <w:vMerge w:val="restart"/>
          </w:tcPr>
          <w:p>
            <w:pPr>
              <w:ind w:left="140"/>
              <w:spacing w:after="0"/>
              <w:rPr>
                <w:sz w:val="20"/>
                <w:szCs w:val="20"/>
                <w:color w:val="auto"/>
              </w:rPr>
            </w:pPr>
            <w:r>
              <w:rPr>
                <w:rFonts w:ascii="Arial" w:cs="Arial" w:eastAsia="Arial" w:hAnsi="Arial"/>
                <w:sz w:val="14"/>
                <w:szCs w:val="14"/>
                <w:b w:val="1"/>
                <w:bCs w:val="1"/>
                <w:color w:val="auto"/>
              </w:rPr>
              <w:t>Sept. 30,</w:t>
            </w:r>
          </w:p>
        </w:tc>
        <w:tc>
          <w:tcPr>
            <w:tcW w:w="940" w:type="dxa"/>
            <w:vAlign w:val="bottom"/>
            <w:gridSpan w:val="2"/>
            <w:vMerge w:val="restart"/>
          </w:tcPr>
          <w:p>
            <w:pPr>
              <w:ind w:left="140"/>
              <w:spacing w:after="0"/>
              <w:rPr>
                <w:sz w:val="20"/>
                <w:szCs w:val="20"/>
                <w:color w:val="auto"/>
              </w:rPr>
            </w:pPr>
            <w:r>
              <w:rPr>
                <w:rFonts w:ascii="Arial" w:cs="Arial" w:eastAsia="Arial" w:hAnsi="Arial"/>
                <w:sz w:val="14"/>
                <w:szCs w:val="14"/>
                <w:b w:val="1"/>
                <w:bCs w:val="1"/>
                <w:color w:val="auto"/>
              </w:rPr>
              <w:t>Dec. 31,</w:t>
            </w:r>
          </w:p>
        </w:tc>
        <w:tc>
          <w:tcPr>
            <w:tcW w:w="920" w:type="dxa"/>
            <w:vAlign w:val="bottom"/>
            <w:gridSpan w:val="2"/>
            <w:vMerge w:val="restart"/>
          </w:tcPr>
          <w:p>
            <w:pPr>
              <w:ind w:left="120"/>
              <w:spacing w:after="0"/>
              <w:rPr>
                <w:sz w:val="20"/>
                <w:szCs w:val="20"/>
                <w:color w:val="auto"/>
              </w:rPr>
            </w:pPr>
            <w:r>
              <w:rPr>
                <w:rFonts w:ascii="Arial" w:cs="Arial" w:eastAsia="Arial" w:hAnsi="Arial"/>
                <w:sz w:val="14"/>
                <w:szCs w:val="14"/>
                <w:b w:val="1"/>
                <w:bCs w:val="1"/>
                <w:color w:val="auto"/>
              </w:rPr>
              <w:t>Mar. 31,</w:t>
            </w:r>
          </w:p>
        </w:tc>
        <w:tc>
          <w:tcPr>
            <w:tcW w:w="940" w:type="dxa"/>
            <w:vAlign w:val="bottom"/>
            <w:gridSpan w:val="2"/>
            <w:vMerge w:val="restart"/>
          </w:tcPr>
          <w:p>
            <w:pPr>
              <w:ind w:left="140"/>
              <w:spacing w:after="0"/>
              <w:rPr>
                <w:sz w:val="20"/>
                <w:szCs w:val="20"/>
                <w:color w:val="auto"/>
              </w:rPr>
            </w:pPr>
            <w:r>
              <w:rPr>
                <w:rFonts w:ascii="Arial" w:cs="Arial" w:eastAsia="Arial" w:hAnsi="Arial"/>
                <w:sz w:val="14"/>
                <w:szCs w:val="14"/>
                <w:b w:val="1"/>
                <w:bCs w:val="1"/>
                <w:color w:val="auto"/>
              </w:rPr>
              <w:t>June 30,</w:t>
            </w:r>
          </w:p>
        </w:tc>
        <w:tc>
          <w:tcPr>
            <w:tcW w:w="132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92"/>
              </w:rPr>
              <w:t>June 30, 2022</w:t>
            </w:r>
          </w:p>
        </w:tc>
        <w:tc>
          <w:tcPr>
            <w:tcW w:w="1160" w:type="dxa"/>
            <w:vAlign w:val="bottom"/>
            <w:gridSpan w:val="2"/>
          </w:tcPr>
          <w:p>
            <w:pPr>
              <w:jc w:val="center"/>
              <w:spacing w:after="0"/>
              <w:rPr>
                <w:sz w:val="20"/>
                <w:szCs w:val="20"/>
                <w:color w:val="auto"/>
              </w:rPr>
            </w:pPr>
            <w:r>
              <w:rPr>
                <w:rFonts w:ascii="Arial" w:cs="Arial" w:eastAsia="Arial" w:hAnsi="Arial"/>
                <w:sz w:val="14"/>
                <w:szCs w:val="14"/>
                <w:b w:val="1"/>
                <w:bCs w:val="1"/>
                <w:color w:val="auto"/>
                <w:w w:val="92"/>
              </w:rPr>
              <w:t>June 30, 2022</w:t>
            </w:r>
          </w:p>
        </w:tc>
        <w:tc>
          <w:tcPr>
            <w:tcW w:w="0" w:type="dxa"/>
            <w:vAlign w:val="bottom"/>
          </w:tcPr>
          <w:p>
            <w:pPr>
              <w:spacing w:after="0"/>
              <w:rPr>
                <w:sz w:val="1"/>
                <w:szCs w:val="1"/>
                <w:color w:val="auto"/>
              </w:rPr>
            </w:pPr>
          </w:p>
        </w:tc>
      </w:tr>
      <w:tr>
        <w:trPr>
          <w:trHeight w:val="135"/>
        </w:trPr>
        <w:tc>
          <w:tcPr>
            <w:tcW w:w="4100" w:type="dxa"/>
            <w:vAlign w:val="bottom"/>
            <w:gridSpan w:val="2"/>
            <w:vMerge w:val="restart"/>
          </w:tcPr>
          <w:p>
            <w:pPr>
              <w:ind w:left="1060"/>
              <w:spacing w:after="0"/>
              <w:rPr>
                <w:sz w:val="20"/>
                <w:szCs w:val="20"/>
                <w:color w:val="auto"/>
              </w:rPr>
            </w:pPr>
            <w:r>
              <w:rPr>
                <w:rFonts w:ascii="Arial" w:cs="Arial" w:eastAsia="Arial" w:hAnsi="Arial"/>
                <w:sz w:val="14"/>
                <w:szCs w:val="14"/>
                <w:b w:val="1"/>
                <w:bCs w:val="1"/>
                <w:color w:val="auto"/>
              </w:rPr>
              <w:t>Mortgage Rate/Credit Spread</w:t>
            </w:r>
          </w:p>
        </w:tc>
        <w:tc>
          <w:tcPr>
            <w:tcW w:w="920" w:type="dxa"/>
            <w:vAlign w:val="bottom"/>
            <w:gridSpan w:val="2"/>
            <w:vMerge w:val="continue"/>
          </w:tcPr>
          <w:p>
            <w:pPr>
              <w:spacing w:after="0"/>
              <w:rPr>
                <w:sz w:val="11"/>
                <w:szCs w:val="11"/>
                <w:color w:val="auto"/>
              </w:rPr>
            </w:pPr>
          </w:p>
        </w:tc>
        <w:tc>
          <w:tcPr>
            <w:tcW w:w="940" w:type="dxa"/>
            <w:vAlign w:val="bottom"/>
            <w:gridSpan w:val="2"/>
            <w:vMerge w:val="continue"/>
          </w:tcPr>
          <w:p>
            <w:pPr>
              <w:spacing w:after="0"/>
              <w:rPr>
                <w:sz w:val="11"/>
                <w:szCs w:val="11"/>
                <w:color w:val="auto"/>
              </w:rPr>
            </w:pPr>
          </w:p>
        </w:tc>
        <w:tc>
          <w:tcPr>
            <w:tcW w:w="940" w:type="dxa"/>
            <w:vAlign w:val="bottom"/>
            <w:gridSpan w:val="2"/>
            <w:vMerge w:val="continue"/>
          </w:tcPr>
          <w:p>
            <w:pPr>
              <w:spacing w:after="0"/>
              <w:rPr>
                <w:sz w:val="11"/>
                <w:szCs w:val="11"/>
                <w:color w:val="auto"/>
              </w:rPr>
            </w:pPr>
          </w:p>
        </w:tc>
        <w:tc>
          <w:tcPr>
            <w:tcW w:w="920" w:type="dxa"/>
            <w:vAlign w:val="bottom"/>
            <w:gridSpan w:val="2"/>
            <w:vMerge w:val="continue"/>
          </w:tcPr>
          <w:p>
            <w:pPr>
              <w:spacing w:after="0"/>
              <w:rPr>
                <w:sz w:val="11"/>
                <w:szCs w:val="11"/>
                <w:color w:val="auto"/>
              </w:rPr>
            </w:pPr>
          </w:p>
        </w:tc>
        <w:tc>
          <w:tcPr>
            <w:tcW w:w="940" w:type="dxa"/>
            <w:vAlign w:val="bottom"/>
            <w:gridSpan w:val="2"/>
            <w:vMerge w:val="continue"/>
          </w:tcPr>
          <w:p>
            <w:pPr>
              <w:spacing w:after="0"/>
              <w:rPr>
                <w:sz w:val="11"/>
                <w:szCs w:val="11"/>
                <w:color w:val="auto"/>
              </w:rPr>
            </w:pPr>
          </w:p>
        </w:tc>
        <w:tc>
          <w:tcPr>
            <w:tcW w:w="520" w:type="dxa"/>
            <w:vAlign w:val="bottom"/>
          </w:tcPr>
          <w:p>
            <w:pPr>
              <w:spacing w:after="0"/>
              <w:rPr>
                <w:sz w:val="11"/>
                <w:szCs w:val="11"/>
                <w:color w:val="auto"/>
              </w:rPr>
            </w:pPr>
          </w:p>
        </w:tc>
        <w:tc>
          <w:tcPr>
            <w:tcW w:w="800" w:type="dxa"/>
            <w:vAlign w:val="bottom"/>
            <w:gridSpan w:val="2"/>
          </w:tcPr>
          <w:p>
            <w:pPr>
              <w:jc w:val="center"/>
              <w:ind w:right="680"/>
              <w:spacing w:after="0" w:line="135" w:lineRule="exact"/>
              <w:rPr>
                <w:sz w:val="20"/>
                <w:szCs w:val="20"/>
                <w:color w:val="auto"/>
              </w:rPr>
            </w:pPr>
            <w:r>
              <w:rPr>
                <w:rFonts w:ascii="Arial" w:cs="Arial" w:eastAsia="Arial" w:hAnsi="Arial"/>
                <w:sz w:val="14"/>
                <w:szCs w:val="14"/>
                <w:b w:val="1"/>
                <w:bCs w:val="1"/>
                <w:color w:val="auto"/>
                <w:w w:val="76"/>
              </w:rPr>
              <w:t>vs</w:t>
            </w:r>
          </w:p>
        </w:tc>
        <w:tc>
          <w:tcPr>
            <w:tcW w:w="520" w:type="dxa"/>
            <w:vAlign w:val="bottom"/>
          </w:tcPr>
          <w:p>
            <w:pPr>
              <w:spacing w:after="0"/>
              <w:rPr>
                <w:sz w:val="11"/>
                <w:szCs w:val="11"/>
                <w:color w:val="auto"/>
              </w:rPr>
            </w:pPr>
          </w:p>
        </w:tc>
        <w:tc>
          <w:tcPr>
            <w:tcW w:w="640" w:type="dxa"/>
            <w:vAlign w:val="bottom"/>
          </w:tcPr>
          <w:p>
            <w:pPr>
              <w:jc w:val="center"/>
              <w:ind w:right="448"/>
              <w:spacing w:after="0" w:line="135" w:lineRule="exact"/>
              <w:rPr>
                <w:sz w:val="20"/>
                <w:szCs w:val="20"/>
                <w:color w:val="auto"/>
              </w:rPr>
            </w:pPr>
            <w:r>
              <w:rPr>
                <w:rFonts w:ascii="Arial" w:cs="Arial" w:eastAsia="Arial" w:hAnsi="Arial"/>
                <w:sz w:val="14"/>
                <w:szCs w:val="14"/>
                <w:b w:val="1"/>
                <w:bCs w:val="1"/>
                <w:color w:val="auto"/>
                <w:w w:val="76"/>
              </w:rPr>
              <w:t>vs</w:t>
            </w:r>
          </w:p>
        </w:tc>
        <w:tc>
          <w:tcPr>
            <w:tcW w:w="0" w:type="dxa"/>
            <w:vAlign w:val="bottom"/>
          </w:tcPr>
          <w:p>
            <w:pPr>
              <w:spacing w:after="0"/>
              <w:rPr>
                <w:sz w:val="1"/>
                <w:szCs w:val="1"/>
                <w:color w:val="auto"/>
              </w:rPr>
            </w:pPr>
          </w:p>
        </w:tc>
      </w:tr>
      <w:tr>
        <w:trPr>
          <w:trHeight w:val="188"/>
        </w:trPr>
        <w:tc>
          <w:tcPr>
            <w:tcW w:w="4100" w:type="dxa"/>
            <w:vAlign w:val="bottom"/>
            <w:gridSpan w:val="2"/>
            <w:vMerge w:val="continue"/>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b w:val="1"/>
                <w:bCs w:val="1"/>
                <w:color w:val="auto"/>
                <w:w w:val="89"/>
              </w:rPr>
              <w:t>2021</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b w:val="1"/>
                <w:bCs w:val="1"/>
                <w:color w:val="auto"/>
                <w:w w:val="89"/>
              </w:rPr>
              <w:t>2021</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b w:val="1"/>
                <w:bCs w:val="1"/>
                <w:color w:val="auto"/>
                <w:w w:val="96"/>
              </w:rPr>
              <w:t>2021</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b w:val="1"/>
                <w:bCs w:val="1"/>
                <w:color w:val="auto"/>
                <w:w w:val="89"/>
              </w:rPr>
              <w:t>2022</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b w:val="1"/>
                <w:bCs w:val="1"/>
                <w:color w:val="auto"/>
                <w:w w:val="96"/>
              </w:rPr>
              <w:t>2022</w:t>
            </w:r>
          </w:p>
        </w:tc>
        <w:tc>
          <w:tcPr>
            <w:tcW w:w="160" w:type="dxa"/>
            <w:vAlign w:val="bottom"/>
          </w:tcPr>
          <w:p>
            <w:pPr>
              <w:spacing w:after="0"/>
              <w:rPr>
                <w:sz w:val="16"/>
                <w:szCs w:val="16"/>
                <w:color w:val="auto"/>
              </w:rPr>
            </w:pPr>
          </w:p>
        </w:tc>
        <w:tc>
          <w:tcPr>
            <w:tcW w:w="132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96"/>
              </w:rPr>
              <w:t>Mar. 31, 2022</w:t>
            </w:r>
          </w:p>
        </w:tc>
        <w:tc>
          <w:tcPr>
            <w:tcW w:w="1160" w:type="dxa"/>
            <w:vAlign w:val="bottom"/>
            <w:gridSpan w:val="2"/>
          </w:tcPr>
          <w:p>
            <w:pPr>
              <w:jc w:val="center"/>
              <w:spacing w:after="0"/>
              <w:rPr>
                <w:sz w:val="20"/>
                <w:szCs w:val="20"/>
                <w:color w:val="auto"/>
              </w:rPr>
            </w:pPr>
            <w:r>
              <w:rPr>
                <w:rFonts w:ascii="Arial" w:cs="Arial" w:eastAsia="Arial" w:hAnsi="Arial"/>
                <w:sz w:val="14"/>
                <w:szCs w:val="14"/>
                <w:b w:val="1"/>
                <w:bCs w:val="1"/>
                <w:color w:val="auto"/>
                <w:w w:val="90"/>
              </w:rPr>
              <w:t>Dec. 31, 2021</w:t>
            </w:r>
          </w:p>
        </w:tc>
        <w:tc>
          <w:tcPr>
            <w:tcW w:w="0" w:type="dxa"/>
            <w:vAlign w:val="bottom"/>
          </w:tcPr>
          <w:p>
            <w:pPr>
              <w:spacing w:after="0"/>
              <w:rPr>
                <w:sz w:val="1"/>
                <w:szCs w:val="1"/>
                <w:color w:val="auto"/>
              </w:rPr>
            </w:pPr>
          </w:p>
        </w:tc>
      </w:tr>
      <w:tr>
        <w:trPr>
          <w:trHeight w:val="184"/>
        </w:trPr>
        <w:tc>
          <w:tcPr>
            <w:tcW w:w="3940" w:type="dxa"/>
            <w:vAlign w:val="bottom"/>
            <w:tcBorders>
              <w:top w:val="single" w:sz="8" w:color="auto"/>
            </w:tcBorders>
            <w:shd w:val="clear" w:color="auto" w:fill="CCEEFF"/>
          </w:tcPr>
          <w:p>
            <w:pPr>
              <w:ind w:left="20"/>
              <w:spacing w:after="0" w:line="184" w:lineRule="exact"/>
              <w:rPr>
                <w:sz w:val="20"/>
                <w:szCs w:val="20"/>
                <w:color w:val="auto"/>
              </w:rPr>
            </w:pPr>
            <w:r>
              <w:rPr>
                <w:rFonts w:ascii="Arial" w:cs="Arial" w:eastAsia="Arial" w:hAnsi="Arial"/>
                <w:sz w:val="14"/>
                <w:szCs w:val="14"/>
                <w:b w:val="1"/>
                <w:bCs w:val="1"/>
                <w:color w:val="auto"/>
              </w:rPr>
              <w:t xml:space="preserve">Mortgage Rate: </w:t>
            </w:r>
            <w:r>
              <w:rPr>
                <w:rFonts w:ascii="Arial" w:cs="Arial" w:eastAsia="Arial" w:hAnsi="Arial"/>
                <w:sz w:val="18"/>
                <w:szCs w:val="18"/>
                <w:b w:val="1"/>
                <w:bCs w:val="1"/>
                <w:color w:val="auto"/>
                <w:vertAlign w:val="superscript"/>
              </w:rPr>
              <w:t>1</w:t>
            </w:r>
          </w:p>
        </w:tc>
        <w:tc>
          <w:tcPr>
            <w:tcW w:w="160" w:type="dxa"/>
            <w:vAlign w:val="bottom"/>
            <w:tcBorders>
              <w:top w:val="single" w:sz="8" w:color="CCEEFF"/>
            </w:tcBorders>
            <w:shd w:val="clear" w:color="auto" w:fill="CCEEFF"/>
          </w:tcPr>
          <w:p>
            <w:pPr>
              <w:spacing w:after="0"/>
              <w:rPr>
                <w:sz w:val="15"/>
                <w:szCs w:val="15"/>
                <w:color w:val="auto"/>
              </w:rPr>
            </w:pPr>
          </w:p>
        </w:tc>
        <w:tc>
          <w:tcPr>
            <w:tcW w:w="760" w:type="dxa"/>
            <w:vAlign w:val="bottom"/>
            <w:tcBorders>
              <w:top w:val="single" w:sz="8" w:color="auto"/>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15"/>
                <w:szCs w:val="15"/>
                <w:color w:val="auto"/>
              </w:rPr>
            </w:pPr>
          </w:p>
        </w:tc>
        <w:tc>
          <w:tcPr>
            <w:tcW w:w="780" w:type="dxa"/>
            <w:vAlign w:val="bottom"/>
            <w:tcBorders>
              <w:top w:val="single" w:sz="8" w:color="auto"/>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15"/>
                <w:szCs w:val="15"/>
                <w:color w:val="auto"/>
              </w:rPr>
            </w:pPr>
          </w:p>
        </w:tc>
        <w:tc>
          <w:tcPr>
            <w:tcW w:w="780" w:type="dxa"/>
            <w:vAlign w:val="bottom"/>
            <w:tcBorders>
              <w:top w:val="single" w:sz="8" w:color="auto"/>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15"/>
                <w:szCs w:val="15"/>
                <w:color w:val="auto"/>
              </w:rPr>
            </w:pPr>
          </w:p>
        </w:tc>
        <w:tc>
          <w:tcPr>
            <w:tcW w:w="760" w:type="dxa"/>
            <w:vAlign w:val="bottom"/>
            <w:tcBorders>
              <w:top w:val="single" w:sz="8" w:color="auto"/>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15"/>
                <w:szCs w:val="15"/>
                <w:color w:val="auto"/>
              </w:rPr>
            </w:pPr>
          </w:p>
        </w:tc>
        <w:tc>
          <w:tcPr>
            <w:tcW w:w="780" w:type="dxa"/>
            <w:vAlign w:val="bottom"/>
            <w:tcBorders>
              <w:top w:val="single" w:sz="8" w:color="auto"/>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15"/>
                <w:szCs w:val="15"/>
                <w:color w:val="auto"/>
              </w:rPr>
            </w:pPr>
          </w:p>
        </w:tc>
        <w:tc>
          <w:tcPr>
            <w:tcW w:w="520" w:type="dxa"/>
            <w:vAlign w:val="bottom"/>
            <w:tcBorders>
              <w:top w:val="single" w:sz="8" w:color="auto"/>
            </w:tcBorders>
            <w:shd w:val="clear" w:color="auto" w:fill="CCEEFF"/>
          </w:tcPr>
          <w:p>
            <w:pPr>
              <w:spacing w:after="0"/>
              <w:rPr>
                <w:sz w:val="15"/>
                <w:szCs w:val="15"/>
                <w:color w:val="auto"/>
              </w:rPr>
            </w:pPr>
          </w:p>
        </w:tc>
        <w:tc>
          <w:tcPr>
            <w:tcW w:w="640" w:type="dxa"/>
            <w:vAlign w:val="bottom"/>
            <w:tcBorders>
              <w:top w:val="single" w:sz="8" w:color="auto"/>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15"/>
                <w:szCs w:val="15"/>
                <w:color w:val="auto"/>
              </w:rPr>
            </w:pPr>
          </w:p>
        </w:tc>
        <w:tc>
          <w:tcPr>
            <w:tcW w:w="520" w:type="dxa"/>
            <w:vAlign w:val="bottom"/>
            <w:tcBorders>
              <w:top w:val="single" w:sz="8" w:color="auto"/>
            </w:tcBorders>
            <w:shd w:val="clear" w:color="auto" w:fill="CCEEFF"/>
          </w:tcPr>
          <w:p>
            <w:pPr>
              <w:spacing w:after="0"/>
              <w:rPr>
                <w:sz w:val="15"/>
                <w:szCs w:val="15"/>
                <w:color w:val="auto"/>
              </w:rPr>
            </w:pPr>
          </w:p>
        </w:tc>
        <w:tc>
          <w:tcPr>
            <w:tcW w:w="640" w:type="dxa"/>
            <w:vAlign w:val="bottom"/>
            <w:tcBorders>
              <w:top w:val="single" w:sz="8" w:color="auto"/>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4100" w:type="dxa"/>
            <w:vAlign w:val="bottom"/>
            <w:gridSpan w:val="2"/>
          </w:tcPr>
          <w:p>
            <w:pPr>
              <w:ind w:left="180"/>
              <w:spacing w:after="0" w:line="135" w:lineRule="exact"/>
              <w:rPr>
                <w:sz w:val="20"/>
                <w:szCs w:val="20"/>
                <w:color w:val="auto"/>
              </w:rPr>
            </w:pPr>
            <w:r>
              <w:rPr>
                <w:rFonts w:ascii="Arial" w:cs="Arial" w:eastAsia="Arial" w:hAnsi="Arial"/>
                <w:sz w:val="14"/>
                <w:szCs w:val="14"/>
                <w:color w:val="auto"/>
                <w:w w:val="99"/>
              </w:rPr>
              <w:t>30-Year Agency Current Coupon Yield to 5-Year U.S. Treasury</w:t>
            </w:r>
          </w:p>
        </w:tc>
        <w:tc>
          <w:tcPr>
            <w:tcW w:w="760" w:type="dxa"/>
            <w:vAlign w:val="bottom"/>
            <w:vMerge w:val="restart"/>
          </w:tcPr>
          <w:p>
            <w:pPr>
              <w:jc w:val="center"/>
              <w:spacing w:after="0"/>
              <w:rPr>
                <w:sz w:val="20"/>
                <w:szCs w:val="20"/>
                <w:color w:val="auto"/>
              </w:rPr>
            </w:pPr>
            <w:r>
              <w:rPr>
                <w:rFonts w:ascii="Arial" w:cs="Arial" w:eastAsia="Arial" w:hAnsi="Arial"/>
                <w:sz w:val="14"/>
                <w:szCs w:val="14"/>
                <w:color w:val="auto"/>
                <w:w w:val="89"/>
              </w:rPr>
              <w:t>94</w:t>
            </w:r>
          </w:p>
        </w:tc>
        <w:tc>
          <w:tcPr>
            <w:tcW w:w="160" w:type="dxa"/>
            <w:vAlign w:val="bottom"/>
          </w:tcPr>
          <w:p>
            <w:pPr>
              <w:spacing w:after="0"/>
              <w:rPr>
                <w:sz w:val="11"/>
                <w:szCs w:val="11"/>
                <w:color w:val="auto"/>
              </w:rPr>
            </w:pPr>
          </w:p>
        </w:tc>
        <w:tc>
          <w:tcPr>
            <w:tcW w:w="780" w:type="dxa"/>
            <w:vAlign w:val="bottom"/>
            <w:vMerge w:val="restart"/>
          </w:tcPr>
          <w:p>
            <w:pPr>
              <w:jc w:val="center"/>
              <w:spacing w:after="0"/>
              <w:rPr>
                <w:sz w:val="20"/>
                <w:szCs w:val="20"/>
                <w:color w:val="auto"/>
              </w:rPr>
            </w:pPr>
            <w:r>
              <w:rPr>
                <w:rFonts w:ascii="Arial" w:cs="Arial" w:eastAsia="Arial" w:hAnsi="Arial"/>
                <w:sz w:val="14"/>
                <w:szCs w:val="14"/>
                <w:color w:val="auto"/>
                <w:w w:val="94"/>
              </w:rPr>
              <w:t>100</w:t>
            </w:r>
          </w:p>
        </w:tc>
        <w:tc>
          <w:tcPr>
            <w:tcW w:w="160" w:type="dxa"/>
            <w:vAlign w:val="bottom"/>
          </w:tcPr>
          <w:p>
            <w:pPr>
              <w:spacing w:after="0"/>
              <w:rPr>
                <w:sz w:val="11"/>
                <w:szCs w:val="11"/>
                <w:color w:val="auto"/>
              </w:rPr>
            </w:pPr>
          </w:p>
        </w:tc>
        <w:tc>
          <w:tcPr>
            <w:tcW w:w="780" w:type="dxa"/>
            <w:vAlign w:val="bottom"/>
            <w:vMerge w:val="restart"/>
          </w:tcPr>
          <w:p>
            <w:pPr>
              <w:jc w:val="center"/>
              <w:spacing w:after="0"/>
              <w:rPr>
                <w:sz w:val="20"/>
                <w:szCs w:val="20"/>
                <w:color w:val="auto"/>
              </w:rPr>
            </w:pPr>
            <w:r>
              <w:rPr>
                <w:rFonts w:ascii="Arial" w:cs="Arial" w:eastAsia="Arial" w:hAnsi="Arial"/>
                <w:sz w:val="14"/>
                <w:szCs w:val="14"/>
                <w:color w:val="auto"/>
                <w:w w:val="89"/>
              </w:rPr>
              <w:t>81</w:t>
            </w:r>
          </w:p>
        </w:tc>
        <w:tc>
          <w:tcPr>
            <w:tcW w:w="160" w:type="dxa"/>
            <w:vAlign w:val="bottom"/>
          </w:tcPr>
          <w:p>
            <w:pPr>
              <w:spacing w:after="0"/>
              <w:rPr>
                <w:sz w:val="11"/>
                <w:szCs w:val="11"/>
                <w:color w:val="auto"/>
              </w:rPr>
            </w:pPr>
          </w:p>
        </w:tc>
        <w:tc>
          <w:tcPr>
            <w:tcW w:w="760" w:type="dxa"/>
            <w:vAlign w:val="bottom"/>
            <w:vMerge w:val="restart"/>
          </w:tcPr>
          <w:p>
            <w:pPr>
              <w:jc w:val="center"/>
              <w:spacing w:after="0"/>
              <w:rPr>
                <w:sz w:val="20"/>
                <w:szCs w:val="20"/>
                <w:color w:val="auto"/>
              </w:rPr>
            </w:pPr>
            <w:r>
              <w:rPr>
                <w:rFonts w:ascii="Arial" w:cs="Arial" w:eastAsia="Arial" w:hAnsi="Arial"/>
                <w:sz w:val="14"/>
                <w:szCs w:val="14"/>
                <w:color w:val="auto"/>
                <w:w w:val="94"/>
              </w:rPr>
              <w:t>103</w:t>
            </w:r>
          </w:p>
        </w:tc>
        <w:tc>
          <w:tcPr>
            <w:tcW w:w="160" w:type="dxa"/>
            <w:vAlign w:val="bottom"/>
          </w:tcPr>
          <w:p>
            <w:pPr>
              <w:spacing w:after="0"/>
              <w:rPr>
                <w:sz w:val="11"/>
                <w:szCs w:val="11"/>
                <w:color w:val="auto"/>
              </w:rPr>
            </w:pPr>
          </w:p>
        </w:tc>
        <w:tc>
          <w:tcPr>
            <w:tcW w:w="780" w:type="dxa"/>
            <w:vAlign w:val="bottom"/>
            <w:vMerge w:val="restart"/>
          </w:tcPr>
          <w:p>
            <w:pPr>
              <w:jc w:val="center"/>
              <w:spacing w:after="0"/>
              <w:rPr>
                <w:sz w:val="20"/>
                <w:szCs w:val="20"/>
                <w:color w:val="auto"/>
              </w:rPr>
            </w:pPr>
            <w:r>
              <w:rPr>
                <w:rFonts w:ascii="Arial" w:cs="Arial" w:eastAsia="Arial" w:hAnsi="Arial"/>
                <w:sz w:val="14"/>
                <w:szCs w:val="14"/>
                <w:color w:val="auto"/>
                <w:w w:val="94"/>
              </w:rPr>
              <w:t>134</w:t>
            </w:r>
          </w:p>
        </w:tc>
        <w:tc>
          <w:tcPr>
            <w:tcW w:w="160" w:type="dxa"/>
            <w:vAlign w:val="bottom"/>
          </w:tcPr>
          <w:p>
            <w:pPr>
              <w:spacing w:after="0"/>
              <w:rPr>
                <w:sz w:val="11"/>
                <w:szCs w:val="11"/>
                <w:color w:val="auto"/>
              </w:rPr>
            </w:pPr>
          </w:p>
        </w:tc>
        <w:tc>
          <w:tcPr>
            <w:tcW w:w="1160" w:type="dxa"/>
            <w:vAlign w:val="bottom"/>
            <w:gridSpan w:val="2"/>
            <w:vMerge w:val="restart"/>
          </w:tcPr>
          <w:p>
            <w:pPr>
              <w:jc w:val="center"/>
              <w:spacing w:after="0"/>
              <w:rPr>
                <w:sz w:val="20"/>
                <w:szCs w:val="20"/>
                <w:color w:val="auto"/>
              </w:rPr>
            </w:pPr>
            <w:r>
              <w:rPr>
                <w:rFonts w:ascii="Arial" w:cs="Arial" w:eastAsia="Arial" w:hAnsi="Arial"/>
                <w:sz w:val="14"/>
                <w:szCs w:val="14"/>
                <w:color w:val="auto"/>
                <w:w w:val="92"/>
              </w:rPr>
              <w:t>+31</w:t>
            </w:r>
          </w:p>
        </w:tc>
        <w:tc>
          <w:tcPr>
            <w:tcW w:w="160" w:type="dxa"/>
            <w:vAlign w:val="bottom"/>
          </w:tcPr>
          <w:p>
            <w:pPr>
              <w:spacing w:after="0"/>
              <w:rPr>
                <w:sz w:val="11"/>
                <w:szCs w:val="11"/>
                <w:color w:val="auto"/>
              </w:rPr>
            </w:pPr>
          </w:p>
        </w:tc>
        <w:tc>
          <w:tcPr>
            <w:tcW w:w="1160" w:type="dxa"/>
            <w:vAlign w:val="bottom"/>
            <w:gridSpan w:val="2"/>
            <w:vMerge w:val="restart"/>
          </w:tcPr>
          <w:p>
            <w:pPr>
              <w:jc w:val="center"/>
              <w:spacing w:after="0"/>
              <w:rPr>
                <w:sz w:val="20"/>
                <w:szCs w:val="20"/>
                <w:color w:val="auto"/>
              </w:rPr>
            </w:pPr>
            <w:r>
              <w:rPr>
                <w:rFonts w:ascii="Arial" w:cs="Arial" w:eastAsia="Arial" w:hAnsi="Arial"/>
                <w:sz w:val="14"/>
                <w:szCs w:val="14"/>
                <w:color w:val="auto"/>
              </w:rPr>
              <w:t>+53</w:t>
            </w:r>
          </w:p>
        </w:tc>
        <w:tc>
          <w:tcPr>
            <w:tcW w:w="0" w:type="dxa"/>
            <w:vAlign w:val="bottom"/>
          </w:tcPr>
          <w:p>
            <w:pPr>
              <w:spacing w:after="0"/>
              <w:rPr>
                <w:sz w:val="1"/>
                <w:szCs w:val="1"/>
                <w:color w:val="auto"/>
              </w:rPr>
            </w:pPr>
          </w:p>
        </w:tc>
      </w:tr>
      <w:tr>
        <w:trPr>
          <w:trHeight w:val="186"/>
        </w:trPr>
        <w:tc>
          <w:tcPr>
            <w:tcW w:w="4100" w:type="dxa"/>
            <w:vAlign w:val="bottom"/>
            <w:gridSpan w:val="2"/>
          </w:tcPr>
          <w:p>
            <w:pPr>
              <w:ind w:left="180"/>
              <w:spacing w:after="0"/>
              <w:rPr>
                <w:sz w:val="20"/>
                <w:szCs w:val="20"/>
                <w:color w:val="auto"/>
              </w:rPr>
            </w:pPr>
            <w:r>
              <w:rPr>
                <w:rFonts w:ascii="Arial" w:cs="Arial" w:eastAsia="Arial" w:hAnsi="Arial"/>
                <w:sz w:val="14"/>
                <w:szCs w:val="14"/>
                <w:color w:val="auto"/>
              </w:rPr>
              <w:t>Spread</w:t>
            </w:r>
          </w:p>
        </w:tc>
        <w:tc>
          <w:tcPr>
            <w:tcW w:w="760" w:type="dxa"/>
            <w:vAlign w:val="bottom"/>
            <w:vMerge w:val="continue"/>
          </w:tcPr>
          <w:p>
            <w:pPr>
              <w:spacing w:after="0"/>
              <w:rPr>
                <w:sz w:val="16"/>
                <w:szCs w:val="16"/>
                <w:color w:val="auto"/>
              </w:rPr>
            </w:pPr>
          </w:p>
        </w:tc>
        <w:tc>
          <w:tcPr>
            <w:tcW w:w="160" w:type="dxa"/>
            <w:vAlign w:val="bottom"/>
          </w:tcPr>
          <w:p>
            <w:pPr>
              <w:spacing w:after="0"/>
              <w:rPr>
                <w:sz w:val="16"/>
                <w:szCs w:val="16"/>
                <w:color w:val="auto"/>
              </w:rPr>
            </w:pPr>
          </w:p>
        </w:tc>
        <w:tc>
          <w:tcPr>
            <w:tcW w:w="780" w:type="dxa"/>
            <w:vAlign w:val="bottom"/>
            <w:vMerge w:val="continue"/>
          </w:tcPr>
          <w:p>
            <w:pPr>
              <w:spacing w:after="0"/>
              <w:rPr>
                <w:sz w:val="16"/>
                <w:szCs w:val="16"/>
                <w:color w:val="auto"/>
              </w:rPr>
            </w:pPr>
          </w:p>
        </w:tc>
        <w:tc>
          <w:tcPr>
            <w:tcW w:w="160" w:type="dxa"/>
            <w:vAlign w:val="bottom"/>
          </w:tcPr>
          <w:p>
            <w:pPr>
              <w:spacing w:after="0"/>
              <w:rPr>
                <w:sz w:val="16"/>
                <w:szCs w:val="16"/>
                <w:color w:val="auto"/>
              </w:rPr>
            </w:pPr>
          </w:p>
        </w:tc>
        <w:tc>
          <w:tcPr>
            <w:tcW w:w="780" w:type="dxa"/>
            <w:vAlign w:val="bottom"/>
            <w:vMerge w:val="continue"/>
          </w:tcPr>
          <w:p>
            <w:pPr>
              <w:spacing w:after="0"/>
              <w:rPr>
                <w:sz w:val="16"/>
                <w:szCs w:val="16"/>
                <w:color w:val="auto"/>
              </w:rPr>
            </w:pPr>
          </w:p>
        </w:tc>
        <w:tc>
          <w:tcPr>
            <w:tcW w:w="160" w:type="dxa"/>
            <w:vAlign w:val="bottom"/>
          </w:tcPr>
          <w:p>
            <w:pPr>
              <w:spacing w:after="0"/>
              <w:rPr>
                <w:sz w:val="16"/>
                <w:szCs w:val="16"/>
                <w:color w:val="auto"/>
              </w:rPr>
            </w:pPr>
          </w:p>
        </w:tc>
        <w:tc>
          <w:tcPr>
            <w:tcW w:w="760" w:type="dxa"/>
            <w:vAlign w:val="bottom"/>
            <w:vMerge w:val="continue"/>
          </w:tcPr>
          <w:p>
            <w:pPr>
              <w:spacing w:after="0"/>
              <w:rPr>
                <w:sz w:val="16"/>
                <w:szCs w:val="16"/>
                <w:color w:val="auto"/>
              </w:rPr>
            </w:pPr>
          </w:p>
        </w:tc>
        <w:tc>
          <w:tcPr>
            <w:tcW w:w="160" w:type="dxa"/>
            <w:vAlign w:val="bottom"/>
          </w:tcPr>
          <w:p>
            <w:pPr>
              <w:spacing w:after="0"/>
              <w:rPr>
                <w:sz w:val="16"/>
                <w:szCs w:val="16"/>
                <w:color w:val="auto"/>
              </w:rPr>
            </w:pPr>
          </w:p>
        </w:tc>
        <w:tc>
          <w:tcPr>
            <w:tcW w:w="780" w:type="dxa"/>
            <w:vAlign w:val="bottom"/>
            <w:vMerge w:val="continue"/>
          </w:tcPr>
          <w:p>
            <w:pPr>
              <w:spacing w:after="0"/>
              <w:rPr>
                <w:sz w:val="16"/>
                <w:szCs w:val="16"/>
                <w:color w:val="auto"/>
              </w:rPr>
            </w:pPr>
          </w:p>
        </w:tc>
        <w:tc>
          <w:tcPr>
            <w:tcW w:w="160" w:type="dxa"/>
            <w:vAlign w:val="bottom"/>
          </w:tcPr>
          <w:p>
            <w:pPr>
              <w:spacing w:after="0"/>
              <w:rPr>
                <w:sz w:val="16"/>
                <w:szCs w:val="16"/>
                <w:color w:val="auto"/>
              </w:rPr>
            </w:pPr>
          </w:p>
        </w:tc>
        <w:tc>
          <w:tcPr>
            <w:tcW w:w="1160" w:type="dxa"/>
            <w:vAlign w:val="bottom"/>
            <w:gridSpan w:val="2"/>
            <w:vMerge w:val="continue"/>
          </w:tcPr>
          <w:p>
            <w:pPr>
              <w:spacing w:after="0"/>
              <w:rPr>
                <w:sz w:val="16"/>
                <w:szCs w:val="16"/>
                <w:color w:val="auto"/>
              </w:rPr>
            </w:pPr>
          </w:p>
        </w:tc>
        <w:tc>
          <w:tcPr>
            <w:tcW w:w="160" w:type="dxa"/>
            <w:vAlign w:val="bottom"/>
          </w:tcPr>
          <w:p>
            <w:pPr>
              <w:spacing w:after="0"/>
              <w:rPr>
                <w:sz w:val="16"/>
                <w:szCs w:val="16"/>
                <w:color w:val="auto"/>
              </w:rPr>
            </w:pPr>
          </w:p>
        </w:tc>
        <w:tc>
          <w:tcPr>
            <w:tcW w:w="116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410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30-Year Agency Current Coupon Yield</w:t>
            </w: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1.83%</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1.97%</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2.07%</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3.49%</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4.38%</w:t>
            </w:r>
          </w:p>
        </w:tc>
        <w:tc>
          <w:tcPr>
            <w:tcW w:w="160" w:type="dxa"/>
            <w:vAlign w:val="bottom"/>
            <w:shd w:val="clear" w:color="auto" w:fill="CCEEFF"/>
          </w:tcPr>
          <w:p>
            <w:pPr>
              <w:spacing w:after="0"/>
              <w:rPr>
                <w:sz w:val="16"/>
                <w:szCs w:val="16"/>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+89</w:t>
            </w:r>
          </w:p>
        </w:tc>
        <w:tc>
          <w:tcPr>
            <w:tcW w:w="800" w:type="dxa"/>
            <w:vAlign w:val="bottom"/>
            <w:gridSpan w:val="2"/>
            <w:shd w:val="clear" w:color="auto" w:fill="CCEEFF"/>
          </w:tcPr>
          <w:p>
            <w:pPr>
              <w:ind w:left="80"/>
              <w:spacing w:after="0"/>
              <w:rPr>
                <w:sz w:val="20"/>
                <w:szCs w:val="20"/>
                <w:color w:val="auto"/>
              </w:rPr>
            </w:pPr>
            <w:r>
              <w:rPr>
                <w:rFonts w:ascii="Arial" w:cs="Arial" w:eastAsia="Arial" w:hAnsi="Arial"/>
                <w:sz w:val="14"/>
                <w:szCs w:val="14"/>
                <w:color w:val="auto"/>
              </w:rPr>
              <w:t>bps</w:t>
            </w: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+231</w:t>
            </w:r>
          </w:p>
        </w:tc>
        <w:tc>
          <w:tcPr>
            <w:tcW w:w="640" w:type="dxa"/>
            <w:vAlign w:val="bottom"/>
            <w:shd w:val="clear" w:color="auto" w:fill="CCEEFF"/>
          </w:tcPr>
          <w:p>
            <w:pPr>
              <w:ind w:left="8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186"/>
        </w:trPr>
        <w:tc>
          <w:tcPr>
            <w:tcW w:w="4100" w:type="dxa"/>
            <w:vAlign w:val="bottom"/>
            <w:gridSpan w:val="2"/>
          </w:tcPr>
          <w:p>
            <w:pPr>
              <w:ind w:left="180"/>
              <w:spacing w:after="0"/>
              <w:rPr>
                <w:sz w:val="20"/>
                <w:szCs w:val="20"/>
                <w:color w:val="auto"/>
              </w:rPr>
            </w:pPr>
            <w:r>
              <w:rPr>
                <w:rFonts w:ascii="Arial" w:cs="Arial" w:eastAsia="Arial" w:hAnsi="Arial"/>
                <w:sz w:val="14"/>
                <w:szCs w:val="14"/>
                <w:color w:val="auto"/>
              </w:rPr>
              <w:t>30-Year Mortgage Rate</w:t>
            </w: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3.13%</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3.18%</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3.27%</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4.90%</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5.83%</w:t>
            </w:r>
          </w:p>
        </w:tc>
        <w:tc>
          <w:tcPr>
            <w:tcW w:w="160" w:type="dxa"/>
            <w:vAlign w:val="bottom"/>
          </w:tcPr>
          <w:p>
            <w:pPr>
              <w:spacing w:after="0"/>
              <w:rPr>
                <w:sz w:val="16"/>
                <w:szCs w:val="16"/>
                <w:color w:val="auto"/>
              </w:rPr>
            </w:pPr>
          </w:p>
        </w:tc>
        <w:tc>
          <w:tcPr>
            <w:tcW w:w="520" w:type="dxa"/>
            <w:vAlign w:val="bottom"/>
          </w:tcPr>
          <w:p>
            <w:pPr>
              <w:jc w:val="right"/>
              <w:spacing w:after="0"/>
              <w:rPr>
                <w:sz w:val="20"/>
                <w:szCs w:val="20"/>
                <w:color w:val="auto"/>
              </w:rPr>
            </w:pPr>
            <w:r>
              <w:rPr>
                <w:rFonts w:ascii="Arial" w:cs="Arial" w:eastAsia="Arial" w:hAnsi="Arial"/>
                <w:sz w:val="14"/>
                <w:szCs w:val="14"/>
                <w:color w:val="auto"/>
              </w:rPr>
              <w:t>+93</w:t>
            </w:r>
          </w:p>
        </w:tc>
        <w:tc>
          <w:tcPr>
            <w:tcW w:w="800" w:type="dxa"/>
            <w:vAlign w:val="bottom"/>
            <w:gridSpan w:val="2"/>
          </w:tcPr>
          <w:p>
            <w:pPr>
              <w:ind w:left="80"/>
              <w:spacing w:after="0"/>
              <w:rPr>
                <w:sz w:val="20"/>
                <w:szCs w:val="20"/>
                <w:color w:val="auto"/>
              </w:rPr>
            </w:pPr>
            <w:r>
              <w:rPr>
                <w:rFonts w:ascii="Arial" w:cs="Arial" w:eastAsia="Arial" w:hAnsi="Arial"/>
                <w:sz w:val="14"/>
                <w:szCs w:val="14"/>
                <w:color w:val="auto"/>
              </w:rPr>
              <w:t>bps</w:t>
            </w:r>
          </w:p>
        </w:tc>
        <w:tc>
          <w:tcPr>
            <w:tcW w:w="520" w:type="dxa"/>
            <w:vAlign w:val="bottom"/>
          </w:tcPr>
          <w:p>
            <w:pPr>
              <w:jc w:val="right"/>
              <w:spacing w:after="0"/>
              <w:rPr>
                <w:sz w:val="20"/>
                <w:szCs w:val="20"/>
                <w:color w:val="auto"/>
              </w:rPr>
            </w:pPr>
            <w:r>
              <w:rPr>
                <w:rFonts w:ascii="Arial" w:cs="Arial" w:eastAsia="Arial" w:hAnsi="Arial"/>
                <w:sz w:val="14"/>
                <w:szCs w:val="14"/>
                <w:color w:val="auto"/>
              </w:rPr>
              <w:t>+256</w:t>
            </w:r>
          </w:p>
        </w:tc>
        <w:tc>
          <w:tcPr>
            <w:tcW w:w="640" w:type="dxa"/>
            <w:vAlign w:val="bottom"/>
          </w:tcPr>
          <w:p>
            <w:pPr>
              <w:ind w:left="8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192"/>
        </w:trPr>
        <w:tc>
          <w:tcPr>
            <w:tcW w:w="4100" w:type="dxa"/>
            <w:vAlign w:val="bottom"/>
            <w:gridSpan w:val="2"/>
            <w:shd w:val="clear" w:color="auto" w:fill="CCEEFF"/>
          </w:tcPr>
          <w:p>
            <w:pPr>
              <w:ind w:left="20"/>
              <w:spacing w:after="0" w:line="193" w:lineRule="exact"/>
              <w:rPr>
                <w:sz w:val="20"/>
                <w:szCs w:val="20"/>
                <w:color w:val="auto"/>
              </w:rPr>
            </w:pPr>
            <w:r>
              <w:rPr>
                <w:rFonts w:ascii="Arial" w:cs="Arial" w:eastAsia="Arial" w:hAnsi="Arial"/>
                <w:sz w:val="14"/>
                <w:szCs w:val="14"/>
                <w:b w:val="1"/>
                <w:bCs w:val="1"/>
                <w:color w:val="auto"/>
              </w:rPr>
              <w:t xml:space="preserve">Credit Spread (in bps): </w:t>
            </w:r>
            <w:r>
              <w:rPr>
                <w:rFonts w:ascii="Arial" w:cs="Arial" w:eastAsia="Arial" w:hAnsi="Arial"/>
                <w:sz w:val="18"/>
                <w:szCs w:val="18"/>
                <w:b w:val="1"/>
                <w:bCs w:val="1"/>
                <w:color w:val="auto"/>
                <w:vertAlign w:val="superscript"/>
              </w:rPr>
              <w:t>2</w:t>
            </w:r>
          </w:p>
        </w:tc>
        <w:tc>
          <w:tcPr>
            <w:tcW w:w="7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4100" w:type="dxa"/>
            <w:vAlign w:val="bottom"/>
            <w:gridSpan w:val="2"/>
          </w:tcPr>
          <w:p>
            <w:pPr>
              <w:ind w:left="180"/>
              <w:spacing w:after="0"/>
              <w:rPr>
                <w:sz w:val="20"/>
                <w:szCs w:val="20"/>
                <w:color w:val="auto"/>
              </w:rPr>
            </w:pPr>
            <w:r>
              <w:rPr>
                <w:rFonts w:ascii="Arial" w:cs="Arial" w:eastAsia="Arial" w:hAnsi="Arial"/>
                <w:sz w:val="14"/>
                <w:szCs w:val="14"/>
                <w:color w:val="auto"/>
              </w:rPr>
              <w:t>CRT M2</w:t>
            </w:r>
          </w:p>
        </w:tc>
        <w:tc>
          <w:tcPr>
            <w:tcW w:w="760" w:type="dxa"/>
            <w:vAlign w:val="bottom"/>
          </w:tcPr>
          <w:p>
            <w:pPr>
              <w:jc w:val="center"/>
              <w:spacing w:after="0"/>
              <w:rPr>
                <w:sz w:val="20"/>
                <w:szCs w:val="20"/>
                <w:color w:val="auto"/>
              </w:rPr>
            </w:pPr>
            <w:r>
              <w:rPr>
                <w:rFonts w:ascii="Arial" w:cs="Arial" w:eastAsia="Arial" w:hAnsi="Arial"/>
                <w:sz w:val="14"/>
                <w:szCs w:val="14"/>
                <w:color w:val="auto"/>
                <w:w w:val="94"/>
              </w:rPr>
              <w:t>165</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4"/>
              </w:rPr>
              <w:t>166</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4"/>
              </w:rPr>
              <w:t>175</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4"/>
              </w:rPr>
              <w:t>385</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4"/>
              </w:rPr>
              <w:t>540</w:t>
            </w:r>
          </w:p>
        </w:tc>
        <w:tc>
          <w:tcPr>
            <w:tcW w:w="160" w:type="dxa"/>
            <w:vAlign w:val="bottom"/>
          </w:tcPr>
          <w:p>
            <w:pPr>
              <w:spacing w:after="0"/>
              <w:rPr>
                <w:sz w:val="16"/>
                <w:szCs w:val="16"/>
                <w:color w:val="auto"/>
              </w:rPr>
            </w:pPr>
          </w:p>
        </w:tc>
        <w:tc>
          <w:tcPr>
            <w:tcW w:w="1160" w:type="dxa"/>
            <w:vAlign w:val="bottom"/>
            <w:gridSpan w:val="2"/>
          </w:tcPr>
          <w:p>
            <w:pPr>
              <w:jc w:val="center"/>
              <w:spacing w:after="0"/>
              <w:rPr>
                <w:sz w:val="20"/>
                <w:szCs w:val="20"/>
                <w:color w:val="auto"/>
              </w:rPr>
            </w:pPr>
            <w:r>
              <w:rPr>
                <w:rFonts w:ascii="Arial" w:cs="Arial" w:eastAsia="Arial" w:hAnsi="Arial"/>
                <w:sz w:val="14"/>
                <w:szCs w:val="14"/>
                <w:color w:val="auto"/>
                <w:w w:val="94"/>
              </w:rPr>
              <w:t>+155</w:t>
            </w:r>
          </w:p>
        </w:tc>
        <w:tc>
          <w:tcPr>
            <w:tcW w:w="160" w:type="dxa"/>
            <w:vAlign w:val="bottom"/>
          </w:tcPr>
          <w:p>
            <w:pPr>
              <w:spacing w:after="0"/>
              <w:rPr>
                <w:sz w:val="16"/>
                <w:szCs w:val="16"/>
                <w:color w:val="auto"/>
              </w:rPr>
            </w:pPr>
          </w:p>
        </w:tc>
        <w:tc>
          <w:tcPr>
            <w:tcW w:w="1160" w:type="dxa"/>
            <w:vAlign w:val="bottom"/>
            <w:gridSpan w:val="2"/>
          </w:tcPr>
          <w:p>
            <w:pPr>
              <w:jc w:val="center"/>
              <w:spacing w:after="0"/>
              <w:rPr>
                <w:sz w:val="20"/>
                <w:szCs w:val="20"/>
                <w:color w:val="auto"/>
              </w:rPr>
            </w:pPr>
            <w:r>
              <w:rPr>
                <w:rFonts w:ascii="Arial" w:cs="Arial" w:eastAsia="Arial" w:hAnsi="Arial"/>
                <w:sz w:val="14"/>
                <w:szCs w:val="14"/>
                <w:color w:val="auto"/>
                <w:w w:val="88"/>
              </w:rPr>
              <w:t>+365</w:t>
            </w:r>
          </w:p>
        </w:tc>
        <w:tc>
          <w:tcPr>
            <w:tcW w:w="0" w:type="dxa"/>
            <w:vAlign w:val="bottom"/>
          </w:tcPr>
          <w:p>
            <w:pPr>
              <w:spacing w:after="0"/>
              <w:rPr>
                <w:sz w:val="1"/>
                <w:szCs w:val="1"/>
                <w:color w:val="auto"/>
              </w:rPr>
            </w:pPr>
          </w:p>
        </w:tc>
      </w:tr>
      <w:tr>
        <w:trPr>
          <w:trHeight w:val="192"/>
        </w:trPr>
        <w:tc>
          <w:tcPr>
            <w:tcW w:w="410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CMBS AAA</w:t>
            </w: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65</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66</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68</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96</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122</w:t>
            </w:r>
          </w:p>
        </w:tc>
        <w:tc>
          <w:tcPr>
            <w:tcW w:w="16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2"/>
              </w:rPr>
              <w:t>+26</w:t>
            </w:r>
          </w:p>
        </w:tc>
        <w:tc>
          <w:tcPr>
            <w:tcW w:w="16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rPr>
              <w:t>+54</w:t>
            </w:r>
          </w:p>
        </w:tc>
        <w:tc>
          <w:tcPr>
            <w:tcW w:w="0" w:type="dxa"/>
            <w:vAlign w:val="bottom"/>
          </w:tcPr>
          <w:p>
            <w:pPr>
              <w:spacing w:after="0"/>
              <w:rPr>
                <w:sz w:val="1"/>
                <w:szCs w:val="1"/>
                <w:color w:val="auto"/>
              </w:rPr>
            </w:pPr>
          </w:p>
        </w:tc>
      </w:tr>
      <w:tr>
        <w:trPr>
          <w:trHeight w:val="182"/>
        </w:trPr>
        <w:tc>
          <w:tcPr>
            <w:tcW w:w="4100" w:type="dxa"/>
            <w:vAlign w:val="bottom"/>
            <w:gridSpan w:val="2"/>
          </w:tcPr>
          <w:p>
            <w:pPr>
              <w:ind w:left="180"/>
              <w:spacing w:after="0"/>
              <w:rPr>
                <w:sz w:val="20"/>
                <w:szCs w:val="20"/>
                <w:color w:val="auto"/>
              </w:rPr>
            </w:pPr>
            <w:r>
              <w:rPr>
                <w:rFonts w:ascii="Arial" w:cs="Arial" w:eastAsia="Arial" w:hAnsi="Arial"/>
                <w:sz w:val="14"/>
                <w:szCs w:val="14"/>
                <w:color w:val="auto"/>
              </w:rPr>
              <w:t>CDX IG</w:t>
            </w:r>
          </w:p>
        </w:tc>
        <w:tc>
          <w:tcPr>
            <w:tcW w:w="760" w:type="dxa"/>
            <w:vAlign w:val="bottom"/>
          </w:tcPr>
          <w:p>
            <w:pPr>
              <w:jc w:val="center"/>
              <w:spacing w:after="0"/>
              <w:rPr>
                <w:sz w:val="20"/>
                <w:szCs w:val="20"/>
                <w:color w:val="auto"/>
              </w:rPr>
            </w:pPr>
            <w:r>
              <w:rPr>
                <w:rFonts w:ascii="Arial" w:cs="Arial" w:eastAsia="Arial" w:hAnsi="Arial"/>
                <w:sz w:val="14"/>
                <w:szCs w:val="14"/>
                <w:color w:val="auto"/>
                <w:w w:val="89"/>
              </w:rPr>
              <w:t>48</w:t>
            </w:r>
          </w:p>
        </w:tc>
        <w:tc>
          <w:tcPr>
            <w:tcW w:w="160" w:type="dxa"/>
            <w:vAlign w:val="bottom"/>
          </w:tcPr>
          <w:p>
            <w:pPr>
              <w:spacing w:after="0"/>
              <w:rPr>
                <w:sz w:val="15"/>
                <w:szCs w:val="15"/>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89"/>
              </w:rPr>
              <w:t>53</w:t>
            </w:r>
          </w:p>
        </w:tc>
        <w:tc>
          <w:tcPr>
            <w:tcW w:w="160" w:type="dxa"/>
            <w:vAlign w:val="bottom"/>
          </w:tcPr>
          <w:p>
            <w:pPr>
              <w:spacing w:after="0"/>
              <w:rPr>
                <w:sz w:val="15"/>
                <w:szCs w:val="15"/>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89"/>
              </w:rPr>
              <w:t>49</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89"/>
              </w:rPr>
              <w:t>67</w:t>
            </w:r>
          </w:p>
        </w:tc>
        <w:tc>
          <w:tcPr>
            <w:tcW w:w="160" w:type="dxa"/>
            <w:vAlign w:val="bottom"/>
          </w:tcPr>
          <w:p>
            <w:pPr>
              <w:spacing w:after="0"/>
              <w:rPr>
                <w:sz w:val="15"/>
                <w:szCs w:val="15"/>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4"/>
              </w:rPr>
              <w:t>101</w:t>
            </w:r>
          </w:p>
        </w:tc>
        <w:tc>
          <w:tcPr>
            <w:tcW w:w="160" w:type="dxa"/>
            <w:vAlign w:val="bottom"/>
          </w:tcPr>
          <w:p>
            <w:pPr>
              <w:spacing w:after="0"/>
              <w:rPr>
                <w:sz w:val="15"/>
                <w:szCs w:val="15"/>
                <w:color w:val="auto"/>
              </w:rPr>
            </w:pPr>
          </w:p>
        </w:tc>
        <w:tc>
          <w:tcPr>
            <w:tcW w:w="1160" w:type="dxa"/>
            <w:vAlign w:val="bottom"/>
            <w:gridSpan w:val="2"/>
          </w:tcPr>
          <w:p>
            <w:pPr>
              <w:jc w:val="center"/>
              <w:spacing w:after="0"/>
              <w:rPr>
                <w:sz w:val="20"/>
                <w:szCs w:val="20"/>
                <w:color w:val="auto"/>
              </w:rPr>
            </w:pPr>
            <w:r>
              <w:rPr>
                <w:rFonts w:ascii="Arial" w:cs="Arial" w:eastAsia="Arial" w:hAnsi="Arial"/>
                <w:sz w:val="14"/>
                <w:szCs w:val="14"/>
                <w:color w:val="auto"/>
                <w:w w:val="92"/>
              </w:rPr>
              <w:t>+34</w:t>
            </w:r>
          </w:p>
        </w:tc>
        <w:tc>
          <w:tcPr>
            <w:tcW w:w="160" w:type="dxa"/>
            <w:vAlign w:val="bottom"/>
          </w:tcPr>
          <w:p>
            <w:pPr>
              <w:spacing w:after="0"/>
              <w:rPr>
                <w:sz w:val="15"/>
                <w:szCs w:val="15"/>
                <w:color w:val="auto"/>
              </w:rPr>
            </w:pPr>
          </w:p>
        </w:tc>
        <w:tc>
          <w:tcPr>
            <w:tcW w:w="1160" w:type="dxa"/>
            <w:vAlign w:val="bottom"/>
            <w:gridSpan w:val="2"/>
          </w:tcPr>
          <w:p>
            <w:pPr>
              <w:jc w:val="center"/>
              <w:spacing w:after="0"/>
              <w:rPr>
                <w:sz w:val="20"/>
                <w:szCs w:val="20"/>
                <w:color w:val="auto"/>
              </w:rPr>
            </w:pPr>
            <w:r>
              <w:rPr>
                <w:rFonts w:ascii="Arial" w:cs="Arial" w:eastAsia="Arial" w:hAnsi="Arial"/>
                <w:sz w:val="14"/>
                <w:szCs w:val="14"/>
                <w:color w:val="auto"/>
              </w:rPr>
              <w:t>+52</w:t>
            </w:r>
          </w:p>
        </w:tc>
        <w:tc>
          <w:tcPr>
            <w:tcW w:w="0" w:type="dxa"/>
            <w:vAlign w:val="bottom"/>
          </w:tcPr>
          <w:p>
            <w:pPr>
              <w:spacing w:after="0"/>
              <w:rPr>
                <w:sz w:val="1"/>
                <w:szCs w:val="1"/>
                <w:color w:val="auto"/>
              </w:rPr>
            </w:pPr>
          </w:p>
        </w:tc>
      </w:tr>
    </w:tbl>
    <w:p>
      <w:pPr>
        <w:spacing w:after="0" w:line="92"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spacing w:after="0" w:line="54" w:lineRule="exact"/>
        <w:rPr>
          <w:sz w:val="20"/>
          <w:szCs w:val="20"/>
          <w:color w:val="auto"/>
        </w:rPr>
      </w:pPr>
    </w:p>
    <w:p>
      <w:pPr>
        <w:ind w:left="660" w:hanging="328"/>
        <w:spacing w:after="0"/>
        <w:tabs>
          <w:tab w:leader="none" w:pos="660" w:val="left"/>
        </w:tabs>
        <w:numPr>
          <w:ilvl w:val="0"/>
          <w:numId w:val="20"/>
        </w:numPr>
        <w:rPr>
          <w:rFonts w:ascii="Arial" w:cs="Arial" w:eastAsia="Arial" w:hAnsi="Arial"/>
          <w:sz w:val="13"/>
          <w:szCs w:val="13"/>
          <w:color w:val="auto"/>
        </w:rPr>
      </w:pPr>
      <w:r>
        <w:rPr>
          <w:rFonts w:ascii="Arial" w:cs="Arial" w:eastAsia="Arial" w:hAnsi="Arial"/>
          <w:sz w:val="13"/>
          <w:szCs w:val="13"/>
          <w:color w:val="auto"/>
        </w:rPr>
        <w:t>30-Year Current Coupon Yield represents yield on new production Agency RMBS. 30-Year Current Coupon Yield and 30-Year Mortgage Rate are sourced from Bloomberg.</w:t>
      </w:r>
    </w:p>
    <w:p>
      <w:pPr>
        <w:spacing w:after="0" w:line="24" w:lineRule="exact"/>
        <w:rPr>
          <w:rFonts w:ascii="Arial" w:cs="Arial" w:eastAsia="Arial" w:hAnsi="Arial"/>
          <w:sz w:val="13"/>
          <w:szCs w:val="13"/>
          <w:color w:val="auto"/>
        </w:rPr>
      </w:pPr>
    </w:p>
    <w:p>
      <w:pPr>
        <w:ind w:left="660" w:hanging="328"/>
        <w:spacing w:after="0" w:line="255" w:lineRule="auto"/>
        <w:tabs>
          <w:tab w:leader="none" w:pos="660" w:val="left"/>
        </w:tabs>
        <w:numPr>
          <w:ilvl w:val="0"/>
          <w:numId w:val="20"/>
        </w:numPr>
        <w:rPr>
          <w:rFonts w:ascii="Arial" w:cs="Arial" w:eastAsia="Arial" w:hAnsi="Arial"/>
          <w:sz w:val="14"/>
          <w:szCs w:val="14"/>
          <w:color w:val="auto"/>
        </w:rPr>
      </w:pPr>
      <w:r>
        <w:rPr>
          <w:rFonts w:ascii="Arial" w:cs="Arial" w:eastAsia="Arial" w:hAnsi="Arial"/>
          <w:sz w:val="14"/>
          <w:szCs w:val="14"/>
          <w:color w:val="auto"/>
        </w:rPr>
        <w:t>CRT and CMBS spreads are averages of JP Morgan, Bank of America and Wells Fargo. CRT spreads are discount margins. CMBS spreads are spreads to the swap curve. CDX spreads are sourced from JP Morgan.</w:t>
      </w:r>
    </w:p>
    <w:p>
      <w:pPr>
        <w:spacing w:after="0" w:line="200" w:lineRule="exact"/>
        <w:rPr>
          <w:sz w:val="20"/>
          <w:szCs w:val="20"/>
          <w:color w:val="auto"/>
        </w:rPr>
      </w:pPr>
    </w:p>
    <w:p>
      <w:pPr>
        <w:spacing w:after="0" w:line="32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28" w:name="page29"/>
    <w:bookmarkEnd w:id="28"/>
    <w:p>
      <w:pPr>
        <w:spacing w:after="0"/>
        <w:rPr>
          <w:sz w:val="20"/>
          <w:szCs w:val="20"/>
          <w:color w:val="auto"/>
        </w:rPr>
      </w:pPr>
      <w:r>
        <w:rPr>
          <w:rFonts w:ascii="Arial" w:cs="Arial" w:eastAsia="Arial" w:hAnsi="Arial"/>
          <w:sz w:val="18"/>
          <w:szCs w:val="18"/>
          <w:b w:val="1"/>
          <w:bCs w:val="1"/>
          <w:color w:val="auto"/>
        </w:rPr>
        <w:t>FINANCIAL CONDITION</w:t>
      </w:r>
    </w:p>
    <w:p>
      <w:pPr>
        <w:spacing w:after="0" w:line="175" w:lineRule="exact"/>
        <w:rPr>
          <w:sz w:val="20"/>
          <w:szCs w:val="20"/>
          <w:color w:val="auto"/>
        </w:rPr>
      </w:pPr>
    </w:p>
    <w:p>
      <w:pPr>
        <w:jc w:val="both"/>
        <w:ind w:firstLine="445"/>
        <w:spacing w:after="0" w:line="259" w:lineRule="auto"/>
        <w:rPr>
          <w:sz w:val="20"/>
          <w:szCs w:val="20"/>
          <w:color w:val="auto"/>
        </w:rPr>
      </w:pPr>
      <w:r>
        <w:rPr>
          <w:rFonts w:ascii="Arial" w:cs="Arial" w:eastAsia="Arial" w:hAnsi="Arial"/>
          <w:sz w:val="18"/>
          <w:szCs w:val="18"/>
          <w:color w:val="auto"/>
        </w:rPr>
        <w:t>As of June 30, 2022 and December 31, 2021, our investment portfolio totaled $61.3 billion and $82.0 billion, respectively, consisting of: $45.4 billion and $54.4 billion investment securities, at fair value, respectively; $15.9 billion and $27.1 billion net TBA securities, at fair value, respectively; and, as of December 31, 2021, $0.4 billion forward settling non-Agency securities, at fair value. The following table is a summary of our investment portfolio as of June 30, 2022 and December 31, 2021 (dollars in millions):</w:t>
      </w:r>
    </w:p>
    <w:p>
      <w:pPr>
        <w:spacing w:after="0" w:line="16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3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900" w:type="dxa"/>
            <w:vAlign w:val="bottom"/>
            <w:tcBorders>
              <w:bottom w:val="single" w:sz="8" w:color="auto"/>
            </w:tcBorders>
            <w:gridSpan w:val="4"/>
          </w:tcPr>
          <w:p>
            <w:pPr>
              <w:ind w:left="280"/>
              <w:spacing w:after="0"/>
              <w:rPr>
                <w:sz w:val="20"/>
                <w:szCs w:val="20"/>
                <w:color w:val="auto"/>
              </w:rPr>
            </w:pPr>
            <w:r>
              <w:rPr>
                <w:rFonts w:ascii="Arial" w:cs="Arial" w:eastAsia="Arial" w:hAnsi="Arial"/>
                <w:sz w:val="14"/>
                <w:szCs w:val="14"/>
                <w:b w:val="1"/>
                <w:bCs w:val="1"/>
                <w:color w:val="auto"/>
              </w:rPr>
              <w:t>June 30, 2022</w:t>
            </w:r>
          </w:p>
        </w:tc>
        <w:tc>
          <w:tcPr>
            <w:tcW w:w="680" w:type="dxa"/>
            <w:vAlign w:val="bottom"/>
            <w:tcBorders>
              <w:bottom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920" w:type="dxa"/>
            <w:vAlign w:val="bottom"/>
            <w:tcBorders>
              <w:bottom w:val="single" w:sz="8" w:color="auto"/>
            </w:tcBorders>
            <w:gridSpan w:val="4"/>
          </w:tcPr>
          <w:p>
            <w:pPr>
              <w:ind w:left="120"/>
              <w:spacing w:after="0"/>
              <w:rPr>
                <w:sz w:val="20"/>
                <w:szCs w:val="20"/>
                <w:color w:val="auto"/>
              </w:rPr>
            </w:pPr>
            <w:r>
              <w:rPr>
                <w:rFonts w:ascii="Arial" w:cs="Arial" w:eastAsia="Arial" w:hAnsi="Arial"/>
                <w:sz w:val="14"/>
                <w:szCs w:val="14"/>
                <w:b w:val="1"/>
                <w:bCs w:val="1"/>
                <w:color w:val="auto"/>
              </w:rPr>
              <w:t>December 31, 2021</w:t>
            </w:r>
          </w:p>
        </w:tc>
        <w:tc>
          <w:tcPr>
            <w:tcW w:w="6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352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Investment Portfolio (Includes TBAs)</w:t>
            </w:r>
          </w:p>
        </w:tc>
        <w:tc>
          <w:tcPr>
            <w:tcW w:w="120" w:type="dxa"/>
            <w:vAlign w:val="bottom"/>
          </w:tcPr>
          <w:p>
            <w:pPr>
              <w:spacing w:after="0"/>
              <w:rPr>
                <w:sz w:val="11"/>
                <w:szCs w:val="11"/>
                <w:color w:val="auto"/>
              </w:rPr>
            </w:pPr>
          </w:p>
        </w:tc>
        <w:tc>
          <w:tcPr>
            <w:tcW w:w="960" w:type="dxa"/>
            <w:vAlign w:val="bottom"/>
            <w:gridSpan w:val="2"/>
          </w:tcPr>
          <w:p>
            <w:pPr>
              <w:jc w:val="center"/>
              <w:ind w:right="220"/>
              <w:spacing w:after="0" w:line="135" w:lineRule="exact"/>
              <w:rPr>
                <w:sz w:val="20"/>
                <w:szCs w:val="20"/>
                <w:color w:val="auto"/>
              </w:rPr>
            </w:pPr>
            <w:r>
              <w:rPr>
                <w:rFonts w:ascii="Arial" w:cs="Arial" w:eastAsia="Arial" w:hAnsi="Arial"/>
                <w:sz w:val="14"/>
                <w:szCs w:val="14"/>
                <w:b w:val="1"/>
                <w:bCs w:val="1"/>
                <w:color w:val="auto"/>
                <w:w w:val="96"/>
              </w:rPr>
              <w:t>Amortized</w:t>
            </w:r>
          </w:p>
        </w:tc>
        <w:tc>
          <w:tcPr>
            <w:tcW w:w="100" w:type="dxa"/>
            <w:vAlign w:val="bottom"/>
          </w:tcPr>
          <w:p>
            <w:pPr>
              <w:spacing w:after="0"/>
              <w:rPr>
                <w:sz w:val="11"/>
                <w:szCs w:val="11"/>
                <w:color w:val="auto"/>
              </w:rPr>
            </w:pPr>
          </w:p>
        </w:tc>
        <w:tc>
          <w:tcPr>
            <w:tcW w:w="84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Fair Value</w:t>
            </w:r>
          </w:p>
        </w:tc>
        <w:tc>
          <w:tcPr>
            <w:tcW w:w="1060" w:type="dxa"/>
            <w:vAlign w:val="bottom"/>
            <w:gridSpan w:val="2"/>
          </w:tcPr>
          <w:p>
            <w:pPr>
              <w:ind w:left="240"/>
              <w:spacing w:after="0" w:line="135" w:lineRule="exact"/>
              <w:rPr>
                <w:sz w:val="20"/>
                <w:szCs w:val="20"/>
                <w:color w:val="auto"/>
              </w:rPr>
            </w:pPr>
            <w:r>
              <w:rPr>
                <w:rFonts w:ascii="Arial" w:cs="Arial" w:eastAsia="Arial" w:hAnsi="Arial"/>
                <w:sz w:val="14"/>
                <w:szCs w:val="14"/>
                <w:b w:val="1"/>
                <w:bCs w:val="1"/>
                <w:color w:val="auto"/>
              </w:rPr>
              <w:t>Average</w:t>
            </w:r>
          </w:p>
        </w:tc>
        <w:tc>
          <w:tcPr>
            <w:tcW w:w="680" w:type="dxa"/>
            <w:vAlign w:val="bottom"/>
            <w:vMerge w:val="restart"/>
          </w:tcPr>
          <w:p>
            <w:pPr>
              <w:jc w:val="right"/>
              <w:ind w:right="188"/>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60" w:type="dxa"/>
            <w:vAlign w:val="bottom"/>
            <w:gridSpan w:val="2"/>
          </w:tcPr>
          <w:p>
            <w:pPr>
              <w:jc w:val="center"/>
              <w:ind w:right="240"/>
              <w:spacing w:after="0" w:line="135" w:lineRule="exact"/>
              <w:rPr>
                <w:sz w:val="20"/>
                <w:szCs w:val="20"/>
                <w:color w:val="auto"/>
              </w:rPr>
            </w:pPr>
            <w:r>
              <w:rPr>
                <w:rFonts w:ascii="Arial" w:cs="Arial" w:eastAsia="Arial" w:hAnsi="Arial"/>
                <w:sz w:val="14"/>
                <w:szCs w:val="14"/>
                <w:b w:val="1"/>
                <w:bCs w:val="1"/>
                <w:color w:val="auto"/>
                <w:w w:val="93"/>
              </w:rPr>
              <w:t>Amortized</w:t>
            </w:r>
          </w:p>
        </w:tc>
        <w:tc>
          <w:tcPr>
            <w:tcW w:w="100" w:type="dxa"/>
            <w:vAlign w:val="bottom"/>
          </w:tcPr>
          <w:p>
            <w:pPr>
              <w:spacing w:after="0"/>
              <w:rPr>
                <w:sz w:val="11"/>
                <w:szCs w:val="11"/>
                <w:color w:val="auto"/>
              </w:rPr>
            </w:pPr>
          </w:p>
        </w:tc>
        <w:tc>
          <w:tcPr>
            <w:tcW w:w="84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Fair Value</w:t>
            </w:r>
          </w:p>
        </w:tc>
        <w:tc>
          <w:tcPr>
            <w:tcW w:w="1080" w:type="dxa"/>
            <w:vAlign w:val="bottom"/>
            <w:gridSpan w:val="2"/>
          </w:tcPr>
          <w:p>
            <w:pPr>
              <w:ind w:left="240"/>
              <w:spacing w:after="0" w:line="135" w:lineRule="exact"/>
              <w:rPr>
                <w:sz w:val="20"/>
                <w:szCs w:val="20"/>
                <w:color w:val="auto"/>
              </w:rPr>
            </w:pPr>
            <w:r>
              <w:rPr>
                <w:rFonts w:ascii="Arial" w:cs="Arial" w:eastAsia="Arial" w:hAnsi="Arial"/>
                <w:sz w:val="14"/>
                <w:szCs w:val="14"/>
                <w:b w:val="1"/>
                <w:bCs w:val="1"/>
                <w:color w:val="auto"/>
              </w:rPr>
              <w:t>Average</w:t>
            </w:r>
          </w:p>
        </w:tc>
        <w:tc>
          <w:tcPr>
            <w:tcW w:w="680" w:type="dxa"/>
            <w:vAlign w:val="bottom"/>
            <w:vMerge w:val="restart"/>
          </w:tcPr>
          <w:p>
            <w:pPr>
              <w:jc w:val="right"/>
              <w:ind w:right="188"/>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88"/>
        </w:trPr>
        <w:tc>
          <w:tcPr>
            <w:tcW w:w="352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96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9"/>
              </w:rPr>
              <w:t>Cost</w:t>
            </w:r>
          </w:p>
        </w:tc>
        <w:tc>
          <w:tcPr>
            <w:tcW w:w="100" w:type="dxa"/>
            <w:vAlign w:val="bottom"/>
          </w:tcPr>
          <w:p>
            <w:pPr>
              <w:spacing w:after="0"/>
              <w:rPr>
                <w:sz w:val="16"/>
                <w:szCs w:val="16"/>
                <w:color w:val="auto"/>
              </w:rPr>
            </w:pPr>
          </w:p>
        </w:tc>
        <w:tc>
          <w:tcPr>
            <w:tcW w:w="840" w:type="dxa"/>
            <w:vAlign w:val="bottom"/>
            <w:gridSpan w:val="2"/>
            <w:vMerge w:val="continue"/>
          </w:tcPr>
          <w:p>
            <w:pPr>
              <w:spacing w:after="0"/>
              <w:rPr>
                <w:sz w:val="16"/>
                <w:szCs w:val="16"/>
                <w:color w:val="auto"/>
              </w:rPr>
            </w:pPr>
          </w:p>
        </w:tc>
        <w:tc>
          <w:tcPr>
            <w:tcW w:w="1060" w:type="dxa"/>
            <w:vAlign w:val="bottom"/>
            <w:gridSpan w:val="2"/>
          </w:tcPr>
          <w:p>
            <w:pPr>
              <w:ind w:left="240"/>
              <w:spacing w:after="0"/>
              <w:rPr>
                <w:sz w:val="20"/>
                <w:szCs w:val="20"/>
                <w:color w:val="auto"/>
              </w:rPr>
            </w:pPr>
            <w:r>
              <w:rPr>
                <w:rFonts w:ascii="Arial" w:cs="Arial" w:eastAsia="Arial" w:hAnsi="Arial"/>
                <w:sz w:val="14"/>
                <w:szCs w:val="14"/>
                <w:b w:val="1"/>
                <w:bCs w:val="1"/>
                <w:color w:val="auto"/>
              </w:rPr>
              <w:t>Coupon</w:t>
            </w:r>
          </w:p>
        </w:tc>
        <w:tc>
          <w:tcPr>
            <w:tcW w:w="680" w:type="dxa"/>
            <w:vAlign w:val="bottom"/>
            <w:vMerge w:val="continue"/>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6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9"/>
              </w:rPr>
              <w:t>Cost</w:t>
            </w:r>
          </w:p>
        </w:tc>
        <w:tc>
          <w:tcPr>
            <w:tcW w:w="100" w:type="dxa"/>
            <w:vAlign w:val="bottom"/>
          </w:tcPr>
          <w:p>
            <w:pPr>
              <w:spacing w:after="0"/>
              <w:rPr>
                <w:sz w:val="16"/>
                <w:szCs w:val="16"/>
                <w:color w:val="auto"/>
              </w:rPr>
            </w:pPr>
          </w:p>
        </w:tc>
        <w:tc>
          <w:tcPr>
            <w:tcW w:w="840" w:type="dxa"/>
            <w:vAlign w:val="bottom"/>
            <w:gridSpan w:val="2"/>
            <w:vMerge w:val="continue"/>
          </w:tcPr>
          <w:p>
            <w:pPr>
              <w:spacing w:after="0"/>
              <w:rPr>
                <w:sz w:val="16"/>
                <w:szCs w:val="16"/>
                <w:color w:val="auto"/>
              </w:rPr>
            </w:pPr>
          </w:p>
        </w:tc>
        <w:tc>
          <w:tcPr>
            <w:tcW w:w="1080" w:type="dxa"/>
            <w:vAlign w:val="bottom"/>
            <w:gridSpan w:val="2"/>
          </w:tcPr>
          <w:p>
            <w:pPr>
              <w:ind w:left="240"/>
              <w:spacing w:after="0"/>
              <w:rPr>
                <w:sz w:val="20"/>
                <w:szCs w:val="20"/>
                <w:color w:val="auto"/>
              </w:rPr>
            </w:pPr>
            <w:r>
              <w:rPr>
                <w:rFonts w:ascii="Arial" w:cs="Arial" w:eastAsia="Arial" w:hAnsi="Arial"/>
                <w:sz w:val="14"/>
                <w:szCs w:val="14"/>
                <w:b w:val="1"/>
                <w:bCs w:val="1"/>
                <w:color w:val="auto"/>
              </w:rPr>
              <w:t>Coupon</w:t>
            </w:r>
          </w:p>
        </w:tc>
        <w:tc>
          <w:tcPr>
            <w:tcW w:w="6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84"/>
        </w:trPr>
        <w:tc>
          <w:tcPr>
            <w:tcW w:w="33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Fixed rate Agency RMBS and TBA securities:</w:t>
            </w:r>
          </w:p>
        </w:tc>
        <w:tc>
          <w:tcPr>
            <w:tcW w:w="16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spacing w:after="0"/>
              <w:rPr>
                <w:sz w:val="15"/>
                <w:szCs w:val="15"/>
                <w:color w:val="auto"/>
              </w:rPr>
            </w:pPr>
          </w:p>
        </w:tc>
        <w:tc>
          <w:tcPr>
            <w:tcW w:w="84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spacing w:after="0"/>
              <w:rPr>
                <w:sz w:val="15"/>
                <w:szCs w:val="15"/>
                <w:color w:val="auto"/>
              </w:rPr>
            </w:pPr>
          </w:p>
        </w:tc>
        <w:tc>
          <w:tcPr>
            <w:tcW w:w="74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96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680" w:type="dxa"/>
            <w:vAlign w:val="bottom"/>
            <w:tcBorders>
              <w:top w:val="single" w:sz="8" w:color="auto"/>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spacing w:after="0"/>
              <w:rPr>
                <w:sz w:val="15"/>
                <w:szCs w:val="15"/>
                <w:color w:val="auto"/>
              </w:rPr>
            </w:pPr>
          </w:p>
        </w:tc>
        <w:tc>
          <w:tcPr>
            <w:tcW w:w="86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spacing w:after="0"/>
              <w:rPr>
                <w:sz w:val="15"/>
                <w:szCs w:val="15"/>
                <w:color w:val="auto"/>
              </w:rPr>
            </w:pPr>
          </w:p>
        </w:tc>
        <w:tc>
          <w:tcPr>
            <w:tcW w:w="74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98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680" w:type="dxa"/>
            <w:vAlign w:val="bottom"/>
            <w:tcBorders>
              <w:top w:val="single" w:sz="8" w:color="auto"/>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6"/>
        </w:trPr>
        <w:tc>
          <w:tcPr>
            <w:tcW w:w="3520" w:type="dxa"/>
            <w:vAlign w:val="bottom"/>
            <w:gridSpan w:val="2"/>
          </w:tcPr>
          <w:p>
            <w:pPr>
              <w:ind w:left="140"/>
              <w:spacing w:after="0"/>
              <w:rPr>
                <w:sz w:val="20"/>
                <w:szCs w:val="20"/>
                <w:color w:val="auto"/>
              </w:rPr>
            </w:pPr>
            <w:r>
              <w:rPr>
                <w:rFonts w:ascii="Arial" w:cs="Arial" w:eastAsia="Arial" w:hAnsi="Arial"/>
                <w:sz w:val="14"/>
                <w:szCs w:val="14"/>
                <w:color w:val="auto"/>
              </w:rPr>
              <w:t>≤ 15-year:</w:t>
            </w:r>
          </w:p>
        </w:tc>
        <w:tc>
          <w:tcPr>
            <w:tcW w:w="1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3520" w:type="dxa"/>
            <w:vAlign w:val="bottom"/>
            <w:gridSpan w:val="2"/>
            <w:shd w:val="clear" w:color="auto" w:fill="CCEEFF"/>
          </w:tcPr>
          <w:p>
            <w:pPr>
              <w:ind w:left="300"/>
              <w:spacing w:after="0"/>
              <w:rPr>
                <w:sz w:val="20"/>
                <w:szCs w:val="20"/>
                <w:color w:val="auto"/>
              </w:rPr>
            </w:pPr>
            <w:r>
              <w:rPr>
                <w:rFonts w:ascii="Arial" w:cs="Arial" w:eastAsia="Arial" w:hAnsi="Arial"/>
                <w:sz w:val="14"/>
                <w:szCs w:val="14"/>
                <w:color w:val="auto"/>
              </w:rPr>
              <w:t>≤ 15-year RMBS</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1,905</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1,843</w:t>
            </w:r>
          </w:p>
        </w:tc>
        <w:tc>
          <w:tcPr>
            <w:tcW w:w="10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3.25 %</w:t>
            </w:r>
          </w:p>
        </w:tc>
        <w:tc>
          <w:tcPr>
            <w:tcW w:w="10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3 %</w:t>
            </w:r>
          </w:p>
        </w:tc>
        <w:tc>
          <w:tcPr>
            <w:tcW w:w="16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2,570</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2,652</w:t>
            </w:r>
          </w:p>
        </w:tc>
        <w:tc>
          <w:tcPr>
            <w:tcW w:w="10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3.27 %</w:t>
            </w:r>
          </w:p>
        </w:tc>
        <w:tc>
          <w:tcPr>
            <w:tcW w:w="10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3 %</w:t>
            </w:r>
          </w:p>
        </w:tc>
        <w:tc>
          <w:tcPr>
            <w:tcW w:w="0" w:type="dxa"/>
            <w:vAlign w:val="bottom"/>
          </w:tcPr>
          <w:p>
            <w:pPr>
              <w:spacing w:after="0"/>
              <w:rPr>
                <w:sz w:val="1"/>
                <w:szCs w:val="1"/>
                <w:color w:val="auto"/>
              </w:rPr>
            </w:pPr>
          </w:p>
        </w:tc>
      </w:tr>
      <w:tr>
        <w:trPr>
          <w:trHeight w:val="189"/>
        </w:trPr>
        <w:tc>
          <w:tcPr>
            <w:tcW w:w="3520" w:type="dxa"/>
            <w:vAlign w:val="bottom"/>
            <w:gridSpan w:val="2"/>
          </w:tcPr>
          <w:p>
            <w:pPr>
              <w:ind w:left="260"/>
              <w:spacing w:after="0" w:line="189" w:lineRule="exact"/>
              <w:rPr>
                <w:sz w:val="20"/>
                <w:szCs w:val="20"/>
                <w:color w:val="auto"/>
              </w:rPr>
            </w:pPr>
            <w:r>
              <w:rPr>
                <w:rFonts w:ascii="Arial" w:cs="Arial" w:eastAsia="Arial" w:hAnsi="Arial"/>
                <w:sz w:val="14"/>
                <w:szCs w:val="14"/>
                <w:color w:val="auto"/>
              </w:rPr>
              <w:t xml:space="preserve">15-year TBA securities, net </w:t>
            </w:r>
            <w:r>
              <w:rPr>
                <w:rFonts w:ascii="Arial" w:cs="Arial" w:eastAsia="Arial" w:hAnsi="Arial"/>
                <w:sz w:val="18"/>
                <w:szCs w:val="18"/>
                <w:color w:val="auto"/>
                <w:vertAlign w:val="superscript"/>
              </w:rPr>
              <w:t>1</w:t>
            </w: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104</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104</w:t>
            </w:r>
          </w:p>
        </w:tc>
        <w:tc>
          <w:tcPr>
            <w:tcW w:w="10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3.50 %</w:t>
            </w:r>
          </w:p>
        </w:tc>
        <w:tc>
          <w:tcPr>
            <w:tcW w:w="100" w:type="dxa"/>
            <w:vAlign w:val="bottom"/>
          </w:tcPr>
          <w:p>
            <w:pPr>
              <w:spacing w:after="0"/>
              <w:rPr>
                <w:sz w:val="16"/>
                <w:szCs w:val="16"/>
                <w:color w:val="auto"/>
              </w:rPr>
            </w:pPr>
          </w:p>
        </w:tc>
        <w:tc>
          <w:tcPr>
            <w:tcW w:w="840" w:type="dxa"/>
            <w:vAlign w:val="bottom"/>
            <w:gridSpan w:val="2"/>
          </w:tcPr>
          <w:p>
            <w:pPr>
              <w:jc w:val="right"/>
              <w:ind w:right="180"/>
              <w:spacing w:after="0"/>
              <w:rPr>
                <w:sz w:val="20"/>
                <w:szCs w:val="20"/>
                <w:color w:val="auto"/>
              </w:rPr>
            </w:pPr>
            <w:r>
              <w:rPr>
                <w:rFonts w:ascii="Arial" w:cs="Arial" w:eastAsia="Arial" w:hAnsi="Arial"/>
                <w:sz w:val="14"/>
                <w:szCs w:val="14"/>
                <w:color w:val="auto"/>
              </w:rPr>
              <w:t>— %</w:t>
            </w:r>
          </w:p>
        </w:tc>
        <w:tc>
          <w:tcPr>
            <w:tcW w:w="140" w:type="dxa"/>
            <w:vAlign w:val="bottom"/>
          </w:tcPr>
          <w:p>
            <w:pPr>
              <w:spacing w:after="0"/>
              <w:rPr>
                <w:sz w:val="16"/>
                <w:szCs w:val="16"/>
                <w:color w:val="auto"/>
              </w:rPr>
            </w:pPr>
          </w:p>
        </w:tc>
        <w:tc>
          <w:tcPr>
            <w:tcW w:w="860" w:type="dxa"/>
            <w:vAlign w:val="bottom"/>
          </w:tcPr>
          <w:p>
            <w:pPr>
              <w:jc w:val="right"/>
              <w:ind w:right="8"/>
              <w:spacing w:after="0"/>
              <w:rPr>
                <w:sz w:val="20"/>
                <w:szCs w:val="20"/>
                <w:color w:val="auto"/>
              </w:rPr>
            </w:pPr>
            <w:r>
              <w:rPr>
                <w:rFonts w:ascii="Arial" w:cs="Arial" w:eastAsia="Arial" w:hAnsi="Arial"/>
                <w:sz w:val="14"/>
                <w:szCs w:val="14"/>
                <w:color w:val="auto"/>
              </w:rPr>
              <w:t>2,056</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2,059</w:t>
            </w:r>
          </w:p>
        </w:tc>
        <w:tc>
          <w:tcPr>
            <w:tcW w:w="10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1.71 %</w:t>
            </w:r>
          </w:p>
        </w:tc>
        <w:tc>
          <w:tcPr>
            <w:tcW w:w="1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3 %</w:t>
            </w:r>
          </w:p>
        </w:tc>
        <w:tc>
          <w:tcPr>
            <w:tcW w:w="0" w:type="dxa"/>
            <w:vAlign w:val="bottom"/>
          </w:tcPr>
          <w:p>
            <w:pPr>
              <w:spacing w:after="0"/>
              <w:rPr>
                <w:sz w:val="1"/>
                <w:szCs w:val="1"/>
                <w:color w:val="auto"/>
              </w:rPr>
            </w:pPr>
          </w:p>
        </w:tc>
      </w:tr>
      <w:tr>
        <w:trPr>
          <w:trHeight w:val="183"/>
        </w:trPr>
        <w:tc>
          <w:tcPr>
            <w:tcW w:w="3520" w:type="dxa"/>
            <w:vAlign w:val="bottom"/>
            <w:tcBorders>
              <w:top w:val="single" w:sz="8" w:color="CCEEFF"/>
            </w:tcBorders>
            <w:gridSpan w:val="2"/>
            <w:shd w:val="clear" w:color="auto" w:fill="CCEEFF"/>
          </w:tcPr>
          <w:p>
            <w:pPr>
              <w:ind w:left="100"/>
              <w:spacing w:after="0"/>
              <w:rPr>
                <w:sz w:val="20"/>
                <w:szCs w:val="20"/>
                <w:color w:val="auto"/>
              </w:rPr>
            </w:pPr>
            <w:r>
              <w:rPr>
                <w:rFonts w:ascii="Arial" w:cs="Arial" w:eastAsia="Arial" w:hAnsi="Arial"/>
                <w:sz w:val="14"/>
                <w:szCs w:val="14"/>
                <w:color w:val="auto"/>
              </w:rPr>
              <w:t>Total ≤ 15-year</w:t>
            </w:r>
          </w:p>
        </w:tc>
        <w:tc>
          <w:tcPr>
            <w:tcW w:w="120" w:type="dxa"/>
            <w:vAlign w:val="bottom"/>
            <w:tcBorders>
              <w:top w:val="single" w:sz="8" w:color="auto"/>
            </w:tcBorders>
            <w:shd w:val="clear" w:color="auto" w:fill="CCEEFF"/>
          </w:tcPr>
          <w:p>
            <w:pPr>
              <w:spacing w:after="0"/>
              <w:rPr>
                <w:sz w:val="15"/>
                <w:szCs w:val="15"/>
                <w:color w:val="auto"/>
              </w:rPr>
            </w:pP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2,009</w:t>
            </w:r>
          </w:p>
        </w:tc>
        <w:tc>
          <w:tcPr>
            <w:tcW w:w="12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spacing w:after="0"/>
              <w:rPr>
                <w:sz w:val="15"/>
                <w:szCs w:val="15"/>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1,947</w:t>
            </w:r>
          </w:p>
        </w:tc>
        <w:tc>
          <w:tcPr>
            <w:tcW w:w="100" w:type="dxa"/>
            <w:vAlign w:val="bottom"/>
            <w:tcBorders>
              <w:top w:val="single" w:sz="8" w:color="CCEEFF"/>
            </w:tcBorders>
            <w:shd w:val="clear" w:color="auto" w:fill="CCEEFF"/>
          </w:tcPr>
          <w:p>
            <w:pPr>
              <w:spacing w:after="0"/>
              <w:rPr>
                <w:sz w:val="15"/>
                <w:szCs w:val="15"/>
                <w:color w:val="auto"/>
              </w:rPr>
            </w:pPr>
          </w:p>
        </w:tc>
        <w:tc>
          <w:tcPr>
            <w:tcW w:w="9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3.27 %</w:t>
            </w:r>
          </w:p>
        </w:tc>
        <w:tc>
          <w:tcPr>
            <w:tcW w:w="100" w:type="dxa"/>
            <w:vAlign w:val="bottom"/>
            <w:tcBorders>
              <w:top w:val="single" w:sz="8" w:color="CCEEFF"/>
            </w:tcBorders>
            <w:shd w:val="clear" w:color="auto" w:fill="CCEEFF"/>
          </w:tcPr>
          <w:p>
            <w:pPr>
              <w:spacing w:after="0"/>
              <w:rPr>
                <w:sz w:val="15"/>
                <w:szCs w:val="15"/>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3 %</w:t>
            </w:r>
          </w:p>
        </w:tc>
        <w:tc>
          <w:tcPr>
            <w:tcW w:w="16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spacing w:after="0"/>
              <w:rPr>
                <w:sz w:val="15"/>
                <w:szCs w:val="15"/>
                <w:color w:val="auto"/>
              </w:rPr>
            </w:pPr>
          </w:p>
        </w:tc>
        <w:tc>
          <w:tcPr>
            <w:tcW w:w="86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4,626</w:t>
            </w:r>
          </w:p>
        </w:tc>
        <w:tc>
          <w:tcPr>
            <w:tcW w:w="10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spacing w:after="0"/>
              <w:rPr>
                <w:sz w:val="15"/>
                <w:szCs w:val="15"/>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4,711</w:t>
            </w:r>
          </w:p>
        </w:tc>
        <w:tc>
          <w:tcPr>
            <w:tcW w:w="100" w:type="dxa"/>
            <w:vAlign w:val="bottom"/>
            <w:tcBorders>
              <w:top w:val="single" w:sz="8" w:color="CCEEFF"/>
            </w:tcBorders>
            <w:shd w:val="clear" w:color="auto" w:fill="CCEEFF"/>
          </w:tcPr>
          <w:p>
            <w:pPr>
              <w:spacing w:after="0"/>
              <w:rPr>
                <w:sz w:val="15"/>
                <w:szCs w:val="15"/>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2.57 %</w:t>
            </w:r>
          </w:p>
        </w:tc>
        <w:tc>
          <w:tcPr>
            <w:tcW w:w="100" w:type="dxa"/>
            <w:vAlign w:val="bottom"/>
            <w:tcBorders>
              <w:top w:val="single" w:sz="8" w:color="CCEEFF"/>
            </w:tcBorders>
            <w:shd w:val="clear" w:color="auto" w:fill="CCEEFF"/>
          </w:tcPr>
          <w:p>
            <w:pPr>
              <w:spacing w:after="0"/>
              <w:rPr>
                <w:sz w:val="15"/>
                <w:szCs w:val="15"/>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6 %</w:t>
            </w:r>
          </w:p>
        </w:tc>
        <w:tc>
          <w:tcPr>
            <w:tcW w:w="0" w:type="dxa"/>
            <w:vAlign w:val="bottom"/>
          </w:tcPr>
          <w:p>
            <w:pPr>
              <w:spacing w:after="0"/>
              <w:rPr>
                <w:sz w:val="1"/>
                <w:szCs w:val="1"/>
                <w:color w:val="auto"/>
              </w:rPr>
            </w:pPr>
          </w:p>
        </w:tc>
      </w:tr>
      <w:tr>
        <w:trPr>
          <w:trHeight w:val="186"/>
        </w:trPr>
        <w:tc>
          <w:tcPr>
            <w:tcW w:w="3520" w:type="dxa"/>
            <w:vAlign w:val="bottom"/>
            <w:gridSpan w:val="2"/>
          </w:tcPr>
          <w:p>
            <w:pPr>
              <w:ind w:left="100"/>
              <w:spacing w:after="0"/>
              <w:rPr>
                <w:sz w:val="20"/>
                <w:szCs w:val="20"/>
                <w:color w:val="auto"/>
              </w:rPr>
            </w:pPr>
            <w:r>
              <w:rPr>
                <w:rFonts w:ascii="Arial" w:cs="Arial" w:eastAsia="Arial" w:hAnsi="Arial"/>
                <w:sz w:val="14"/>
                <w:szCs w:val="14"/>
                <w:color w:val="auto"/>
              </w:rPr>
              <w:t>20-year RMBS</w:t>
            </w: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1,801</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1,613</w:t>
            </w:r>
          </w:p>
        </w:tc>
        <w:tc>
          <w:tcPr>
            <w:tcW w:w="10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2.50 %</w:t>
            </w:r>
          </w:p>
        </w:tc>
        <w:tc>
          <w:tcPr>
            <w:tcW w:w="1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3 %</w:t>
            </w: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tcPr>
          <w:p>
            <w:pPr>
              <w:jc w:val="right"/>
              <w:ind w:right="8"/>
              <w:spacing w:after="0"/>
              <w:rPr>
                <w:sz w:val="20"/>
                <w:szCs w:val="20"/>
                <w:color w:val="auto"/>
              </w:rPr>
            </w:pPr>
            <w:r>
              <w:rPr>
                <w:rFonts w:ascii="Arial" w:cs="Arial" w:eastAsia="Arial" w:hAnsi="Arial"/>
                <w:sz w:val="14"/>
                <w:szCs w:val="14"/>
                <w:color w:val="auto"/>
              </w:rPr>
              <w:t>1,948</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1,942</w:t>
            </w:r>
          </w:p>
        </w:tc>
        <w:tc>
          <w:tcPr>
            <w:tcW w:w="10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2.52 %</w:t>
            </w:r>
          </w:p>
        </w:tc>
        <w:tc>
          <w:tcPr>
            <w:tcW w:w="1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2 %</w:t>
            </w:r>
          </w:p>
        </w:tc>
        <w:tc>
          <w:tcPr>
            <w:tcW w:w="0" w:type="dxa"/>
            <w:vAlign w:val="bottom"/>
          </w:tcPr>
          <w:p>
            <w:pPr>
              <w:spacing w:after="0"/>
              <w:rPr>
                <w:sz w:val="1"/>
                <w:szCs w:val="1"/>
                <w:color w:val="auto"/>
              </w:rPr>
            </w:pPr>
          </w:p>
        </w:tc>
      </w:tr>
      <w:tr>
        <w:trPr>
          <w:trHeight w:val="192"/>
        </w:trPr>
        <w:tc>
          <w:tcPr>
            <w:tcW w:w="3520" w:type="dxa"/>
            <w:vAlign w:val="bottom"/>
            <w:gridSpan w:val="2"/>
            <w:shd w:val="clear" w:color="auto" w:fill="CCEEFF"/>
          </w:tcPr>
          <w:p>
            <w:pPr>
              <w:ind w:left="100"/>
              <w:spacing w:after="0"/>
              <w:rPr>
                <w:sz w:val="20"/>
                <w:szCs w:val="20"/>
                <w:color w:val="auto"/>
              </w:rPr>
            </w:pPr>
            <w:r>
              <w:rPr>
                <w:rFonts w:ascii="Arial" w:cs="Arial" w:eastAsia="Arial" w:hAnsi="Arial"/>
                <w:sz w:val="14"/>
                <w:szCs w:val="14"/>
                <w:color w:val="auto"/>
              </w:rPr>
              <w:t>30-year:</w:t>
            </w: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3520" w:type="dxa"/>
            <w:vAlign w:val="bottom"/>
            <w:gridSpan w:val="2"/>
          </w:tcPr>
          <w:p>
            <w:pPr>
              <w:ind w:left="260"/>
              <w:spacing w:after="0"/>
              <w:rPr>
                <w:sz w:val="20"/>
                <w:szCs w:val="20"/>
                <w:color w:val="auto"/>
              </w:rPr>
            </w:pPr>
            <w:r>
              <w:rPr>
                <w:rFonts w:ascii="Arial" w:cs="Arial" w:eastAsia="Arial" w:hAnsi="Arial"/>
                <w:sz w:val="14"/>
                <w:szCs w:val="14"/>
                <w:color w:val="auto"/>
              </w:rPr>
              <w:t>30-year RMBS</w:t>
            </w: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43,031</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39,926</w:t>
            </w:r>
          </w:p>
        </w:tc>
        <w:tc>
          <w:tcPr>
            <w:tcW w:w="10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3.32 %</w:t>
            </w:r>
          </w:p>
        </w:tc>
        <w:tc>
          <w:tcPr>
            <w:tcW w:w="1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65 %</w:t>
            </w: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tcPr>
          <w:p>
            <w:pPr>
              <w:jc w:val="right"/>
              <w:ind w:right="8"/>
              <w:spacing w:after="0"/>
              <w:rPr>
                <w:sz w:val="20"/>
                <w:szCs w:val="20"/>
                <w:color w:val="auto"/>
              </w:rPr>
            </w:pPr>
            <w:r>
              <w:rPr>
                <w:rFonts w:ascii="Arial" w:cs="Arial" w:eastAsia="Arial" w:hAnsi="Arial"/>
                <w:sz w:val="14"/>
                <w:szCs w:val="14"/>
                <w:color w:val="auto"/>
              </w:rPr>
              <w:t>47,028</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47,695</w:t>
            </w:r>
          </w:p>
        </w:tc>
        <w:tc>
          <w:tcPr>
            <w:tcW w:w="10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3.04 %</w:t>
            </w:r>
          </w:p>
        </w:tc>
        <w:tc>
          <w:tcPr>
            <w:tcW w:w="1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58 %</w:t>
            </w:r>
          </w:p>
        </w:tc>
        <w:tc>
          <w:tcPr>
            <w:tcW w:w="0" w:type="dxa"/>
            <w:vAlign w:val="bottom"/>
          </w:tcPr>
          <w:p>
            <w:pPr>
              <w:spacing w:after="0"/>
              <w:rPr>
                <w:sz w:val="1"/>
                <w:szCs w:val="1"/>
                <w:color w:val="auto"/>
              </w:rPr>
            </w:pPr>
          </w:p>
        </w:tc>
      </w:tr>
      <w:tr>
        <w:trPr>
          <w:trHeight w:val="192"/>
        </w:trPr>
        <w:tc>
          <w:tcPr>
            <w:tcW w:w="3520" w:type="dxa"/>
            <w:vAlign w:val="bottom"/>
            <w:gridSpan w:val="2"/>
            <w:shd w:val="clear" w:color="auto" w:fill="CCEEFF"/>
          </w:tcPr>
          <w:p>
            <w:pPr>
              <w:ind w:left="260"/>
              <w:spacing w:after="0" w:line="193" w:lineRule="exact"/>
              <w:rPr>
                <w:sz w:val="20"/>
                <w:szCs w:val="20"/>
                <w:color w:val="auto"/>
              </w:rPr>
            </w:pPr>
            <w:r>
              <w:rPr>
                <w:rFonts w:ascii="Arial" w:cs="Arial" w:eastAsia="Arial" w:hAnsi="Arial"/>
                <w:sz w:val="14"/>
                <w:szCs w:val="14"/>
                <w:color w:val="auto"/>
              </w:rPr>
              <w:t xml:space="preserve">30-year TBA securities, net </w:t>
            </w:r>
            <w:r>
              <w:rPr>
                <w:rFonts w:ascii="Arial" w:cs="Arial" w:eastAsia="Arial" w:hAnsi="Arial"/>
                <w:sz w:val="18"/>
                <w:szCs w:val="18"/>
                <w:color w:val="auto"/>
                <w:vertAlign w:val="superscript"/>
              </w:rPr>
              <w:t>1</w:t>
            </w:r>
          </w:p>
        </w:tc>
        <w:tc>
          <w:tcPr>
            <w:tcW w:w="120" w:type="dxa"/>
            <w:vAlign w:val="bottom"/>
            <w:tcBorders>
              <w:bottom w:val="single" w:sz="8" w:color="auto"/>
            </w:tcBorders>
            <w:shd w:val="clear" w:color="auto" w:fill="CCEEFF"/>
          </w:tcPr>
          <w:p>
            <w:pPr>
              <w:spacing w:after="0"/>
              <w:rPr>
                <w:sz w:val="16"/>
                <w:szCs w:val="16"/>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15,897</w:t>
            </w:r>
          </w:p>
        </w:tc>
        <w:tc>
          <w:tcPr>
            <w:tcW w:w="120" w:type="dxa"/>
            <w:vAlign w:val="bottom"/>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15,789</w:t>
            </w:r>
          </w:p>
        </w:tc>
        <w:tc>
          <w:tcPr>
            <w:tcW w:w="100" w:type="dxa"/>
            <w:vAlign w:val="bottom"/>
            <w:shd w:val="clear" w:color="auto" w:fill="CCEEFF"/>
          </w:tcPr>
          <w:p>
            <w:pPr>
              <w:spacing w:after="0"/>
              <w:rPr>
                <w:sz w:val="16"/>
                <w:szCs w:val="16"/>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4.42 %</w:t>
            </w:r>
          </w:p>
        </w:tc>
        <w:tc>
          <w:tcPr>
            <w:tcW w:w="100" w:type="dxa"/>
            <w:vAlign w:val="bottom"/>
            <w:shd w:val="clear" w:color="auto" w:fill="CCEEFF"/>
          </w:tcPr>
          <w:p>
            <w:pPr>
              <w:spacing w:after="0"/>
              <w:rPr>
                <w:sz w:val="16"/>
                <w:szCs w:val="16"/>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26 %</w:t>
            </w:r>
          </w:p>
        </w:tc>
        <w:tc>
          <w:tcPr>
            <w:tcW w:w="16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8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25,128</w:t>
            </w:r>
          </w:p>
        </w:tc>
        <w:tc>
          <w:tcPr>
            <w:tcW w:w="100" w:type="dxa"/>
            <w:vAlign w:val="bottom"/>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25,081</w:t>
            </w:r>
          </w:p>
        </w:tc>
        <w:tc>
          <w:tcPr>
            <w:tcW w:w="100" w:type="dxa"/>
            <w:vAlign w:val="bottom"/>
            <w:shd w:val="clear" w:color="auto" w:fill="CCEEFF"/>
          </w:tcPr>
          <w:p>
            <w:pPr>
              <w:spacing w:after="0"/>
              <w:rPr>
                <w:sz w:val="16"/>
                <w:szCs w:val="16"/>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2.54 %</w:t>
            </w:r>
          </w:p>
        </w:tc>
        <w:tc>
          <w:tcPr>
            <w:tcW w:w="100" w:type="dxa"/>
            <w:vAlign w:val="bottom"/>
            <w:shd w:val="clear" w:color="auto" w:fill="CCEEFF"/>
          </w:tcPr>
          <w:p>
            <w:pPr>
              <w:spacing w:after="0"/>
              <w:rPr>
                <w:sz w:val="16"/>
                <w:szCs w:val="16"/>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31 %</w:t>
            </w:r>
          </w:p>
        </w:tc>
        <w:tc>
          <w:tcPr>
            <w:tcW w:w="0" w:type="dxa"/>
            <w:vAlign w:val="bottom"/>
          </w:tcPr>
          <w:p>
            <w:pPr>
              <w:spacing w:after="0"/>
              <w:rPr>
                <w:sz w:val="1"/>
                <w:szCs w:val="1"/>
                <w:color w:val="auto"/>
              </w:rPr>
            </w:pPr>
          </w:p>
        </w:tc>
      </w:tr>
      <w:tr>
        <w:trPr>
          <w:trHeight w:val="179"/>
        </w:trPr>
        <w:tc>
          <w:tcPr>
            <w:tcW w:w="3520" w:type="dxa"/>
            <w:vAlign w:val="bottom"/>
            <w:tcBorders>
              <w:bottom w:val="single" w:sz="8" w:color="CCEEFF"/>
            </w:tcBorders>
            <w:gridSpan w:val="2"/>
          </w:tcPr>
          <w:p>
            <w:pPr>
              <w:ind w:left="100"/>
              <w:spacing w:after="0"/>
              <w:rPr>
                <w:sz w:val="20"/>
                <w:szCs w:val="20"/>
                <w:color w:val="auto"/>
              </w:rPr>
            </w:pPr>
            <w:r>
              <w:rPr>
                <w:rFonts w:ascii="Arial" w:cs="Arial" w:eastAsia="Arial" w:hAnsi="Arial"/>
                <w:sz w:val="14"/>
                <w:szCs w:val="14"/>
                <w:color w:val="auto"/>
              </w:rPr>
              <w:t>Total 30-year</w:t>
            </w:r>
          </w:p>
        </w:tc>
        <w:tc>
          <w:tcPr>
            <w:tcW w:w="12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58,928</w:t>
            </w:r>
          </w:p>
        </w:tc>
        <w:tc>
          <w:tcPr>
            <w:tcW w:w="12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55,715</w:t>
            </w:r>
          </w:p>
        </w:tc>
        <w:tc>
          <w:tcPr>
            <w:tcW w:w="100" w:type="dxa"/>
            <w:vAlign w:val="bottom"/>
            <w:tcBorders>
              <w:bottom w:val="single" w:sz="8" w:color="CCEEFF"/>
            </w:tcBorders>
          </w:tcPr>
          <w:p>
            <w:pPr>
              <w:spacing w:after="0"/>
              <w:rPr>
                <w:sz w:val="15"/>
                <w:szCs w:val="15"/>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3.62 %</w:t>
            </w:r>
          </w:p>
        </w:tc>
        <w:tc>
          <w:tcPr>
            <w:tcW w:w="100" w:type="dxa"/>
            <w:vAlign w:val="bottom"/>
            <w:tcBorders>
              <w:bottom w:val="single" w:sz="8" w:color="CCEEFF"/>
            </w:tcBorders>
          </w:tcPr>
          <w:p>
            <w:pPr>
              <w:spacing w:after="0"/>
              <w:rPr>
                <w:sz w:val="15"/>
                <w:szCs w:val="15"/>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91 %</w:t>
            </w:r>
          </w:p>
        </w:tc>
        <w:tc>
          <w:tcPr>
            <w:tcW w:w="16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72,156</w:t>
            </w:r>
          </w:p>
        </w:tc>
        <w:tc>
          <w:tcPr>
            <w:tcW w:w="10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72,776</w:t>
            </w:r>
          </w:p>
        </w:tc>
        <w:tc>
          <w:tcPr>
            <w:tcW w:w="100" w:type="dxa"/>
            <w:vAlign w:val="bottom"/>
            <w:tcBorders>
              <w:bottom w:val="single" w:sz="8" w:color="CCEEFF"/>
            </w:tcBorders>
          </w:tcPr>
          <w:p>
            <w:pPr>
              <w:spacing w:after="0"/>
              <w:rPr>
                <w:sz w:val="15"/>
                <w:szCs w:val="15"/>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2.87 %</w:t>
            </w:r>
          </w:p>
        </w:tc>
        <w:tc>
          <w:tcPr>
            <w:tcW w:w="100" w:type="dxa"/>
            <w:vAlign w:val="bottom"/>
            <w:tcBorders>
              <w:bottom w:val="single" w:sz="8" w:color="CCEEFF"/>
            </w:tcBorders>
          </w:tcPr>
          <w:p>
            <w:pPr>
              <w:spacing w:after="0"/>
              <w:rPr>
                <w:sz w:val="15"/>
                <w:szCs w:val="15"/>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89 %</w:t>
            </w:r>
          </w:p>
        </w:tc>
        <w:tc>
          <w:tcPr>
            <w:tcW w:w="0" w:type="dxa"/>
            <w:vAlign w:val="bottom"/>
          </w:tcPr>
          <w:p>
            <w:pPr>
              <w:spacing w:after="0"/>
              <w:rPr>
                <w:sz w:val="1"/>
                <w:szCs w:val="1"/>
                <w:color w:val="auto"/>
              </w:rPr>
            </w:pPr>
          </w:p>
        </w:tc>
      </w:tr>
      <w:tr>
        <w:trPr>
          <w:trHeight w:val="186"/>
        </w:trPr>
        <w:tc>
          <w:tcPr>
            <w:tcW w:w="35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Total fixed rate Agency RMBS and TBA securities</w:t>
            </w:r>
          </w:p>
        </w:tc>
        <w:tc>
          <w:tcPr>
            <w:tcW w:w="120" w:type="dxa"/>
            <w:vAlign w:val="bottom"/>
            <w:tcBorders>
              <w:bottom w:val="single" w:sz="8" w:color="auto"/>
            </w:tcBorders>
            <w:shd w:val="clear" w:color="auto" w:fill="CCEEFF"/>
          </w:tcPr>
          <w:p>
            <w:pPr>
              <w:spacing w:after="0"/>
              <w:rPr>
                <w:sz w:val="16"/>
                <w:szCs w:val="16"/>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62,738</w:t>
            </w:r>
          </w:p>
        </w:tc>
        <w:tc>
          <w:tcPr>
            <w:tcW w:w="120" w:type="dxa"/>
            <w:vAlign w:val="bottom"/>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59,275</w:t>
            </w:r>
          </w:p>
        </w:tc>
        <w:tc>
          <w:tcPr>
            <w:tcW w:w="100" w:type="dxa"/>
            <w:vAlign w:val="bottom"/>
            <w:shd w:val="clear" w:color="auto" w:fill="CCEEFF"/>
          </w:tcPr>
          <w:p>
            <w:pPr>
              <w:spacing w:after="0"/>
              <w:rPr>
                <w:sz w:val="16"/>
                <w:szCs w:val="16"/>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3.58 %</w:t>
            </w:r>
          </w:p>
        </w:tc>
        <w:tc>
          <w:tcPr>
            <w:tcW w:w="100" w:type="dxa"/>
            <w:vAlign w:val="bottom"/>
            <w:shd w:val="clear" w:color="auto" w:fill="CCEEFF"/>
          </w:tcPr>
          <w:p>
            <w:pPr>
              <w:spacing w:after="0"/>
              <w:rPr>
                <w:sz w:val="16"/>
                <w:szCs w:val="16"/>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97 %</w:t>
            </w:r>
          </w:p>
        </w:tc>
        <w:tc>
          <w:tcPr>
            <w:tcW w:w="16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8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78,730</w:t>
            </w:r>
          </w:p>
        </w:tc>
        <w:tc>
          <w:tcPr>
            <w:tcW w:w="100" w:type="dxa"/>
            <w:vAlign w:val="bottom"/>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79,429</w:t>
            </w:r>
          </w:p>
        </w:tc>
        <w:tc>
          <w:tcPr>
            <w:tcW w:w="100" w:type="dxa"/>
            <w:vAlign w:val="bottom"/>
            <w:shd w:val="clear" w:color="auto" w:fill="CCEEFF"/>
          </w:tcPr>
          <w:p>
            <w:pPr>
              <w:spacing w:after="0"/>
              <w:rPr>
                <w:sz w:val="16"/>
                <w:szCs w:val="16"/>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2.84 %</w:t>
            </w:r>
          </w:p>
        </w:tc>
        <w:tc>
          <w:tcPr>
            <w:tcW w:w="100" w:type="dxa"/>
            <w:vAlign w:val="bottom"/>
            <w:shd w:val="clear" w:color="auto" w:fill="CCEEFF"/>
          </w:tcPr>
          <w:p>
            <w:pPr>
              <w:spacing w:after="0"/>
              <w:rPr>
                <w:sz w:val="16"/>
                <w:szCs w:val="16"/>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97 %</w:t>
            </w:r>
          </w:p>
        </w:tc>
        <w:tc>
          <w:tcPr>
            <w:tcW w:w="0" w:type="dxa"/>
            <w:vAlign w:val="bottom"/>
          </w:tcPr>
          <w:p>
            <w:pPr>
              <w:spacing w:after="0"/>
              <w:rPr>
                <w:sz w:val="1"/>
                <w:szCs w:val="1"/>
                <w:color w:val="auto"/>
              </w:rPr>
            </w:pPr>
          </w:p>
        </w:tc>
      </w:tr>
      <w:tr>
        <w:trPr>
          <w:trHeight w:val="179"/>
        </w:trPr>
        <w:tc>
          <w:tcPr>
            <w:tcW w:w="3520" w:type="dxa"/>
            <w:vAlign w:val="bottom"/>
            <w:gridSpan w:val="2"/>
          </w:tcPr>
          <w:p>
            <w:pPr>
              <w:ind w:left="20"/>
              <w:spacing w:after="0"/>
              <w:rPr>
                <w:sz w:val="20"/>
                <w:szCs w:val="20"/>
                <w:color w:val="auto"/>
              </w:rPr>
            </w:pPr>
            <w:r>
              <w:rPr>
                <w:rFonts w:ascii="Arial" w:cs="Arial" w:eastAsia="Arial" w:hAnsi="Arial"/>
                <w:sz w:val="14"/>
                <w:szCs w:val="14"/>
                <w:color w:val="auto"/>
              </w:rPr>
              <w:t>Adjustable rate Agency RMBS</w:t>
            </w:r>
          </w:p>
        </w:tc>
        <w:tc>
          <w:tcPr>
            <w:tcW w:w="120" w:type="dxa"/>
            <w:vAlign w:val="bottom"/>
          </w:tcPr>
          <w:p>
            <w:pPr>
              <w:spacing w:after="0"/>
              <w:rPr>
                <w:sz w:val="15"/>
                <w:szCs w:val="15"/>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36</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36</w:t>
            </w:r>
          </w:p>
        </w:tc>
        <w:tc>
          <w:tcPr>
            <w:tcW w:w="10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2.12 %</w:t>
            </w:r>
          </w:p>
        </w:tc>
        <w:tc>
          <w:tcPr>
            <w:tcW w:w="10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 %</w:t>
            </w:r>
          </w:p>
        </w:tc>
        <w:tc>
          <w:tcPr>
            <w:tcW w:w="1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60" w:type="dxa"/>
            <w:vAlign w:val="bottom"/>
          </w:tcPr>
          <w:p>
            <w:pPr>
              <w:jc w:val="right"/>
              <w:ind w:right="8"/>
              <w:spacing w:after="0"/>
              <w:rPr>
                <w:sz w:val="20"/>
                <w:szCs w:val="20"/>
                <w:color w:val="auto"/>
              </w:rPr>
            </w:pPr>
            <w:r>
              <w:rPr>
                <w:rFonts w:ascii="Arial" w:cs="Arial" w:eastAsia="Arial" w:hAnsi="Arial"/>
                <w:sz w:val="14"/>
                <w:szCs w:val="14"/>
                <w:color w:val="auto"/>
              </w:rPr>
              <w:t>45</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47</w:t>
            </w:r>
          </w:p>
        </w:tc>
        <w:tc>
          <w:tcPr>
            <w:tcW w:w="10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2.23 %</w:t>
            </w:r>
          </w:p>
        </w:tc>
        <w:tc>
          <w:tcPr>
            <w:tcW w:w="10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 %</w:t>
            </w:r>
          </w:p>
        </w:tc>
        <w:tc>
          <w:tcPr>
            <w:tcW w:w="0" w:type="dxa"/>
            <w:vAlign w:val="bottom"/>
          </w:tcPr>
          <w:p>
            <w:pPr>
              <w:spacing w:after="0"/>
              <w:rPr>
                <w:sz w:val="1"/>
                <w:szCs w:val="1"/>
                <w:color w:val="auto"/>
              </w:rPr>
            </w:pPr>
          </w:p>
        </w:tc>
      </w:tr>
      <w:tr>
        <w:trPr>
          <w:trHeight w:val="192"/>
        </w:trPr>
        <w:tc>
          <w:tcPr>
            <w:tcW w:w="35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CMO Agency RMBS:</w:t>
            </w: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3520" w:type="dxa"/>
            <w:vAlign w:val="bottom"/>
            <w:gridSpan w:val="2"/>
          </w:tcPr>
          <w:p>
            <w:pPr>
              <w:ind w:left="260"/>
              <w:spacing w:after="0"/>
              <w:rPr>
                <w:sz w:val="20"/>
                <w:szCs w:val="20"/>
                <w:color w:val="auto"/>
              </w:rPr>
            </w:pPr>
            <w:r>
              <w:rPr>
                <w:rFonts w:ascii="Arial" w:cs="Arial" w:eastAsia="Arial" w:hAnsi="Arial"/>
                <w:sz w:val="14"/>
                <w:szCs w:val="14"/>
                <w:color w:val="auto"/>
              </w:rPr>
              <w:t>CMO</w:t>
            </w: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153</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151</w:t>
            </w:r>
          </w:p>
        </w:tc>
        <w:tc>
          <w:tcPr>
            <w:tcW w:w="10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3.13 %</w:t>
            </w:r>
          </w:p>
        </w:tc>
        <w:tc>
          <w:tcPr>
            <w:tcW w:w="100" w:type="dxa"/>
            <w:vAlign w:val="bottom"/>
          </w:tcPr>
          <w:p>
            <w:pPr>
              <w:spacing w:after="0"/>
              <w:rPr>
                <w:sz w:val="16"/>
                <w:szCs w:val="16"/>
                <w:color w:val="auto"/>
              </w:rPr>
            </w:pPr>
          </w:p>
        </w:tc>
        <w:tc>
          <w:tcPr>
            <w:tcW w:w="840" w:type="dxa"/>
            <w:vAlign w:val="bottom"/>
            <w:gridSpan w:val="2"/>
          </w:tcPr>
          <w:p>
            <w:pPr>
              <w:jc w:val="right"/>
              <w:ind w:right="180"/>
              <w:spacing w:after="0"/>
              <w:rPr>
                <w:sz w:val="20"/>
                <w:szCs w:val="20"/>
                <w:color w:val="auto"/>
              </w:rPr>
            </w:pPr>
            <w:r>
              <w:rPr>
                <w:rFonts w:ascii="Arial" w:cs="Arial" w:eastAsia="Arial" w:hAnsi="Arial"/>
                <w:sz w:val="14"/>
                <w:szCs w:val="14"/>
                <w:color w:val="auto"/>
              </w:rPr>
              <w:t>— %</w:t>
            </w:r>
          </w:p>
        </w:tc>
        <w:tc>
          <w:tcPr>
            <w:tcW w:w="140" w:type="dxa"/>
            <w:vAlign w:val="bottom"/>
          </w:tcPr>
          <w:p>
            <w:pPr>
              <w:spacing w:after="0"/>
              <w:rPr>
                <w:sz w:val="16"/>
                <w:szCs w:val="16"/>
                <w:color w:val="auto"/>
              </w:rPr>
            </w:pPr>
          </w:p>
        </w:tc>
        <w:tc>
          <w:tcPr>
            <w:tcW w:w="860" w:type="dxa"/>
            <w:vAlign w:val="bottom"/>
          </w:tcPr>
          <w:p>
            <w:pPr>
              <w:jc w:val="right"/>
              <w:ind w:right="8"/>
              <w:spacing w:after="0"/>
              <w:rPr>
                <w:sz w:val="20"/>
                <w:szCs w:val="20"/>
                <w:color w:val="auto"/>
              </w:rPr>
            </w:pPr>
            <w:r>
              <w:rPr>
                <w:rFonts w:ascii="Arial" w:cs="Arial" w:eastAsia="Arial" w:hAnsi="Arial"/>
                <w:sz w:val="14"/>
                <w:szCs w:val="14"/>
                <w:color w:val="auto"/>
              </w:rPr>
              <w:t>182</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188</w:t>
            </w:r>
          </w:p>
        </w:tc>
        <w:tc>
          <w:tcPr>
            <w:tcW w:w="10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3.12 %</w:t>
            </w:r>
          </w:p>
        </w:tc>
        <w:tc>
          <w:tcPr>
            <w:tcW w:w="1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 %</w:t>
            </w:r>
          </w:p>
        </w:tc>
        <w:tc>
          <w:tcPr>
            <w:tcW w:w="0" w:type="dxa"/>
            <w:vAlign w:val="bottom"/>
          </w:tcPr>
          <w:p>
            <w:pPr>
              <w:spacing w:after="0"/>
              <w:rPr>
                <w:sz w:val="1"/>
                <w:szCs w:val="1"/>
                <w:color w:val="auto"/>
              </w:rPr>
            </w:pPr>
          </w:p>
        </w:tc>
      </w:tr>
      <w:tr>
        <w:trPr>
          <w:trHeight w:val="192"/>
        </w:trPr>
        <w:tc>
          <w:tcPr>
            <w:tcW w:w="3520" w:type="dxa"/>
            <w:vAlign w:val="bottom"/>
            <w:gridSpan w:val="2"/>
            <w:shd w:val="clear" w:color="auto" w:fill="CCEEFF"/>
          </w:tcPr>
          <w:p>
            <w:pPr>
              <w:ind w:left="260"/>
              <w:spacing w:after="0"/>
              <w:rPr>
                <w:sz w:val="20"/>
                <w:szCs w:val="20"/>
                <w:color w:val="auto"/>
              </w:rPr>
            </w:pPr>
            <w:r>
              <w:rPr>
                <w:rFonts w:ascii="Arial" w:cs="Arial" w:eastAsia="Arial" w:hAnsi="Arial"/>
                <w:sz w:val="14"/>
                <w:szCs w:val="14"/>
                <w:color w:val="auto"/>
              </w:rPr>
              <w:t>Interest-only strips</w:t>
            </w: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w:t>
            </w:r>
          </w:p>
        </w:tc>
        <w:tc>
          <w:tcPr>
            <w:tcW w:w="10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4.35 %</w:t>
            </w:r>
          </w:p>
        </w:tc>
        <w:tc>
          <w:tcPr>
            <w:tcW w:w="100" w:type="dxa"/>
            <w:vAlign w:val="bottom"/>
            <w:shd w:val="clear" w:color="auto" w:fill="CCEEFF"/>
          </w:tcPr>
          <w:p>
            <w:pPr>
              <w:spacing w:after="0"/>
              <w:rPr>
                <w:sz w:val="16"/>
                <w:szCs w:val="16"/>
                <w:color w:val="auto"/>
              </w:rPr>
            </w:pPr>
          </w:p>
        </w:tc>
        <w:tc>
          <w:tcPr>
            <w:tcW w:w="84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 %</w:t>
            </w:r>
          </w:p>
        </w:tc>
        <w:tc>
          <w:tcPr>
            <w:tcW w:w="140" w:type="dxa"/>
            <w:vAlign w:val="bottom"/>
            <w:shd w:val="clear" w:color="auto" w:fill="CCEEFF"/>
          </w:tcPr>
          <w:p>
            <w:pPr>
              <w:spacing w:after="0"/>
              <w:rPr>
                <w:sz w:val="16"/>
                <w:szCs w:val="16"/>
                <w:color w:val="auto"/>
              </w:rPr>
            </w:pPr>
          </w:p>
        </w:tc>
        <w:tc>
          <w:tcPr>
            <w:tcW w:w="8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31</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w:t>
            </w:r>
          </w:p>
        </w:tc>
        <w:tc>
          <w:tcPr>
            <w:tcW w:w="10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5.60 %</w:t>
            </w:r>
          </w:p>
        </w:tc>
        <w:tc>
          <w:tcPr>
            <w:tcW w:w="10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 %</w:t>
            </w:r>
          </w:p>
        </w:tc>
        <w:tc>
          <w:tcPr>
            <w:tcW w:w="0" w:type="dxa"/>
            <w:vAlign w:val="bottom"/>
          </w:tcPr>
          <w:p>
            <w:pPr>
              <w:spacing w:after="0"/>
              <w:rPr>
                <w:sz w:val="1"/>
                <w:szCs w:val="1"/>
                <w:color w:val="auto"/>
              </w:rPr>
            </w:pPr>
          </w:p>
        </w:tc>
      </w:tr>
      <w:tr>
        <w:trPr>
          <w:trHeight w:val="186"/>
        </w:trPr>
        <w:tc>
          <w:tcPr>
            <w:tcW w:w="3520" w:type="dxa"/>
            <w:vAlign w:val="bottom"/>
            <w:gridSpan w:val="2"/>
          </w:tcPr>
          <w:p>
            <w:pPr>
              <w:ind w:left="260"/>
              <w:spacing w:after="0"/>
              <w:rPr>
                <w:sz w:val="20"/>
                <w:szCs w:val="20"/>
                <w:color w:val="auto"/>
              </w:rPr>
            </w:pPr>
            <w:r>
              <w:rPr>
                <w:rFonts w:ascii="Arial" w:cs="Arial" w:eastAsia="Arial" w:hAnsi="Arial"/>
                <w:sz w:val="14"/>
                <w:szCs w:val="14"/>
                <w:color w:val="auto"/>
              </w:rPr>
              <w:t>Principal-only strips</w:t>
            </w: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33</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33</w:t>
            </w:r>
          </w:p>
        </w:tc>
        <w:tc>
          <w:tcPr>
            <w:tcW w:w="100" w:type="dxa"/>
            <w:vAlign w:val="bottom"/>
          </w:tcPr>
          <w:p>
            <w:pPr>
              <w:spacing w:after="0"/>
              <w:rPr>
                <w:sz w:val="16"/>
                <w:szCs w:val="16"/>
                <w:color w:val="auto"/>
              </w:rPr>
            </w:pPr>
          </w:p>
        </w:tc>
        <w:tc>
          <w:tcPr>
            <w:tcW w:w="1060" w:type="dxa"/>
            <w:vAlign w:val="bottom"/>
            <w:gridSpan w:val="2"/>
          </w:tcPr>
          <w:p>
            <w:pPr>
              <w:jc w:val="right"/>
              <w:ind w:right="120"/>
              <w:spacing w:after="0"/>
              <w:rPr>
                <w:sz w:val="20"/>
                <w:szCs w:val="20"/>
                <w:color w:val="auto"/>
              </w:rPr>
            </w:pPr>
            <w:r>
              <w:rPr>
                <w:rFonts w:ascii="Arial" w:cs="Arial" w:eastAsia="Arial" w:hAnsi="Arial"/>
                <w:sz w:val="14"/>
                <w:szCs w:val="14"/>
                <w:color w:val="auto"/>
              </w:rPr>
              <w:t>— %</w:t>
            </w:r>
          </w:p>
        </w:tc>
        <w:tc>
          <w:tcPr>
            <w:tcW w:w="840" w:type="dxa"/>
            <w:vAlign w:val="bottom"/>
            <w:gridSpan w:val="2"/>
          </w:tcPr>
          <w:p>
            <w:pPr>
              <w:jc w:val="right"/>
              <w:ind w:right="180"/>
              <w:spacing w:after="0"/>
              <w:rPr>
                <w:sz w:val="20"/>
                <w:szCs w:val="20"/>
                <w:color w:val="auto"/>
              </w:rPr>
            </w:pPr>
            <w:r>
              <w:rPr>
                <w:rFonts w:ascii="Arial" w:cs="Arial" w:eastAsia="Arial" w:hAnsi="Arial"/>
                <w:sz w:val="14"/>
                <w:szCs w:val="14"/>
                <w:color w:val="auto"/>
              </w:rPr>
              <w:t>— %</w:t>
            </w:r>
          </w:p>
        </w:tc>
        <w:tc>
          <w:tcPr>
            <w:tcW w:w="140" w:type="dxa"/>
            <w:vAlign w:val="bottom"/>
          </w:tcPr>
          <w:p>
            <w:pPr>
              <w:spacing w:after="0"/>
              <w:rPr>
                <w:sz w:val="16"/>
                <w:szCs w:val="16"/>
                <w:color w:val="auto"/>
              </w:rPr>
            </w:pPr>
          </w:p>
        </w:tc>
        <w:tc>
          <w:tcPr>
            <w:tcW w:w="860" w:type="dxa"/>
            <w:vAlign w:val="bottom"/>
          </w:tcPr>
          <w:p>
            <w:pPr>
              <w:jc w:val="right"/>
              <w:ind w:right="8"/>
              <w:spacing w:after="0"/>
              <w:rPr>
                <w:sz w:val="20"/>
                <w:szCs w:val="20"/>
                <w:color w:val="auto"/>
              </w:rPr>
            </w:pPr>
            <w:r>
              <w:rPr>
                <w:rFonts w:ascii="Arial" w:cs="Arial" w:eastAsia="Arial" w:hAnsi="Arial"/>
                <w:sz w:val="14"/>
                <w:szCs w:val="14"/>
                <w:color w:val="auto"/>
              </w:rPr>
              <w:t>39</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43</w:t>
            </w:r>
          </w:p>
        </w:tc>
        <w:tc>
          <w:tcPr>
            <w:tcW w:w="100" w:type="dxa"/>
            <w:vAlign w:val="bottom"/>
          </w:tcPr>
          <w:p>
            <w:pPr>
              <w:spacing w:after="0"/>
              <w:rPr>
                <w:sz w:val="16"/>
                <w:szCs w:val="16"/>
                <w:color w:val="auto"/>
              </w:rPr>
            </w:pPr>
          </w:p>
        </w:tc>
        <w:tc>
          <w:tcPr>
            <w:tcW w:w="1080" w:type="dxa"/>
            <w:vAlign w:val="bottom"/>
            <w:gridSpan w:val="2"/>
          </w:tcPr>
          <w:p>
            <w:pPr>
              <w:jc w:val="right"/>
              <w:ind w:right="120"/>
              <w:spacing w:after="0"/>
              <w:rPr>
                <w:sz w:val="20"/>
                <w:szCs w:val="20"/>
                <w:color w:val="auto"/>
              </w:rPr>
            </w:pPr>
            <w:r>
              <w:rPr>
                <w:rFonts w:ascii="Arial" w:cs="Arial" w:eastAsia="Arial" w:hAnsi="Arial"/>
                <w:sz w:val="14"/>
                <w:szCs w:val="14"/>
                <w:color w:val="auto"/>
              </w:rPr>
              <w:t>— %</w:t>
            </w:r>
          </w:p>
        </w:tc>
        <w:tc>
          <w:tcPr>
            <w:tcW w:w="680" w:type="dxa"/>
            <w:vAlign w:val="bottom"/>
          </w:tcPr>
          <w:p>
            <w:pPr>
              <w:jc w:val="right"/>
              <w:spacing w:after="0"/>
              <w:rPr>
                <w:sz w:val="20"/>
                <w:szCs w:val="20"/>
                <w:color w:val="auto"/>
              </w:rPr>
            </w:pPr>
            <w:r>
              <w:rPr>
                <w:rFonts w:ascii="Arial" w:cs="Arial" w:eastAsia="Arial" w:hAnsi="Arial"/>
                <w:sz w:val="14"/>
                <w:szCs w:val="14"/>
                <w:color w:val="auto"/>
              </w:rPr>
              <w:t>— %</w:t>
            </w:r>
          </w:p>
        </w:tc>
        <w:tc>
          <w:tcPr>
            <w:tcW w:w="0" w:type="dxa"/>
            <w:vAlign w:val="bottom"/>
          </w:tcPr>
          <w:p>
            <w:pPr>
              <w:spacing w:after="0"/>
              <w:rPr>
                <w:sz w:val="1"/>
                <w:szCs w:val="1"/>
                <w:color w:val="auto"/>
              </w:rPr>
            </w:pPr>
          </w:p>
        </w:tc>
      </w:tr>
      <w:tr>
        <w:trPr>
          <w:trHeight w:val="186"/>
        </w:trPr>
        <w:tc>
          <w:tcPr>
            <w:tcW w:w="3520" w:type="dxa"/>
            <w:vAlign w:val="bottom"/>
            <w:tcBorders>
              <w:top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Total CMO Agency RMBS</w:t>
            </w:r>
          </w:p>
        </w:tc>
        <w:tc>
          <w:tcPr>
            <w:tcW w:w="120" w:type="dxa"/>
            <w:vAlign w:val="bottom"/>
            <w:tcBorders>
              <w:top w:val="single" w:sz="8" w:color="auto"/>
              <w:bottom w:val="single" w:sz="8" w:color="auto"/>
            </w:tcBorders>
            <w:shd w:val="clear" w:color="auto" w:fill="CCEEFF"/>
          </w:tcPr>
          <w:p>
            <w:pPr>
              <w:spacing w:after="0"/>
              <w:rPr>
                <w:sz w:val="16"/>
                <w:szCs w:val="16"/>
                <w:color w:val="auto"/>
              </w:rPr>
            </w:pP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212</w:t>
            </w:r>
          </w:p>
        </w:tc>
        <w:tc>
          <w:tcPr>
            <w:tcW w:w="12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bottom w:val="single" w:sz="8" w:color="auto"/>
            </w:tcBorders>
            <w:shd w:val="clear" w:color="auto" w:fill="CCEEFF"/>
          </w:tcPr>
          <w:p>
            <w:pPr>
              <w:spacing w:after="0"/>
              <w:rPr>
                <w:sz w:val="16"/>
                <w:szCs w:val="16"/>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208</w:t>
            </w:r>
          </w:p>
        </w:tc>
        <w:tc>
          <w:tcPr>
            <w:tcW w:w="100" w:type="dxa"/>
            <w:vAlign w:val="bottom"/>
            <w:tcBorders>
              <w:top w:val="single" w:sz="8" w:color="CCEEFF"/>
            </w:tcBorders>
            <w:shd w:val="clear" w:color="auto" w:fill="CCEEFF"/>
          </w:tcPr>
          <w:p>
            <w:pPr>
              <w:spacing w:after="0"/>
              <w:rPr>
                <w:sz w:val="16"/>
                <w:szCs w:val="16"/>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3.44 %</w:t>
            </w:r>
          </w:p>
        </w:tc>
        <w:tc>
          <w:tcPr>
            <w:tcW w:w="100" w:type="dxa"/>
            <w:vAlign w:val="bottom"/>
            <w:tcBorders>
              <w:top w:val="single" w:sz="8" w:color="CCEEFF"/>
            </w:tcBorders>
            <w:shd w:val="clear" w:color="auto" w:fill="CCEEFF"/>
          </w:tcPr>
          <w:p>
            <w:pPr>
              <w:spacing w:after="0"/>
              <w:rPr>
                <w:sz w:val="16"/>
                <w:szCs w:val="16"/>
                <w:color w:val="auto"/>
              </w:rPr>
            </w:pP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 %</w:t>
            </w:r>
          </w:p>
        </w:tc>
        <w:tc>
          <w:tcPr>
            <w:tcW w:w="160" w:type="dxa"/>
            <w:vAlign w:val="bottom"/>
            <w:tcBorders>
              <w:top w:val="single" w:sz="8" w:color="CCEEFF"/>
            </w:tcBorders>
            <w:shd w:val="clear" w:color="auto" w:fill="CCEEFF"/>
          </w:tcPr>
          <w:p>
            <w:pPr>
              <w:spacing w:after="0"/>
              <w:rPr>
                <w:sz w:val="16"/>
                <w:szCs w:val="16"/>
                <w:color w:val="auto"/>
              </w:rPr>
            </w:pPr>
          </w:p>
        </w:tc>
        <w:tc>
          <w:tcPr>
            <w:tcW w:w="140" w:type="dxa"/>
            <w:vAlign w:val="bottom"/>
            <w:tcBorders>
              <w:top w:val="single" w:sz="8" w:color="auto"/>
              <w:bottom w:val="single" w:sz="8" w:color="auto"/>
            </w:tcBorders>
            <w:shd w:val="clear" w:color="auto" w:fill="CCEEFF"/>
          </w:tcPr>
          <w:p>
            <w:pPr>
              <w:spacing w:after="0"/>
              <w:rPr>
                <w:sz w:val="16"/>
                <w:szCs w:val="16"/>
                <w:color w:val="auto"/>
              </w:rPr>
            </w:pPr>
          </w:p>
        </w:tc>
        <w:tc>
          <w:tcPr>
            <w:tcW w:w="86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252</w:t>
            </w: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bottom w:val="single" w:sz="8" w:color="auto"/>
            </w:tcBorders>
            <w:shd w:val="clear" w:color="auto" w:fill="CCEEFF"/>
          </w:tcPr>
          <w:p>
            <w:pPr>
              <w:spacing w:after="0"/>
              <w:rPr>
                <w:sz w:val="16"/>
                <w:szCs w:val="16"/>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268</w:t>
            </w:r>
          </w:p>
        </w:tc>
        <w:tc>
          <w:tcPr>
            <w:tcW w:w="100" w:type="dxa"/>
            <w:vAlign w:val="bottom"/>
            <w:tcBorders>
              <w:top w:val="single" w:sz="8" w:color="CCEEFF"/>
            </w:tcBorders>
            <w:shd w:val="clear" w:color="auto" w:fill="CCEEFF"/>
          </w:tcPr>
          <w:p>
            <w:pPr>
              <w:spacing w:after="0"/>
              <w:rPr>
                <w:sz w:val="16"/>
                <w:szCs w:val="16"/>
                <w:color w:val="auto"/>
              </w:rPr>
            </w:pP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4.08 %</w:t>
            </w:r>
          </w:p>
        </w:tc>
        <w:tc>
          <w:tcPr>
            <w:tcW w:w="100" w:type="dxa"/>
            <w:vAlign w:val="bottom"/>
            <w:tcBorders>
              <w:top w:val="single" w:sz="8" w:color="CCEEFF"/>
            </w:tcBorders>
            <w:shd w:val="clear" w:color="auto" w:fill="CCEEFF"/>
          </w:tcPr>
          <w:p>
            <w:pPr>
              <w:spacing w:after="0"/>
              <w:rPr>
                <w:sz w:val="16"/>
                <w:szCs w:val="16"/>
                <w:color w:val="auto"/>
              </w:rPr>
            </w:pP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1 %</w:t>
            </w:r>
          </w:p>
        </w:tc>
        <w:tc>
          <w:tcPr>
            <w:tcW w:w="0" w:type="dxa"/>
            <w:vAlign w:val="bottom"/>
          </w:tcPr>
          <w:p>
            <w:pPr>
              <w:spacing w:after="0"/>
              <w:rPr>
                <w:sz w:val="1"/>
                <w:szCs w:val="1"/>
                <w:color w:val="auto"/>
              </w:rPr>
            </w:pPr>
          </w:p>
        </w:tc>
      </w:tr>
      <w:tr>
        <w:trPr>
          <w:trHeight w:val="179"/>
        </w:trPr>
        <w:tc>
          <w:tcPr>
            <w:tcW w:w="352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Total Agency RMBS and TBA securities</w:t>
            </w:r>
          </w:p>
        </w:tc>
        <w:tc>
          <w:tcPr>
            <w:tcW w:w="12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62,986</w:t>
            </w:r>
          </w:p>
        </w:tc>
        <w:tc>
          <w:tcPr>
            <w:tcW w:w="12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59,519</w:t>
            </w:r>
          </w:p>
        </w:tc>
        <w:tc>
          <w:tcPr>
            <w:tcW w:w="100" w:type="dxa"/>
            <w:vAlign w:val="bottom"/>
            <w:tcBorders>
              <w:bottom w:val="single" w:sz="8" w:color="CCEEFF"/>
            </w:tcBorders>
          </w:tcPr>
          <w:p>
            <w:pPr>
              <w:spacing w:after="0"/>
              <w:rPr>
                <w:sz w:val="15"/>
                <w:szCs w:val="15"/>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3.58 %</w:t>
            </w:r>
          </w:p>
        </w:tc>
        <w:tc>
          <w:tcPr>
            <w:tcW w:w="100" w:type="dxa"/>
            <w:vAlign w:val="bottom"/>
            <w:tcBorders>
              <w:bottom w:val="single" w:sz="8" w:color="CCEEFF"/>
            </w:tcBorders>
          </w:tcPr>
          <w:p>
            <w:pPr>
              <w:spacing w:after="0"/>
              <w:rPr>
                <w:sz w:val="15"/>
                <w:szCs w:val="15"/>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97 %</w:t>
            </w:r>
          </w:p>
        </w:tc>
        <w:tc>
          <w:tcPr>
            <w:tcW w:w="16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79,027</w:t>
            </w:r>
          </w:p>
        </w:tc>
        <w:tc>
          <w:tcPr>
            <w:tcW w:w="10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79,744</w:t>
            </w:r>
          </w:p>
        </w:tc>
        <w:tc>
          <w:tcPr>
            <w:tcW w:w="100" w:type="dxa"/>
            <w:vAlign w:val="bottom"/>
            <w:tcBorders>
              <w:bottom w:val="single" w:sz="8" w:color="CCEEFF"/>
            </w:tcBorders>
          </w:tcPr>
          <w:p>
            <w:pPr>
              <w:spacing w:after="0"/>
              <w:rPr>
                <w:sz w:val="15"/>
                <w:szCs w:val="15"/>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2.85 %</w:t>
            </w:r>
          </w:p>
        </w:tc>
        <w:tc>
          <w:tcPr>
            <w:tcW w:w="100" w:type="dxa"/>
            <w:vAlign w:val="bottom"/>
            <w:tcBorders>
              <w:bottom w:val="single" w:sz="8" w:color="CCEEFF"/>
            </w:tcBorders>
          </w:tcPr>
          <w:p>
            <w:pPr>
              <w:spacing w:after="0"/>
              <w:rPr>
                <w:sz w:val="15"/>
                <w:szCs w:val="15"/>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98 %</w:t>
            </w:r>
          </w:p>
        </w:tc>
        <w:tc>
          <w:tcPr>
            <w:tcW w:w="0" w:type="dxa"/>
            <w:vAlign w:val="bottom"/>
          </w:tcPr>
          <w:p>
            <w:pPr>
              <w:spacing w:after="0"/>
              <w:rPr>
                <w:sz w:val="1"/>
                <w:szCs w:val="1"/>
                <w:color w:val="auto"/>
              </w:rPr>
            </w:pPr>
          </w:p>
        </w:tc>
      </w:tr>
      <w:tr>
        <w:trPr>
          <w:trHeight w:val="186"/>
        </w:trPr>
        <w:tc>
          <w:tcPr>
            <w:tcW w:w="3520" w:type="dxa"/>
            <w:vAlign w:val="bottom"/>
            <w:gridSpan w:val="2"/>
            <w:shd w:val="clear" w:color="auto" w:fill="CCEEFF"/>
          </w:tcPr>
          <w:p>
            <w:pPr>
              <w:ind w:left="20"/>
              <w:spacing w:after="0" w:line="186" w:lineRule="exact"/>
              <w:rPr>
                <w:sz w:val="20"/>
                <w:szCs w:val="20"/>
                <w:color w:val="auto"/>
              </w:rPr>
            </w:pPr>
            <w:r>
              <w:rPr>
                <w:rFonts w:ascii="Arial" w:cs="Arial" w:eastAsia="Arial" w:hAnsi="Arial"/>
                <w:sz w:val="14"/>
                <w:szCs w:val="14"/>
                <w:color w:val="auto"/>
              </w:rPr>
              <w:t xml:space="preserve">Non-Agency RMBS </w:t>
            </w:r>
            <w:r>
              <w:rPr>
                <w:rFonts w:ascii="Arial" w:cs="Arial" w:eastAsia="Arial" w:hAnsi="Arial"/>
                <w:sz w:val="18"/>
                <w:szCs w:val="18"/>
                <w:color w:val="auto"/>
                <w:vertAlign w:val="superscript"/>
              </w:rPr>
              <w:t>2</w:t>
            </w: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416</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384</w:t>
            </w:r>
          </w:p>
        </w:tc>
        <w:tc>
          <w:tcPr>
            <w:tcW w:w="10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3.35 %</w:t>
            </w:r>
          </w:p>
        </w:tc>
        <w:tc>
          <w:tcPr>
            <w:tcW w:w="10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1 %</w:t>
            </w:r>
          </w:p>
        </w:tc>
        <w:tc>
          <w:tcPr>
            <w:tcW w:w="1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763</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767</w:t>
            </w:r>
          </w:p>
        </w:tc>
        <w:tc>
          <w:tcPr>
            <w:tcW w:w="10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2.85 %</w:t>
            </w:r>
          </w:p>
        </w:tc>
        <w:tc>
          <w:tcPr>
            <w:tcW w:w="10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1 %</w:t>
            </w:r>
          </w:p>
        </w:tc>
        <w:tc>
          <w:tcPr>
            <w:tcW w:w="0" w:type="dxa"/>
            <w:vAlign w:val="bottom"/>
          </w:tcPr>
          <w:p>
            <w:pPr>
              <w:spacing w:after="0"/>
              <w:rPr>
                <w:sz w:val="1"/>
                <w:szCs w:val="1"/>
                <w:color w:val="auto"/>
              </w:rPr>
            </w:pPr>
          </w:p>
        </w:tc>
      </w:tr>
      <w:tr>
        <w:trPr>
          <w:trHeight w:val="186"/>
        </w:trPr>
        <w:tc>
          <w:tcPr>
            <w:tcW w:w="3520" w:type="dxa"/>
            <w:vAlign w:val="bottom"/>
            <w:gridSpan w:val="2"/>
          </w:tcPr>
          <w:p>
            <w:pPr>
              <w:ind w:left="20"/>
              <w:spacing w:after="0"/>
              <w:rPr>
                <w:sz w:val="20"/>
                <w:szCs w:val="20"/>
                <w:color w:val="auto"/>
              </w:rPr>
            </w:pPr>
            <w:r>
              <w:rPr>
                <w:rFonts w:ascii="Arial" w:cs="Arial" w:eastAsia="Arial" w:hAnsi="Arial"/>
                <w:sz w:val="14"/>
                <w:szCs w:val="14"/>
                <w:color w:val="auto"/>
              </w:rPr>
              <w:t>CMBS</w:t>
            </w: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518</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497</w:t>
            </w:r>
          </w:p>
        </w:tc>
        <w:tc>
          <w:tcPr>
            <w:tcW w:w="10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4.02 %</w:t>
            </w:r>
          </w:p>
        </w:tc>
        <w:tc>
          <w:tcPr>
            <w:tcW w:w="1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1 %</w:t>
            </w: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tcPr>
          <w:p>
            <w:pPr>
              <w:jc w:val="right"/>
              <w:ind w:right="8"/>
              <w:spacing w:after="0"/>
              <w:rPr>
                <w:sz w:val="20"/>
                <w:szCs w:val="20"/>
                <w:color w:val="auto"/>
              </w:rPr>
            </w:pPr>
            <w:r>
              <w:rPr>
                <w:rFonts w:ascii="Arial" w:cs="Arial" w:eastAsia="Arial" w:hAnsi="Arial"/>
                <w:sz w:val="14"/>
                <w:szCs w:val="14"/>
                <w:color w:val="auto"/>
              </w:rPr>
              <w:t>505</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514</w:t>
            </w:r>
          </w:p>
        </w:tc>
        <w:tc>
          <w:tcPr>
            <w:tcW w:w="10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3.60 %</w:t>
            </w:r>
          </w:p>
        </w:tc>
        <w:tc>
          <w:tcPr>
            <w:tcW w:w="1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1 %</w:t>
            </w:r>
          </w:p>
        </w:tc>
        <w:tc>
          <w:tcPr>
            <w:tcW w:w="0" w:type="dxa"/>
            <w:vAlign w:val="bottom"/>
          </w:tcPr>
          <w:p>
            <w:pPr>
              <w:spacing w:after="0"/>
              <w:rPr>
                <w:sz w:val="1"/>
                <w:szCs w:val="1"/>
                <w:color w:val="auto"/>
              </w:rPr>
            </w:pPr>
          </w:p>
        </w:tc>
      </w:tr>
      <w:tr>
        <w:trPr>
          <w:trHeight w:val="189"/>
        </w:trPr>
        <w:tc>
          <w:tcPr>
            <w:tcW w:w="35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CRT</w:t>
            </w:r>
          </w:p>
        </w:tc>
        <w:tc>
          <w:tcPr>
            <w:tcW w:w="120" w:type="dxa"/>
            <w:vAlign w:val="bottom"/>
            <w:tcBorders>
              <w:bottom w:val="single" w:sz="8" w:color="auto"/>
            </w:tcBorders>
            <w:shd w:val="clear" w:color="auto" w:fill="CCEEFF"/>
          </w:tcPr>
          <w:p>
            <w:pPr>
              <w:spacing w:after="0"/>
              <w:rPr>
                <w:sz w:val="16"/>
                <w:szCs w:val="16"/>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943</w:t>
            </w:r>
          </w:p>
        </w:tc>
        <w:tc>
          <w:tcPr>
            <w:tcW w:w="120" w:type="dxa"/>
            <w:vAlign w:val="bottom"/>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894</w:t>
            </w:r>
          </w:p>
        </w:tc>
        <w:tc>
          <w:tcPr>
            <w:tcW w:w="100" w:type="dxa"/>
            <w:vAlign w:val="bottom"/>
            <w:shd w:val="clear" w:color="auto" w:fill="CCEEFF"/>
          </w:tcPr>
          <w:p>
            <w:pPr>
              <w:spacing w:after="0"/>
              <w:rPr>
                <w:sz w:val="16"/>
                <w:szCs w:val="16"/>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5.44 %</w:t>
            </w:r>
          </w:p>
        </w:tc>
        <w:tc>
          <w:tcPr>
            <w:tcW w:w="100" w:type="dxa"/>
            <w:vAlign w:val="bottom"/>
            <w:shd w:val="clear" w:color="auto" w:fill="CCEEFF"/>
          </w:tcPr>
          <w:p>
            <w:pPr>
              <w:spacing w:after="0"/>
              <w:rPr>
                <w:sz w:val="16"/>
                <w:szCs w:val="16"/>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1 %</w:t>
            </w:r>
          </w:p>
        </w:tc>
        <w:tc>
          <w:tcPr>
            <w:tcW w:w="16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8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955</w:t>
            </w:r>
          </w:p>
        </w:tc>
        <w:tc>
          <w:tcPr>
            <w:tcW w:w="100" w:type="dxa"/>
            <w:vAlign w:val="bottom"/>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974</w:t>
            </w:r>
          </w:p>
        </w:tc>
        <w:tc>
          <w:tcPr>
            <w:tcW w:w="100" w:type="dxa"/>
            <w:vAlign w:val="bottom"/>
            <w:shd w:val="clear" w:color="auto" w:fill="CCEEFF"/>
          </w:tcPr>
          <w:p>
            <w:pPr>
              <w:spacing w:after="0"/>
              <w:rPr>
                <w:sz w:val="16"/>
                <w:szCs w:val="16"/>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3.74 %</w:t>
            </w:r>
          </w:p>
        </w:tc>
        <w:tc>
          <w:tcPr>
            <w:tcW w:w="100" w:type="dxa"/>
            <w:vAlign w:val="bottom"/>
            <w:shd w:val="clear" w:color="auto" w:fill="CCEEFF"/>
          </w:tcPr>
          <w:p>
            <w:pPr>
              <w:spacing w:after="0"/>
              <w:rPr>
                <w:sz w:val="16"/>
                <w:szCs w:val="16"/>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1 %</w:t>
            </w:r>
          </w:p>
        </w:tc>
        <w:tc>
          <w:tcPr>
            <w:tcW w:w="0" w:type="dxa"/>
            <w:vAlign w:val="bottom"/>
          </w:tcPr>
          <w:p>
            <w:pPr>
              <w:spacing w:after="0"/>
              <w:rPr>
                <w:sz w:val="1"/>
                <w:szCs w:val="1"/>
                <w:color w:val="auto"/>
              </w:rPr>
            </w:pPr>
          </w:p>
        </w:tc>
      </w:tr>
      <w:tr>
        <w:trPr>
          <w:trHeight w:val="186"/>
        </w:trPr>
        <w:tc>
          <w:tcPr>
            <w:tcW w:w="3520" w:type="dxa"/>
            <w:vAlign w:val="bottom"/>
            <w:gridSpan w:val="2"/>
          </w:tcPr>
          <w:p>
            <w:pPr>
              <w:ind w:left="20"/>
              <w:spacing w:after="0"/>
              <w:rPr>
                <w:sz w:val="20"/>
                <w:szCs w:val="20"/>
                <w:color w:val="auto"/>
              </w:rPr>
            </w:pPr>
            <w:r>
              <w:rPr>
                <w:rFonts w:ascii="Arial" w:cs="Arial" w:eastAsia="Arial" w:hAnsi="Arial"/>
                <w:sz w:val="14"/>
                <w:szCs w:val="14"/>
                <w:color w:val="auto"/>
              </w:rPr>
              <w:t>Total investment portfolio</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64,863</w:t>
            </w:r>
          </w:p>
        </w:tc>
        <w:tc>
          <w:tcPr>
            <w:tcW w:w="120" w:type="dxa"/>
            <w:vAlign w:val="bottom"/>
          </w:tcPr>
          <w:p>
            <w:pPr>
              <w:spacing w:after="0"/>
              <w:rPr>
                <w:sz w:val="16"/>
                <w:szCs w:val="16"/>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61,294</w:t>
            </w:r>
          </w:p>
        </w:tc>
        <w:tc>
          <w:tcPr>
            <w:tcW w:w="100" w:type="dxa"/>
            <w:vAlign w:val="bottom"/>
          </w:tcPr>
          <w:p>
            <w:pPr>
              <w:spacing w:after="0"/>
              <w:rPr>
                <w:sz w:val="16"/>
                <w:szCs w:val="16"/>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3.60 %</w:t>
            </w:r>
          </w:p>
        </w:tc>
        <w:tc>
          <w:tcPr>
            <w:tcW w:w="100" w:type="dxa"/>
            <w:vAlign w:val="bottom"/>
          </w:tcPr>
          <w:p>
            <w:pPr>
              <w:spacing w:after="0"/>
              <w:rPr>
                <w:sz w:val="16"/>
                <w:szCs w:val="16"/>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100 %</w:t>
            </w:r>
          </w:p>
        </w:tc>
        <w:tc>
          <w:tcPr>
            <w:tcW w:w="160" w:type="dxa"/>
            <w:vAlign w:val="bottom"/>
          </w:tcPr>
          <w:p>
            <w:pPr>
              <w:spacing w:after="0"/>
              <w:rPr>
                <w:sz w:val="16"/>
                <w:szCs w:val="16"/>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81,250</w:t>
            </w:r>
          </w:p>
        </w:tc>
        <w:tc>
          <w:tcPr>
            <w:tcW w:w="100" w:type="dxa"/>
            <w:vAlign w:val="bottom"/>
          </w:tcPr>
          <w:p>
            <w:pPr>
              <w:spacing w:after="0"/>
              <w:rPr>
                <w:sz w:val="16"/>
                <w:szCs w:val="16"/>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81,999</w:t>
            </w:r>
          </w:p>
        </w:tc>
        <w:tc>
          <w:tcPr>
            <w:tcW w:w="100" w:type="dxa"/>
            <w:vAlign w:val="bottom"/>
          </w:tcPr>
          <w:p>
            <w:pPr>
              <w:spacing w:after="0"/>
              <w:rPr>
                <w:sz w:val="16"/>
                <w:szCs w:val="16"/>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2.85 %</w:t>
            </w:r>
          </w:p>
        </w:tc>
        <w:tc>
          <w:tcPr>
            <w:tcW w:w="100" w:type="dxa"/>
            <w:vAlign w:val="bottom"/>
          </w:tcPr>
          <w:p>
            <w:pPr>
              <w:spacing w:after="0"/>
              <w:rPr>
                <w:sz w:val="16"/>
                <w:szCs w:val="16"/>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100 %</w:t>
            </w:r>
          </w:p>
        </w:tc>
        <w:tc>
          <w:tcPr>
            <w:tcW w:w="0" w:type="dxa"/>
            <w:vAlign w:val="bottom"/>
          </w:tcPr>
          <w:p>
            <w:pPr>
              <w:spacing w:after="0"/>
              <w:rPr>
                <w:sz w:val="1"/>
                <w:szCs w:val="1"/>
                <w:color w:val="auto"/>
              </w:rPr>
            </w:pPr>
          </w:p>
        </w:tc>
      </w:tr>
      <w:tr>
        <w:trPr>
          <w:trHeight w:val="20"/>
        </w:trPr>
        <w:tc>
          <w:tcPr>
            <w:tcW w:w="33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tabs>
          <w:tab w:leader="none" w:pos="660" w:val="left"/>
        </w:tabs>
        <w:numPr>
          <w:ilvl w:val="0"/>
          <w:numId w:val="21"/>
        </w:numPr>
        <w:rPr>
          <w:rFonts w:ascii="Arial" w:cs="Arial" w:eastAsia="Arial" w:hAnsi="Arial"/>
          <w:sz w:val="13"/>
          <w:szCs w:val="13"/>
          <w:color w:val="auto"/>
        </w:rPr>
      </w:pPr>
      <w:r>
        <w:rPr>
          <w:rFonts w:ascii="Arial" w:cs="Arial" w:eastAsia="Arial" w:hAnsi="Arial"/>
          <w:sz w:val="13"/>
          <w:szCs w:val="13"/>
          <w:color w:val="auto"/>
        </w:rPr>
        <w:t>TBA securities are presented net of long and short positions. For further details of our TBA securities refer to Note 5 of our Consolidated Financial Statements in this Form 10-Q.</w:t>
      </w:r>
    </w:p>
    <w:p>
      <w:pPr>
        <w:spacing w:after="0" w:line="12" w:lineRule="exact"/>
        <w:rPr>
          <w:rFonts w:ascii="Arial" w:cs="Arial" w:eastAsia="Arial" w:hAnsi="Arial"/>
          <w:sz w:val="13"/>
          <w:szCs w:val="13"/>
          <w:color w:val="auto"/>
        </w:rPr>
      </w:pPr>
    </w:p>
    <w:p>
      <w:pPr>
        <w:ind w:left="660" w:hanging="328"/>
        <w:spacing w:after="0"/>
        <w:tabs>
          <w:tab w:leader="none" w:pos="660" w:val="left"/>
        </w:tabs>
        <w:numPr>
          <w:ilvl w:val="0"/>
          <w:numId w:val="21"/>
        </w:numPr>
        <w:rPr>
          <w:rFonts w:ascii="Arial" w:cs="Arial" w:eastAsia="Arial" w:hAnsi="Arial"/>
          <w:sz w:val="14"/>
          <w:szCs w:val="14"/>
          <w:color w:val="auto"/>
        </w:rPr>
      </w:pPr>
      <w:r>
        <w:rPr>
          <w:rFonts w:ascii="Arial" w:cs="Arial" w:eastAsia="Arial" w:hAnsi="Arial"/>
          <w:sz w:val="14"/>
          <w:szCs w:val="14"/>
          <w:color w:val="auto"/>
        </w:rPr>
        <w:t>Includes $0.4 billion of forward settling non-Agency securities as of December 31, 2021.</w:t>
      </w:r>
    </w:p>
    <w:p>
      <w:pPr>
        <w:spacing w:after="0" w:line="155"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TBA and forward settling securities are recorded as derivative instruments in our accompanying consolidated financial statements, and our TBA dollar roll transactions represent a form of off-balance sheet financing. As of June 30, 2022 and December 31, 2021, our TBA position and forward settling securities had a net carrying value of $(108) million and $(44) million, respectively, reported in derivative assets/(liabilities) on our accompanying consolidated balance sheets. The net carrying value represents the difference between the fair value of the underlying security in the TBA contract or forward purchase agreement and the price to be paid or received for the underlying security.</w:t>
      </w:r>
    </w:p>
    <w:p>
      <w:pPr>
        <w:spacing w:after="0" w:line="134"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As of June 30, 2022 and December 31, 2021, the weighted average yield on our investment securities (excluding TBA and forward settling securities) was 2.85% and 2.43%, respectively.</w:t>
      </w:r>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3" w:right="339" w:bottom="1440" w:gutter="0" w:footer="0" w:header="0"/>
        </w:sectPr>
      </w:pPr>
    </w:p>
    <w:bookmarkStart w:id="29" w:name="page30"/>
    <w:bookmarkEnd w:id="29"/>
    <w:p>
      <w:pPr>
        <w:ind w:firstLine="445"/>
        <w:spacing w:after="0" w:line="277" w:lineRule="auto"/>
        <w:rPr>
          <w:sz w:val="20"/>
          <w:szCs w:val="20"/>
          <w:color w:val="auto"/>
        </w:rPr>
      </w:pPr>
      <w:r>
        <w:rPr>
          <w:rFonts w:ascii="Arial" w:cs="Arial" w:eastAsia="Arial" w:hAnsi="Arial"/>
          <w:sz w:val="18"/>
          <w:szCs w:val="18"/>
          <w:color w:val="auto"/>
        </w:rPr>
        <w:t>The following tables summarize certain characteristics of our fixed rate Agency RMBS portfolio, inclusive of TBA securities, as of June 30, 2022 and December 31, 2021 (dollars in millions):</w:t>
      </w:r>
    </w:p>
    <w:p>
      <w:pPr>
        <w:spacing w:after="0" w:line="14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2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gridSpan w:val="3"/>
          </w:tcPr>
          <w:p>
            <w:pPr>
              <w:ind w:left="200"/>
              <w:spacing w:after="0"/>
              <w:rPr>
                <w:sz w:val="20"/>
                <w:szCs w:val="20"/>
                <w:color w:val="auto"/>
              </w:rPr>
            </w:pPr>
            <w:r>
              <w:rPr>
                <w:rFonts w:ascii="Arial" w:cs="Arial" w:eastAsia="Arial" w:hAnsi="Arial"/>
                <w:sz w:val="14"/>
                <w:szCs w:val="14"/>
                <w:b w:val="1"/>
                <w:bCs w:val="1"/>
                <w:color w:val="auto"/>
              </w:rPr>
              <w:t>June 30, 2022</w:t>
            </w:r>
          </w:p>
        </w:tc>
        <w:tc>
          <w:tcPr>
            <w:tcW w:w="68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22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40" w:type="dxa"/>
            <w:vAlign w:val="bottom"/>
            <w:tcBorders>
              <w:bottom w:val="single" w:sz="8" w:color="auto"/>
            </w:tcBorders>
            <w:gridSpan w:val="5"/>
          </w:tcPr>
          <w:p>
            <w:pPr>
              <w:ind w:left="40"/>
              <w:spacing w:after="0"/>
              <w:rPr>
                <w:sz w:val="20"/>
                <w:szCs w:val="20"/>
                <w:color w:val="auto"/>
              </w:rPr>
            </w:pPr>
            <w:r>
              <w:rPr>
                <w:rFonts w:ascii="Arial" w:cs="Arial" w:eastAsia="Arial" w:hAnsi="Arial"/>
                <w:sz w:val="14"/>
                <w:szCs w:val="14"/>
                <w:b w:val="1"/>
                <w:bCs w:val="1"/>
                <w:color w:val="auto"/>
              </w:rPr>
              <w:t>Includes Net TBA Position</w:t>
            </w:r>
          </w:p>
        </w:tc>
        <w:tc>
          <w:tcPr>
            <w:tcW w:w="90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6"/>
          </w:tcPr>
          <w:p>
            <w:pPr>
              <w:ind w:left="400"/>
              <w:spacing w:after="0"/>
              <w:rPr>
                <w:sz w:val="20"/>
                <w:szCs w:val="20"/>
                <w:color w:val="auto"/>
              </w:rPr>
            </w:pPr>
            <w:r>
              <w:rPr>
                <w:rFonts w:ascii="Arial" w:cs="Arial" w:eastAsia="Arial" w:hAnsi="Arial"/>
                <w:sz w:val="14"/>
                <w:szCs w:val="14"/>
                <w:b w:val="1"/>
                <w:bCs w:val="1"/>
                <w:color w:val="auto"/>
              </w:rPr>
              <w:t>Excludes Net TBA Position</w:t>
            </w:r>
          </w:p>
        </w:tc>
        <w:tc>
          <w:tcPr>
            <w:tcW w:w="60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1"/>
        </w:trPr>
        <w:tc>
          <w:tcPr>
            <w:tcW w:w="22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1940" w:type="dxa"/>
            <w:vAlign w:val="bottom"/>
            <w:tcBorders>
              <w:bottom w:val="single" w:sz="8" w:color="auto"/>
            </w:tcBorders>
            <w:gridSpan w:val="4"/>
          </w:tcPr>
          <w:p>
            <w:pPr>
              <w:ind w:left="80"/>
              <w:spacing w:after="0"/>
              <w:rPr>
                <w:sz w:val="20"/>
                <w:szCs w:val="20"/>
                <w:color w:val="auto"/>
              </w:rPr>
            </w:pPr>
            <w:r>
              <w:rPr>
                <w:rFonts w:ascii="Arial" w:cs="Arial" w:eastAsia="Arial" w:hAnsi="Arial"/>
                <w:sz w:val="14"/>
                <w:szCs w:val="14"/>
                <w:b w:val="1"/>
                <w:bCs w:val="1"/>
                <w:color w:val="auto"/>
              </w:rPr>
              <w:t>Weighted Average</w:t>
            </w:r>
          </w:p>
        </w:tc>
        <w:tc>
          <w:tcPr>
            <w:tcW w:w="1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76"/>
        </w:trPr>
        <w:tc>
          <w:tcPr>
            <w:tcW w:w="2380" w:type="dxa"/>
            <w:vAlign w:val="bottom"/>
            <w:gridSpan w:val="2"/>
          </w:tcPr>
          <w:p>
            <w:pPr>
              <w:ind w:left="20"/>
              <w:spacing w:after="0"/>
              <w:rPr>
                <w:sz w:val="20"/>
                <w:szCs w:val="20"/>
                <w:color w:val="auto"/>
              </w:rPr>
            </w:pPr>
            <w:r>
              <w:rPr>
                <w:rFonts w:ascii="Arial" w:cs="Arial" w:eastAsia="Arial" w:hAnsi="Arial"/>
                <w:sz w:val="14"/>
                <w:szCs w:val="14"/>
                <w:b w:val="1"/>
                <w:bCs w:val="1"/>
                <w:color w:val="auto"/>
              </w:rPr>
              <w:t>Fixed Rate Agency RMBS and TBA</w:t>
            </w:r>
          </w:p>
        </w:tc>
        <w:tc>
          <w:tcPr>
            <w:tcW w:w="80" w:type="dxa"/>
            <w:vAlign w:val="bottom"/>
          </w:tcPr>
          <w:p>
            <w:pPr>
              <w:spacing w:after="0"/>
              <w:rPr>
                <w:sz w:val="15"/>
                <w:szCs w:val="15"/>
                <w:color w:val="auto"/>
              </w:rPr>
            </w:pPr>
          </w:p>
        </w:tc>
        <w:tc>
          <w:tcPr>
            <w:tcW w:w="82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Par Value</w:t>
            </w:r>
          </w:p>
        </w:tc>
        <w:tc>
          <w:tcPr>
            <w:tcW w:w="120" w:type="dxa"/>
            <w:vAlign w:val="bottom"/>
          </w:tcPr>
          <w:p>
            <w:pPr>
              <w:spacing w:after="0"/>
              <w:rPr>
                <w:sz w:val="15"/>
                <w:szCs w:val="15"/>
                <w:color w:val="auto"/>
              </w:rPr>
            </w:pPr>
          </w:p>
        </w:tc>
        <w:tc>
          <w:tcPr>
            <w:tcW w:w="940" w:type="dxa"/>
            <w:vAlign w:val="bottom"/>
            <w:gridSpan w:val="2"/>
          </w:tcPr>
          <w:p>
            <w:pPr>
              <w:ind w:left="20"/>
              <w:spacing w:after="0"/>
              <w:rPr>
                <w:sz w:val="20"/>
                <w:szCs w:val="20"/>
                <w:color w:val="auto"/>
              </w:rPr>
            </w:pPr>
            <w:r>
              <w:rPr>
                <w:rFonts w:ascii="Arial" w:cs="Arial" w:eastAsia="Arial" w:hAnsi="Arial"/>
                <w:sz w:val="14"/>
                <w:szCs w:val="14"/>
                <w:b w:val="1"/>
                <w:bCs w:val="1"/>
                <w:color w:val="auto"/>
              </w:rPr>
              <w:t>Amortized</w:t>
            </w:r>
          </w:p>
        </w:tc>
        <w:tc>
          <w:tcPr>
            <w:tcW w:w="900" w:type="dxa"/>
            <w:vAlign w:val="bottom"/>
            <w:gridSpan w:val="3"/>
            <w:vMerge w:val="restart"/>
          </w:tcPr>
          <w:p>
            <w:pPr>
              <w:ind w:left="80"/>
              <w:spacing w:after="0"/>
              <w:rPr>
                <w:sz w:val="20"/>
                <w:szCs w:val="20"/>
                <w:color w:val="auto"/>
              </w:rPr>
            </w:pPr>
            <w:r>
              <w:rPr>
                <w:rFonts w:ascii="Arial" w:cs="Arial" w:eastAsia="Arial" w:hAnsi="Arial"/>
                <w:sz w:val="14"/>
                <w:szCs w:val="14"/>
                <w:b w:val="1"/>
                <w:bCs w:val="1"/>
                <w:color w:val="auto"/>
              </w:rPr>
              <w:t>Fair Value</w:t>
            </w:r>
          </w:p>
        </w:tc>
        <w:tc>
          <w:tcPr>
            <w:tcW w:w="900" w:type="dxa"/>
            <w:vAlign w:val="bottom"/>
          </w:tcPr>
          <w:p>
            <w:pPr>
              <w:ind w:left="20"/>
              <w:spacing w:after="0"/>
              <w:rPr>
                <w:sz w:val="20"/>
                <w:szCs w:val="20"/>
                <w:color w:val="auto"/>
              </w:rPr>
            </w:pPr>
            <w:r>
              <w:rPr>
                <w:rFonts w:ascii="Arial" w:cs="Arial" w:eastAsia="Arial" w:hAnsi="Arial"/>
                <w:sz w:val="14"/>
                <w:szCs w:val="14"/>
                <w:b w:val="1"/>
                <w:bCs w:val="1"/>
                <w:color w:val="auto"/>
                <w:w w:val="89"/>
              </w:rPr>
              <w:t>Specified Pool</w:t>
            </w:r>
          </w:p>
        </w:tc>
        <w:tc>
          <w:tcPr>
            <w:tcW w:w="220" w:type="dxa"/>
            <w:vAlign w:val="bottom"/>
          </w:tcPr>
          <w:p>
            <w:pPr>
              <w:spacing w:after="0"/>
              <w:rPr>
                <w:sz w:val="15"/>
                <w:szCs w:val="15"/>
                <w:color w:val="auto"/>
              </w:rPr>
            </w:pPr>
          </w:p>
        </w:tc>
        <w:tc>
          <w:tcPr>
            <w:tcW w:w="116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6"/>
              </w:rPr>
              <w:t>Amortized</w:t>
            </w:r>
          </w:p>
        </w:tc>
        <w:tc>
          <w:tcPr>
            <w:tcW w:w="680" w:type="dxa"/>
            <w:vAlign w:val="bottom"/>
            <w:vMerge w:val="restart"/>
          </w:tcPr>
          <w:p>
            <w:pPr>
              <w:ind w:left="140"/>
              <w:spacing w:after="0"/>
              <w:rPr>
                <w:sz w:val="20"/>
                <w:szCs w:val="20"/>
                <w:color w:val="auto"/>
              </w:rPr>
            </w:pPr>
            <w:r>
              <w:rPr>
                <w:rFonts w:ascii="Arial" w:cs="Arial" w:eastAsia="Arial" w:hAnsi="Arial"/>
                <w:sz w:val="14"/>
                <w:szCs w:val="14"/>
                <w:b w:val="1"/>
                <w:bCs w:val="1"/>
                <w:color w:val="auto"/>
              </w:rPr>
              <w:t xml:space="preserve">WAC </w:t>
            </w:r>
            <w:r>
              <w:rPr>
                <w:rFonts w:ascii="Arial" w:cs="Arial" w:eastAsia="Arial" w:hAnsi="Arial"/>
                <w:sz w:val="18"/>
                <w:szCs w:val="18"/>
                <w:b w:val="1"/>
                <w:bCs w:val="1"/>
                <w:color w:val="auto"/>
                <w:vertAlign w:val="superscript"/>
              </w:rPr>
              <w:t>2</w:t>
            </w:r>
          </w:p>
        </w:tc>
        <w:tc>
          <w:tcPr>
            <w:tcW w:w="140" w:type="dxa"/>
            <w:vAlign w:val="bottom"/>
          </w:tcPr>
          <w:p>
            <w:pPr>
              <w:spacing w:after="0"/>
              <w:rPr>
                <w:sz w:val="15"/>
                <w:szCs w:val="15"/>
                <w:color w:val="auto"/>
              </w:rPr>
            </w:pPr>
          </w:p>
        </w:tc>
        <w:tc>
          <w:tcPr>
            <w:tcW w:w="84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 xml:space="preserve">Yield </w:t>
            </w:r>
            <w:r>
              <w:rPr>
                <w:rFonts w:ascii="Arial" w:cs="Arial" w:eastAsia="Arial" w:hAnsi="Arial"/>
                <w:sz w:val="18"/>
                <w:szCs w:val="18"/>
                <w:b w:val="1"/>
                <w:bCs w:val="1"/>
                <w:color w:val="auto"/>
                <w:vertAlign w:val="superscript"/>
              </w:rPr>
              <w:t>3</w:t>
            </w:r>
          </w:p>
        </w:tc>
        <w:tc>
          <w:tcPr>
            <w:tcW w:w="106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Age (Months)</w:t>
            </w:r>
          </w:p>
        </w:tc>
        <w:tc>
          <w:tcPr>
            <w:tcW w:w="900" w:type="dxa"/>
            <w:vAlign w:val="bottom"/>
            <w:gridSpan w:val="2"/>
          </w:tcPr>
          <w:p>
            <w:pPr>
              <w:jc w:val="right"/>
              <w:ind w:right="137"/>
              <w:spacing w:after="0"/>
              <w:rPr>
                <w:sz w:val="20"/>
                <w:szCs w:val="20"/>
                <w:color w:val="auto"/>
              </w:rPr>
            </w:pPr>
            <w:r>
              <w:rPr>
                <w:rFonts w:ascii="Arial" w:cs="Arial" w:eastAsia="Arial" w:hAnsi="Arial"/>
                <w:sz w:val="14"/>
                <w:szCs w:val="14"/>
                <w:b w:val="1"/>
                <w:bCs w:val="1"/>
                <w:color w:val="auto"/>
              </w:rPr>
              <w:t>Projected</w:t>
            </w:r>
          </w:p>
        </w:tc>
        <w:tc>
          <w:tcPr>
            <w:tcW w:w="0" w:type="dxa"/>
            <w:vAlign w:val="bottom"/>
          </w:tcPr>
          <w:p>
            <w:pPr>
              <w:spacing w:after="0"/>
              <w:rPr>
                <w:sz w:val="1"/>
                <w:szCs w:val="1"/>
                <w:color w:val="auto"/>
              </w:rPr>
            </w:pPr>
          </w:p>
        </w:tc>
      </w:tr>
      <w:tr>
        <w:trPr>
          <w:trHeight w:val="189"/>
        </w:trPr>
        <w:tc>
          <w:tcPr>
            <w:tcW w:w="2380" w:type="dxa"/>
            <w:vAlign w:val="bottom"/>
            <w:gridSpan w:val="2"/>
          </w:tcPr>
          <w:p>
            <w:pPr>
              <w:ind w:left="20"/>
              <w:spacing w:after="0"/>
              <w:rPr>
                <w:sz w:val="20"/>
                <w:szCs w:val="20"/>
                <w:color w:val="auto"/>
              </w:rPr>
            </w:pPr>
            <w:r>
              <w:rPr>
                <w:rFonts w:ascii="Arial" w:cs="Arial" w:eastAsia="Arial" w:hAnsi="Arial"/>
                <w:sz w:val="14"/>
                <w:szCs w:val="14"/>
                <w:b w:val="1"/>
                <w:bCs w:val="1"/>
                <w:color w:val="auto"/>
              </w:rPr>
              <w:t>Securities</w:t>
            </w:r>
          </w:p>
        </w:tc>
        <w:tc>
          <w:tcPr>
            <w:tcW w:w="80" w:type="dxa"/>
            <w:vAlign w:val="bottom"/>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940" w:type="dxa"/>
            <w:vAlign w:val="bottom"/>
            <w:gridSpan w:val="2"/>
          </w:tcPr>
          <w:p>
            <w:pPr>
              <w:ind w:left="220"/>
              <w:spacing w:after="0"/>
              <w:rPr>
                <w:sz w:val="20"/>
                <w:szCs w:val="20"/>
                <w:color w:val="auto"/>
              </w:rPr>
            </w:pPr>
            <w:r>
              <w:rPr>
                <w:rFonts w:ascii="Arial" w:cs="Arial" w:eastAsia="Arial" w:hAnsi="Arial"/>
                <w:sz w:val="14"/>
                <w:szCs w:val="14"/>
                <w:b w:val="1"/>
                <w:bCs w:val="1"/>
                <w:color w:val="auto"/>
              </w:rPr>
              <w:t>Cost</w:t>
            </w:r>
          </w:p>
        </w:tc>
        <w:tc>
          <w:tcPr>
            <w:tcW w:w="900" w:type="dxa"/>
            <w:vAlign w:val="bottom"/>
            <w:gridSpan w:val="3"/>
            <w:vMerge w:val="continue"/>
          </w:tcPr>
          <w:p>
            <w:pPr>
              <w:spacing w:after="0"/>
              <w:rPr>
                <w:sz w:val="16"/>
                <w:szCs w:val="16"/>
                <w:color w:val="auto"/>
              </w:rPr>
            </w:pPr>
          </w:p>
        </w:tc>
        <w:tc>
          <w:tcPr>
            <w:tcW w:w="900" w:type="dxa"/>
            <w:vAlign w:val="bottom"/>
          </w:tcPr>
          <w:p>
            <w:pPr>
              <w:jc w:val="center"/>
              <w:spacing w:after="0" w:line="189" w:lineRule="exact"/>
              <w:rPr>
                <w:sz w:val="20"/>
                <w:szCs w:val="20"/>
                <w:color w:val="auto"/>
              </w:rPr>
            </w:pPr>
            <w:r>
              <w:rPr>
                <w:rFonts w:ascii="Arial" w:cs="Arial" w:eastAsia="Arial" w:hAnsi="Arial"/>
                <w:sz w:val="21"/>
                <w:szCs w:val="21"/>
                <w:b w:val="1"/>
                <w:bCs w:val="1"/>
                <w:color w:val="auto"/>
                <w:vertAlign w:val="subscript"/>
              </w:rPr>
              <w:t>%</w:t>
            </w:r>
            <w:r>
              <w:rPr>
                <w:rFonts w:ascii="Arial" w:cs="Arial" w:eastAsia="Arial" w:hAnsi="Arial"/>
                <w:sz w:val="8"/>
                <w:szCs w:val="8"/>
                <w:b w:val="1"/>
                <w:bCs w:val="1"/>
                <w:color w:val="auto"/>
              </w:rPr>
              <w:t xml:space="preserve"> 1</w:t>
            </w:r>
          </w:p>
        </w:tc>
        <w:tc>
          <w:tcPr>
            <w:tcW w:w="220" w:type="dxa"/>
            <w:vAlign w:val="bottom"/>
          </w:tcPr>
          <w:p>
            <w:pPr>
              <w:spacing w:after="0"/>
              <w:rPr>
                <w:sz w:val="16"/>
                <w:szCs w:val="16"/>
                <w:color w:val="auto"/>
              </w:rPr>
            </w:pPr>
          </w:p>
        </w:tc>
        <w:tc>
          <w:tcPr>
            <w:tcW w:w="116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8"/>
              </w:rPr>
              <w:t>Cost Basis</w:t>
            </w:r>
          </w:p>
        </w:tc>
        <w:tc>
          <w:tcPr>
            <w:tcW w:w="680" w:type="dxa"/>
            <w:vAlign w:val="bottom"/>
            <w:vMerge w:val="continue"/>
          </w:tcPr>
          <w:p>
            <w:pPr>
              <w:spacing w:after="0"/>
              <w:rPr>
                <w:sz w:val="16"/>
                <w:szCs w:val="16"/>
                <w:color w:val="auto"/>
              </w:rPr>
            </w:pPr>
          </w:p>
        </w:tc>
        <w:tc>
          <w:tcPr>
            <w:tcW w:w="140" w:type="dxa"/>
            <w:vAlign w:val="bottom"/>
          </w:tcPr>
          <w:p>
            <w:pPr>
              <w:spacing w:after="0"/>
              <w:rPr>
                <w:sz w:val="16"/>
                <w:szCs w:val="16"/>
                <w:color w:val="auto"/>
              </w:rPr>
            </w:pPr>
          </w:p>
        </w:tc>
        <w:tc>
          <w:tcPr>
            <w:tcW w:w="840" w:type="dxa"/>
            <w:vAlign w:val="bottom"/>
            <w:gridSpan w:val="2"/>
            <w:vMerge w:val="continue"/>
          </w:tcPr>
          <w:p>
            <w:pPr>
              <w:spacing w:after="0"/>
              <w:rPr>
                <w:sz w:val="16"/>
                <w:szCs w:val="16"/>
                <w:color w:val="auto"/>
              </w:rPr>
            </w:pPr>
          </w:p>
        </w:tc>
        <w:tc>
          <w:tcPr>
            <w:tcW w:w="1060" w:type="dxa"/>
            <w:vAlign w:val="bottom"/>
            <w:gridSpan w:val="2"/>
            <w:vMerge w:val="continue"/>
          </w:tcPr>
          <w:p>
            <w:pPr>
              <w:spacing w:after="0"/>
              <w:rPr>
                <w:sz w:val="16"/>
                <w:szCs w:val="16"/>
                <w:color w:val="auto"/>
              </w:rPr>
            </w:pPr>
          </w:p>
        </w:tc>
        <w:tc>
          <w:tcPr>
            <w:tcW w:w="600" w:type="dxa"/>
            <w:vAlign w:val="bottom"/>
          </w:tcPr>
          <w:p>
            <w:pPr>
              <w:ind w:left="260"/>
              <w:spacing w:after="0"/>
              <w:rPr>
                <w:sz w:val="20"/>
                <w:szCs w:val="20"/>
                <w:color w:val="auto"/>
              </w:rPr>
            </w:pPr>
            <w:r>
              <w:rPr>
                <w:rFonts w:ascii="Arial" w:cs="Arial" w:eastAsia="Arial" w:hAnsi="Arial"/>
                <w:sz w:val="14"/>
                <w:szCs w:val="14"/>
                <w:b w:val="1"/>
                <w:bCs w:val="1"/>
                <w:color w:val="auto"/>
              </w:rPr>
              <w:t>CPR</w:t>
            </w:r>
          </w:p>
        </w:tc>
        <w:tc>
          <w:tcPr>
            <w:tcW w:w="300" w:type="dxa"/>
            <w:vAlign w:val="bottom"/>
          </w:tcPr>
          <w:p>
            <w:pPr>
              <w:jc w:val="right"/>
              <w:ind w:right="237"/>
              <w:spacing w:after="0"/>
              <w:rPr>
                <w:sz w:val="20"/>
                <w:szCs w:val="20"/>
                <w:color w:val="auto"/>
              </w:rPr>
            </w:pPr>
            <w:r>
              <w:rPr>
                <w:rFonts w:ascii="Arial" w:cs="Arial" w:eastAsia="Arial" w:hAnsi="Arial"/>
                <w:sz w:val="5"/>
                <w:szCs w:val="5"/>
                <w:b w:val="1"/>
                <w:bCs w:val="1"/>
                <w:color w:val="auto"/>
                <w:w w:val="70"/>
              </w:rPr>
              <w:t>3</w:t>
            </w:r>
          </w:p>
        </w:tc>
        <w:tc>
          <w:tcPr>
            <w:tcW w:w="0" w:type="dxa"/>
            <w:vAlign w:val="bottom"/>
          </w:tcPr>
          <w:p>
            <w:pPr>
              <w:spacing w:after="0"/>
              <w:rPr>
                <w:sz w:val="1"/>
                <w:szCs w:val="1"/>
                <w:color w:val="auto"/>
              </w:rPr>
            </w:pPr>
          </w:p>
        </w:tc>
      </w:tr>
      <w:tr>
        <w:trPr>
          <w:trHeight w:val="183"/>
        </w:trPr>
        <w:tc>
          <w:tcPr>
            <w:tcW w:w="22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Fixed rate</w:t>
            </w:r>
          </w:p>
        </w:tc>
        <w:tc>
          <w:tcPr>
            <w:tcW w:w="1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70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spacing w:after="0"/>
              <w:rPr>
                <w:sz w:val="15"/>
                <w:szCs w:val="15"/>
                <w:color w:val="auto"/>
              </w:rPr>
            </w:pPr>
          </w:p>
        </w:tc>
        <w:tc>
          <w:tcPr>
            <w:tcW w:w="84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spacing w:after="0"/>
              <w:rPr>
                <w:sz w:val="15"/>
                <w:szCs w:val="15"/>
                <w:color w:val="auto"/>
              </w:rPr>
            </w:pPr>
          </w:p>
        </w:tc>
        <w:tc>
          <w:tcPr>
            <w:tcW w:w="58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900" w:type="dxa"/>
            <w:vAlign w:val="bottom"/>
            <w:tcBorders>
              <w:top w:val="single" w:sz="8" w:color="auto"/>
            </w:tcBorders>
            <w:shd w:val="clear" w:color="auto" w:fill="CCEEFF"/>
          </w:tcPr>
          <w:p>
            <w:pPr>
              <w:spacing w:after="0"/>
              <w:rPr>
                <w:sz w:val="15"/>
                <w:szCs w:val="15"/>
                <w:color w:val="auto"/>
              </w:rPr>
            </w:pPr>
          </w:p>
        </w:tc>
        <w:tc>
          <w:tcPr>
            <w:tcW w:w="220" w:type="dxa"/>
            <w:vAlign w:val="bottom"/>
            <w:tcBorders>
              <w:top w:val="single" w:sz="8" w:color="CCEEFF"/>
            </w:tcBorders>
            <w:shd w:val="clear" w:color="auto" w:fill="CCEEFF"/>
          </w:tcPr>
          <w:p>
            <w:pPr>
              <w:spacing w:after="0"/>
              <w:rPr>
                <w:sz w:val="15"/>
                <w:szCs w:val="15"/>
                <w:color w:val="auto"/>
              </w:rPr>
            </w:pPr>
          </w:p>
        </w:tc>
        <w:tc>
          <w:tcPr>
            <w:tcW w:w="104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680" w:type="dxa"/>
            <w:vAlign w:val="bottom"/>
            <w:tcBorders>
              <w:top w:val="single" w:sz="8" w:color="auto"/>
            </w:tcBorders>
            <w:shd w:val="clear" w:color="auto" w:fill="CCEEFF"/>
          </w:tcPr>
          <w:p>
            <w:pPr>
              <w:spacing w:after="0"/>
              <w:rPr>
                <w:sz w:val="15"/>
                <w:szCs w:val="15"/>
                <w:color w:val="auto"/>
              </w:rPr>
            </w:pPr>
          </w:p>
        </w:tc>
        <w:tc>
          <w:tcPr>
            <w:tcW w:w="140" w:type="dxa"/>
            <w:vAlign w:val="bottom"/>
            <w:tcBorders>
              <w:top w:val="single" w:sz="8" w:color="CCEEFF"/>
            </w:tcBorders>
            <w:shd w:val="clear" w:color="auto" w:fill="CCEEFF"/>
          </w:tcPr>
          <w:p>
            <w:pPr>
              <w:spacing w:after="0"/>
              <w:rPr>
                <w:sz w:val="15"/>
                <w:szCs w:val="15"/>
                <w:color w:val="auto"/>
              </w:rPr>
            </w:pPr>
          </w:p>
        </w:tc>
        <w:tc>
          <w:tcPr>
            <w:tcW w:w="72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96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600" w:type="dxa"/>
            <w:vAlign w:val="bottom"/>
            <w:tcBorders>
              <w:top w:val="single" w:sz="8" w:color="auto"/>
            </w:tcBorders>
            <w:shd w:val="clear" w:color="auto" w:fill="CCEEFF"/>
          </w:tcPr>
          <w:p>
            <w:pPr>
              <w:spacing w:after="0"/>
              <w:rPr>
                <w:sz w:val="15"/>
                <w:szCs w:val="15"/>
                <w:color w:val="auto"/>
              </w:rPr>
            </w:pPr>
          </w:p>
        </w:tc>
        <w:tc>
          <w:tcPr>
            <w:tcW w:w="300" w:type="dxa"/>
            <w:vAlign w:val="bottom"/>
            <w:tcBorders>
              <w:top w:val="single" w:sz="8" w:color="auto"/>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6"/>
        </w:trPr>
        <w:tc>
          <w:tcPr>
            <w:tcW w:w="2380" w:type="dxa"/>
            <w:vAlign w:val="bottom"/>
            <w:gridSpan w:val="2"/>
          </w:tcPr>
          <w:p>
            <w:pPr>
              <w:ind w:left="260"/>
              <w:spacing w:after="0"/>
              <w:rPr>
                <w:sz w:val="20"/>
                <w:szCs w:val="20"/>
                <w:color w:val="auto"/>
              </w:rPr>
            </w:pPr>
            <w:r>
              <w:rPr>
                <w:rFonts w:ascii="Arial" w:cs="Arial" w:eastAsia="Arial" w:hAnsi="Arial"/>
                <w:sz w:val="14"/>
                <w:szCs w:val="14"/>
                <w:color w:val="auto"/>
              </w:rPr>
              <w:t>≤ 15-year:</w:t>
            </w:r>
          </w:p>
        </w:tc>
        <w:tc>
          <w:tcPr>
            <w:tcW w:w="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260" w:type="dxa"/>
            <w:vAlign w:val="bottom"/>
            <w:shd w:val="clear" w:color="auto" w:fill="CCEEFF"/>
          </w:tcPr>
          <w:p>
            <w:pPr>
              <w:ind w:left="360"/>
              <w:spacing w:after="0"/>
              <w:rPr>
                <w:sz w:val="20"/>
                <w:szCs w:val="20"/>
                <w:color w:val="auto"/>
              </w:rPr>
            </w:pPr>
            <w:r>
              <w:rPr>
                <w:rFonts w:ascii="Arial" w:cs="Arial" w:eastAsia="Arial" w:hAnsi="Arial"/>
                <w:sz w:val="14"/>
                <w:szCs w:val="14"/>
                <w:color w:val="auto"/>
              </w:rPr>
              <w:t>2.0%</w:t>
            </w: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49</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51</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46</w:t>
            </w: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100%</w:t>
            </w:r>
          </w:p>
        </w:tc>
        <w:tc>
          <w:tcPr>
            <w:tcW w:w="126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2"/>
              </w:rPr>
              <w:t>103.1%</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2.69%</w:t>
            </w:r>
          </w:p>
        </w:tc>
        <w:tc>
          <w:tcPr>
            <w:tcW w:w="860" w:type="dxa"/>
            <w:vAlign w:val="bottom"/>
            <w:gridSpan w:val="2"/>
            <w:shd w:val="clear" w:color="auto" w:fill="CCEEFF"/>
          </w:tcPr>
          <w:p>
            <w:pPr>
              <w:ind w:left="320"/>
              <w:spacing w:after="0"/>
              <w:rPr>
                <w:sz w:val="20"/>
                <w:szCs w:val="20"/>
                <w:color w:val="auto"/>
              </w:rPr>
            </w:pPr>
            <w:r>
              <w:rPr>
                <w:rFonts w:ascii="Arial" w:cs="Arial" w:eastAsia="Arial" w:hAnsi="Arial"/>
                <w:sz w:val="14"/>
                <w:szCs w:val="14"/>
                <w:color w:val="auto"/>
              </w:rPr>
              <w:t>1.31%</w:t>
            </w: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19</w:t>
            </w: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88"/>
              </w:rPr>
              <w:t>8%</w:t>
            </w:r>
          </w:p>
        </w:tc>
        <w:tc>
          <w:tcPr>
            <w:tcW w:w="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260" w:type="dxa"/>
            <w:vAlign w:val="bottom"/>
          </w:tcPr>
          <w:p>
            <w:pPr>
              <w:ind w:left="360"/>
              <w:spacing w:after="0"/>
              <w:rPr>
                <w:sz w:val="20"/>
                <w:szCs w:val="20"/>
                <w:color w:val="auto"/>
              </w:rPr>
            </w:pPr>
            <w:r>
              <w:rPr>
                <w:rFonts w:ascii="Arial" w:cs="Arial" w:eastAsia="Arial" w:hAnsi="Arial"/>
                <w:sz w:val="14"/>
                <w:szCs w:val="14"/>
                <w:color w:val="auto"/>
              </w:rPr>
              <w:t>2.5%</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284</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299</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273</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4"/>
              </w:rPr>
              <w:t>100%</w:t>
            </w:r>
          </w:p>
        </w:tc>
        <w:tc>
          <w:tcPr>
            <w:tcW w:w="1260" w:type="dxa"/>
            <w:vAlign w:val="bottom"/>
            <w:gridSpan w:val="2"/>
          </w:tcPr>
          <w:p>
            <w:pPr>
              <w:jc w:val="center"/>
              <w:ind w:left="148"/>
              <w:spacing w:after="0"/>
              <w:rPr>
                <w:sz w:val="20"/>
                <w:szCs w:val="20"/>
                <w:color w:val="auto"/>
              </w:rPr>
            </w:pPr>
            <w:r>
              <w:rPr>
                <w:rFonts w:ascii="Arial" w:cs="Arial" w:eastAsia="Arial" w:hAnsi="Arial"/>
                <w:sz w:val="14"/>
                <w:szCs w:val="14"/>
                <w:color w:val="auto"/>
                <w:w w:val="92"/>
              </w:rPr>
              <w:t>105.5%</w:t>
            </w:r>
          </w:p>
        </w:tc>
        <w:tc>
          <w:tcPr>
            <w:tcW w:w="120" w:type="dxa"/>
            <w:vAlign w:val="bottom"/>
          </w:tcPr>
          <w:p>
            <w:pPr>
              <w:spacing w:after="0"/>
              <w:rPr>
                <w:sz w:val="16"/>
                <w:szCs w:val="16"/>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3.02%</w:t>
            </w:r>
          </w:p>
        </w:tc>
        <w:tc>
          <w:tcPr>
            <w:tcW w:w="860" w:type="dxa"/>
            <w:vAlign w:val="bottom"/>
            <w:gridSpan w:val="2"/>
          </w:tcPr>
          <w:p>
            <w:pPr>
              <w:ind w:left="320"/>
              <w:spacing w:after="0"/>
              <w:rPr>
                <w:sz w:val="20"/>
                <w:szCs w:val="20"/>
                <w:color w:val="auto"/>
              </w:rPr>
            </w:pPr>
            <w:r>
              <w:rPr>
                <w:rFonts w:ascii="Arial" w:cs="Arial" w:eastAsia="Arial" w:hAnsi="Arial"/>
                <w:sz w:val="14"/>
                <w:szCs w:val="14"/>
                <w:color w:val="auto"/>
              </w:rPr>
              <w:t>1.24%</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89"/>
              </w:rPr>
              <w:t>32</w:t>
            </w:r>
          </w:p>
        </w:tc>
        <w:tc>
          <w:tcPr>
            <w:tcW w:w="100" w:type="dxa"/>
            <w:vAlign w:val="bottom"/>
          </w:tcPr>
          <w:p>
            <w:pPr>
              <w:spacing w:after="0"/>
              <w:rPr>
                <w:sz w:val="16"/>
                <w:szCs w:val="16"/>
                <w:color w:val="auto"/>
              </w:rPr>
            </w:pPr>
          </w:p>
        </w:tc>
        <w:tc>
          <w:tcPr>
            <w:tcW w:w="600" w:type="dxa"/>
            <w:vAlign w:val="bottom"/>
          </w:tcPr>
          <w:p>
            <w:pPr>
              <w:jc w:val="center"/>
              <w:ind w:left="228"/>
              <w:spacing w:after="0"/>
              <w:rPr>
                <w:sz w:val="20"/>
                <w:szCs w:val="20"/>
                <w:color w:val="auto"/>
              </w:rPr>
            </w:pPr>
            <w:r>
              <w:rPr>
                <w:rFonts w:ascii="Arial" w:cs="Arial" w:eastAsia="Arial" w:hAnsi="Arial"/>
                <w:sz w:val="14"/>
                <w:szCs w:val="14"/>
                <w:color w:val="auto"/>
                <w:w w:val="92"/>
              </w:rPr>
              <w:t>10%</w:t>
            </w: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260" w:type="dxa"/>
            <w:vAlign w:val="bottom"/>
            <w:shd w:val="clear" w:color="auto" w:fill="CCEEFF"/>
          </w:tcPr>
          <w:p>
            <w:pPr>
              <w:ind w:left="360"/>
              <w:spacing w:after="0"/>
              <w:rPr>
                <w:sz w:val="20"/>
                <w:szCs w:val="20"/>
                <w:color w:val="auto"/>
              </w:rPr>
            </w:pPr>
            <w:r>
              <w:rPr>
                <w:rFonts w:ascii="Arial" w:cs="Arial" w:eastAsia="Arial" w:hAnsi="Arial"/>
                <w:sz w:val="14"/>
                <w:szCs w:val="14"/>
                <w:color w:val="auto"/>
              </w:rPr>
              <w:t>3.0%</w:t>
            </w: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588</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597</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581</w:t>
            </w: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99%</w:t>
            </w:r>
          </w:p>
        </w:tc>
        <w:tc>
          <w:tcPr>
            <w:tcW w:w="126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2"/>
              </w:rPr>
              <w:t>101.6%</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3.55%</w:t>
            </w:r>
          </w:p>
        </w:tc>
        <w:tc>
          <w:tcPr>
            <w:tcW w:w="860" w:type="dxa"/>
            <w:vAlign w:val="bottom"/>
            <w:gridSpan w:val="2"/>
            <w:shd w:val="clear" w:color="auto" w:fill="CCEEFF"/>
          </w:tcPr>
          <w:p>
            <w:pPr>
              <w:ind w:left="320"/>
              <w:spacing w:after="0"/>
              <w:rPr>
                <w:sz w:val="20"/>
                <w:szCs w:val="20"/>
                <w:color w:val="auto"/>
              </w:rPr>
            </w:pPr>
            <w:r>
              <w:rPr>
                <w:rFonts w:ascii="Arial" w:cs="Arial" w:eastAsia="Arial" w:hAnsi="Arial"/>
                <w:sz w:val="14"/>
                <w:szCs w:val="14"/>
                <w:color w:val="auto"/>
              </w:rPr>
              <w:t>2.53%</w:t>
            </w: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54</w:t>
            </w: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92"/>
              </w:rPr>
              <w:t>12%</w:t>
            </w:r>
          </w:p>
        </w:tc>
        <w:tc>
          <w:tcPr>
            <w:tcW w:w="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260" w:type="dxa"/>
            <w:vAlign w:val="bottom"/>
          </w:tcPr>
          <w:p>
            <w:pPr>
              <w:ind w:left="360"/>
              <w:spacing w:after="0"/>
              <w:rPr>
                <w:sz w:val="20"/>
                <w:szCs w:val="20"/>
                <w:color w:val="auto"/>
              </w:rPr>
            </w:pPr>
            <w:r>
              <w:rPr>
                <w:rFonts w:ascii="Arial" w:cs="Arial" w:eastAsia="Arial" w:hAnsi="Arial"/>
                <w:sz w:val="14"/>
                <w:szCs w:val="14"/>
                <w:color w:val="auto"/>
              </w:rPr>
              <w:t>3.5%</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651</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662</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651</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84%</w:t>
            </w:r>
          </w:p>
        </w:tc>
        <w:tc>
          <w:tcPr>
            <w:tcW w:w="1260" w:type="dxa"/>
            <w:vAlign w:val="bottom"/>
            <w:gridSpan w:val="2"/>
          </w:tcPr>
          <w:p>
            <w:pPr>
              <w:jc w:val="center"/>
              <w:ind w:left="148"/>
              <w:spacing w:after="0"/>
              <w:rPr>
                <w:sz w:val="20"/>
                <w:szCs w:val="20"/>
                <w:color w:val="auto"/>
              </w:rPr>
            </w:pPr>
            <w:r>
              <w:rPr>
                <w:rFonts w:ascii="Arial" w:cs="Arial" w:eastAsia="Arial" w:hAnsi="Arial"/>
                <w:sz w:val="14"/>
                <w:szCs w:val="14"/>
                <w:color w:val="auto"/>
                <w:w w:val="92"/>
              </w:rPr>
              <w:t>102.1%</w:t>
            </w:r>
          </w:p>
        </w:tc>
        <w:tc>
          <w:tcPr>
            <w:tcW w:w="120" w:type="dxa"/>
            <w:vAlign w:val="bottom"/>
          </w:tcPr>
          <w:p>
            <w:pPr>
              <w:spacing w:after="0"/>
              <w:rPr>
                <w:sz w:val="16"/>
                <w:szCs w:val="16"/>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4.02%</w:t>
            </w:r>
          </w:p>
        </w:tc>
        <w:tc>
          <w:tcPr>
            <w:tcW w:w="860" w:type="dxa"/>
            <w:vAlign w:val="bottom"/>
            <w:gridSpan w:val="2"/>
          </w:tcPr>
          <w:p>
            <w:pPr>
              <w:ind w:left="320"/>
              <w:spacing w:after="0"/>
              <w:rPr>
                <w:sz w:val="20"/>
                <w:szCs w:val="20"/>
                <w:color w:val="auto"/>
              </w:rPr>
            </w:pPr>
            <w:r>
              <w:rPr>
                <w:rFonts w:ascii="Arial" w:cs="Arial" w:eastAsia="Arial" w:hAnsi="Arial"/>
                <w:sz w:val="14"/>
                <w:szCs w:val="14"/>
                <w:color w:val="auto"/>
              </w:rPr>
              <w:t>2.81%</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89"/>
              </w:rPr>
              <w:t>51</w:t>
            </w:r>
          </w:p>
        </w:tc>
        <w:tc>
          <w:tcPr>
            <w:tcW w:w="100" w:type="dxa"/>
            <w:vAlign w:val="bottom"/>
          </w:tcPr>
          <w:p>
            <w:pPr>
              <w:spacing w:after="0"/>
              <w:rPr>
                <w:sz w:val="16"/>
                <w:szCs w:val="16"/>
                <w:color w:val="auto"/>
              </w:rPr>
            </w:pPr>
          </w:p>
        </w:tc>
        <w:tc>
          <w:tcPr>
            <w:tcW w:w="600" w:type="dxa"/>
            <w:vAlign w:val="bottom"/>
          </w:tcPr>
          <w:p>
            <w:pPr>
              <w:jc w:val="center"/>
              <w:ind w:left="228"/>
              <w:spacing w:after="0"/>
              <w:rPr>
                <w:sz w:val="20"/>
                <w:szCs w:val="20"/>
                <w:color w:val="auto"/>
              </w:rPr>
            </w:pPr>
            <w:r>
              <w:rPr>
                <w:rFonts w:ascii="Arial" w:cs="Arial" w:eastAsia="Arial" w:hAnsi="Arial"/>
                <w:sz w:val="14"/>
                <w:szCs w:val="14"/>
                <w:color w:val="auto"/>
                <w:w w:val="92"/>
              </w:rPr>
              <w:t>14%</w:t>
            </w: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260" w:type="dxa"/>
            <w:vAlign w:val="bottom"/>
            <w:shd w:val="clear" w:color="auto" w:fill="CCEEFF"/>
          </w:tcPr>
          <w:p>
            <w:pPr>
              <w:ind w:left="360"/>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385</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396</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392</w:t>
            </w: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92%</w:t>
            </w:r>
          </w:p>
        </w:tc>
        <w:tc>
          <w:tcPr>
            <w:tcW w:w="126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2"/>
              </w:rPr>
              <w:t>103.1%</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4.60%</w:t>
            </w:r>
          </w:p>
        </w:tc>
        <w:tc>
          <w:tcPr>
            <w:tcW w:w="860" w:type="dxa"/>
            <w:vAlign w:val="bottom"/>
            <w:gridSpan w:val="2"/>
            <w:shd w:val="clear" w:color="auto" w:fill="CCEEFF"/>
          </w:tcPr>
          <w:p>
            <w:pPr>
              <w:ind w:left="320"/>
              <w:spacing w:after="0"/>
              <w:rPr>
                <w:sz w:val="20"/>
                <w:szCs w:val="20"/>
                <w:color w:val="auto"/>
              </w:rPr>
            </w:pPr>
            <w:r>
              <w:rPr>
                <w:rFonts w:ascii="Arial" w:cs="Arial" w:eastAsia="Arial" w:hAnsi="Arial"/>
                <w:sz w:val="14"/>
                <w:szCs w:val="14"/>
                <w:color w:val="auto"/>
              </w:rPr>
              <w:t>2.92%</w:t>
            </w: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55</w:t>
            </w: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92"/>
              </w:rPr>
              <w:t>15%</w:t>
            </w:r>
          </w:p>
        </w:tc>
        <w:tc>
          <w:tcPr>
            <w:tcW w:w="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380" w:type="dxa"/>
            <w:vAlign w:val="bottom"/>
            <w:gridSpan w:val="2"/>
          </w:tcPr>
          <w:p>
            <w:pPr>
              <w:ind w:left="360"/>
              <w:spacing w:after="0"/>
              <w:rPr>
                <w:sz w:val="20"/>
                <w:szCs w:val="20"/>
                <w:color w:val="auto"/>
              </w:rPr>
            </w:pPr>
            <w:r>
              <w:rPr>
                <w:rFonts w:ascii="Arial" w:cs="Arial" w:eastAsia="Arial" w:hAnsi="Arial"/>
                <w:sz w:val="14"/>
                <w:szCs w:val="14"/>
                <w:color w:val="auto"/>
              </w:rPr>
              <w:t>≥ 4.5%</w:t>
            </w: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4</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4</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4</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97%</w:t>
            </w:r>
          </w:p>
        </w:tc>
        <w:tc>
          <w:tcPr>
            <w:tcW w:w="1260" w:type="dxa"/>
            <w:vAlign w:val="bottom"/>
            <w:gridSpan w:val="2"/>
          </w:tcPr>
          <w:p>
            <w:pPr>
              <w:jc w:val="center"/>
              <w:ind w:left="148"/>
              <w:spacing w:after="0"/>
              <w:rPr>
                <w:sz w:val="20"/>
                <w:szCs w:val="20"/>
                <w:color w:val="auto"/>
              </w:rPr>
            </w:pPr>
            <w:r>
              <w:rPr>
                <w:rFonts w:ascii="Arial" w:cs="Arial" w:eastAsia="Arial" w:hAnsi="Arial"/>
                <w:sz w:val="14"/>
                <w:szCs w:val="14"/>
                <w:color w:val="auto"/>
                <w:w w:val="92"/>
              </w:rPr>
              <w:t>102.7%</w:t>
            </w:r>
          </w:p>
        </w:tc>
        <w:tc>
          <w:tcPr>
            <w:tcW w:w="120" w:type="dxa"/>
            <w:vAlign w:val="bottom"/>
          </w:tcPr>
          <w:p>
            <w:pPr>
              <w:spacing w:after="0"/>
              <w:rPr>
                <w:sz w:val="16"/>
                <w:szCs w:val="16"/>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5.01%</w:t>
            </w:r>
          </w:p>
        </w:tc>
        <w:tc>
          <w:tcPr>
            <w:tcW w:w="860" w:type="dxa"/>
            <w:vAlign w:val="bottom"/>
            <w:gridSpan w:val="2"/>
          </w:tcPr>
          <w:p>
            <w:pPr>
              <w:ind w:left="320"/>
              <w:spacing w:after="0"/>
              <w:rPr>
                <w:sz w:val="20"/>
                <w:szCs w:val="20"/>
                <w:color w:val="auto"/>
              </w:rPr>
            </w:pPr>
            <w:r>
              <w:rPr>
                <w:rFonts w:ascii="Arial" w:cs="Arial" w:eastAsia="Arial" w:hAnsi="Arial"/>
                <w:sz w:val="14"/>
                <w:szCs w:val="14"/>
                <w:color w:val="auto"/>
              </w:rPr>
              <w:t>2.68%</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94"/>
              </w:rPr>
              <w:t>139</w:t>
            </w:r>
          </w:p>
        </w:tc>
        <w:tc>
          <w:tcPr>
            <w:tcW w:w="100" w:type="dxa"/>
            <w:vAlign w:val="bottom"/>
          </w:tcPr>
          <w:p>
            <w:pPr>
              <w:spacing w:after="0"/>
              <w:rPr>
                <w:sz w:val="16"/>
                <w:szCs w:val="16"/>
                <w:color w:val="auto"/>
              </w:rPr>
            </w:pPr>
          </w:p>
        </w:tc>
        <w:tc>
          <w:tcPr>
            <w:tcW w:w="600" w:type="dxa"/>
            <w:vAlign w:val="bottom"/>
          </w:tcPr>
          <w:p>
            <w:pPr>
              <w:jc w:val="center"/>
              <w:ind w:left="228"/>
              <w:spacing w:after="0"/>
              <w:rPr>
                <w:sz w:val="20"/>
                <w:szCs w:val="20"/>
                <w:color w:val="auto"/>
              </w:rPr>
            </w:pPr>
            <w:r>
              <w:rPr>
                <w:rFonts w:ascii="Arial" w:cs="Arial" w:eastAsia="Arial" w:hAnsi="Arial"/>
                <w:sz w:val="14"/>
                <w:szCs w:val="14"/>
                <w:color w:val="auto"/>
                <w:w w:val="92"/>
              </w:rPr>
              <w:t>19%</w:t>
            </w: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380" w:type="dxa"/>
            <w:vAlign w:val="bottom"/>
            <w:tcBorders>
              <w:top w:val="single" w:sz="8" w:color="CCEEFF"/>
            </w:tcBorders>
            <w:gridSpan w:val="2"/>
            <w:shd w:val="clear" w:color="auto" w:fill="CCEEFF"/>
          </w:tcPr>
          <w:p>
            <w:pPr>
              <w:ind w:left="220"/>
              <w:spacing w:after="0"/>
              <w:rPr>
                <w:sz w:val="20"/>
                <w:szCs w:val="20"/>
                <w:color w:val="auto"/>
              </w:rPr>
            </w:pPr>
            <w:r>
              <w:rPr>
                <w:rFonts w:ascii="Arial" w:cs="Arial" w:eastAsia="Arial" w:hAnsi="Arial"/>
                <w:sz w:val="14"/>
                <w:szCs w:val="14"/>
                <w:color w:val="auto"/>
              </w:rPr>
              <w:t>Total ≤ 15-year</w:t>
            </w:r>
          </w:p>
        </w:tc>
        <w:tc>
          <w:tcPr>
            <w:tcW w:w="80" w:type="dxa"/>
            <w:vAlign w:val="bottom"/>
            <w:tcBorders>
              <w:top w:val="single" w:sz="8" w:color="auto"/>
              <w:bottom w:val="single" w:sz="8" w:color="auto"/>
            </w:tcBorders>
            <w:shd w:val="clear" w:color="auto" w:fill="CCEEFF"/>
          </w:tcPr>
          <w:p>
            <w:pPr>
              <w:spacing w:after="0"/>
              <w:rPr>
                <w:sz w:val="16"/>
                <w:szCs w:val="16"/>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1,961</w:t>
            </w:r>
          </w:p>
        </w:tc>
        <w:tc>
          <w:tcPr>
            <w:tcW w:w="12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bottom w:val="single" w:sz="8" w:color="auto"/>
            </w:tcBorders>
            <w:shd w:val="clear" w:color="auto" w:fill="CCEEFF"/>
          </w:tcPr>
          <w:p>
            <w:pPr>
              <w:spacing w:after="0"/>
              <w:rPr>
                <w:sz w:val="16"/>
                <w:szCs w:val="16"/>
                <w:color w:val="auto"/>
              </w:rPr>
            </w:pP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2,009</w:t>
            </w:r>
          </w:p>
        </w:tc>
        <w:tc>
          <w:tcPr>
            <w:tcW w:w="100" w:type="dxa"/>
            <w:vAlign w:val="bottom"/>
            <w:tcBorders>
              <w:top w:val="single" w:sz="8" w:color="CCEEFF"/>
            </w:tcBorders>
            <w:shd w:val="clear" w:color="auto" w:fill="CCEEFF"/>
          </w:tcPr>
          <w:p>
            <w:pPr>
              <w:spacing w:after="0"/>
              <w:rPr>
                <w:sz w:val="16"/>
                <w:szCs w:val="16"/>
                <w:color w:val="auto"/>
              </w:rPr>
            </w:pPr>
          </w:p>
        </w:tc>
        <w:tc>
          <w:tcPr>
            <w:tcW w:w="200" w:type="dxa"/>
            <w:vAlign w:val="bottom"/>
            <w:tcBorders>
              <w:top w:val="single" w:sz="8" w:color="auto"/>
              <w:bottom w:val="single" w:sz="8" w:color="auto"/>
            </w:tcBorders>
            <w:shd w:val="clear" w:color="auto" w:fill="CCEEFF"/>
          </w:tcPr>
          <w:p>
            <w:pPr>
              <w:spacing w:after="0"/>
              <w:rPr>
                <w:sz w:val="16"/>
                <w:szCs w:val="16"/>
                <w:color w:val="auto"/>
              </w:rPr>
            </w:pPr>
          </w:p>
        </w:tc>
        <w:tc>
          <w:tcPr>
            <w:tcW w:w="5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1,947</w:t>
            </w:r>
          </w:p>
        </w:tc>
        <w:tc>
          <w:tcPr>
            <w:tcW w:w="120" w:type="dxa"/>
            <w:vAlign w:val="bottom"/>
            <w:tcBorders>
              <w:top w:val="single" w:sz="8" w:color="CCEEFF"/>
            </w:tcBorders>
            <w:shd w:val="clear" w:color="auto" w:fill="CCEEFF"/>
          </w:tcPr>
          <w:p>
            <w:pPr>
              <w:spacing w:after="0"/>
              <w:rPr>
                <w:sz w:val="16"/>
                <w:szCs w:val="16"/>
                <w:color w:val="auto"/>
              </w:rPr>
            </w:pPr>
          </w:p>
        </w:tc>
        <w:tc>
          <w:tcPr>
            <w:tcW w:w="90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93%</w:t>
            </w:r>
          </w:p>
        </w:tc>
        <w:tc>
          <w:tcPr>
            <w:tcW w:w="220" w:type="dxa"/>
            <w:vAlign w:val="bottom"/>
            <w:tcBorders>
              <w:top w:val="single" w:sz="8" w:color="CCEEFF"/>
            </w:tcBorders>
            <w:shd w:val="clear" w:color="auto" w:fill="CCEEFF"/>
          </w:tcPr>
          <w:p>
            <w:pPr>
              <w:spacing w:after="0"/>
              <w:rPr>
                <w:sz w:val="16"/>
                <w:szCs w:val="16"/>
                <w:color w:val="auto"/>
              </w:rPr>
            </w:pPr>
          </w:p>
        </w:tc>
        <w:tc>
          <w:tcPr>
            <w:tcW w:w="104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102.7%</w:t>
            </w:r>
          </w:p>
        </w:tc>
        <w:tc>
          <w:tcPr>
            <w:tcW w:w="120" w:type="dxa"/>
            <w:vAlign w:val="bottom"/>
            <w:tcBorders>
              <w:top w:val="single" w:sz="8" w:color="CCEEFF"/>
            </w:tcBorders>
            <w:shd w:val="clear" w:color="auto" w:fill="CCEEFF"/>
          </w:tcPr>
          <w:p>
            <w:pPr>
              <w:spacing w:after="0"/>
              <w:rPr>
                <w:sz w:val="16"/>
                <w:szCs w:val="16"/>
                <w:color w:val="auto"/>
              </w:rPr>
            </w:pPr>
          </w:p>
        </w:tc>
        <w:tc>
          <w:tcPr>
            <w:tcW w:w="680" w:type="dxa"/>
            <w:vAlign w:val="bottom"/>
            <w:tcBorders>
              <w:top w:val="single" w:sz="8" w:color="auto"/>
              <w:bottom w:val="single" w:sz="8" w:color="auto"/>
            </w:tcBorders>
            <w:shd w:val="clear" w:color="auto" w:fill="CCEEFF"/>
          </w:tcPr>
          <w:p>
            <w:pPr>
              <w:ind w:left="160"/>
              <w:spacing w:after="0"/>
              <w:rPr>
                <w:sz w:val="20"/>
                <w:szCs w:val="20"/>
                <w:color w:val="auto"/>
              </w:rPr>
            </w:pPr>
            <w:r>
              <w:rPr>
                <w:rFonts w:ascii="Arial" w:cs="Arial" w:eastAsia="Arial" w:hAnsi="Arial"/>
                <w:sz w:val="14"/>
                <w:szCs w:val="14"/>
                <w:color w:val="auto"/>
              </w:rPr>
              <w:t>3.81%</w:t>
            </w:r>
          </w:p>
        </w:tc>
        <w:tc>
          <w:tcPr>
            <w:tcW w:w="140" w:type="dxa"/>
            <w:vAlign w:val="bottom"/>
            <w:tcBorders>
              <w:top w:val="single" w:sz="8" w:color="CCEEFF"/>
            </w:tcBorders>
            <w:shd w:val="clear" w:color="auto" w:fill="CCEEFF"/>
          </w:tcPr>
          <w:p>
            <w:pPr>
              <w:spacing w:after="0"/>
              <w:rPr>
                <w:sz w:val="16"/>
                <w:szCs w:val="16"/>
                <w:color w:val="auto"/>
              </w:rPr>
            </w:pPr>
          </w:p>
        </w:tc>
        <w:tc>
          <w:tcPr>
            <w:tcW w:w="720" w:type="dxa"/>
            <w:vAlign w:val="bottom"/>
            <w:tcBorders>
              <w:top w:val="single" w:sz="8" w:color="auto"/>
              <w:bottom w:val="single" w:sz="8" w:color="auto"/>
            </w:tcBorders>
            <w:shd w:val="clear" w:color="auto" w:fill="CCEEFF"/>
          </w:tcPr>
          <w:p>
            <w:pPr>
              <w:ind w:left="180"/>
              <w:spacing w:after="0"/>
              <w:rPr>
                <w:sz w:val="20"/>
                <w:szCs w:val="20"/>
                <w:color w:val="auto"/>
              </w:rPr>
            </w:pPr>
            <w:r>
              <w:rPr>
                <w:rFonts w:ascii="Arial" w:cs="Arial" w:eastAsia="Arial" w:hAnsi="Arial"/>
                <w:sz w:val="14"/>
                <w:szCs w:val="14"/>
                <w:color w:val="auto"/>
              </w:rPr>
              <w:t>2.46%</w:t>
            </w:r>
          </w:p>
        </w:tc>
        <w:tc>
          <w:tcPr>
            <w:tcW w:w="120" w:type="dxa"/>
            <w:vAlign w:val="bottom"/>
            <w:tcBorders>
              <w:top w:val="single" w:sz="8" w:color="CCEEFF"/>
            </w:tcBorders>
            <w:shd w:val="clear" w:color="auto" w:fill="CCEEFF"/>
          </w:tcPr>
          <w:p>
            <w:pPr>
              <w:spacing w:after="0"/>
              <w:rPr>
                <w:sz w:val="16"/>
                <w:szCs w:val="16"/>
                <w:color w:val="auto"/>
              </w:rPr>
            </w:pPr>
          </w:p>
        </w:tc>
        <w:tc>
          <w:tcPr>
            <w:tcW w:w="96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49</w:t>
            </w:r>
          </w:p>
        </w:tc>
        <w:tc>
          <w:tcPr>
            <w:tcW w:w="100" w:type="dxa"/>
            <w:vAlign w:val="bottom"/>
            <w:tcBorders>
              <w:top w:val="single" w:sz="8" w:color="CCEEFF"/>
            </w:tcBorders>
            <w:shd w:val="clear" w:color="auto" w:fill="CCEEFF"/>
          </w:tcPr>
          <w:p>
            <w:pPr>
              <w:spacing w:after="0"/>
              <w:rPr>
                <w:sz w:val="16"/>
                <w:szCs w:val="16"/>
                <w:color w:val="auto"/>
              </w:rPr>
            </w:pPr>
          </w:p>
        </w:tc>
        <w:tc>
          <w:tcPr>
            <w:tcW w:w="600" w:type="dxa"/>
            <w:vAlign w:val="bottom"/>
            <w:tcBorders>
              <w:top w:val="single" w:sz="8" w:color="auto"/>
              <w:bottom w:val="single" w:sz="8" w:color="auto"/>
            </w:tcBorders>
            <w:shd w:val="clear" w:color="auto" w:fill="CCEEFF"/>
          </w:tcPr>
          <w:p>
            <w:pPr>
              <w:jc w:val="center"/>
              <w:ind w:left="228"/>
              <w:spacing w:after="0"/>
              <w:rPr>
                <w:sz w:val="20"/>
                <w:szCs w:val="20"/>
                <w:color w:val="auto"/>
              </w:rPr>
            </w:pPr>
            <w:r>
              <w:rPr>
                <w:rFonts w:ascii="Arial" w:cs="Arial" w:eastAsia="Arial" w:hAnsi="Arial"/>
                <w:sz w:val="14"/>
                <w:szCs w:val="14"/>
                <w:color w:val="auto"/>
                <w:w w:val="92"/>
              </w:rPr>
              <w:t>13%</w:t>
            </w:r>
          </w:p>
        </w:tc>
        <w:tc>
          <w:tcPr>
            <w:tcW w:w="300" w:type="dxa"/>
            <w:vAlign w:val="bottom"/>
            <w:tcBorders>
              <w:top w:val="single" w:sz="8" w:color="auto"/>
              <w:bottom w:val="single" w:sz="8" w:color="auto"/>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2380" w:type="dxa"/>
            <w:vAlign w:val="bottom"/>
            <w:gridSpan w:val="2"/>
          </w:tcPr>
          <w:p>
            <w:pPr>
              <w:ind w:left="220"/>
              <w:spacing w:after="0"/>
              <w:rPr>
                <w:sz w:val="20"/>
                <w:szCs w:val="20"/>
                <w:color w:val="auto"/>
              </w:rPr>
            </w:pPr>
            <w:r>
              <w:rPr>
                <w:rFonts w:ascii="Arial" w:cs="Arial" w:eastAsia="Arial" w:hAnsi="Arial"/>
                <w:sz w:val="14"/>
                <w:szCs w:val="14"/>
                <w:color w:val="auto"/>
              </w:rPr>
              <w:t>20-year:</w:t>
            </w:r>
          </w:p>
        </w:tc>
        <w:tc>
          <w:tcPr>
            <w:tcW w:w="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2260" w:type="dxa"/>
            <w:vAlign w:val="bottom"/>
            <w:shd w:val="clear" w:color="auto" w:fill="CCEEFF"/>
          </w:tcPr>
          <w:p>
            <w:pPr>
              <w:ind w:left="360"/>
              <w:spacing w:after="0"/>
              <w:rPr>
                <w:sz w:val="20"/>
                <w:szCs w:val="20"/>
                <w:color w:val="auto"/>
              </w:rPr>
            </w:pPr>
            <w:r>
              <w:rPr>
                <w:rFonts w:ascii="Arial" w:cs="Arial" w:eastAsia="Arial" w:hAnsi="Arial"/>
                <w:sz w:val="14"/>
                <w:szCs w:val="14"/>
                <w:color w:val="auto"/>
              </w:rPr>
              <w:t>2.0%</w:t>
            </w: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987</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1,018</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886</w:t>
            </w: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w:t>
            </w:r>
          </w:p>
        </w:tc>
        <w:tc>
          <w:tcPr>
            <w:tcW w:w="126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2"/>
              </w:rPr>
              <w:t>103.1%</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2.86%</w:t>
            </w:r>
          </w:p>
        </w:tc>
        <w:tc>
          <w:tcPr>
            <w:tcW w:w="860" w:type="dxa"/>
            <w:vAlign w:val="bottom"/>
            <w:gridSpan w:val="2"/>
            <w:shd w:val="clear" w:color="auto" w:fill="CCEEFF"/>
          </w:tcPr>
          <w:p>
            <w:pPr>
              <w:ind w:left="320"/>
              <w:spacing w:after="0"/>
              <w:rPr>
                <w:sz w:val="20"/>
                <w:szCs w:val="20"/>
                <w:color w:val="auto"/>
              </w:rPr>
            </w:pPr>
            <w:r>
              <w:rPr>
                <w:rFonts w:ascii="Arial" w:cs="Arial" w:eastAsia="Arial" w:hAnsi="Arial"/>
                <w:sz w:val="14"/>
                <w:szCs w:val="14"/>
                <w:color w:val="auto"/>
              </w:rPr>
              <w:t>1.53%</w:t>
            </w: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20</w:t>
            </w: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88"/>
              </w:rPr>
              <w:t>5%</w:t>
            </w:r>
          </w:p>
        </w:tc>
        <w:tc>
          <w:tcPr>
            <w:tcW w:w="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260" w:type="dxa"/>
            <w:vAlign w:val="bottom"/>
          </w:tcPr>
          <w:p>
            <w:pPr>
              <w:ind w:left="360"/>
              <w:spacing w:after="0"/>
              <w:rPr>
                <w:sz w:val="20"/>
                <w:szCs w:val="20"/>
                <w:color w:val="auto"/>
              </w:rPr>
            </w:pPr>
            <w:r>
              <w:rPr>
                <w:rFonts w:ascii="Arial" w:cs="Arial" w:eastAsia="Arial" w:hAnsi="Arial"/>
                <w:sz w:val="14"/>
                <w:szCs w:val="14"/>
                <w:color w:val="auto"/>
              </w:rPr>
              <w:t>2.5%</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388</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407</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359</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8"/>
              </w:rPr>
              <w:t>—%</w:t>
            </w:r>
          </w:p>
        </w:tc>
        <w:tc>
          <w:tcPr>
            <w:tcW w:w="1260" w:type="dxa"/>
            <w:vAlign w:val="bottom"/>
            <w:gridSpan w:val="2"/>
          </w:tcPr>
          <w:p>
            <w:pPr>
              <w:jc w:val="center"/>
              <w:ind w:left="148"/>
              <w:spacing w:after="0"/>
              <w:rPr>
                <w:sz w:val="20"/>
                <w:szCs w:val="20"/>
                <w:color w:val="auto"/>
              </w:rPr>
            </w:pPr>
            <w:r>
              <w:rPr>
                <w:rFonts w:ascii="Arial" w:cs="Arial" w:eastAsia="Arial" w:hAnsi="Arial"/>
                <w:sz w:val="14"/>
                <w:szCs w:val="14"/>
                <w:color w:val="auto"/>
                <w:w w:val="92"/>
              </w:rPr>
              <w:t>105.0%</w:t>
            </w:r>
          </w:p>
        </w:tc>
        <w:tc>
          <w:tcPr>
            <w:tcW w:w="120" w:type="dxa"/>
            <w:vAlign w:val="bottom"/>
          </w:tcPr>
          <w:p>
            <w:pPr>
              <w:spacing w:after="0"/>
              <w:rPr>
                <w:sz w:val="16"/>
                <w:szCs w:val="16"/>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3.27%</w:t>
            </w:r>
          </w:p>
        </w:tc>
        <w:tc>
          <w:tcPr>
            <w:tcW w:w="860" w:type="dxa"/>
            <w:vAlign w:val="bottom"/>
            <w:gridSpan w:val="2"/>
          </w:tcPr>
          <w:p>
            <w:pPr>
              <w:ind w:left="320"/>
              <w:spacing w:after="0"/>
              <w:rPr>
                <w:sz w:val="20"/>
                <w:szCs w:val="20"/>
                <w:color w:val="auto"/>
              </w:rPr>
            </w:pPr>
            <w:r>
              <w:rPr>
                <w:rFonts w:ascii="Arial" w:cs="Arial" w:eastAsia="Arial" w:hAnsi="Arial"/>
                <w:sz w:val="14"/>
                <w:szCs w:val="14"/>
                <w:color w:val="auto"/>
              </w:rPr>
              <w:t>1.71%</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89"/>
              </w:rPr>
              <w:t>24</w:t>
            </w:r>
          </w:p>
        </w:tc>
        <w:tc>
          <w:tcPr>
            <w:tcW w:w="100" w:type="dxa"/>
            <w:vAlign w:val="bottom"/>
          </w:tcPr>
          <w:p>
            <w:pPr>
              <w:spacing w:after="0"/>
              <w:rPr>
                <w:sz w:val="16"/>
                <w:szCs w:val="16"/>
                <w:color w:val="auto"/>
              </w:rPr>
            </w:pPr>
          </w:p>
        </w:tc>
        <w:tc>
          <w:tcPr>
            <w:tcW w:w="600" w:type="dxa"/>
            <w:vAlign w:val="bottom"/>
          </w:tcPr>
          <w:p>
            <w:pPr>
              <w:jc w:val="center"/>
              <w:ind w:left="228"/>
              <w:spacing w:after="0"/>
              <w:rPr>
                <w:sz w:val="20"/>
                <w:szCs w:val="20"/>
                <w:color w:val="auto"/>
              </w:rPr>
            </w:pPr>
            <w:r>
              <w:rPr>
                <w:rFonts w:ascii="Arial" w:cs="Arial" w:eastAsia="Arial" w:hAnsi="Arial"/>
                <w:sz w:val="14"/>
                <w:szCs w:val="14"/>
                <w:color w:val="auto"/>
                <w:w w:val="88"/>
              </w:rPr>
              <w:t>6%</w:t>
            </w: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260" w:type="dxa"/>
            <w:vAlign w:val="bottom"/>
            <w:shd w:val="clear" w:color="auto" w:fill="CCEEFF"/>
          </w:tcPr>
          <w:p>
            <w:pPr>
              <w:ind w:left="360"/>
              <w:spacing w:after="0"/>
              <w:rPr>
                <w:sz w:val="20"/>
                <w:szCs w:val="20"/>
                <w:color w:val="auto"/>
              </w:rPr>
            </w:pPr>
            <w:r>
              <w:rPr>
                <w:rFonts w:ascii="Arial" w:cs="Arial" w:eastAsia="Arial" w:hAnsi="Arial"/>
                <w:sz w:val="14"/>
                <w:szCs w:val="14"/>
                <w:color w:val="auto"/>
              </w:rPr>
              <w:t>3.0%</w:t>
            </w: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w:t>
            </w: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97%</w:t>
            </w:r>
          </w:p>
        </w:tc>
        <w:tc>
          <w:tcPr>
            <w:tcW w:w="126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2"/>
              </w:rPr>
              <w:t>103.8%</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3.78%</w:t>
            </w:r>
          </w:p>
        </w:tc>
        <w:tc>
          <w:tcPr>
            <w:tcW w:w="860" w:type="dxa"/>
            <w:vAlign w:val="bottom"/>
            <w:gridSpan w:val="2"/>
            <w:shd w:val="clear" w:color="auto" w:fill="CCEEFF"/>
          </w:tcPr>
          <w:p>
            <w:pPr>
              <w:ind w:left="320"/>
              <w:spacing w:after="0"/>
              <w:rPr>
                <w:sz w:val="20"/>
                <w:szCs w:val="20"/>
                <w:color w:val="auto"/>
              </w:rPr>
            </w:pPr>
            <w:r>
              <w:rPr>
                <w:rFonts w:ascii="Arial" w:cs="Arial" w:eastAsia="Arial" w:hAnsi="Arial"/>
                <w:sz w:val="14"/>
                <w:szCs w:val="14"/>
                <w:color w:val="auto"/>
              </w:rPr>
              <w:t>2.27%</w:t>
            </w: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35</w:t>
            </w: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88"/>
              </w:rPr>
              <w:t>9%</w:t>
            </w:r>
          </w:p>
        </w:tc>
        <w:tc>
          <w:tcPr>
            <w:tcW w:w="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260" w:type="dxa"/>
            <w:vAlign w:val="bottom"/>
          </w:tcPr>
          <w:p>
            <w:pPr>
              <w:ind w:left="360"/>
              <w:spacing w:after="0"/>
              <w:rPr>
                <w:sz w:val="20"/>
                <w:szCs w:val="20"/>
                <w:color w:val="auto"/>
              </w:rPr>
            </w:pPr>
            <w:r>
              <w:rPr>
                <w:rFonts w:ascii="Arial" w:cs="Arial" w:eastAsia="Arial" w:hAnsi="Arial"/>
                <w:sz w:val="14"/>
                <w:szCs w:val="14"/>
                <w:color w:val="auto"/>
              </w:rPr>
              <w:t>3.5%</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150</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153</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150</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81%</w:t>
            </w:r>
          </w:p>
        </w:tc>
        <w:tc>
          <w:tcPr>
            <w:tcW w:w="1260" w:type="dxa"/>
            <w:vAlign w:val="bottom"/>
            <w:gridSpan w:val="2"/>
          </w:tcPr>
          <w:p>
            <w:pPr>
              <w:jc w:val="center"/>
              <w:ind w:left="148"/>
              <w:spacing w:after="0"/>
              <w:rPr>
                <w:sz w:val="20"/>
                <w:szCs w:val="20"/>
                <w:color w:val="auto"/>
              </w:rPr>
            </w:pPr>
            <w:r>
              <w:rPr>
                <w:rFonts w:ascii="Arial" w:cs="Arial" w:eastAsia="Arial" w:hAnsi="Arial"/>
                <w:sz w:val="14"/>
                <w:szCs w:val="14"/>
                <w:color w:val="auto"/>
                <w:w w:val="92"/>
              </w:rPr>
              <w:t>101.9%</w:t>
            </w:r>
          </w:p>
        </w:tc>
        <w:tc>
          <w:tcPr>
            <w:tcW w:w="120" w:type="dxa"/>
            <w:vAlign w:val="bottom"/>
          </w:tcPr>
          <w:p>
            <w:pPr>
              <w:spacing w:after="0"/>
              <w:rPr>
                <w:sz w:val="16"/>
                <w:szCs w:val="16"/>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4.05%</w:t>
            </w:r>
          </w:p>
        </w:tc>
        <w:tc>
          <w:tcPr>
            <w:tcW w:w="860" w:type="dxa"/>
            <w:vAlign w:val="bottom"/>
            <w:gridSpan w:val="2"/>
          </w:tcPr>
          <w:p>
            <w:pPr>
              <w:ind w:left="320"/>
              <w:spacing w:after="0"/>
              <w:rPr>
                <w:sz w:val="20"/>
                <w:szCs w:val="20"/>
                <w:color w:val="auto"/>
              </w:rPr>
            </w:pPr>
            <w:r>
              <w:rPr>
                <w:rFonts w:ascii="Arial" w:cs="Arial" w:eastAsia="Arial" w:hAnsi="Arial"/>
                <w:sz w:val="14"/>
                <w:szCs w:val="14"/>
                <w:color w:val="auto"/>
              </w:rPr>
              <w:t>2.96%</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94"/>
              </w:rPr>
              <w:t>107</w:t>
            </w:r>
          </w:p>
        </w:tc>
        <w:tc>
          <w:tcPr>
            <w:tcW w:w="100" w:type="dxa"/>
            <w:vAlign w:val="bottom"/>
          </w:tcPr>
          <w:p>
            <w:pPr>
              <w:spacing w:after="0"/>
              <w:rPr>
                <w:sz w:val="16"/>
                <w:szCs w:val="16"/>
                <w:color w:val="auto"/>
              </w:rPr>
            </w:pPr>
          </w:p>
        </w:tc>
        <w:tc>
          <w:tcPr>
            <w:tcW w:w="600" w:type="dxa"/>
            <w:vAlign w:val="bottom"/>
          </w:tcPr>
          <w:p>
            <w:pPr>
              <w:jc w:val="center"/>
              <w:ind w:left="228"/>
              <w:spacing w:after="0"/>
              <w:rPr>
                <w:sz w:val="20"/>
                <w:szCs w:val="20"/>
                <w:color w:val="auto"/>
              </w:rPr>
            </w:pPr>
            <w:r>
              <w:rPr>
                <w:rFonts w:ascii="Arial" w:cs="Arial" w:eastAsia="Arial" w:hAnsi="Arial"/>
                <w:sz w:val="14"/>
                <w:szCs w:val="14"/>
                <w:color w:val="auto"/>
                <w:w w:val="92"/>
              </w:rPr>
              <w:t>11%</w:t>
            </w: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380" w:type="dxa"/>
            <w:vAlign w:val="bottom"/>
            <w:gridSpan w:val="2"/>
            <w:shd w:val="clear" w:color="auto" w:fill="CCEEFF"/>
          </w:tcPr>
          <w:p>
            <w:pPr>
              <w:ind w:left="360"/>
              <w:spacing w:after="0"/>
              <w:rPr>
                <w:sz w:val="20"/>
                <w:szCs w:val="20"/>
                <w:color w:val="auto"/>
              </w:rPr>
            </w:pPr>
            <w:r>
              <w:rPr>
                <w:rFonts w:ascii="Arial" w:cs="Arial" w:eastAsia="Arial" w:hAnsi="Arial"/>
                <w:sz w:val="14"/>
                <w:szCs w:val="14"/>
                <w:color w:val="auto"/>
              </w:rPr>
              <w:t>≥ 4.0%</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182</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190</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187</w:t>
            </w: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96%</w:t>
            </w:r>
          </w:p>
        </w:tc>
        <w:tc>
          <w:tcPr>
            <w:tcW w:w="126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2"/>
              </w:rPr>
              <w:t>104.5%</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4.74%</w:t>
            </w:r>
          </w:p>
        </w:tc>
        <w:tc>
          <w:tcPr>
            <w:tcW w:w="860" w:type="dxa"/>
            <w:vAlign w:val="bottom"/>
            <w:gridSpan w:val="2"/>
            <w:shd w:val="clear" w:color="auto" w:fill="CCEEFF"/>
          </w:tcPr>
          <w:p>
            <w:pPr>
              <w:ind w:left="320"/>
              <w:spacing w:after="0"/>
              <w:rPr>
                <w:sz w:val="20"/>
                <w:szCs w:val="20"/>
                <w:color w:val="auto"/>
              </w:rPr>
            </w:pPr>
            <w:r>
              <w:rPr>
                <w:rFonts w:ascii="Arial" w:cs="Arial" w:eastAsia="Arial" w:hAnsi="Arial"/>
                <w:sz w:val="14"/>
                <w:szCs w:val="14"/>
                <w:color w:val="auto"/>
              </w:rPr>
              <w:t>3.11%</w:t>
            </w: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67</w:t>
            </w: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92"/>
              </w:rPr>
              <w:t>12%</w:t>
            </w:r>
          </w:p>
        </w:tc>
        <w:tc>
          <w:tcPr>
            <w:tcW w:w="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79"/>
        </w:trPr>
        <w:tc>
          <w:tcPr>
            <w:tcW w:w="2380" w:type="dxa"/>
            <w:vAlign w:val="bottom"/>
            <w:tcBorders>
              <w:bottom w:val="single" w:sz="8" w:color="CCEEFF"/>
            </w:tcBorders>
            <w:gridSpan w:val="2"/>
          </w:tcPr>
          <w:p>
            <w:pPr>
              <w:ind w:left="220"/>
              <w:spacing w:after="0"/>
              <w:rPr>
                <w:sz w:val="20"/>
                <w:szCs w:val="20"/>
                <w:color w:val="auto"/>
              </w:rPr>
            </w:pPr>
            <w:r>
              <w:rPr>
                <w:rFonts w:ascii="Arial" w:cs="Arial" w:eastAsia="Arial" w:hAnsi="Arial"/>
                <w:sz w:val="14"/>
                <w:szCs w:val="14"/>
                <w:color w:val="auto"/>
              </w:rPr>
              <w:t>Total 20-year:</w:t>
            </w:r>
          </w:p>
        </w:tc>
        <w:tc>
          <w:tcPr>
            <w:tcW w:w="80" w:type="dxa"/>
            <w:vAlign w:val="bottom"/>
            <w:tcBorders>
              <w:top w:val="single" w:sz="8" w:color="auto"/>
              <w:bottom w:val="single" w:sz="8" w:color="auto"/>
            </w:tcBorders>
          </w:tcPr>
          <w:p>
            <w:pPr>
              <w:spacing w:after="0"/>
              <w:rPr>
                <w:sz w:val="15"/>
                <w:szCs w:val="15"/>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1,739</w:t>
            </w:r>
          </w:p>
        </w:tc>
        <w:tc>
          <w:tcPr>
            <w:tcW w:w="120" w:type="dxa"/>
            <w:vAlign w:val="bottom"/>
            <w:tcBorders>
              <w:bottom w:val="single" w:sz="8" w:color="CCEEFF"/>
            </w:tcBorders>
          </w:tcPr>
          <w:p>
            <w:pPr>
              <w:spacing w:after="0"/>
              <w:rPr>
                <w:sz w:val="15"/>
                <w:szCs w:val="15"/>
                <w:color w:val="auto"/>
              </w:rPr>
            </w:pPr>
          </w:p>
        </w:tc>
        <w:tc>
          <w:tcPr>
            <w:tcW w:w="120" w:type="dxa"/>
            <w:vAlign w:val="bottom"/>
            <w:tcBorders>
              <w:top w:val="single" w:sz="8" w:color="auto"/>
              <w:bottom w:val="single" w:sz="8" w:color="auto"/>
            </w:tcBorders>
          </w:tcPr>
          <w:p>
            <w:pPr>
              <w:spacing w:after="0"/>
              <w:rPr>
                <w:sz w:val="15"/>
                <w:szCs w:val="15"/>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1,801</w:t>
            </w:r>
          </w:p>
        </w:tc>
        <w:tc>
          <w:tcPr>
            <w:tcW w:w="100" w:type="dxa"/>
            <w:vAlign w:val="bottom"/>
            <w:tcBorders>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1,613</w:t>
            </w:r>
          </w:p>
        </w:tc>
        <w:tc>
          <w:tcPr>
            <w:tcW w:w="120" w:type="dxa"/>
            <w:vAlign w:val="bottom"/>
            <w:tcBorders>
              <w:bottom w:val="single" w:sz="8" w:color="CCEEFF"/>
            </w:tcBorders>
          </w:tcPr>
          <w:p>
            <w:pPr>
              <w:spacing w:after="0"/>
              <w:rPr>
                <w:sz w:val="15"/>
                <w:szCs w:val="15"/>
                <w:color w:val="auto"/>
              </w:rPr>
            </w:pPr>
          </w:p>
        </w:tc>
        <w:tc>
          <w:tcPr>
            <w:tcW w:w="90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92"/>
              </w:rPr>
              <w:t>20%</w:t>
            </w:r>
          </w:p>
        </w:tc>
        <w:tc>
          <w:tcPr>
            <w:tcW w:w="220" w:type="dxa"/>
            <w:vAlign w:val="bottom"/>
            <w:tcBorders>
              <w:bottom w:val="single" w:sz="8" w:color="CCEEFF"/>
            </w:tcBorders>
          </w:tcPr>
          <w:p>
            <w:pPr>
              <w:spacing w:after="0"/>
              <w:rPr>
                <w:sz w:val="15"/>
                <w:szCs w:val="15"/>
                <w:color w:val="auto"/>
              </w:rPr>
            </w:pPr>
          </w:p>
        </w:tc>
        <w:tc>
          <w:tcPr>
            <w:tcW w:w="10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92"/>
              </w:rPr>
              <w:t>103.6%</w:t>
            </w:r>
          </w:p>
        </w:tc>
        <w:tc>
          <w:tcPr>
            <w:tcW w:w="120" w:type="dxa"/>
            <w:vAlign w:val="bottom"/>
            <w:tcBorders>
              <w:bottom w:val="single" w:sz="8" w:color="CCEEFF"/>
            </w:tcBorders>
          </w:tcPr>
          <w:p>
            <w:pPr>
              <w:spacing w:after="0"/>
              <w:rPr>
                <w:sz w:val="15"/>
                <w:szCs w:val="15"/>
                <w:color w:val="auto"/>
              </w:rPr>
            </w:pPr>
          </w:p>
        </w:tc>
        <w:tc>
          <w:tcPr>
            <w:tcW w:w="680" w:type="dxa"/>
            <w:vAlign w:val="bottom"/>
            <w:tcBorders>
              <w:top w:val="single" w:sz="8" w:color="auto"/>
              <w:bottom w:val="single" w:sz="8" w:color="auto"/>
            </w:tcBorders>
          </w:tcPr>
          <w:p>
            <w:pPr>
              <w:ind w:left="160"/>
              <w:spacing w:after="0"/>
              <w:rPr>
                <w:sz w:val="20"/>
                <w:szCs w:val="20"/>
                <w:color w:val="auto"/>
              </w:rPr>
            </w:pPr>
            <w:r>
              <w:rPr>
                <w:rFonts w:ascii="Arial" w:cs="Arial" w:eastAsia="Arial" w:hAnsi="Arial"/>
                <w:sz w:val="14"/>
                <w:szCs w:val="14"/>
                <w:color w:val="auto"/>
              </w:rPr>
              <w:t>3.27%</w:t>
            </w:r>
          </w:p>
        </w:tc>
        <w:tc>
          <w:tcPr>
            <w:tcW w:w="140" w:type="dxa"/>
            <w:vAlign w:val="bottom"/>
            <w:tcBorders>
              <w:bottom w:val="single" w:sz="8" w:color="CCEEFF"/>
            </w:tcBorders>
          </w:tcPr>
          <w:p>
            <w:pPr>
              <w:spacing w:after="0"/>
              <w:rPr>
                <w:sz w:val="15"/>
                <w:szCs w:val="15"/>
                <w:color w:val="auto"/>
              </w:rPr>
            </w:pPr>
          </w:p>
        </w:tc>
        <w:tc>
          <w:tcPr>
            <w:tcW w:w="720" w:type="dxa"/>
            <w:vAlign w:val="bottom"/>
            <w:tcBorders>
              <w:top w:val="single" w:sz="8" w:color="auto"/>
              <w:bottom w:val="single" w:sz="8" w:color="auto"/>
            </w:tcBorders>
          </w:tcPr>
          <w:p>
            <w:pPr>
              <w:ind w:left="180"/>
              <w:spacing w:after="0"/>
              <w:rPr>
                <w:sz w:val="20"/>
                <w:szCs w:val="20"/>
                <w:color w:val="auto"/>
              </w:rPr>
            </w:pPr>
            <w:r>
              <w:rPr>
                <w:rFonts w:ascii="Arial" w:cs="Arial" w:eastAsia="Arial" w:hAnsi="Arial"/>
                <w:sz w:val="14"/>
                <w:szCs w:val="14"/>
                <w:color w:val="auto"/>
              </w:rPr>
              <w:t>1.88%</w:t>
            </w:r>
          </w:p>
        </w:tc>
        <w:tc>
          <w:tcPr>
            <w:tcW w:w="120" w:type="dxa"/>
            <w:vAlign w:val="bottom"/>
            <w:tcBorders>
              <w:bottom w:val="single" w:sz="8" w:color="CCEEFF"/>
            </w:tcBorders>
          </w:tcPr>
          <w:p>
            <w:pPr>
              <w:spacing w:after="0"/>
              <w:rPr>
                <w:sz w:val="15"/>
                <w:szCs w:val="15"/>
                <w:color w:val="auto"/>
              </w:rPr>
            </w:pPr>
          </w:p>
        </w:tc>
        <w:tc>
          <w:tcPr>
            <w:tcW w:w="96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89"/>
              </w:rPr>
              <w:t>34</w:t>
            </w:r>
          </w:p>
        </w:tc>
        <w:tc>
          <w:tcPr>
            <w:tcW w:w="100" w:type="dxa"/>
            <w:vAlign w:val="bottom"/>
            <w:tcBorders>
              <w:bottom w:val="single" w:sz="8" w:color="CCEEFF"/>
            </w:tcBorders>
          </w:tcPr>
          <w:p>
            <w:pPr>
              <w:spacing w:after="0"/>
              <w:rPr>
                <w:sz w:val="15"/>
                <w:szCs w:val="15"/>
                <w:color w:val="auto"/>
              </w:rPr>
            </w:pPr>
          </w:p>
        </w:tc>
        <w:tc>
          <w:tcPr>
            <w:tcW w:w="600" w:type="dxa"/>
            <w:vAlign w:val="bottom"/>
            <w:tcBorders>
              <w:top w:val="single" w:sz="8" w:color="auto"/>
              <w:bottom w:val="single" w:sz="8" w:color="auto"/>
            </w:tcBorders>
          </w:tcPr>
          <w:p>
            <w:pPr>
              <w:jc w:val="center"/>
              <w:ind w:left="228"/>
              <w:spacing w:after="0"/>
              <w:rPr>
                <w:sz w:val="20"/>
                <w:szCs w:val="20"/>
                <w:color w:val="auto"/>
              </w:rPr>
            </w:pPr>
            <w:r>
              <w:rPr>
                <w:rFonts w:ascii="Arial" w:cs="Arial" w:eastAsia="Arial" w:hAnsi="Arial"/>
                <w:sz w:val="14"/>
                <w:szCs w:val="14"/>
                <w:color w:val="auto"/>
                <w:w w:val="88"/>
              </w:rPr>
              <w:t>7%</w:t>
            </w:r>
          </w:p>
        </w:tc>
        <w:tc>
          <w:tcPr>
            <w:tcW w:w="300" w:type="dxa"/>
            <w:vAlign w:val="bottom"/>
            <w:tcBorders>
              <w:top w:val="single" w:sz="8" w:color="auto"/>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2"/>
        </w:trPr>
        <w:tc>
          <w:tcPr>
            <w:tcW w:w="2380" w:type="dxa"/>
            <w:vAlign w:val="bottom"/>
            <w:gridSpan w:val="2"/>
            <w:shd w:val="clear" w:color="auto" w:fill="CCEEFF"/>
          </w:tcPr>
          <w:p>
            <w:pPr>
              <w:ind w:left="220"/>
              <w:spacing w:after="0"/>
              <w:rPr>
                <w:sz w:val="20"/>
                <w:szCs w:val="20"/>
                <w:color w:val="auto"/>
              </w:rPr>
            </w:pPr>
            <w:r>
              <w:rPr>
                <w:rFonts w:ascii="Arial" w:cs="Arial" w:eastAsia="Arial" w:hAnsi="Arial"/>
                <w:sz w:val="14"/>
                <w:szCs w:val="14"/>
                <w:color w:val="auto"/>
              </w:rPr>
              <w:t>30-year:</w:t>
            </w:r>
          </w:p>
        </w:tc>
        <w:tc>
          <w:tcPr>
            <w:tcW w:w="8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5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6"/>
        </w:trPr>
        <w:tc>
          <w:tcPr>
            <w:tcW w:w="2260" w:type="dxa"/>
            <w:vAlign w:val="bottom"/>
          </w:tcPr>
          <w:p>
            <w:pPr>
              <w:ind w:left="360"/>
              <w:spacing w:after="0"/>
              <w:rPr>
                <w:sz w:val="20"/>
                <w:szCs w:val="20"/>
                <w:color w:val="auto"/>
              </w:rPr>
            </w:pPr>
            <w:r>
              <w:rPr>
                <w:rFonts w:ascii="Arial" w:cs="Arial" w:eastAsia="Arial" w:hAnsi="Arial"/>
                <w:sz w:val="14"/>
                <w:szCs w:val="14"/>
                <w:color w:val="auto"/>
              </w:rPr>
              <w:t>2.0%</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6,166</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6,047</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5,380</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8"/>
              </w:rPr>
              <w:t>5%</w:t>
            </w:r>
          </w:p>
        </w:tc>
        <w:tc>
          <w:tcPr>
            <w:tcW w:w="1260" w:type="dxa"/>
            <w:vAlign w:val="bottom"/>
            <w:gridSpan w:val="2"/>
          </w:tcPr>
          <w:p>
            <w:pPr>
              <w:jc w:val="center"/>
              <w:ind w:left="148"/>
              <w:spacing w:after="0"/>
              <w:rPr>
                <w:sz w:val="20"/>
                <w:szCs w:val="20"/>
                <w:color w:val="auto"/>
              </w:rPr>
            </w:pPr>
            <w:r>
              <w:rPr>
                <w:rFonts w:ascii="Arial" w:cs="Arial" w:eastAsia="Arial" w:hAnsi="Arial"/>
                <w:sz w:val="14"/>
                <w:szCs w:val="14"/>
                <w:color w:val="auto"/>
                <w:w w:val="92"/>
              </w:rPr>
              <w:t>100.5%</w:t>
            </w:r>
          </w:p>
        </w:tc>
        <w:tc>
          <w:tcPr>
            <w:tcW w:w="120" w:type="dxa"/>
            <w:vAlign w:val="bottom"/>
          </w:tcPr>
          <w:p>
            <w:pPr>
              <w:spacing w:after="0"/>
              <w:rPr>
                <w:sz w:val="16"/>
                <w:szCs w:val="16"/>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2.83%</w:t>
            </w:r>
          </w:p>
        </w:tc>
        <w:tc>
          <w:tcPr>
            <w:tcW w:w="860" w:type="dxa"/>
            <w:vAlign w:val="bottom"/>
            <w:gridSpan w:val="2"/>
          </w:tcPr>
          <w:p>
            <w:pPr>
              <w:ind w:left="320"/>
              <w:spacing w:after="0"/>
              <w:rPr>
                <w:sz w:val="20"/>
                <w:szCs w:val="20"/>
                <w:color w:val="auto"/>
              </w:rPr>
            </w:pPr>
            <w:r>
              <w:rPr>
                <w:rFonts w:ascii="Arial" w:cs="Arial" w:eastAsia="Arial" w:hAnsi="Arial"/>
                <w:sz w:val="14"/>
                <w:szCs w:val="14"/>
                <w:color w:val="auto"/>
              </w:rPr>
              <w:t>1.93%</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89"/>
              </w:rPr>
              <w:t>16</w:t>
            </w:r>
          </w:p>
        </w:tc>
        <w:tc>
          <w:tcPr>
            <w:tcW w:w="100" w:type="dxa"/>
            <w:vAlign w:val="bottom"/>
          </w:tcPr>
          <w:p>
            <w:pPr>
              <w:spacing w:after="0"/>
              <w:rPr>
                <w:sz w:val="16"/>
                <w:szCs w:val="16"/>
                <w:color w:val="auto"/>
              </w:rPr>
            </w:pPr>
          </w:p>
        </w:tc>
        <w:tc>
          <w:tcPr>
            <w:tcW w:w="600" w:type="dxa"/>
            <w:vAlign w:val="bottom"/>
          </w:tcPr>
          <w:p>
            <w:pPr>
              <w:jc w:val="center"/>
              <w:ind w:left="228"/>
              <w:spacing w:after="0"/>
              <w:rPr>
                <w:sz w:val="20"/>
                <w:szCs w:val="20"/>
                <w:color w:val="auto"/>
              </w:rPr>
            </w:pPr>
            <w:r>
              <w:rPr>
                <w:rFonts w:ascii="Arial" w:cs="Arial" w:eastAsia="Arial" w:hAnsi="Arial"/>
                <w:sz w:val="14"/>
                <w:szCs w:val="14"/>
                <w:color w:val="auto"/>
                <w:w w:val="88"/>
              </w:rPr>
              <w:t>5%</w:t>
            </w: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260" w:type="dxa"/>
            <w:vAlign w:val="bottom"/>
            <w:shd w:val="clear" w:color="auto" w:fill="CCEEFF"/>
          </w:tcPr>
          <w:p>
            <w:pPr>
              <w:ind w:left="360"/>
              <w:spacing w:after="0"/>
              <w:rPr>
                <w:sz w:val="20"/>
                <w:szCs w:val="20"/>
                <w:color w:val="auto"/>
              </w:rPr>
            </w:pPr>
            <w:r>
              <w:rPr>
                <w:rFonts w:ascii="Arial" w:cs="Arial" w:eastAsia="Arial" w:hAnsi="Arial"/>
                <w:sz w:val="14"/>
                <w:szCs w:val="14"/>
                <w:color w:val="auto"/>
              </w:rPr>
              <w:t>2.5%</w:t>
            </w: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5,715</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6,019</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5,182</w:t>
            </w: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90%</w:t>
            </w:r>
          </w:p>
        </w:tc>
        <w:tc>
          <w:tcPr>
            <w:tcW w:w="126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2"/>
              </w:rPr>
              <w:t>103.7%</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3.15%</w:t>
            </w:r>
          </w:p>
        </w:tc>
        <w:tc>
          <w:tcPr>
            <w:tcW w:w="860" w:type="dxa"/>
            <w:vAlign w:val="bottom"/>
            <w:gridSpan w:val="2"/>
            <w:shd w:val="clear" w:color="auto" w:fill="CCEEFF"/>
          </w:tcPr>
          <w:p>
            <w:pPr>
              <w:ind w:left="320"/>
              <w:spacing w:after="0"/>
              <w:rPr>
                <w:sz w:val="20"/>
                <w:szCs w:val="20"/>
                <w:color w:val="auto"/>
              </w:rPr>
            </w:pPr>
            <w:r>
              <w:rPr>
                <w:rFonts w:ascii="Arial" w:cs="Arial" w:eastAsia="Arial" w:hAnsi="Arial"/>
                <w:sz w:val="14"/>
                <w:szCs w:val="14"/>
                <w:color w:val="auto"/>
              </w:rPr>
              <w:t>2.06%</w:t>
            </w: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12</w:t>
            </w: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88"/>
              </w:rPr>
              <w:t>6%</w:t>
            </w:r>
          </w:p>
        </w:tc>
        <w:tc>
          <w:tcPr>
            <w:tcW w:w="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260" w:type="dxa"/>
            <w:vAlign w:val="bottom"/>
          </w:tcPr>
          <w:p>
            <w:pPr>
              <w:ind w:left="360"/>
              <w:spacing w:after="0"/>
              <w:rPr>
                <w:sz w:val="20"/>
                <w:szCs w:val="20"/>
                <w:color w:val="auto"/>
              </w:rPr>
            </w:pPr>
            <w:r>
              <w:rPr>
                <w:rFonts w:ascii="Arial" w:cs="Arial" w:eastAsia="Arial" w:hAnsi="Arial"/>
                <w:sz w:val="14"/>
                <w:szCs w:val="14"/>
                <w:color w:val="auto"/>
              </w:rPr>
              <w:t>3.0%</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6,130</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6,128</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5,744</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51%</w:t>
            </w:r>
          </w:p>
        </w:tc>
        <w:tc>
          <w:tcPr>
            <w:tcW w:w="1260" w:type="dxa"/>
            <w:vAlign w:val="bottom"/>
            <w:gridSpan w:val="2"/>
          </w:tcPr>
          <w:p>
            <w:pPr>
              <w:jc w:val="center"/>
              <w:ind w:left="148"/>
              <w:spacing w:after="0"/>
              <w:rPr>
                <w:sz w:val="20"/>
                <w:szCs w:val="20"/>
                <w:color w:val="auto"/>
              </w:rPr>
            </w:pPr>
            <w:r>
              <w:rPr>
                <w:rFonts w:ascii="Arial" w:cs="Arial" w:eastAsia="Arial" w:hAnsi="Arial"/>
                <w:sz w:val="14"/>
                <w:szCs w:val="14"/>
                <w:color w:val="auto"/>
                <w:w w:val="92"/>
              </w:rPr>
              <w:t>100.0%</w:t>
            </w:r>
          </w:p>
        </w:tc>
        <w:tc>
          <w:tcPr>
            <w:tcW w:w="120" w:type="dxa"/>
            <w:vAlign w:val="bottom"/>
          </w:tcPr>
          <w:p>
            <w:pPr>
              <w:spacing w:after="0"/>
              <w:rPr>
                <w:sz w:val="16"/>
                <w:szCs w:val="16"/>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3.60%</w:t>
            </w:r>
          </w:p>
        </w:tc>
        <w:tc>
          <w:tcPr>
            <w:tcW w:w="860" w:type="dxa"/>
            <w:vAlign w:val="bottom"/>
            <w:gridSpan w:val="2"/>
          </w:tcPr>
          <w:p>
            <w:pPr>
              <w:ind w:left="320"/>
              <w:spacing w:after="0"/>
              <w:rPr>
                <w:sz w:val="20"/>
                <w:szCs w:val="20"/>
                <w:color w:val="auto"/>
              </w:rPr>
            </w:pPr>
            <w:r>
              <w:rPr>
                <w:rFonts w:ascii="Arial" w:cs="Arial" w:eastAsia="Arial" w:hAnsi="Arial"/>
                <w:sz w:val="14"/>
                <w:szCs w:val="14"/>
                <w:color w:val="auto"/>
              </w:rPr>
              <w:t>2.99%</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89"/>
              </w:rPr>
              <w:t>11</w:t>
            </w:r>
          </w:p>
        </w:tc>
        <w:tc>
          <w:tcPr>
            <w:tcW w:w="100" w:type="dxa"/>
            <w:vAlign w:val="bottom"/>
          </w:tcPr>
          <w:p>
            <w:pPr>
              <w:spacing w:after="0"/>
              <w:rPr>
                <w:sz w:val="16"/>
                <w:szCs w:val="16"/>
                <w:color w:val="auto"/>
              </w:rPr>
            </w:pPr>
          </w:p>
        </w:tc>
        <w:tc>
          <w:tcPr>
            <w:tcW w:w="600" w:type="dxa"/>
            <w:vAlign w:val="bottom"/>
          </w:tcPr>
          <w:p>
            <w:pPr>
              <w:jc w:val="center"/>
              <w:ind w:left="228"/>
              <w:spacing w:after="0"/>
              <w:rPr>
                <w:sz w:val="20"/>
                <w:szCs w:val="20"/>
                <w:color w:val="auto"/>
              </w:rPr>
            </w:pPr>
            <w:r>
              <w:rPr>
                <w:rFonts w:ascii="Arial" w:cs="Arial" w:eastAsia="Arial" w:hAnsi="Arial"/>
                <w:sz w:val="14"/>
                <w:szCs w:val="14"/>
                <w:color w:val="auto"/>
                <w:w w:val="88"/>
              </w:rPr>
              <w:t>5%</w:t>
            </w: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260" w:type="dxa"/>
            <w:vAlign w:val="bottom"/>
            <w:shd w:val="clear" w:color="auto" w:fill="CCEEFF"/>
          </w:tcPr>
          <w:p>
            <w:pPr>
              <w:ind w:left="36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10,512</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10,876</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10,270</w:t>
            </w: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76%</w:t>
            </w:r>
          </w:p>
        </w:tc>
        <w:tc>
          <w:tcPr>
            <w:tcW w:w="126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2"/>
              </w:rPr>
              <w:t>102.9%</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4.06%</w:t>
            </w:r>
          </w:p>
        </w:tc>
        <w:tc>
          <w:tcPr>
            <w:tcW w:w="860" w:type="dxa"/>
            <w:vAlign w:val="bottom"/>
            <w:gridSpan w:val="2"/>
            <w:shd w:val="clear" w:color="auto" w:fill="CCEEFF"/>
          </w:tcPr>
          <w:p>
            <w:pPr>
              <w:ind w:left="320"/>
              <w:spacing w:after="0"/>
              <w:rPr>
                <w:sz w:val="20"/>
                <w:szCs w:val="20"/>
                <w:color w:val="auto"/>
              </w:rPr>
            </w:pPr>
            <w:r>
              <w:rPr>
                <w:rFonts w:ascii="Arial" w:cs="Arial" w:eastAsia="Arial" w:hAnsi="Arial"/>
                <w:sz w:val="14"/>
                <w:szCs w:val="14"/>
                <w:color w:val="auto"/>
              </w:rPr>
              <w:t>3.00%</w:t>
            </w: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60</w:t>
            </w: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88"/>
              </w:rPr>
              <w:t>7%</w:t>
            </w:r>
          </w:p>
        </w:tc>
        <w:tc>
          <w:tcPr>
            <w:tcW w:w="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260" w:type="dxa"/>
            <w:vAlign w:val="bottom"/>
          </w:tcPr>
          <w:p>
            <w:pPr>
              <w:ind w:left="360"/>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11,663</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12,252</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11,660</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68%</w:t>
            </w:r>
          </w:p>
        </w:tc>
        <w:tc>
          <w:tcPr>
            <w:tcW w:w="1260" w:type="dxa"/>
            <w:vAlign w:val="bottom"/>
            <w:gridSpan w:val="2"/>
          </w:tcPr>
          <w:p>
            <w:pPr>
              <w:jc w:val="center"/>
              <w:ind w:left="148"/>
              <w:spacing w:after="0"/>
              <w:rPr>
                <w:sz w:val="20"/>
                <w:szCs w:val="20"/>
                <w:color w:val="auto"/>
              </w:rPr>
            </w:pPr>
            <w:r>
              <w:rPr>
                <w:rFonts w:ascii="Arial" w:cs="Arial" w:eastAsia="Arial" w:hAnsi="Arial"/>
                <w:sz w:val="14"/>
                <w:szCs w:val="14"/>
                <w:color w:val="auto"/>
                <w:w w:val="92"/>
              </w:rPr>
              <w:t>105.7%</w:t>
            </w:r>
          </w:p>
        </w:tc>
        <w:tc>
          <w:tcPr>
            <w:tcW w:w="120" w:type="dxa"/>
            <w:vAlign w:val="bottom"/>
          </w:tcPr>
          <w:p>
            <w:pPr>
              <w:spacing w:after="0"/>
              <w:rPr>
                <w:sz w:val="16"/>
                <w:szCs w:val="16"/>
                <w:color w:val="auto"/>
              </w:rPr>
            </w:pPr>
          </w:p>
        </w:tc>
        <w:tc>
          <w:tcPr>
            <w:tcW w:w="680" w:type="dxa"/>
            <w:vAlign w:val="bottom"/>
          </w:tcPr>
          <w:p>
            <w:pPr>
              <w:ind w:left="160"/>
              <w:spacing w:after="0"/>
              <w:rPr>
                <w:sz w:val="20"/>
                <w:szCs w:val="20"/>
                <w:color w:val="auto"/>
              </w:rPr>
            </w:pPr>
            <w:r>
              <w:rPr>
                <w:rFonts w:ascii="Arial" w:cs="Arial" w:eastAsia="Arial" w:hAnsi="Arial"/>
                <w:sz w:val="14"/>
                <w:szCs w:val="14"/>
                <w:color w:val="auto"/>
              </w:rPr>
              <w:t>4.51%</w:t>
            </w:r>
          </w:p>
        </w:tc>
        <w:tc>
          <w:tcPr>
            <w:tcW w:w="860" w:type="dxa"/>
            <w:vAlign w:val="bottom"/>
            <w:gridSpan w:val="2"/>
          </w:tcPr>
          <w:p>
            <w:pPr>
              <w:ind w:left="320"/>
              <w:spacing w:after="0"/>
              <w:rPr>
                <w:sz w:val="20"/>
                <w:szCs w:val="20"/>
                <w:color w:val="auto"/>
              </w:rPr>
            </w:pPr>
            <w:r>
              <w:rPr>
                <w:rFonts w:ascii="Arial" w:cs="Arial" w:eastAsia="Arial" w:hAnsi="Arial"/>
                <w:sz w:val="14"/>
                <w:szCs w:val="14"/>
                <w:color w:val="auto"/>
              </w:rPr>
              <w:t>3.08%</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89"/>
              </w:rPr>
              <w:t>62</w:t>
            </w:r>
          </w:p>
        </w:tc>
        <w:tc>
          <w:tcPr>
            <w:tcW w:w="100" w:type="dxa"/>
            <w:vAlign w:val="bottom"/>
          </w:tcPr>
          <w:p>
            <w:pPr>
              <w:spacing w:after="0"/>
              <w:rPr>
                <w:sz w:val="16"/>
                <w:szCs w:val="16"/>
                <w:color w:val="auto"/>
              </w:rPr>
            </w:pPr>
          </w:p>
        </w:tc>
        <w:tc>
          <w:tcPr>
            <w:tcW w:w="600" w:type="dxa"/>
            <w:vAlign w:val="bottom"/>
          </w:tcPr>
          <w:p>
            <w:pPr>
              <w:jc w:val="center"/>
              <w:ind w:left="228"/>
              <w:spacing w:after="0"/>
              <w:rPr>
                <w:sz w:val="20"/>
                <w:szCs w:val="20"/>
                <w:color w:val="auto"/>
              </w:rPr>
            </w:pPr>
            <w:r>
              <w:rPr>
                <w:rFonts w:ascii="Arial" w:cs="Arial" w:eastAsia="Arial" w:hAnsi="Arial"/>
                <w:sz w:val="14"/>
                <w:szCs w:val="14"/>
                <w:color w:val="auto"/>
                <w:w w:val="88"/>
              </w:rPr>
              <w:t>8%</w:t>
            </w: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380" w:type="dxa"/>
            <w:vAlign w:val="bottom"/>
            <w:gridSpan w:val="2"/>
            <w:shd w:val="clear" w:color="auto" w:fill="CCEEFF"/>
          </w:tcPr>
          <w:p>
            <w:pPr>
              <w:ind w:left="360"/>
              <w:spacing w:after="0"/>
              <w:rPr>
                <w:sz w:val="20"/>
                <w:szCs w:val="20"/>
                <w:color w:val="auto"/>
              </w:rPr>
            </w:pPr>
            <w:r>
              <w:rPr>
                <w:rFonts w:ascii="Arial" w:cs="Arial" w:eastAsia="Arial" w:hAnsi="Arial"/>
                <w:sz w:val="14"/>
                <w:szCs w:val="14"/>
                <w:color w:val="auto"/>
              </w:rPr>
              <w:t>≥ 4.5%</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17,271</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17,606</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17,479</w:t>
            </w: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26%</w:t>
            </w:r>
          </w:p>
        </w:tc>
        <w:tc>
          <w:tcPr>
            <w:tcW w:w="126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2"/>
              </w:rPr>
              <w:t>106.8%</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ind w:left="160"/>
              <w:spacing w:after="0"/>
              <w:rPr>
                <w:sz w:val="20"/>
                <w:szCs w:val="20"/>
                <w:color w:val="auto"/>
              </w:rPr>
            </w:pPr>
            <w:r>
              <w:rPr>
                <w:rFonts w:ascii="Arial" w:cs="Arial" w:eastAsia="Arial" w:hAnsi="Arial"/>
                <w:sz w:val="14"/>
                <w:szCs w:val="14"/>
                <w:color w:val="auto"/>
              </w:rPr>
              <w:t>5.08%</w:t>
            </w:r>
          </w:p>
        </w:tc>
        <w:tc>
          <w:tcPr>
            <w:tcW w:w="860" w:type="dxa"/>
            <w:vAlign w:val="bottom"/>
            <w:gridSpan w:val="2"/>
            <w:shd w:val="clear" w:color="auto" w:fill="CCEEFF"/>
          </w:tcPr>
          <w:p>
            <w:pPr>
              <w:ind w:left="320"/>
              <w:spacing w:after="0"/>
              <w:rPr>
                <w:sz w:val="20"/>
                <w:szCs w:val="20"/>
                <w:color w:val="auto"/>
              </w:rPr>
            </w:pPr>
            <w:r>
              <w:rPr>
                <w:rFonts w:ascii="Arial" w:cs="Arial" w:eastAsia="Arial" w:hAnsi="Arial"/>
                <w:sz w:val="14"/>
                <w:szCs w:val="14"/>
                <w:color w:val="auto"/>
              </w:rPr>
              <w:t>3.41%</w:t>
            </w: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50</w:t>
            </w: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88"/>
              </w:rPr>
              <w:t>9%</w:t>
            </w:r>
          </w:p>
        </w:tc>
        <w:tc>
          <w:tcPr>
            <w:tcW w:w="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79"/>
        </w:trPr>
        <w:tc>
          <w:tcPr>
            <w:tcW w:w="2380" w:type="dxa"/>
            <w:vAlign w:val="bottom"/>
            <w:tcBorders>
              <w:bottom w:val="single" w:sz="8" w:color="CCEEFF"/>
            </w:tcBorders>
            <w:gridSpan w:val="2"/>
          </w:tcPr>
          <w:p>
            <w:pPr>
              <w:ind w:left="220"/>
              <w:spacing w:after="0"/>
              <w:rPr>
                <w:sz w:val="20"/>
                <w:szCs w:val="20"/>
                <w:color w:val="auto"/>
              </w:rPr>
            </w:pPr>
            <w:r>
              <w:rPr>
                <w:rFonts w:ascii="Arial" w:cs="Arial" w:eastAsia="Arial" w:hAnsi="Arial"/>
                <w:sz w:val="14"/>
                <w:szCs w:val="14"/>
                <w:color w:val="auto"/>
              </w:rPr>
              <w:t>Total 30-year</w:t>
            </w:r>
          </w:p>
        </w:tc>
        <w:tc>
          <w:tcPr>
            <w:tcW w:w="80" w:type="dxa"/>
            <w:vAlign w:val="bottom"/>
            <w:tcBorders>
              <w:top w:val="single" w:sz="8" w:color="auto"/>
              <w:bottom w:val="single" w:sz="8" w:color="auto"/>
            </w:tcBorders>
          </w:tcPr>
          <w:p>
            <w:pPr>
              <w:spacing w:after="0"/>
              <w:rPr>
                <w:sz w:val="15"/>
                <w:szCs w:val="15"/>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57,457</w:t>
            </w:r>
          </w:p>
        </w:tc>
        <w:tc>
          <w:tcPr>
            <w:tcW w:w="120" w:type="dxa"/>
            <w:vAlign w:val="bottom"/>
            <w:tcBorders>
              <w:bottom w:val="single" w:sz="8" w:color="CCEEFF"/>
            </w:tcBorders>
          </w:tcPr>
          <w:p>
            <w:pPr>
              <w:spacing w:after="0"/>
              <w:rPr>
                <w:sz w:val="15"/>
                <w:szCs w:val="15"/>
                <w:color w:val="auto"/>
              </w:rPr>
            </w:pPr>
          </w:p>
        </w:tc>
        <w:tc>
          <w:tcPr>
            <w:tcW w:w="120" w:type="dxa"/>
            <w:vAlign w:val="bottom"/>
            <w:tcBorders>
              <w:top w:val="single" w:sz="8" w:color="auto"/>
              <w:bottom w:val="single" w:sz="8" w:color="auto"/>
            </w:tcBorders>
          </w:tcPr>
          <w:p>
            <w:pPr>
              <w:spacing w:after="0"/>
              <w:rPr>
                <w:sz w:val="15"/>
                <w:szCs w:val="15"/>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58,928</w:t>
            </w:r>
          </w:p>
        </w:tc>
        <w:tc>
          <w:tcPr>
            <w:tcW w:w="100" w:type="dxa"/>
            <w:vAlign w:val="bottom"/>
            <w:tcBorders>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55,715</w:t>
            </w:r>
          </w:p>
        </w:tc>
        <w:tc>
          <w:tcPr>
            <w:tcW w:w="120" w:type="dxa"/>
            <w:vAlign w:val="bottom"/>
            <w:tcBorders>
              <w:bottom w:val="single" w:sz="8" w:color="CCEEFF"/>
            </w:tcBorders>
          </w:tcPr>
          <w:p>
            <w:pPr>
              <w:spacing w:after="0"/>
              <w:rPr>
                <w:sz w:val="15"/>
                <w:szCs w:val="15"/>
                <w:color w:val="auto"/>
              </w:rPr>
            </w:pPr>
          </w:p>
        </w:tc>
        <w:tc>
          <w:tcPr>
            <w:tcW w:w="90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92"/>
              </w:rPr>
              <w:t>50%</w:t>
            </w:r>
          </w:p>
        </w:tc>
        <w:tc>
          <w:tcPr>
            <w:tcW w:w="220" w:type="dxa"/>
            <w:vAlign w:val="bottom"/>
            <w:tcBorders>
              <w:bottom w:val="single" w:sz="8" w:color="CCEEFF"/>
            </w:tcBorders>
          </w:tcPr>
          <w:p>
            <w:pPr>
              <w:spacing w:after="0"/>
              <w:rPr>
                <w:sz w:val="15"/>
                <w:szCs w:val="15"/>
                <w:color w:val="auto"/>
              </w:rPr>
            </w:pPr>
          </w:p>
        </w:tc>
        <w:tc>
          <w:tcPr>
            <w:tcW w:w="10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92"/>
              </w:rPr>
              <w:t>103.4%</w:t>
            </w:r>
          </w:p>
        </w:tc>
        <w:tc>
          <w:tcPr>
            <w:tcW w:w="120" w:type="dxa"/>
            <w:vAlign w:val="bottom"/>
            <w:tcBorders>
              <w:bottom w:val="single" w:sz="8" w:color="CCEEFF"/>
            </w:tcBorders>
          </w:tcPr>
          <w:p>
            <w:pPr>
              <w:spacing w:after="0"/>
              <w:rPr>
                <w:sz w:val="15"/>
                <w:szCs w:val="15"/>
                <w:color w:val="auto"/>
              </w:rPr>
            </w:pPr>
          </w:p>
        </w:tc>
        <w:tc>
          <w:tcPr>
            <w:tcW w:w="680" w:type="dxa"/>
            <w:vAlign w:val="bottom"/>
            <w:tcBorders>
              <w:top w:val="single" w:sz="8" w:color="auto"/>
              <w:bottom w:val="single" w:sz="8" w:color="auto"/>
            </w:tcBorders>
          </w:tcPr>
          <w:p>
            <w:pPr>
              <w:ind w:left="160"/>
              <w:spacing w:after="0"/>
              <w:rPr>
                <w:sz w:val="20"/>
                <w:szCs w:val="20"/>
                <w:color w:val="auto"/>
              </w:rPr>
            </w:pPr>
            <w:r>
              <w:rPr>
                <w:rFonts w:ascii="Arial" w:cs="Arial" w:eastAsia="Arial" w:hAnsi="Arial"/>
                <w:sz w:val="14"/>
                <w:szCs w:val="14"/>
                <w:color w:val="auto"/>
              </w:rPr>
              <w:t>3.92%</w:t>
            </w:r>
          </w:p>
        </w:tc>
        <w:tc>
          <w:tcPr>
            <w:tcW w:w="140" w:type="dxa"/>
            <w:vAlign w:val="bottom"/>
            <w:tcBorders>
              <w:bottom w:val="single" w:sz="8" w:color="CCEEFF"/>
            </w:tcBorders>
          </w:tcPr>
          <w:p>
            <w:pPr>
              <w:spacing w:after="0"/>
              <w:rPr>
                <w:sz w:val="15"/>
                <w:szCs w:val="15"/>
                <w:color w:val="auto"/>
              </w:rPr>
            </w:pPr>
          </w:p>
        </w:tc>
        <w:tc>
          <w:tcPr>
            <w:tcW w:w="720" w:type="dxa"/>
            <w:vAlign w:val="bottom"/>
            <w:tcBorders>
              <w:top w:val="single" w:sz="8" w:color="auto"/>
              <w:bottom w:val="single" w:sz="8" w:color="auto"/>
            </w:tcBorders>
          </w:tcPr>
          <w:p>
            <w:pPr>
              <w:ind w:left="180"/>
              <w:spacing w:after="0"/>
              <w:rPr>
                <w:sz w:val="20"/>
                <w:szCs w:val="20"/>
                <w:color w:val="auto"/>
              </w:rPr>
            </w:pPr>
            <w:r>
              <w:rPr>
                <w:rFonts w:ascii="Arial" w:cs="Arial" w:eastAsia="Arial" w:hAnsi="Arial"/>
                <w:sz w:val="14"/>
                <w:szCs w:val="14"/>
                <w:color w:val="auto"/>
              </w:rPr>
              <w:t>2.79%</w:t>
            </w:r>
          </w:p>
        </w:tc>
        <w:tc>
          <w:tcPr>
            <w:tcW w:w="120" w:type="dxa"/>
            <w:vAlign w:val="bottom"/>
            <w:tcBorders>
              <w:bottom w:val="single" w:sz="8" w:color="CCEEFF"/>
            </w:tcBorders>
          </w:tcPr>
          <w:p>
            <w:pPr>
              <w:spacing w:after="0"/>
              <w:rPr>
                <w:sz w:val="15"/>
                <w:szCs w:val="15"/>
                <w:color w:val="auto"/>
              </w:rPr>
            </w:pPr>
          </w:p>
        </w:tc>
        <w:tc>
          <w:tcPr>
            <w:tcW w:w="96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89"/>
              </w:rPr>
              <w:t>40</w:t>
            </w:r>
          </w:p>
        </w:tc>
        <w:tc>
          <w:tcPr>
            <w:tcW w:w="100" w:type="dxa"/>
            <w:vAlign w:val="bottom"/>
            <w:tcBorders>
              <w:bottom w:val="single" w:sz="8" w:color="CCEEFF"/>
            </w:tcBorders>
          </w:tcPr>
          <w:p>
            <w:pPr>
              <w:spacing w:after="0"/>
              <w:rPr>
                <w:sz w:val="15"/>
                <w:szCs w:val="15"/>
                <w:color w:val="auto"/>
              </w:rPr>
            </w:pPr>
          </w:p>
        </w:tc>
        <w:tc>
          <w:tcPr>
            <w:tcW w:w="600" w:type="dxa"/>
            <w:vAlign w:val="bottom"/>
            <w:tcBorders>
              <w:top w:val="single" w:sz="8" w:color="auto"/>
              <w:bottom w:val="single" w:sz="8" w:color="auto"/>
            </w:tcBorders>
          </w:tcPr>
          <w:p>
            <w:pPr>
              <w:jc w:val="center"/>
              <w:ind w:left="228"/>
              <w:spacing w:after="0"/>
              <w:rPr>
                <w:sz w:val="20"/>
                <w:szCs w:val="20"/>
                <w:color w:val="auto"/>
              </w:rPr>
            </w:pPr>
            <w:r>
              <w:rPr>
                <w:rFonts w:ascii="Arial" w:cs="Arial" w:eastAsia="Arial" w:hAnsi="Arial"/>
                <w:sz w:val="14"/>
                <w:szCs w:val="14"/>
                <w:color w:val="auto"/>
                <w:w w:val="88"/>
              </w:rPr>
              <w:t>7%</w:t>
            </w:r>
          </w:p>
        </w:tc>
        <w:tc>
          <w:tcPr>
            <w:tcW w:w="300" w:type="dxa"/>
            <w:vAlign w:val="bottom"/>
            <w:tcBorders>
              <w:top w:val="single" w:sz="8" w:color="auto"/>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11"/>
        </w:trPr>
        <w:tc>
          <w:tcPr>
            <w:tcW w:w="23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Total fixed rate</w:t>
            </w: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61,157</w:t>
            </w:r>
          </w:p>
        </w:tc>
        <w:tc>
          <w:tcPr>
            <w:tcW w:w="12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62,738</w:t>
            </w:r>
          </w:p>
        </w:tc>
        <w:tc>
          <w:tcPr>
            <w:tcW w:w="1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59,275</w:t>
            </w:r>
          </w:p>
        </w:tc>
        <w:tc>
          <w:tcPr>
            <w:tcW w:w="120" w:type="dxa"/>
            <w:vAlign w:val="bottom"/>
            <w:tcBorders>
              <w:bottom w:val="single" w:sz="8" w:color="CCEEFF"/>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51%</w:t>
            </w:r>
          </w:p>
        </w:tc>
        <w:tc>
          <w:tcPr>
            <w:tcW w:w="220" w:type="dxa"/>
            <w:vAlign w:val="bottom"/>
            <w:tcBorders>
              <w:bottom w:val="single" w:sz="8" w:color="CCEEFF"/>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103.3%</w:t>
            </w:r>
          </w:p>
        </w:tc>
        <w:tc>
          <w:tcPr>
            <w:tcW w:w="120" w:type="dxa"/>
            <w:vAlign w:val="bottom"/>
            <w:tcBorders>
              <w:bottom w:val="single" w:sz="8" w:color="CCEEFF"/>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ind w:left="160"/>
              <w:spacing w:after="0"/>
              <w:rPr>
                <w:sz w:val="20"/>
                <w:szCs w:val="20"/>
                <w:color w:val="auto"/>
              </w:rPr>
            </w:pPr>
            <w:r>
              <w:rPr>
                <w:rFonts w:ascii="Arial" w:cs="Arial" w:eastAsia="Arial" w:hAnsi="Arial"/>
                <w:sz w:val="14"/>
                <w:szCs w:val="14"/>
                <w:color w:val="auto"/>
              </w:rPr>
              <w:t>3.89%</w:t>
            </w:r>
          </w:p>
        </w:tc>
        <w:tc>
          <w:tcPr>
            <w:tcW w:w="140" w:type="dxa"/>
            <w:vAlign w:val="bottom"/>
            <w:tcBorders>
              <w:bottom w:val="single" w:sz="8" w:color="CCEEFF"/>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4"/>
                <w:szCs w:val="14"/>
                <w:color w:val="auto"/>
              </w:rPr>
              <w:t>2.75%</w:t>
            </w:r>
          </w:p>
        </w:tc>
        <w:tc>
          <w:tcPr>
            <w:tcW w:w="120" w:type="dxa"/>
            <w:vAlign w:val="bottom"/>
            <w:tcBorders>
              <w:bottom w:val="single" w:sz="8" w:color="CCEEFF"/>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40</w:t>
            </w:r>
          </w:p>
        </w:tc>
        <w:tc>
          <w:tcPr>
            <w:tcW w:w="100" w:type="dxa"/>
            <w:vAlign w:val="bottom"/>
            <w:tcBorders>
              <w:bottom w:val="single" w:sz="8" w:color="CCEEFF"/>
            </w:tcBorders>
            <w:shd w:val="clear" w:color="auto" w:fill="CCEEFF"/>
          </w:tcPr>
          <w:p>
            <w:pPr>
              <w:spacing w:after="0"/>
              <w:rPr>
                <w:sz w:val="17"/>
                <w:szCs w:val="17"/>
                <w:color w:val="auto"/>
              </w:rPr>
            </w:pPr>
          </w:p>
        </w:tc>
        <w:tc>
          <w:tcPr>
            <w:tcW w:w="600" w:type="dxa"/>
            <w:vAlign w:val="bottom"/>
            <w:tcBorders>
              <w:bottom w:val="single" w:sz="8" w:color="auto"/>
            </w:tcBorders>
            <w:shd w:val="clear" w:color="auto" w:fill="CCEEFF"/>
          </w:tcPr>
          <w:p>
            <w:pPr>
              <w:jc w:val="center"/>
              <w:ind w:left="228"/>
              <w:spacing w:after="0"/>
              <w:rPr>
                <w:sz w:val="20"/>
                <w:szCs w:val="20"/>
                <w:color w:val="auto"/>
              </w:rPr>
            </w:pPr>
            <w:r>
              <w:rPr>
                <w:rFonts w:ascii="Arial" w:cs="Arial" w:eastAsia="Arial" w:hAnsi="Arial"/>
                <w:sz w:val="14"/>
                <w:szCs w:val="14"/>
                <w:color w:val="auto"/>
                <w:w w:val="88"/>
              </w:rPr>
              <w:t>7%</w:t>
            </w:r>
          </w:p>
        </w:tc>
        <w:tc>
          <w:tcPr>
            <w:tcW w:w="300" w:type="dxa"/>
            <w:vAlign w:val="bottom"/>
            <w:tcBorders>
              <w:bottom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2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CCEEFF"/>
              <w:bottom w:val="single" w:sz="8" w:color="auto"/>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6"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jc w:val="both"/>
        <w:ind w:left="660" w:hanging="328"/>
        <w:spacing w:after="0" w:line="241" w:lineRule="auto"/>
        <w:tabs>
          <w:tab w:leader="none" w:pos="660" w:val="left"/>
        </w:tabs>
        <w:numPr>
          <w:ilvl w:val="0"/>
          <w:numId w:val="22"/>
        </w:numPr>
        <w:rPr>
          <w:rFonts w:ascii="Arial" w:cs="Arial" w:eastAsia="Arial" w:hAnsi="Arial"/>
          <w:sz w:val="14"/>
          <w:szCs w:val="14"/>
          <w:color w:val="auto"/>
        </w:rPr>
      </w:pPr>
      <w:r>
        <w:rPr>
          <w:rFonts w:ascii="Arial" w:cs="Arial" w:eastAsia="Arial" w:hAnsi="Arial"/>
          <w:sz w:val="14"/>
          <w:szCs w:val="14"/>
          <w:color w:val="auto"/>
        </w:rPr>
        <w:t>Specified pools include pools backed by lower balance loans with original loan balances of up to $200K, HARP pools (defined as pools that were issued between May 2009 and December 2018 and backed by 100% refinance loans with original LTVs ≥ 80%), and pools backed by loans 100% originated in New York and Puerto Rico. As of June 30, 2022, lower balance specified pools had a weighted average original loan balance of $123,000 and $129,000 for 15-year and 30-year securities, respectively, and HARP pools had a weighted average original LTV of 128% and 138% for 15-year and 30-year securities, respectively.</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2"/>
        </w:numPr>
        <w:rPr>
          <w:rFonts w:ascii="Arial" w:cs="Arial" w:eastAsia="Arial" w:hAnsi="Arial"/>
          <w:sz w:val="14"/>
          <w:szCs w:val="14"/>
          <w:color w:val="auto"/>
        </w:rPr>
      </w:pPr>
      <w:r>
        <w:rPr>
          <w:rFonts w:ascii="Arial" w:cs="Arial" w:eastAsia="Arial" w:hAnsi="Arial"/>
          <w:sz w:val="14"/>
          <w:szCs w:val="14"/>
          <w:color w:val="auto"/>
        </w:rPr>
        <w:t>WAC represents the weighted average coupon of the underlying collateral.</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2"/>
        </w:numPr>
        <w:rPr>
          <w:rFonts w:ascii="Arial" w:cs="Arial" w:eastAsia="Arial" w:hAnsi="Arial"/>
          <w:sz w:val="14"/>
          <w:szCs w:val="14"/>
          <w:color w:val="auto"/>
        </w:rPr>
      </w:pPr>
      <w:r>
        <w:rPr>
          <w:rFonts w:ascii="Arial" w:cs="Arial" w:eastAsia="Arial" w:hAnsi="Arial"/>
          <w:sz w:val="14"/>
          <w:szCs w:val="14"/>
          <w:color w:val="auto"/>
        </w:rPr>
        <w:t>Portfolio yield incorporates a projected life CPR based on forward rate assumptions as of June 30, 2022.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30" w:name="page31"/>
    <w:bookmarkEnd w:id="30"/>
    <w:tbl>
      <w:tblPr>
        <w:tblLayout w:type="fixed"/>
        <w:tblInd w:w="0" w:type="dxa"/>
        <w:tblCellMar>
          <w:top w:w="0" w:type="dxa"/>
          <w:left w:w="0" w:type="dxa"/>
          <w:bottom w:w="0" w:type="dxa"/>
          <w:right w:w="0" w:type="dxa"/>
        </w:tblCellMar>
      </w:tblPr>
      <w:tr>
        <w:trPr>
          <w:trHeight w:val="192"/>
        </w:trPr>
        <w:tc>
          <w:tcPr>
            <w:tcW w:w="22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gridSpan w:val="3"/>
          </w:tcPr>
          <w:p>
            <w:pPr>
              <w:ind w:left="40"/>
              <w:spacing w:after="0"/>
              <w:rPr>
                <w:sz w:val="20"/>
                <w:szCs w:val="20"/>
                <w:color w:val="auto"/>
              </w:rPr>
            </w:pPr>
            <w:r>
              <w:rPr>
                <w:rFonts w:ascii="Arial" w:cs="Arial" w:eastAsia="Arial" w:hAnsi="Arial"/>
                <w:sz w:val="14"/>
                <w:szCs w:val="14"/>
                <w:b w:val="1"/>
                <w:bCs w:val="1"/>
                <w:color w:val="auto"/>
              </w:rPr>
              <w:t>December 31, 2021</w:t>
            </w:r>
          </w:p>
        </w:tc>
        <w:tc>
          <w:tcPr>
            <w:tcW w:w="68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22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40" w:type="dxa"/>
            <w:vAlign w:val="bottom"/>
            <w:tcBorders>
              <w:bottom w:val="single" w:sz="8" w:color="auto"/>
            </w:tcBorders>
            <w:gridSpan w:val="5"/>
          </w:tcPr>
          <w:p>
            <w:pPr>
              <w:ind w:left="40"/>
              <w:spacing w:after="0"/>
              <w:rPr>
                <w:sz w:val="20"/>
                <w:szCs w:val="20"/>
                <w:color w:val="auto"/>
              </w:rPr>
            </w:pPr>
            <w:r>
              <w:rPr>
                <w:rFonts w:ascii="Arial" w:cs="Arial" w:eastAsia="Arial" w:hAnsi="Arial"/>
                <w:sz w:val="14"/>
                <w:szCs w:val="14"/>
                <w:b w:val="1"/>
                <w:bCs w:val="1"/>
                <w:color w:val="auto"/>
              </w:rPr>
              <w:t>Includes Net TBA Position</w:t>
            </w:r>
          </w:p>
        </w:tc>
        <w:tc>
          <w:tcPr>
            <w:tcW w:w="90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6"/>
          </w:tcPr>
          <w:p>
            <w:pPr>
              <w:ind w:left="400"/>
              <w:spacing w:after="0"/>
              <w:rPr>
                <w:sz w:val="20"/>
                <w:szCs w:val="20"/>
                <w:color w:val="auto"/>
              </w:rPr>
            </w:pPr>
            <w:r>
              <w:rPr>
                <w:rFonts w:ascii="Arial" w:cs="Arial" w:eastAsia="Arial" w:hAnsi="Arial"/>
                <w:sz w:val="14"/>
                <w:szCs w:val="14"/>
                <w:b w:val="1"/>
                <w:bCs w:val="1"/>
                <w:color w:val="auto"/>
              </w:rPr>
              <w:t>Excludes Net TBA Position</w:t>
            </w:r>
          </w:p>
        </w:tc>
        <w:tc>
          <w:tcPr>
            <w:tcW w:w="60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1"/>
        </w:trPr>
        <w:tc>
          <w:tcPr>
            <w:tcW w:w="22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1940" w:type="dxa"/>
            <w:vAlign w:val="bottom"/>
            <w:tcBorders>
              <w:bottom w:val="single" w:sz="8" w:color="auto"/>
            </w:tcBorders>
            <w:gridSpan w:val="4"/>
          </w:tcPr>
          <w:p>
            <w:pPr>
              <w:ind w:left="80"/>
              <w:spacing w:after="0"/>
              <w:rPr>
                <w:sz w:val="20"/>
                <w:szCs w:val="20"/>
                <w:color w:val="auto"/>
              </w:rPr>
            </w:pPr>
            <w:r>
              <w:rPr>
                <w:rFonts w:ascii="Arial" w:cs="Arial" w:eastAsia="Arial" w:hAnsi="Arial"/>
                <w:sz w:val="14"/>
                <w:szCs w:val="14"/>
                <w:b w:val="1"/>
                <w:bCs w:val="1"/>
                <w:color w:val="auto"/>
              </w:rPr>
              <w:t>Weighted Average</w:t>
            </w:r>
          </w:p>
        </w:tc>
        <w:tc>
          <w:tcPr>
            <w:tcW w:w="1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2"/>
        </w:trPr>
        <w:tc>
          <w:tcPr>
            <w:tcW w:w="2380" w:type="dxa"/>
            <w:vAlign w:val="bottom"/>
            <w:gridSpan w:val="2"/>
          </w:tcPr>
          <w:p>
            <w:pPr>
              <w:ind w:left="20"/>
              <w:spacing w:after="0" w:line="122" w:lineRule="exact"/>
              <w:rPr>
                <w:sz w:val="20"/>
                <w:szCs w:val="20"/>
                <w:color w:val="auto"/>
              </w:rPr>
            </w:pPr>
            <w:r>
              <w:rPr>
                <w:rFonts w:ascii="Arial" w:cs="Arial" w:eastAsia="Arial" w:hAnsi="Arial"/>
                <w:sz w:val="14"/>
                <w:szCs w:val="14"/>
                <w:b w:val="1"/>
                <w:bCs w:val="1"/>
                <w:color w:val="auto"/>
              </w:rPr>
              <w:t>Fixed Rate Agency RMBS and TBA</w:t>
            </w:r>
          </w:p>
        </w:tc>
        <w:tc>
          <w:tcPr>
            <w:tcW w:w="80" w:type="dxa"/>
            <w:vAlign w:val="bottom"/>
          </w:tcPr>
          <w:p>
            <w:pPr>
              <w:spacing w:after="0"/>
              <w:rPr>
                <w:sz w:val="10"/>
                <w:szCs w:val="10"/>
                <w:color w:val="auto"/>
              </w:rPr>
            </w:pPr>
          </w:p>
        </w:tc>
        <w:tc>
          <w:tcPr>
            <w:tcW w:w="82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Par Value</w:t>
            </w:r>
          </w:p>
        </w:tc>
        <w:tc>
          <w:tcPr>
            <w:tcW w:w="120" w:type="dxa"/>
            <w:vAlign w:val="bottom"/>
          </w:tcPr>
          <w:p>
            <w:pPr>
              <w:spacing w:after="0"/>
              <w:rPr>
                <w:sz w:val="10"/>
                <w:szCs w:val="10"/>
                <w:color w:val="auto"/>
              </w:rPr>
            </w:pPr>
          </w:p>
        </w:tc>
        <w:tc>
          <w:tcPr>
            <w:tcW w:w="940" w:type="dxa"/>
            <w:vAlign w:val="bottom"/>
            <w:gridSpan w:val="2"/>
          </w:tcPr>
          <w:p>
            <w:pPr>
              <w:ind w:left="20"/>
              <w:spacing w:after="0" w:line="122" w:lineRule="exact"/>
              <w:rPr>
                <w:sz w:val="20"/>
                <w:szCs w:val="20"/>
                <w:color w:val="auto"/>
              </w:rPr>
            </w:pPr>
            <w:r>
              <w:rPr>
                <w:rFonts w:ascii="Arial" w:cs="Arial" w:eastAsia="Arial" w:hAnsi="Arial"/>
                <w:sz w:val="14"/>
                <w:szCs w:val="14"/>
                <w:b w:val="1"/>
                <w:bCs w:val="1"/>
                <w:color w:val="auto"/>
              </w:rPr>
              <w:t>Amortized</w:t>
            </w:r>
          </w:p>
        </w:tc>
        <w:tc>
          <w:tcPr>
            <w:tcW w:w="900" w:type="dxa"/>
            <w:vAlign w:val="bottom"/>
            <w:gridSpan w:val="3"/>
            <w:vMerge w:val="restart"/>
          </w:tcPr>
          <w:p>
            <w:pPr>
              <w:ind w:left="80"/>
              <w:spacing w:after="0"/>
              <w:rPr>
                <w:sz w:val="20"/>
                <w:szCs w:val="20"/>
                <w:color w:val="auto"/>
              </w:rPr>
            </w:pPr>
            <w:r>
              <w:rPr>
                <w:rFonts w:ascii="Arial" w:cs="Arial" w:eastAsia="Arial" w:hAnsi="Arial"/>
                <w:sz w:val="14"/>
                <w:szCs w:val="14"/>
                <w:b w:val="1"/>
                <w:bCs w:val="1"/>
                <w:color w:val="auto"/>
              </w:rPr>
              <w:t>Fair Value</w:t>
            </w:r>
          </w:p>
        </w:tc>
        <w:tc>
          <w:tcPr>
            <w:tcW w:w="900" w:type="dxa"/>
            <w:vAlign w:val="bottom"/>
          </w:tcPr>
          <w:p>
            <w:pPr>
              <w:ind w:left="20"/>
              <w:spacing w:after="0" w:line="122" w:lineRule="exact"/>
              <w:rPr>
                <w:sz w:val="20"/>
                <w:szCs w:val="20"/>
                <w:color w:val="auto"/>
              </w:rPr>
            </w:pPr>
            <w:r>
              <w:rPr>
                <w:rFonts w:ascii="Arial" w:cs="Arial" w:eastAsia="Arial" w:hAnsi="Arial"/>
                <w:sz w:val="14"/>
                <w:szCs w:val="14"/>
                <w:b w:val="1"/>
                <w:bCs w:val="1"/>
                <w:color w:val="auto"/>
                <w:w w:val="89"/>
              </w:rPr>
              <w:t>Specified Pool</w:t>
            </w:r>
          </w:p>
        </w:tc>
        <w:tc>
          <w:tcPr>
            <w:tcW w:w="220" w:type="dxa"/>
            <w:vAlign w:val="bottom"/>
          </w:tcPr>
          <w:p>
            <w:pPr>
              <w:spacing w:after="0"/>
              <w:rPr>
                <w:sz w:val="10"/>
                <w:szCs w:val="10"/>
                <w:color w:val="auto"/>
              </w:rPr>
            </w:pPr>
          </w:p>
        </w:tc>
        <w:tc>
          <w:tcPr>
            <w:tcW w:w="1160" w:type="dxa"/>
            <w:vAlign w:val="bottom"/>
            <w:gridSpan w:val="2"/>
          </w:tcPr>
          <w:p>
            <w:pPr>
              <w:ind w:left="180"/>
              <w:spacing w:after="0" w:line="122" w:lineRule="exact"/>
              <w:rPr>
                <w:sz w:val="20"/>
                <w:szCs w:val="20"/>
                <w:color w:val="auto"/>
              </w:rPr>
            </w:pPr>
            <w:r>
              <w:rPr>
                <w:rFonts w:ascii="Arial" w:cs="Arial" w:eastAsia="Arial" w:hAnsi="Arial"/>
                <w:sz w:val="14"/>
                <w:szCs w:val="14"/>
                <w:b w:val="1"/>
                <w:bCs w:val="1"/>
                <w:color w:val="auto"/>
              </w:rPr>
              <w:t>Amortized</w:t>
            </w:r>
          </w:p>
        </w:tc>
        <w:tc>
          <w:tcPr>
            <w:tcW w:w="680" w:type="dxa"/>
            <w:vAlign w:val="bottom"/>
            <w:vMerge w:val="restart"/>
          </w:tcPr>
          <w:p>
            <w:pPr>
              <w:ind w:left="140"/>
              <w:spacing w:after="0"/>
              <w:rPr>
                <w:sz w:val="20"/>
                <w:szCs w:val="20"/>
                <w:color w:val="auto"/>
              </w:rPr>
            </w:pPr>
            <w:r>
              <w:rPr>
                <w:rFonts w:ascii="Arial" w:cs="Arial" w:eastAsia="Arial" w:hAnsi="Arial"/>
                <w:sz w:val="14"/>
                <w:szCs w:val="14"/>
                <w:b w:val="1"/>
                <w:bCs w:val="1"/>
                <w:color w:val="auto"/>
              </w:rPr>
              <w:t xml:space="preserve">WAC </w:t>
            </w:r>
            <w:r>
              <w:rPr>
                <w:rFonts w:ascii="Arial" w:cs="Arial" w:eastAsia="Arial" w:hAnsi="Arial"/>
                <w:sz w:val="18"/>
                <w:szCs w:val="18"/>
                <w:b w:val="1"/>
                <w:bCs w:val="1"/>
                <w:color w:val="auto"/>
                <w:vertAlign w:val="superscript"/>
              </w:rPr>
              <w:t>2</w:t>
            </w:r>
          </w:p>
        </w:tc>
        <w:tc>
          <w:tcPr>
            <w:tcW w:w="140" w:type="dxa"/>
            <w:vAlign w:val="bottom"/>
          </w:tcPr>
          <w:p>
            <w:pPr>
              <w:spacing w:after="0"/>
              <w:rPr>
                <w:sz w:val="10"/>
                <w:szCs w:val="10"/>
                <w:color w:val="auto"/>
              </w:rPr>
            </w:pPr>
          </w:p>
        </w:tc>
        <w:tc>
          <w:tcPr>
            <w:tcW w:w="84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 xml:space="preserve">Yield </w:t>
            </w:r>
            <w:r>
              <w:rPr>
                <w:rFonts w:ascii="Arial" w:cs="Arial" w:eastAsia="Arial" w:hAnsi="Arial"/>
                <w:sz w:val="18"/>
                <w:szCs w:val="18"/>
                <w:b w:val="1"/>
                <w:bCs w:val="1"/>
                <w:color w:val="auto"/>
                <w:vertAlign w:val="superscript"/>
              </w:rPr>
              <w:t>3</w:t>
            </w:r>
          </w:p>
        </w:tc>
        <w:tc>
          <w:tcPr>
            <w:tcW w:w="106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Age (Months)</w:t>
            </w:r>
          </w:p>
        </w:tc>
        <w:tc>
          <w:tcPr>
            <w:tcW w:w="900" w:type="dxa"/>
            <w:vAlign w:val="bottom"/>
            <w:gridSpan w:val="2"/>
          </w:tcPr>
          <w:p>
            <w:pPr>
              <w:jc w:val="right"/>
              <w:ind w:right="137"/>
              <w:spacing w:after="0" w:line="122" w:lineRule="exact"/>
              <w:rPr>
                <w:sz w:val="20"/>
                <w:szCs w:val="20"/>
                <w:color w:val="auto"/>
              </w:rPr>
            </w:pPr>
            <w:r>
              <w:rPr>
                <w:rFonts w:ascii="Arial" w:cs="Arial" w:eastAsia="Arial" w:hAnsi="Arial"/>
                <w:sz w:val="14"/>
                <w:szCs w:val="14"/>
                <w:b w:val="1"/>
                <w:bCs w:val="1"/>
                <w:color w:val="auto"/>
              </w:rPr>
              <w:t>Projected</w:t>
            </w:r>
          </w:p>
        </w:tc>
        <w:tc>
          <w:tcPr>
            <w:tcW w:w="0" w:type="dxa"/>
            <w:vAlign w:val="bottom"/>
          </w:tcPr>
          <w:p>
            <w:pPr>
              <w:spacing w:after="0"/>
              <w:rPr>
                <w:sz w:val="1"/>
                <w:szCs w:val="1"/>
                <w:color w:val="auto"/>
              </w:rPr>
            </w:pPr>
          </w:p>
        </w:tc>
      </w:tr>
      <w:tr>
        <w:trPr>
          <w:trHeight w:val="189"/>
        </w:trPr>
        <w:tc>
          <w:tcPr>
            <w:tcW w:w="2380" w:type="dxa"/>
            <w:vAlign w:val="bottom"/>
            <w:gridSpan w:val="2"/>
          </w:tcPr>
          <w:p>
            <w:pPr>
              <w:ind w:left="20"/>
              <w:spacing w:after="0"/>
              <w:rPr>
                <w:sz w:val="20"/>
                <w:szCs w:val="20"/>
                <w:color w:val="auto"/>
              </w:rPr>
            </w:pPr>
            <w:r>
              <w:rPr>
                <w:rFonts w:ascii="Arial" w:cs="Arial" w:eastAsia="Arial" w:hAnsi="Arial"/>
                <w:sz w:val="14"/>
                <w:szCs w:val="14"/>
                <w:b w:val="1"/>
                <w:bCs w:val="1"/>
                <w:color w:val="auto"/>
              </w:rPr>
              <w:t>Securities</w:t>
            </w:r>
          </w:p>
        </w:tc>
        <w:tc>
          <w:tcPr>
            <w:tcW w:w="80" w:type="dxa"/>
            <w:vAlign w:val="bottom"/>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940" w:type="dxa"/>
            <w:vAlign w:val="bottom"/>
            <w:gridSpan w:val="2"/>
          </w:tcPr>
          <w:p>
            <w:pPr>
              <w:ind w:left="220"/>
              <w:spacing w:after="0"/>
              <w:rPr>
                <w:sz w:val="20"/>
                <w:szCs w:val="20"/>
                <w:color w:val="auto"/>
              </w:rPr>
            </w:pPr>
            <w:r>
              <w:rPr>
                <w:rFonts w:ascii="Arial" w:cs="Arial" w:eastAsia="Arial" w:hAnsi="Arial"/>
                <w:sz w:val="14"/>
                <w:szCs w:val="14"/>
                <w:b w:val="1"/>
                <w:bCs w:val="1"/>
                <w:color w:val="auto"/>
              </w:rPr>
              <w:t>Cost</w:t>
            </w:r>
          </w:p>
        </w:tc>
        <w:tc>
          <w:tcPr>
            <w:tcW w:w="900" w:type="dxa"/>
            <w:vAlign w:val="bottom"/>
            <w:gridSpan w:val="3"/>
            <w:vMerge w:val="continue"/>
          </w:tcPr>
          <w:p>
            <w:pPr>
              <w:spacing w:after="0"/>
              <w:rPr>
                <w:sz w:val="16"/>
                <w:szCs w:val="16"/>
                <w:color w:val="auto"/>
              </w:rPr>
            </w:pPr>
          </w:p>
        </w:tc>
        <w:tc>
          <w:tcPr>
            <w:tcW w:w="900" w:type="dxa"/>
            <w:vAlign w:val="bottom"/>
          </w:tcPr>
          <w:p>
            <w:pPr>
              <w:jc w:val="center"/>
              <w:spacing w:after="0" w:line="189" w:lineRule="exact"/>
              <w:rPr>
                <w:sz w:val="20"/>
                <w:szCs w:val="20"/>
                <w:color w:val="auto"/>
              </w:rPr>
            </w:pPr>
            <w:r>
              <w:rPr>
                <w:rFonts w:ascii="Arial" w:cs="Arial" w:eastAsia="Arial" w:hAnsi="Arial"/>
                <w:sz w:val="14"/>
                <w:szCs w:val="14"/>
                <w:b w:val="1"/>
                <w:bCs w:val="1"/>
                <w:color w:val="auto"/>
                <w:w w:val="95"/>
              </w:rPr>
              <w:t xml:space="preserve">% </w:t>
            </w:r>
            <w:r>
              <w:rPr>
                <w:rFonts w:ascii="Arial" w:cs="Arial" w:eastAsia="Arial" w:hAnsi="Arial"/>
                <w:sz w:val="18"/>
                <w:szCs w:val="18"/>
                <w:b w:val="1"/>
                <w:bCs w:val="1"/>
                <w:color w:val="auto"/>
                <w:w w:val="95"/>
                <w:vertAlign w:val="superscript"/>
              </w:rPr>
              <w:t>1</w:t>
            </w:r>
          </w:p>
        </w:tc>
        <w:tc>
          <w:tcPr>
            <w:tcW w:w="220" w:type="dxa"/>
            <w:vAlign w:val="bottom"/>
          </w:tcPr>
          <w:p>
            <w:pPr>
              <w:spacing w:after="0"/>
              <w:rPr>
                <w:sz w:val="16"/>
                <w:szCs w:val="16"/>
                <w:color w:val="auto"/>
              </w:rPr>
            </w:pPr>
          </w:p>
        </w:tc>
        <w:tc>
          <w:tcPr>
            <w:tcW w:w="1160" w:type="dxa"/>
            <w:vAlign w:val="bottom"/>
            <w:gridSpan w:val="2"/>
          </w:tcPr>
          <w:p>
            <w:pPr>
              <w:ind w:left="200"/>
              <w:spacing w:after="0"/>
              <w:rPr>
                <w:sz w:val="20"/>
                <w:szCs w:val="20"/>
                <w:color w:val="auto"/>
              </w:rPr>
            </w:pPr>
            <w:r>
              <w:rPr>
                <w:rFonts w:ascii="Arial" w:cs="Arial" w:eastAsia="Arial" w:hAnsi="Arial"/>
                <w:sz w:val="14"/>
                <w:szCs w:val="14"/>
                <w:b w:val="1"/>
                <w:bCs w:val="1"/>
                <w:color w:val="auto"/>
              </w:rPr>
              <w:t>Cost Basis</w:t>
            </w:r>
          </w:p>
        </w:tc>
        <w:tc>
          <w:tcPr>
            <w:tcW w:w="680" w:type="dxa"/>
            <w:vAlign w:val="bottom"/>
            <w:vMerge w:val="continue"/>
          </w:tcPr>
          <w:p>
            <w:pPr>
              <w:spacing w:after="0"/>
              <w:rPr>
                <w:sz w:val="16"/>
                <w:szCs w:val="16"/>
                <w:color w:val="auto"/>
              </w:rPr>
            </w:pPr>
          </w:p>
        </w:tc>
        <w:tc>
          <w:tcPr>
            <w:tcW w:w="140" w:type="dxa"/>
            <w:vAlign w:val="bottom"/>
          </w:tcPr>
          <w:p>
            <w:pPr>
              <w:spacing w:after="0"/>
              <w:rPr>
                <w:sz w:val="16"/>
                <w:szCs w:val="16"/>
                <w:color w:val="auto"/>
              </w:rPr>
            </w:pPr>
          </w:p>
        </w:tc>
        <w:tc>
          <w:tcPr>
            <w:tcW w:w="840" w:type="dxa"/>
            <w:vAlign w:val="bottom"/>
            <w:gridSpan w:val="2"/>
            <w:vMerge w:val="continue"/>
          </w:tcPr>
          <w:p>
            <w:pPr>
              <w:spacing w:after="0"/>
              <w:rPr>
                <w:sz w:val="16"/>
                <w:szCs w:val="16"/>
                <w:color w:val="auto"/>
              </w:rPr>
            </w:pPr>
          </w:p>
        </w:tc>
        <w:tc>
          <w:tcPr>
            <w:tcW w:w="1060" w:type="dxa"/>
            <w:vAlign w:val="bottom"/>
            <w:gridSpan w:val="2"/>
            <w:vMerge w:val="continue"/>
          </w:tcPr>
          <w:p>
            <w:pPr>
              <w:spacing w:after="0"/>
              <w:rPr>
                <w:sz w:val="16"/>
                <w:szCs w:val="16"/>
                <w:color w:val="auto"/>
              </w:rPr>
            </w:pPr>
          </w:p>
        </w:tc>
        <w:tc>
          <w:tcPr>
            <w:tcW w:w="600" w:type="dxa"/>
            <w:vAlign w:val="bottom"/>
          </w:tcPr>
          <w:p>
            <w:pPr>
              <w:ind w:left="260"/>
              <w:spacing w:after="0"/>
              <w:rPr>
                <w:sz w:val="20"/>
                <w:szCs w:val="20"/>
                <w:color w:val="auto"/>
              </w:rPr>
            </w:pPr>
            <w:r>
              <w:rPr>
                <w:rFonts w:ascii="Arial" w:cs="Arial" w:eastAsia="Arial" w:hAnsi="Arial"/>
                <w:sz w:val="14"/>
                <w:szCs w:val="14"/>
                <w:b w:val="1"/>
                <w:bCs w:val="1"/>
                <w:color w:val="auto"/>
              </w:rPr>
              <w:t>CPR</w:t>
            </w:r>
          </w:p>
        </w:tc>
        <w:tc>
          <w:tcPr>
            <w:tcW w:w="300" w:type="dxa"/>
            <w:vAlign w:val="bottom"/>
          </w:tcPr>
          <w:p>
            <w:pPr>
              <w:jc w:val="right"/>
              <w:ind w:right="237"/>
              <w:spacing w:after="0"/>
              <w:rPr>
                <w:sz w:val="20"/>
                <w:szCs w:val="20"/>
                <w:color w:val="auto"/>
              </w:rPr>
            </w:pPr>
            <w:r>
              <w:rPr>
                <w:rFonts w:ascii="Arial" w:cs="Arial" w:eastAsia="Arial" w:hAnsi="Arial"/>
                <w:sz w:val="5"/>
                <w:szCs w:val="5"/>
                <w:b w:val="1"/>
                <w:bCs w:val="1"/>
                <w:color w:val="auto"/>
                <w:w w:val="70"/>
              </w:rPr>
              <w:t>3</w:t>
            </w:r>
          </w:p>
        </w:tc>
        <w:tc>
          <w:tcPr>
            <w:tcW w:w="0" w:type="dxa"/>
            <w:vAlign w:val="bottom"/>
          </w:tcPr>
          <w:p>
            <w:pPr>
              <w:spacing w:after="0"/>
              <w:rPr>
                <w:sz w:val="1"/>
                <w:szCs w:val="1"/>
                <w:color w:val="auto"/>
              </w:rPr>
            </w:pPr>
          </w:p>
        </w:tc>
      </w:tr>
      <w:tr>
        <w:trPr>
          <w:trHeight w:val="183"/>
        </w:trPr>
        <w:tc>
          <w:tcPr>
            <w:tcW w:w="22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Fixed rate</w:t>
            </w:r>
          </w:p>
        </w:tc>
        <w:tc>
          <w:tcPr>
            <w:tcW w:w="1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70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spacing w:after="0"/>
              <w:rPr>
                <w:sz w:val="15"/>
                <w:szCs w:val="15"/>
                <w:color w:val="auto"/>
              </w:rPr>
            </w:pPr>
          </w:p>
        </w:tc>
        <w:tc>
          <w:tcPr>
            <w:tcW w:w="84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spacing w:after="0"/>
              <w:rPr>
                <w:sz w:val="15"/>
                <w:szCs w:val="15"/>
                <w:color w:val="auto"/>
              </w:rPr>
            </w:pPr>
          </w:p>
        </w:tc>
        <w:tc>
          <w:tcPr>
            <w:tcW w:w="58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900" w:type="dxa"/>
            <w:vAlign w:val="bottom"/>
            <w:tcBorders>
              <w:top w:val="single" w:sz="8" w:color="auto"/>
            </w:tcBorders>
            <w:shd w:val="clear" w:color="auto" w:fill="CCEEFF"/>
          </w:tcPr>
          <w:p>
            <w:pPr>
              <w:spacing w:after="0"/>
              <w:rPr>
                <w:sz w:val="15"/>
                <w:szCs w:val="15"/>
                <w:color w:val="auto"/>
              </w:rPr>
            </w:pPr>
          </w:p>
        </w:tc>
        <w:tc>
          <w:tcPr>
            <w:tcW w:w="220" w:type="dxa"/>
            <w:vAlign w:val="bottom"/>
            <w:tcBorders>
              <w:top w:val="single" w:sz="8" w:color="CCEEFF"/>
            </w:tcBorders>
            <w:shd w:val="clear" w:color="auto" w:fill="CCEEFF"/>
          </w:tcPr>
          <w:p>
            <w:pPr>
              <w:spacing w:after="0"/>
              <w:rPr>
                <w:sz w:val="15"/>
                <w:szCs w:val="15"/>
                <w:color w:val="auto"/>
              </w:rPr>
            </w:pPr>
          </w:p>
        </w:tc>
        <w:tc>
          <w:tcPr>
            <w:tcW w:w="104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680" w:type="dxa"/>
            <w:vAlign w:val="bottom"/>
            <w:tcBorders>
              <w:top w:val="single" w:sz="8" w:color="auto"/>
            </w:tcBorders>
            <w:shd w:val="clear" w:color="auto" w:fill="CCEEFF"/>
          </w:tcPr>
          <w:p>
            <w:pPr>
              <w:spacing w:after="0"/>
              <w:rPr>
                <w:sz w:val="15"/>
                <w:szCs w:val="15"/>
                <w:color w:val="auto"/>
              </w:rPr>
            </w:pPr>
          </w:p>
        </w:tc>
        <w:tc>
          <w:tcPr>
            <w:tcW w:w="140" w:type="dxa"/>
            <w:vAlign w:val="bottom"/>
            <w:tcBorders>
              <w:top w:val="single" w:sz="8" w:color="CCEEFF"/>
            </w:tcBorders>
            <w:shd w:val="clear" w:color="auto" w:fill="CCEEFF"/>
          </w:tcPr>
          <w:p>
            <w:pPr>
              <w:spacing w:after="0"/>
              <w:rPr>
                <w:sz w:val="15"/>
                <w:szCs w:val="15"/>
                <w:color w:val="auto"/>
              </w:rPr>
            </w:pPr>
          </w:p>
        </w:tc>
        <w:tc>
          <w:tcPr>
            <w:tcW w:w="72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96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600" w:type="dxa"/>
            <w:vAlign w:val="bottom"/>
            <w:tcBorders>
              <w:top w:val="single" w:sz="8" w:color="auto"/>
            </w:tcBorders>
            <w:shd w:val="clear" w:color="auto" w:fill="CCEEFF"/>
          </w:tcPr>
          <w:p>
            <w:pPr>
              <w:spacing w:after="0"/>
              <w:rPr>
                <w:sz w:val="15"/>
                <w:szCs w:val="15"/>
                <w:color w:val="auto"/>
              </w:rPr>
            </w:pPr>
          </w:p>
        </w:tc>
        <w:tc>
          <w:tcPr>
            <w:tcW w:w="300" w:type="dxa"/>
            <w:vAlign w:val="bottom"/>
            <w:tcBorders>
              <w:top w:val="single" w:sz="8" w:color="auto"/>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6"/>
        </w:trPr>
        <w:tc>
          <w:tcPr>
            <w:tcW w:w="2380" w:type="dxa"/>
            <w:vAlign w:val="bottom"/>
            <w:gridSpan w:val="2"/>
          </w:tcPr>
          <w:p>
            <w:pPr>
              <w:ind w:left="220"/>
              <w:spacing w:after="0"/>
              <w:rPr>
                <w:sz w:val="20"/>
                <w:szCs w:val="20"/>
                <w:color w:val="auto"/>
              </w:rPr>
            </w:pPr>
            <w:r>
              <w:rPr>
                <w:rFonts w:ascii="Arial" w:cs="Arial" w:eastAsia="Arial" w:hAnsi="Arial"/>
                <w:sz w:val="14"/>
                <w:szCs w:val="14"/>
                <w:color w:val="auto"/>
              </w:rPr>
              <w:t>≤ 15-year:</w:t>
            </w:r>
          </w:p>
        </w:tc>
        <w:tc>
          <w:tcPr>
            <w:tcW w:w="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260" w:type="dxa"/>
            <w:vAlign w:val="bottom"/>
            <w:shd w:val="clear" w:color="auto" w:fill="CCEEFF"/>
          </w:tcPr>
          <w:p>
            <w:pPr>
              <w:ind w:left="360"/>
              <w:spacing w:after="0"/>
              <w:rPr>
                <w:sz w:val="20"/>
                <w:szCs w:val="20"/>
                <w:color w:val="auto"/>
              </w:rPr>
            </w:pPr>
            <w:r>
              <w:rPr>
                <w:rFonts w:ascii="Arial" w:cs="Arial" w:eastAsia="Arial" w:hAnsi="Arial"/>
                <w:sz w:val="14"/>
                <w:szCs w:val="14"/>
                <w:color w:val="auto"/>
              </w:rPr>
              <w:t>1.5%</w:t>
            </w: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1,184</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1,184</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1,185</w:t>
            </w: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w:t>
            </w:r>
          </w:p>
        </w:tc>
        <w:tc>
          <w:tcPr>
            <w:tcW w:w="22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center"/>
              <w:ind w:right="140"/>
              <w:spacing w:after="0"/>
              <w:rPr>
                <w:sz w:val="20"/>
                <w:szCs w:val="20"/>
                <w:color w:val="auto"/>
              </w:rPr>
            </w:pPr>
            <w:r>
              <w:rPr>
                <w:rFonts w:ascii="Arial" w:cs="Arial" w:eastAsia="Arial" w:hAnsi="Arial"/>
                <w:sz w:val="14"/>
                <w:szCs w:val="14"/>
                <w:color w:val="auto"/>
                <w:w w:val="98"/>
              </w:rPr>
              <w:t>—%</w:t>
            </w: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w:t>
            </w:r>
          </w:p>
        </w:tc>
        <w:tc>
          <w:tcPr>
            <w:tcW w:w="140" w:type="dxa"/>
            <w:vAlign w:val="bottom"/>
            <w:shd w:val="clear" w:color="auto" w:fill="CCEEFF"/>
          </w:tcPr>
          <w:p>
            <w:pPr>
              <w:spacing w:after="0"/>
              <w:rPr>
                <w:sz w:val="16"/>
                <w:szCs w:val="16"/>
                <w:color w:val="auto"/>
              </w:rPr>
            </w:pPr>
          </w:p>
        </w:tc>
        <w:tc>
          <w:tcPr>
            <w:tcW w:w="84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color w:val="auto"/>
                <w:w w:val="98"/>
              </w:rPr>
              <w:t>—%</w:t>
            </w:r>
          </w:p>
        </w:tc>
        <w:tc>
          <w:tcPr>
            <w:tcW w:w="1060" w:type="dxa"/>
            <w:vAlign w:val="bottom"/>
            <w:gridSpan w:val="2"/>
            <w:shd w:val="clear" w:color="auto" w:fill="CCEEFF"/>
          </w:tcPr>
          <w:p>
            <w:pPr>
              <w:jc w:val="center"/>
              <w:ind w:right="120"/>
              <w:spacing w:after="0"/>
              <w:rPr>
                <w:sz w:val="20"/>
                <w:szCs w:val="20"/>
                <w:color w:val="auto"/>
              </w:rPr>
            </w:pPr>
            <w:r>
              <w:rPr>
                <w:rFonts w:ascii="Arial" w:cs="Arial" w:eastAsia="Arial" w:hAnsi="Arial"/>
                <w:sz w:val="14"/>
                <w:szCs w:val="14"/>
                <w:color w:val="auto"/>
                <w:w w:val="99"/>
              </w:rPr>
              <w:t>—</w:t>
            </w:r>
          </w:p>
        </w:tc>
        <w:tc>
          <w:tcPr>
            <w:tcW w:w="60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98"/>
              </w:rPr>
              <w:t>—%</w:t>
            </w:r>
          </w:p>
        </w:tc>
        <w:tc>
          <w:tcPr>
            <w:tcW w:w="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260" w:type="dxa"/>
            <w:vAlign w:val="bottom"/>
          </w:tcPr>
          <w:p>
            <w:pPr>
              <w:ind w:left="360"/>
              <w:spacing w:after="0"/>
              <w:rPr>
                <w:sz w:val="20"/>
                <w:szCs w:val="20"/>
                <w:color w:val="auto"/>
              </w:rPr>
            </w:pPr>
            <w:r>
              <w:rPr>
                <w:rFonts w:ascii="Arial" w:cs="Arial" w:eastAsia="Arial" w:hAnsi="Arial"/>
                <w:sz w:val="14"/>
                <w:szCs w:val="14"/>
                <w:color w:val="auto"/>
              </w:rPr>
              <w:t>2.0%</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914</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933</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934</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8"/>
              </w:rPr>
              <w:t>6%</w:t>
            </w:r>
          </w:p>
        </w:tc>
        <w:tc>
          <w:tcPr>
            <w:tcW w:w="1260" w:type="dxa"/>
            <w:vAlign w:val="bottom"/>
            <w:gridSpan w:val="2"/>
          </w:tcPr>
          <w:p>
            <w:pPr>
              <w:jc w:val="center"/>
              <w:ind w:left="148"/>
              <w:spacing w:after="0"/>
              <w:rPr>
                <w:sz w:val="20"/>
                <w:szCs w:val="20"/>
                <w:color w:val="auto"/>
              </w:rPr>
            </w:pPr>
            <w:r>
              <w:rPr>
                <w:rFonts w:ascii="Arial" w:cs="Arial" w:eastAsia="Arial" w:hAnsi="Arial"/>
                <w:sz w:val="14"/>
                <w:szCs w:val="14"/>
                <w:color w:val="auto"/>
                <w:w w:val="92"/>
              </w:rPr>
              <w:t>102.9%</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5"/>
              </w:rPr>
              <w:t>2.68%</w:t>
            </w:r>
          </w:p>
        </w:tc>
        <w:tc>
          <w:tcPr>
            <w:tcW w:w="860" w:type="dxa"/>
            <w:vAlign w:val="bottom"/>
            <w:gridSpan w:val="2"/>
          </w:tcPr>
          <w:p>
            <w:pPr>
              <w:jc w:val="center"/>
              <w:ind w:left="68"/>
              <w:spacing w:after="0"/>
              <w:rPr>
                <w:sz w:val="20"/>
                <w:szCs w:val="20"/>
                <w:color w:val="auto"/>
              </w:rPr>
            </w:pPr>
            <w:r>
              <w:rPr>
                <w:rFonts w:ascii="Arial" w:cs="Arial" w:eastAsia="Arial" w:hAnsi="Arial"/>
                <w:sz w:val="14"/>
                <w:szCs w:val="14"/>
                <w:color w:val="auto"/>
                <w:w w:val="90"/>
              </w:rPr>
              <w:t>1.29%</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89"/>
              </w:rPr>
              <w:t>13</w:t>
            </w:r>
          </w:p>
        </w:tc>
        <w:tc>
          <w:tcPr>
            <w:tcW w:w="100" w:type="dxa"/>
            <w:vAlign w:val="bottom"/>
          </w:tcPr>
          <w:p>
            <w:pPr>
              <w:spacing w:after="0"/>
              <w:rPr>
                <w:sz w:val="16"/>
                <w:szCs w:val="16"/>
                <w:color w:val="auto"/>
              </w:rPr>
            </w:pPr>
          </w:p>
        </w:tc>
        <w:tc>
          <w:tcPr>
            <w:tcW w:w="600" w:type="dxa"/>
            <w:vAlign w:val="bottom"/>
          </w:tcPr>
          <w:p>
            <w:pPr>
              <w:jc w:val="center"/>
              <w:ind w:left="228"/>
              <w:spacing w:after="0"/>
              <w:rPr>
                <w:sz w:val="20"/>
                <w:szCs w:val="20"/>
                <w:color w:val="auto"/>
              </w:rPr>
            </w:pPr>
            <w:r>
              <w:rPr>
                <w:rFonts w:ascii="Arial" w:cs="Arial" w:eastAsia="Arial" w:hAnsi="Arial"/>
                <w:sz w:val="14"/>
                <w:szCs w:val="14"/>
                <w:color w:val="auto"/>
                <w:w w:val="92"/>
              </w:rPr>
              <w:t>11%</w:t>
            </w: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260" w:type="dxa"/>
            <w:vAlign w:val="bottom"/>
            <w:shd w:val="clear" w:color="auto" w:fill="CCEEFF"/>
          </w:tcPr>
          <w:p>
            <w:pPr>
              <w:ind w:left="360"/>
              <w:spacing w:after="0"/>
              <w:rPr>
                <w:sz w:val="20"/>
                <w:szCs w:val="20"/>
                <w:color w:val="auto"/>
              </w:rPr>
            </w:pPr>
            <w:r>
              <w:rPr>
                <w:rFonts w:ascii="Arial" w:cs="Arial" w:eastAsia="Arial" w:hAnsi="Arial"/>
                <w:sz w:val="14"/>
                <w:szCs w:val="14"/>
                <w:color w:val="auto"/>
              </w:rPr>
              <w:t>2.5%</w:t>
            </w: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312</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329</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326</w:t>
            </w: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100%</w:t>
            </w:r>
          </w:p>
        </w:tc>
        <w:tc>
          <w:tcPr>
            <w:tcW w:w="126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2"/>
              </w:rPr>
              <w:t>105.4%</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3.03%</w:t>
            </w:r>
          </w:p>
        </w:tc>
        <w:tc>
          <w:tcPr>
            <w:tcW w:w="860" w:type="dxa"/>
            <w:vAlign w:val="bottom"/>
            <w:gridSpan w:val="2"/>
            <w:shd w:val="clear" w:color="auto" w:fill="CCEEFF"/>
          </w:tcPr>
          <w:p>
            <w:pPr>
              <w:jc w:val="center"/>
              <w:ind w:left="68"/>
              <w:spacing w:after="0"/>
              <w:rPr>
                <w:sz w:val="20"/>
                <w:szCs w:val="20"/>
                <w:color w:val="auto"/>
              </w:rPr>
            </w:pPr>
            <w:r>
              <w:rPr>
                <w:rFonts w:ascii="Arial" w:cs="Arial" w:eastAsia="Arial" w:hAnsi="Arial"/>
                <w:sz w:val="14"/>
                <w:szCs w:val="14"/>
                <w:color w:val="auto"/>
                <w:w w:val="90"/>
              </w:rPr>
              <w:t>1.16%</w:t>
            </w: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27</w:t>
            </w: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92"/>
              </w:rPr>
              <w:t>13%</w:t>
            </w:r>
          </w:p>
        </w:tc>
        <w:tc>
          <w:tcPr>
            <w:tcW w:w="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260" w:type="dxa"/>
            <w:vAlign w:val="bottom"/>
          </w:tcPr>
          <w:p>
            <w:pPr>
              <w:ind w:left="360"/>
              <w:spacing w:after="0"/>
              <w:rPr>
                <w:sz w:val="20"/>
                <w:szCs w:val="20"/>
                <w:color w:val="auto"/>
              </w:rPr>
            </w:pPr>
            <w:r>
              <w:rPr>
                <w:rFonts w:ascii="Arial" w:cs="Arial" w:eastAsia="Arial" w:hAnsi="Arial"/>
                <w:sz w:val="14"/>
                <w:szCs w:val="14"/>
                <w:color w:val="auto"/>
              </w:rPr>
              <w:t>3.0%</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806</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818</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848</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99%</w:t>
            </w:r>
          </w:p>
        </w:tc>
        <w:tc>
          <w:tcPr>
            <w:tcW w:w="1260" w:type="dxa"/>
            <w:vAlign w:val="bottom"/>
            <w:gridSpan w:val="2"/>
          </w:tcPr>
          <w:p>
            <w:pPr>
              <w:jc w:val="center"/>
              <w:ind w:left="148"/>
              <w:spacing w:after="0"/>
              <w:rPr>
                <w:sz w:val="20"/>
                <w:szCs w:val="20"/>
                <w:color w:val="auto"/>
              </w:rPr>
            </w:pPr>
            <w:r>
              <w:rPr>
                <w:rFonts w:ascii="Arial" w:cs="Arial" w:eastAsia="Arial" w:hAnsi="Arial"/>
                <w:sz w:val="14"/>
                <w:szCs w:val="14"/>
                <w:color w:val="auto"/>
                <w:w w:val="92"/>
              </w:rPr>
              <w:t>101.5%</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5"/>
              </w:rPr>
              <w:t>3.55%</w:t>
            </w:r>
          </w:p>
        </w:tc>
        <w:tc>
          <w:tcPr>
            <w:tcW w:w="860" w:type="dxa"/>
            <w:vAlign w:val="bottom"/>
            <w:gridSpan w:val="2"/>
          </w:tcPr>
          <w:p>
            <w:pPr>
              <w:jc w:val="center"/>
              <w:ind w:left="68"/>
              <w:spacing w:after="0"/>
              <w:rPr>
                <w:sz w:val="20"/>
                <w:szCs w:val="20"/>
                <w:color w:val="auto"/>
              </w:rPr>
            </w:pPr>
            <w:r>
              <w:rPr>
                <w:rFonts w:ascii="Arial" w:cs="Arial" w:eastAsia="Arial" w:hAnsi="Arial"/>
                <w:sz w:val="14"/>
                <w:szCs w:val="14"/>
                <w:color w:val="auto"/>
                <w:w w:val="90"/>
              </w:rPr>
              <w:t>2.46%</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89"/>
              </w:rPr>
              <w:t>55</w:t>
            </w:r>
          </w:p>
        </w:tc>
        <w:tc>
          <w:tcPr>
            <w:tcW w:w="100" w:type="dxa"/>
            <w:vAlign w:val="bottom"/>
          </w:tcPr>
          <w:p>
            <w:pPr>
              <w:spacing w:after="0"/>
              <w:rPr>
                <w:sz w:val="16"/>
                <w:szCs w:val="16"/>
                <w:color w:val="auto"/>
              </w:rPr>
            </w:pPr>
          </w:p>
        </w:tc>
        <w:tc>
          <w:tcPr>
            <w:tcW w:w="600" w:type="dxa"/>
            <w:vAlign w:val="bottom"/>
          </w:tcPr>
          <w:p>
            <w:pPr>
              <w:jc w:val="center"/>
              <w:ind w:left="228"/>
              <w:spacing w:after="0"/>
              <w:rPr>
                <w:sz w:val="20"/>
                <w:szCs w:val="20"/>
                <w:color w:val="auto"/>
              </w:rPr>
            </w:pPr>
            <w:r>
              <w:rPr>
                <w:rFonts w:ascii="Arial" w:cs="Arial" w:eastAsia="Arial" w:hAnsi="Arial"/>
                <w:sz w:val="14"/>
                <w:szCs w:val="14"/>
                <w:color w:val="auto"/>
                <w:w w:val="92"/>
              </w:rPr>
              <w:t>15%</w:t>
            </w: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260" w:type="dxa"/>
            <w:vAlign w:val="bottom"/>
            <w:shd w:val="clear" w:color="auto" w:fill="CCEEFF"/>
          </w:tcPr>
          <w:p>
            <w:pPr>
              <w:ind w:left="36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869</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887</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924</w:t>
            </w: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100%</w:t>
            </w:r>
          </w:p>
        </w:tc>
        <w:tc>
          <w:tcPr>
            <w:tcW w:w="126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2"/>
              </w:rPr>
              <w:t>102.0%</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4.03%</w:t>
            </w:r>
          </w:p>
        </w:tc>
        <w:tc>
          <w:tcPr>
            <w:tcW w:w="860" w:type="dxa"/>
            <w:vAlign w:val="bottom"/>
            <w:gridSpan w:val="2"/>
            <w:shd w:val="clear" w:color="auto" w:fill="CCEEFF"/>
          </w:tcPr>
          <w:p>
            <w:pPr>
              <w:jc w:val="center"/>
              <w:ind w:left="68"/>
              <w:spacing w:after="0"/>
              <w:rPr>
                <w:sz w:val="20"/>
                <w:szCs w:val="20"/>
                <w:color w:val="auto"/>
              </w:rPr>
            </w:pPr>
            <w:r>
              <w:rPr>
                <w:rFonts w:ascii="Arial" w:cs="Arial" w:eastAsia="Arial" w:hAnsi="Arial"/>
                <w:sz w:val="14"/>
                <w:szCs w:val="14"/>
                <w:color w:val="auto"/>
                <w:w w:val="90"/>
              </w:rPr>
              <w:t>2.73%</w:t>
            </w: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52</w:t>
            </w: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92"/>
              </w:rPr>
              <w:t>18%</w:t>
            </w:r>
          </w:p>
        </w:tc>
        <w:tc>
          <w:tcPr>
            <w:tcW w:w="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380" w:type="dxa"/>
            <w:vAlign w:val="bottom"/>
            <w:gridSpan w:val="2"/>
          </w:tcPr>
          <w:p>
            <w:pPr>
              <w:ind w:left="360"/>
              <w:spacing w:after="0"/>
              <w:rPr>
                <w:sz w:val="20"/>
                <w:szCs w:val="20"/>
                <w:color w:val="auto"/>
              </w:rPr>
            </w:pPr>
            <w:r>
              <w:rPr>
                <w:rFonts w:ascii="Arial" w:cs="Arial" w:eastAsia="Arial" w:hAnsi="Arial"/>
                <w:sz w:val="14"/>
                <w:szCs w:val="14"/>
                <w:color w:val="auto"/>
              </w:rPr>
              <w:t>≥ 4.0%</w:t>
            </w: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462</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475</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494</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92%</w:t>
            </w:r>
          </w:p>
        </w:tc>
        <w:tc>
          <w:tcPr>
            <w:tcW w:w="1260" w:type="dxa"/>
            <w:vAlign w:val="bottom"/>
            <w:gridSpan w:val="2"/>
          </w:tcPr>
          <w:p>
            <w:pPr>
              <w:jc w:val="center"/>
              <w:ind w:left="148"/>
              <w:spacing w:after="0"/>
              <w:rPr>
                <w:sz w:val="20"/>
                <w:szCs w:val="20"/>
                <w:color w:val="auto"/>
              </w:rPr>
            </w:pPr>
            <w:r>
              <w:rPr>
                <w:rFonts w:ascii="Arial" w:cs="Arial" w:eastAsia="Arial" w:hAnsi="Arial"/>
                <w:sz w:val="14"/>
                <w:szCs w:val="14"/>
                <w:color w:val="auto"/>
                <w:w w:val="92"/>
              </w:rPr>
              <w:t>102.9%</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5"/>
              </w:rPr>
              <w:t>4.61%</w:t>
            </w:r>
          </w:p>
        </w:tc>
        <w:tc>
          <w:tcPr>
            <w:tcW w:w="860" w:type="dxa"/>
            <w:vAlign w:val="bottom"/>
            <w:gridSpan w:val="2"/>
          </w:tcPr>
          <w:p>
            <w:pPr>
              <w:jc w:val="center"/>
              <w:ind w:left="68"/>
              <w:spacing w:after="0"/>
              <w:rPr>
                <w:sz w:val="20"/>
                <w:szCs w:val="20"/>
                <w:color w:val="auto"/>
              </w:rPr>
            </w:pPr>
            <w:r>
              <w:rPr>
                <w:rFonts w:ascii="Arial" w:cs="Arial" w:eastAsia="Arial" w:hAnsi="Arial"/>
                <w:sz w:val="14"/>
                <w:szCs w:val="14"/>
                <w:color w:val="auto"/>
                <w:w w:val="90"/>
              </w:rPr>
              <w:t>2.88%</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89"/>
              </w:rPr>
              <w:t>50</w:t>
            </w:r>
          </w:p>
        </w:tc>
        <w:tc>
          <w:tcPr>
            <w:tcW w:w="100" w:type="dxa"/>
            <w:vAlign w:val="bottom"/>
          </w:tcPr>
          <w:p>
            <w:pPr>
              <w:spacing w:after="0"/>
              <w:rPr>
                <w:sz w:val="16"/>
                <w:szCs w:val="16"/>
                <w:color w:val="auto"/>
              </w:rPr>
            </w:pPr>
          </w:p>
        </w:tc>
        <w:tc>
          <w:tcPr>
            <w:tcW w:w="600" w:type="dxa"/>
            <w:vAlign w:val="bottom"/>
          </w:tcPr>
          <w:p>
            <w:pPr>
              <w:jc w:val="center"/>
              <w:ind w:left="228"/>
              <w:spacing w:after="0"/>
              <w:rPr>
                <w:sz w:val="20"/>
                <w:szCs w:val="20"/>
                <w:color w:val="auto"/>
              </w:rPr>
            </w:pPr>
            <w:r>
              <w:rPr>
                <w:rFonts w:ascii="Arial" w:cs="Arial" w:eastAsia="Arial" w:hAnsi="Arial"/>
                <w:sz w:val="14"/>
                <w:szCs w:val="14"/>
                <w:color w:val="auto"/>
                <w:w w:val="92"/>
              </w:rPr>
              <w:t>19%</w:t>
            </w: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380" w:type="dxa"/>
            <w:vAlign w:val="bottom"/>
            <w:tcBorders>
              <w:top w:val="single" w:sz="8" w:color="CCEEFF"/>
            </w:tcBorders>
            <w:gridSpan w:val="2"/>
            <w:shd w:val="clear" w:color="auto" w:fill="CCEEFF"/>
          </w:tcPr>
          <w:p>
            <w:pPr>
              <w:ind w:left="180"/>
              <w:spacing w:after="0"/>
              <w:rPr>
                <w:sz w:val="20"/>
                <w:szCs w:val="20"/>
                <w:color w:val="auto"/>
              </w:rPr>
            </w:pPr>
            <w:r>
              <w:rPr>
                <w:rFonts w:ascii="Arial" w:cs="Arial" w:eastAsia="Arial" w:hAnsi="Arial"/>
                <w:sz w:val="14"/>
                <w:szCs w:val="14"/>
                <w:color w:val="auto"/>
              </w:rPr>
              <w:t>Total ≤ 15-year</w:t>
            </w:r>
          </w:p>
        </w:tc>
        <w:tc>
          <w:tcPr>
            <w:tcW w:w="80" w:type="dxa"/>
            <w:vAlign w:val="bottom"/>
            <w:tcBorders>
              <w:top w:val="single" w:sz="8" w:color="auto"/>
              <w:bottom w:val="single" w:sz="8" w:color="auto"/>
            </w:tcBorders>
            <w:shd w:val="clear" w:color="auto" w:fill="CCEEFF"/>
          </w:tcPr>
          <w:p>
            <w:pPr>
              <w:spacing w:after="0"/>
              <w:rPr>
                <w:sz w:val="16"/>
                <w:szCs w:val="16"/>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4,547</w:t>
            </w:r>
          </w:p>
        </w:tc>
        <w:tc>
          <w:tcPr>
            <w:tcW w:w="12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bottom w:val="single" w:sz="8" w:color="auto"/>
            </w:tcBorders>
            <w:shd w:val="clear" w:color="auto" w:fill="CCEEFF"/>
          </w:tcPr>
          <w:p>
            <w:pPr>
              <w:spacing w:after="0"/>
              <w:rPr>
                <w:sz w:val="16"/>
                <w:szCs w:val="16"/>
                <w:color w:val="auto"/>
              </w:rPr>
            </w:pP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4,626</w:t>
            </w:r>
          </w:p>
        </w:tc>
        <w:tc>
          <w:tcPr>
            <w:tcW w:w="100" w:type="dxa"/>
            <w:vAlign w:val="bottom"/>
            <w:tcBorders>
              <w:top w:val="single" w:sz="8" w:color="CCEEFF"/>
            </w:tcBorders>
            <w:shd w:val="clear" w:color="auto" w:fill="CCEEFF"/>
          </w:tcPr>
          <w:p>
            <w:pPr>
              <w:spacing w:after="0"/>
              <w:rPr>
                <w:sz w:val="16"/>
                <w:szCs w:val="16"/>
                <w:color w:val="auto"/>
              </w:rPr>
            </w:pPr>
          </w:p>
        </w:tc>
        <w:tc>
          <w:tcPr>
            <w:tcW w:w="200" w:type="dxa"/>
            <w:vAlign w:val="bottom"/>
            <w:tcBorders>
              <w:top w:val="single" w:sz="8" w:color="auto"/>
              <w:bottom w:val="single" w:sz="8" w:color="auto"/>
            </w:tcBorders>
            <w:shd w:val="clear" w:color="auto" w:fill="CCEEFF"/>
          </w:tcPr>
          <w:p>
            <w:pPr>
              <w:spacing w:after="0"/>
              <w:rPr>
                <w:sz w:val="16"/>
                <w:szCs w:val="16"/>
                <w:color w:val="auto"/>
              </w:rPr>
            </w:pPr>
          </w:p>
        </w:tc>
        <w:tc>
          <w:tcPr>
            <w:tcW w:w="5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4,711</w:t>
            </w:r>
          </w:p>
        </w:tc>
        <w:tc>
          <w:tcPr>
            <w:tcW w:w="120" w:type="dxa"/>
            <w:vAlign w:val="bottom"/>
            <w:tcBorders>
              <w:top w:val="single" w:sz="8" w:color="CCEEFF"/>
            </w:tcBorders>
            <w:shd w:val="clear" w:color="auto" w:fill="CCEEFF"/>
          </w:tcPr>
          <w:p>
            <w:pPr>
              <w:spacing w:after="0"/>
              <w:rPr>
                <w:sz w:val="16"/>
                <w:szCs w:val="16"/>
                <w:color w:val="auto"/>
              </w:rPr>
            </w:pPr>
          </w:p>
        </w:tc>
        <w:tc>
          <w:tcPr>
            <w:tcW w:w="90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55%</w:t>
            </w:r>
          </w:p>
        </w:tc>
        <w:tc>
          <w:tcPr>
            <w:tcW w:w="220" w:type="dxa"/>
            <w:vAlign w:val="bottom"/>
            <w:tcBorders>
              <w:top w:val="single" w:sz="8" w:color="CCEEFF"/>
            </w:tcBorders>
            <w:shd w:val="clear" w:color="auto" w:fill="CCEEFF"/>
          </w:tcPr>
          <w:p>
            <w:pPr>
              <w:spacing w:after="0"/>
              <w:rPr>
                <w:sz w:val="16"/>
                <w:szCs w:val="16"/>
                <w:color w:val="auto"/>
              </w:rPr>
            </w:pPr>
          </w:p>
        </w:tc>
        <w:tc>
          <w:tcPr>
            <w:tcW w:w="104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102.5%</w:t>
            </w:r>
          </w:p>
        </w:tc>
        <w:tc>
          <w:tcPr>
            <w:tcW w:w="120" w:type="dxa"/>
            <w:vAlign w:val="bottom"/>
            <w:tcBorders>
              <w:top w:val="single" w:sz="8" w:color="CCEEFF"/>
            </w:tcBorders>
            <w:shd w:val="clear" w:color="auto" w:fill="CCEEFF"/>
          </w:tcPr>
          <w:p>
            <w:pPr>
              <w:spacing w:after="0"/>
              <w:rPr>
                <w:sz w:val="16"/>
                <w:szCs w:val="16"/>
                <w:color w:val="auto"/>
              </w:rPr>
            </w:pPr>
          </w:p>
        </w:tc>
        <w:tc>
          <w:tcPr>
            <w:tcW w:w="68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3.82%</w:t>
            </w:r>
          </w:p>
        </w:tc>
        <w:tc>
          <w:tcPr>
            <w:tcW w:w="140" w:type="dxa"/>
            <w:vAlign w:val="bottom"/>
            <w:tcBorders>
              <w:top w:val="single" w:sz="8" w:color="CCEEFF"/>
            </w:tcBorders>
            <w:shd w:val="clear" w:color="auto" w:fill="CCEEFF"/>
          </w:tcPr>
          <w:p>
            <w:pPr>
              <w:spacing w:after="0"/>
              <w:rPr>
                <w:sz w:val="16"/>
                <w:szCs w:val="16"/>
                <w:color w:val="auto"/>
              </w:rPr>
            </w:pPr>
          </w:p>
        </w:tc>
        <w:tc>
          <w:tcPr>
            <w:tcW w:w="72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2.44%</w:t>
            </w:r>
          </w:p>
        </w:tc>
        <w:tc>
          <w:tcPr>
            <w:tcW w:w="120" w:type="dxa"/>
            <w:vAlign w:val="bottom"/>
            <w:tcBorders>
              <w:top w:val="single" w:sz="8" w:color="CCEEFF"/>
            </w:tcBorders>
            <w:shd w:val="clear" w:color="auto" w:fill="CCEEFF"/>
          </w:tcPr>
          <w:p>
            <w:pPr>
              <w:spacing w:after="0"/>
              <w:rPr>
                <w:sz w:val="16"/>
                <w:szCs w:val="16"/>
                <w:color w:val="auto"/>
              </w:rPr>
            </w:pPr>
          </w:p>
        </w:tc>
        <w:tc>
          <w:tcPr>
            <w:tcW w:w="96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49</w:t>
            </w:r>
          </w:p>
        </w:tc>
        <w:tc>
          <w:tcPr>
            <w:tcW w:w="100" w:type="dxa"/>
            <w:vAlign w:val="bottom"/>
            <w:tcBorders>
              <w:top w:val="single" w:sz="8" w:color="CCEEFF"/>
            </w:tcBorders>
            <w:shd w:val="clear" w:color="auto" w:fill="CCEEFF"/>
          </w:tcPr>
          <w:p>
            <w:pPr>
              <w:spacing w:after="0"/>
              <w:rPr>
                <w:sz w:val="16"/>
                <w:szCs w:val="16"/>
                <w:color w:val="auto"/>
              </w:rPr>
            </w:pPr>
          </w:p>
        </w:tc>
        <w:tc>
          <w:tcPr>
            <w:tcW w:w="600" w:type="dxa"/>
            <w:vAlign w:val="bottom"/>
            <w:tcBorders>
              <w:top w:val="single" w:sz="8" w:color="auto"/>
              <w:bottom w:val="single" w:sz="8" w:color="auto"/>
            </w:tcBorders>
            <w:shd w:val="clear" w:color="auto" w:fill="CCEEFF"/>
          </w:tcPr>
          <w:p>
            <w:pPr>
              <w:jc w:val="center"/>
              <w:ind w:left="228"/>
              <w:spacing w:after="0"/>
              <w:rPr>
                <w:sz w:val="20"/>
                <w:szCs w:val="20"/>
                <w:color w:val="auto"/>
              </w:rPr>
            </w:pPr>
            <w:r>
              <w:rPr>
                <w:rFonts w:ascii="Arial" w:cs="Arial" w:eastAsia="Arial" w:hAnsi="Arial"/>
                <w:sz w:val="14"/>
                <w:szCs w:val="14"/>
                <w:color w:val="auto"/>
                <w:w w:val="92"/>
              </w:rPr>
              <w:t>16%</w:t>
            </w:r>
          </w:p>
        </w:tc>
        <w:tc>
          <w:tcPr>
            <w:tcW w:w="300" w:type="dxa"/>
            <w:vAlign w:val="bottom"/>
            <w:tcBorders>
              <w:top w:val="single" w:sz="8" w:color="auto"/>
              <w:bottom w:val="single" w:sz="8" w:color="auto"/>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2380" w:type="dxa"/>
            <w:vAlign w:val="bottom"/>
            <w:gridSpan w:val="2"/>
          </w:tcPr>
          <w:p>
            <w:pPr>
              <w:ind w:left="180"/>
              <w:spacing w:after="0"/>
              <w:rPr>
                <w:sz w:val="20"/>
                <w:szCs w:val="20"/>
                <w:color w:val="auto"/>
              </w:rPr>
            </w:pPr>
            <w:r>
              <w:rPr>
                <w:rFonts w:ascii="Arial" w:cs="Arial" w:eastAsia="Arial" w:hAnsi="Arial"/>
                <w:sz w:val="14"/>
                <w:szCs w:val="14"/>
                <w:color w:val="auto"/>
              </w:rPr>
              <w:t>20-year:</w:t>
            </w:r>
          </w:p>
        </w:tc>
        <w:tc>
          <w:tcPr>
            <w:tcW w:w="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2380" w:type="dxa"/>
            <w:vAlign w:val="bottom"/>
            <w:gridSpan w:val="2"/>
            <w:shd w:val="clear" w:color="auto" w:fill="CCEEFF"/>
          </w:tcPr>
          <w:p>
            <w:pPr>
              <w:ind w:left="360"/>
              <w:spacing w:after="0"/>
              <w:rPr>
                <w:sz w:val="20"/>
                <w:szCs w:val="20"/>
                <w:color w:val="auto"/>
              </w:rPr>
            </w:pPr>
            <w:r>
              <w:rPr>
                <w:rFonts w:ascii="Arial" w:cs="Arial" w:eastAsia="Arial" w:hAnsi="Arial"/>
                <w:sz w:val="14"/>
                <w:szCs w:val="14"/>
                <w:color w:val="auto"/>
              </w:rPr>
              <w:t>≤ 2.0%</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1,044</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1,076</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1,055</w:t>
            </w: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w:t>
            </w:r>
          </w:p>
        </w:tc>
        <w:tc>
          <w:tcPr>
            <w:tcW w:w="126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2"/>
              </w:rPr>
              <w:t>103.0%</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2.86%</w:t>
            </w:r>
          </w:p>
        </w:tc>
        <w:tc>
          <w:tcPr>
            <w:tcW w:w="860" w:type="dxa"/>
            <w:vAlign w:val="bottom"/>
            <w:gridSpan w:val="2"/>
            <w:shd w:val="clear" w:color="auto" w:fill="CCEEFF"/>
          </w:tcPr>
          <w:p>
            <w:pPr>
              <w:jc w:val="center"/>
              <w:ind w:left="68"/>
              <w:spacing w:after="0"/>
              <w:rPr>
                <w:sz w:val="20"/>
                <w:szCs w:val="20"/>
                <w:color w:val="auto"/>
              </w:rPr>
            </w:pPr>
            <w:r>
              <w:rPr>
                <w:rFonts w:ascii="Arial" w:cs="Arial" w:eastAsia="Arial" w:hAnsi="Arial"/>
                <w:sz w:val="14"/>
                <w:szCs w:val="14"/>
                <w:color w:val="auto"/>
                <w:w w:val="90"/>
              </w:rPr>
              <w:t>1.42%</w:t>
            </w: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14</w:t>
            </w: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92"/>
              </w:rPr>
              <w:t>10%</w:t>
            </w:r>
          </w:p>
        </w:tc>
        <w:tc>
          <w:tcPr>
            <w:tcW w:w="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260" w:type="dxa"/>
            <w:vAlign w:val="bottom"/>
          </w:tcPr>
          <w:p>
            <w:pPr>
              <w:ind w:left="360"/>
              <w:spacing w:after="0"/>
              <w:rPr>
                <w:sz w:val="20"/>
                <w:szCs w:val="20"/>
                <w:color w:val="auto"/>
              </w:rPr>
            </w:pPr>
            <w:r>
              <w:rPr>
                <w:rFonts w:ascii="Arial" w:cs="Arial" w:eastAsia="Arial" w:hAnsi="Arial"/>
                <w:sz w:val="14"/>
                <w:szCs w:val="14"/>
                <w:color w:val="auto"/>
              </w:rPr>
              <w:t>2.5%</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427</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446</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440</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8"/>
              </w:rPr>
              <w:t>—%</w:t>
            </w:r>
          </w:p>
        </w:tc>
        <w:tc>
          <w:tcPr>
            <w:tcW w:w="1260" w:type="dxa"/>
            <w:vAlign w:val="bottom"/>
            <w:gridSpan w:val="2"/>
          </w:tcPr>
          <w:p>
            <w:pPr>
              <w:jc w:val="center"/>
              <w:ind w:left="148"/>
              <w:spacing w:after="0"/>
              <w:rPr>
                <w:sz w:val="20"/>
                <w:szCs w:val="20"/>
                <w:color w:val="auto"/>
              </w:rPr>
            </w:pPr>
            <w:r>
              <w:rPr>
                <w:rFonts w:ascii="Arial" w:cs="Arial" w:eastAsia="Arial" w:hAnsi="Arial"/>
                <w:sz w:val="14"/>
                <w:szCs w:val="14"/>
                <w:color w:val="auto"/>
                <w:w w:val="92"/>
              </w:rPr>
              <w:t>104.4%</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5"/>
              </w:rPr>
              <w:t>3.28%</w:t>
            </w:r>
          </w:p>
        </w:tc>
        <w:tc>
          <w:tcPr>
            <w:tcW w:w="860" w:type="dxa"/>
            <w:vAlign w:val="bottom"/>
            <w:gridSpan w:val="2"/>
          </w:tcPr>
          <w:p>
            <w:pPr>
              <w:jc w:val="center"/>
              <w:ind w:left="68"/>
              <w:spacing w:after="0"/>
              <w:rPr>
                <w:sz w:val="20"/>
                <w:szCs w:val="20"/>
                <w:color w:val="auto"/>
              </w:rPr>
            </w:pPr>
            <w:r>
              <w:rPr>
                <w:rFonts w:ascii="Arial" w:cs="Arial" w:eastAsia="Arial" w:hAnsi="Arial"/>
                <w:sz w:val="14"/>
                <w:szCs w:val="14"/>
                <w:color w:val="auto"/>
                <w:w w:val="90"/>
              </w:rPr>
              <w:t>1.48%</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89"/>
              </w:rPr>
              <w:t>18</w:t>
            </w:r>
          </w:p>
        </w:tc>
        <w:tc>
          <w:tcPr>
            <w:tcW w:w="100" w:type="dxa"/>
            <w:vAlign w:val="bottom"/>
          </w:tcPr>
          <w:p>
            <w:pPr>
              <w:spacing w:after="0"/>
              <w:rPr>
                <w:sz w:val="16"/>
                <w:szCs w:val="16"/>
                <w:color w:val="auto"/>
              </w:rPr>
            </w:pPr>
          </w:p>
        </w:tc>
        <w:tc>
          <w:tcPr>
            <w:tcW w:w="600" w:type="dxa"/>
            <w:vAlign w:val="bottom"/>
          </w:tcPr>
          <w:p>
            <w:pPr>
              <w:jc w:val="center"/>
              <w:ind w:left="228"/>
              <w:spacing w:after="0"/>
              <w:rPr>
                <w:sz w:val="20"/>
                <w:szCs w:val="20"/>
                <w:color w:val="auto"/>
              </w:rPr>
            </w:pPr>
            <w:r>
              <w:rPr>
                <w:rFonts w:ascii="Arial" w:cs="Arial" w:eastAsia="Arial" w:hAnsi="Arial"/>
                <w:sz w:val="14"/>
                <w:szCs w:val="14"/>
                <w:color w:val="auto"/>
                <w:w w:val="92"/>
              </w:rPr>
              <w:t>14%</w:t>
            </w: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260" w:type="dxa"/>
            <w:vAlign w:val="bottom"/>
            <w:shd w:val="clear" w:color="auto" w:fill="CCEEFF"/>
          </w:tcPr>
          <w:p>
            <w:pPr>
              <w:ind w:left="360"/>
              <w:spacing w:after="0"/>
              <w:rPr>
                <w:sz w:val="20"/>
                <w:szCs w:val="20"/>
                <w:color w:val="auto"/>
              </w:rPr>
            </w:pPr>
            <w:r>
              <w:rPr>
                <w:rFonts w:ascii="Arial" w:cs="Arial" w:eastAsia="Arial" w:hAnsi="Arial"/>
                <w:sz w:val="14"/>
                <w:szCs w:val="14"/>
                <w:color w:val="auto"/>
              </w:rPr>
              <w:t>3.0%</w:t>
            </w: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w:t>
            </w: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97%</w:t>
            </w:r>
          </w:p>
        </w:tc>
        <w:tc>
          <w:tcPr>
            <w:tcW w:w="126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2"/>
              </w:rPr>
              <w:t>103.4%</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3.78%</w:t>
            </w:r>
          </w:p>
        </w:tc>
        <w:tc>
          <w:tcPr>
            <w:tcW w:w="860" w:type="dxa"/>
            <w:vAlign w:val="bottom"/>
            <w:gridSpan w:val="2"/>
            <w:shd w:val="clear" w:color="auto" w:fill="CCEEFF"/>
          </w:tcPr>
          <w:p>
            <w:pPr>
              <w:jc w:val="center"/>
              <w:ind w:left="68"/>
              <w:spacing w:after="0"/>
              <w:rPr>
                <w:sz w:val="20"/>
                <w:szCs w:val="20"/>
                <w:color w:val="auto"/>
              </w:rPr>
            </w:pPr>
            <w:r>
              <w:rPr>
                <w:rFonts w:ascii="Arial" w:cs="Arial" w:eastAsia="Arial" w:hAnsi="Arial"/>
                <w:sz w:val="14"/>
                <w:szCs w:val="14"/>
                <w:color w:val="auto"/>
                <w:w w:val="90"/>
              </w:rPr>
              <w:t>2.16%</w:t>
            </w: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29</w:t>
            </w: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92"/>
              </w:rPr>
              <w:t>14%</w:t>
            </w:r>
          </w:p>
        </w:tc>
        <w:tc>
          <w:tcPr>
            <w:tcW w:w="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260" w:type="dxa"/>
            <w:vAlign w:val="bottom"/>
          </w:tcPr>
          <w:p>
            <w:pPr>
              <w:ind w:left="360"/>
              <w:spacing w:after="0"/>
              <w:rPr>
                <w:sz w:val="20"/>
                <w:szCs w:val="20"/>
                <w:color w:val="auto"/>
              </w:rPr>
            </w:pPr>
            <w:r>
              <w:rPr>
                <w:rFonts w:ascii="Arial" w:cs="Arial" w:eastAsia="Arial" w:hAnsi="Arial"/>
                <w:sz w:val="14"/>
                <w:szCs w:val="14"/>
                <w:color w:val="auto"/>
              </w:rPr>
              <w:t>3.5%</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169</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172</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181</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81%</w:t>
            </w:r>
          </w:p>
        </w:tc>
        <w:tc>
          <w:tcPr>
            <w:tcW w:w="1260" w:type="dxa"/>
            <w:vAlign w:val="bottom"/>
            <w:gridSpan w:val="2"/>
          </w:tcPr>
          <w:p>
            <w:pPr>
              <w:jc w:val="center"/>
              <w:ind w:left="148"/>
              <w:spacing w:after="0"/>
              <w:rPr>
                <w:sz w:val="20"/>
                <w:szCs w:val="20"/>
                <w:color w:val="auto"/>
              </w:rPr>
            </w:pPr>
            <w:r>
              <w:rPr>
                <w:rFonts w:ascii="Arial" w:cs="Arial" w:eastAsia="Arial" w:hAnsi="Arial"/>
                <w:sz w:val="14"/>
                <w:szCs w:val="14"/>
                <w:color w:val="auto"/>
                <w:w w:val="92"/>
              </w:rPr>
              <w:t>101.8%</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5"/>
              </w:rPr>
              <w:t>4.05%</w:t>
            </w:r>
          </w:p>
        </w:tc>
        <w:tc>
          <w:tcPr>
            <w:tcW w:w="860" w:type="dxa"/>
            <w:vAlign w:val="bottom"/>
            <w:gridSpan w:val="2"/>
          </w:tcPr>
          <w:p>
            <w:pPr>
              <w:jc w:val="center"/>
              <w:ind w:left="68"/>
              <w:spacing w:after="0"/>
              <w:rPr>
                <w:sz w:val="20"/>
                <w:szCs w:val="20"/>
                <w:color w:val="auto"/>
              </w:rPr>
            </w:pPr>
            <w:r>
              <w:rPr>
                <w:rFonts w:ascii="Arial" w:cs="Arial" w:eastAsia="Arial" w:hAnsi="Arial"/>
                <w:sz w:val="14"/>
                <w:szCs w:val="14"/>
                <w:color w:val="auto"/>
                <w:w w:val="90"/>
              </w:rPr>
              <w:t>2.95%</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94"/>
              </w:rPr>
              <w:t>101</w:t>
            </w:r>
          </w:p>
        </w:tc>
        <w:tc>
          <w:tcPr>
            <w:tcW w:w="100" w:type="dxa"/>
            <w:vAlign w:val="bottom"/>
          </w:tcPr>
          <w:p>
            <w:pPr>
              <w:spacing w:after="0"/>
              <w:rPr>
                <w:sz w:val="16"/>
                <w:szCs w:val="16"/>
                <w:color w:val="auto"/>
              </w:rPr>
            </w:pPr>
          </w:p>
        </w:tc>
        <w:tc>
          <w:tcPr>
            <w:tcW w:w="600" w:type="dxa"/>
            <w:vAlign w:val="bottom"/>
          </w:tcPr>
          <w:p>
            <w:pPr>
              <w:jc w:val="center"/>
              <w:ind w:left="228"/>
              <w:spacing w:after="0"/>
              <w:rPr>
                <w:sz w:val="20"/>
                <w:szCs w:val="20"/>
                <w:color w:val="auto"/>
              </w:rPr>
            </w:pPr>
            <w:r>
              <w:rPr>
                <w:rFonts w:ascii="Arial" w:cs="Arial" w:eastAsia="Arial" w:hAnsi="Arial"/>
                <w:sz w:val="14"/>
                <w:szCs w:val="14"/>
                <w:color w:val="auto"/>
                <w:w w:val="92"/>
              </w:rPr>
              <w:t>13%</w:t>
            </w: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380" w:type="dxa"/>
            <w:vAlign w:val="bottom"/>
            <w:gridSpan w:val="2"/>
            <w:shd w:val="clear" w:color="auto" w:fill="CCEEFF"/>
          </w:tcPr>
          <w:p>
            <w:pPr>
              <w:ind w:left="360"/>
              <w:spacing w:after="0"/>
              <w:rPr>
                <w:sz w:val="20"/>
                <w:szCs w:val="20"/>
                <w:color w:val="auto"/>
              </w:rPr>
            </w:pPr>
            <w:r>
              <w:rPr>
                <w:rFonts w:ascii="Arial" w:cs="Arial" w:eastAsia="Arial" w:hAnsi="Arial"/>
                <w:sz w:val="14"/>
                <w:szCs w:val="14"/>
                <w:color w:val="auto"/>
              </w:rPr>
              <w:t>≥ 4.0%</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209</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218</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229</w:t>
            </w: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96%</w:t>
            </w:r>
          </w:p>
        </w:tc>
        <w:tc>
          <w:tcPr>
            <w:tcW w:w="126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2"/>
              </w:rPr>
              <w:t>104.1%</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4.74%</w:t>
            </w:r>
          </w:p>
        </w:tc>
        <w:tc>
          <w:tcPr>
            <w:tcW w:w="860" w:type="dxa"/>
            <w:vAlign w:val="bottom"/>
            <w:gridSpan w:val="2"/>
            <w:shd w:val="clear" w:color="auto" w:fill="CCEEFF"/>
          </w:tcPr>
          <w:p>
            <w:pPr>
              <w:jc w:val="center"/>
              <w:ind w:left="68"/>
              <w:spacing w:after="0"/>
              <w:rPr>
                <w:sz w:val="20"/>
                <w:szCs w:val="20"/>
                <w:color w:val="auto"/>
              </w:rPr>
            </w:pPr>
            <w:r>
              <w:rPr>
                <w:rFonts w:ascii="Arial" w:cs="Arial" w:eastAsia="Arial" w:hAnsi="Arial"/>
                <w:sz w:val="14"/>
                <w:szCs w:val="14"/>
                <w:color w:val="auto"/>
                <w:w w:val="90"/>
              </w:rPr>
              <w:t>3.08%</w:t>
            </w: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61</w:t>
            </w: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92"/>
              </w:rPr>
              <w:t>15%</w:t>
            </w:r>
          </w:p>
        </w:tc>
        <w:tc>
          <w:tcPr>
            <w:tcW w:w="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79"/>
        </w:trPr>
        <w:tc>
          <w:tcPr>
            <w:tcW w:w="2380" w:type="dxa"/>
            <w:vAlign w:val="bottom"/>
            <w:tcBorders>
              <w:bottom w:val="single" w:sz="8" w:color="CCEEFF"/>
            </w:tcBorders>
            <w:gridSpan w:val="2"/>
          </w:tcPr>
          <w:p>
            <w:pPr>
              <w:ind w:left="180"/>
              <w:spacing w:after="0"/>
              <w:rPr>
                <w:sz w:val="20"/>
                <w:szCs w:val="20"/>
                <w:color w:val="auto"/>
              </w:rPr>
            </w:pPr>
            <w:r>
              <w:rPr>
                <w:rFonts w:ascii="Arial" w:cs="Arial" w:eastAsia="Arial" w:hAnsi="Arial"/>
                <w:sz w:val="14"/>
                <w:szCs w:val="14"/>
                <w:color w:val="auto"/>
              </w:rPr>
              <w:t>Total 20-year:</w:t>
            </w:r>
          </w:p>
        </w:tc>
        <w:tc>
          <w:tcPr>
            <w:tcW w:w="80" w:type="dxa"/>
            <w:vAlign w:val="bottom"/>
            <w:tcBorders>
              <w:top w:val="single" w:sz="8" w:color="auto"/>
              <w:bottom w:val="single" w:sz="8" w:color="auto"/>
            </w:tcBorders>
          </w:tcPr>
          <w:p>
            <w:pPr>
              <w:spacing w:after="0"/>
              <w:rPr>
                <w:sz w:val="15"/>
                <w:szCs w:val="15"/>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1,884</w:t>
            </w:r>
          </w:p>
        </w:tc>
        <w:tc>
          <w:tcPr>
            <w:tcW w:w="120" w:type="dxa"/>
            <w:vAlign w:val="bottom"/>
            <w:tcBorders>
              <w:bottom w:val="single" w:sz="8" w:color="CCEEFF"/>
            </w:tcBorders>
          </w:tcPr>
          <w:p>
            <w:pPr>
              <w:spacing w:after="0"/>
              <w:rPr>
                <w:sz w:val="15"/>
                <w:szCs w:val="15"/>
                <w:color w:val="auto"/>
              </w:rPr>
            </w:pPr>
          </w:p>
        </w:tc>
        <w:tc>
          <w:tcPr>
            <w:tcW w:w="120" w:type="dxa"/>
            <w:vAlign w:val="bottom"/>
            <w:tcBorders>
              <w:top w:val="single" w:sz="8" w:color="auto"/>
              <w:bottom w:val="single" w:sz="8" w:color="auto"/>
            </w:tcBorders>
          </w:tcPr>
          <w:p>
            <w:pPr>
              <w:spacing w:after="0"/>
              <w:rPr>
                <w:sz w:val="15"/>
                <w:szCs w:val="15"/>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1,948</w:t>
            </w:r>
          </w:p>
        </w:tc>
        <w:tc>
          <w:tcPr>
            <w:tcW w:w="100" w:type="dxa"/>
            <w:vAlign w:val="bottom"/>
            <w:tcBorders>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1,942</w:t>
            </w:r>
          </w:p>
        </w:tc>
        <w:tc>
          <w:tcPr>
            <w:tcW w:w="120" w:type="dxa"/>
            <w:vAlign w:val="bottom"/>
            <w:tcBorders>
              <w:bottom w:val="single" w:sz="8" w:color="CCEEFF"/>
            </w:tcBorders>
          </w:tcPr>
          <w:p>
            <w:pPr>
              <w:spacing w:after="0"/>
              <w:rPr>
                <w:sz w:val="15"/>
                <w:szCs w:val="15"/>
                <w:color w:val="auto"/>
              </w:rPr>
            </w:pPr>
          </w:p>
        </w:tc>
        <w:tc>
          <w:tcPr>
            <w:tcW w:w="90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92"/>
              </w:rPr>
              <w:t>21%</w:t>
            </w:r>
          </w:p>
        </w:tc>
        <w:tc>
          <w:tcPr>
            <w:tcW w:w="220" w:type="dxa"/>
            <w:vAlign w:val="bottom"/>
            <w:tcBorders>
              <w:bottom w:val="single" w:sz="8" w:color="CCEEFF"/>
            </w:tcBorders>
          </w:tcPr>
          <w:p>
            <w:pPr>
              <w:spacing w:after="0"/>
              <w:rPr>
                <w:sz w:val="15"/>
                <w:szCs w:val="15"/>
                <w:color w:val="auto"/>
              </w:rPr>
            </w:pPr>
          </w:p>
        </w:tc>
        <w:tc>
          <w:tcPr>
            <w:tcW w:w="10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92"/>
              </w:rPr>
              <w:t>103.3%</w:t>
            </w:r>
          </w:p>
        </w:tc>
        <w:tc>
          <w:tcPr>
            <w:tcW w:w="120" w:type="dxa"/>
            <w:vAlign w:val="bottom"/>
            <w:tcBorders>
              <w:bottom w:val="single" w:sz="8" w:color="CCEEFF"/>
            </w:tcBorders>
          </w:tcPr>
          <w:p>
            <w:pPr>
              <w:spacing w:after="0"/>
              <w:rPr>
                <w:sz w:val="15"/>
                <w:szCs w:val="15"/>
                <w:color w:val="auto"/>
              </w:rPr>
            </w:pPr>
          </w:p>
        </w:tc>
        <w:tc>
          <w:tcPr>
            <w:tcW w:w="6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95"/>
              </w:rPr>
              <w:t>3.29%</w:t>
            </w:r>
          </w:p>
        </w:tc>
        <w:tc>
          <w:tcPr>
            <w:tcW w:w="140" w:type="dxa"/>
            <w:vAlign w:val="bottom"/>
            <w:tcBorders>
              <w:bottom w:val="single" w:sz="8" w:color="CCEEFF"/>
            </w:tcBorders>
          </w:tcPr>
          <w:p>
            <w:pPr>
              <w:spacing w:after="0"/>
              <w:rPr>
                <w:sz w:val="15"/>
                <w:szCs w:val="15"/>
                <w:color w:val="auto"/>
              </w:rPr>
            </w:pPr>
          </w:p>
        </w:tc>
        <w:tc>
          <w:tcPr>
            <w:tcW w:w="7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90"/>
              </w:rPr>
              <w:t>1.77%</w:t>
            </w:r>
          </w:p>
        </w:tc>
        <w:tc>
          <w:tcPr>
            <w:tcW w:w="120" w:type="dxa"/>
            <w:vAlign w:val="bottom"/>
            <w:tcBorders>
              <w:bottom w:val="single" w:sz="8" w:color="CCEEFF"/>
            </w:tcBorders>
          </w:tcPr>
          <w:p>
            <w:pPr>
              <w:spacing w:after="0"/>
              <w:rPr>
                <w:sz w:val="15"/>
                <w:szCs w:val="15"/>
                <w:color w:val="auto"/>
              </w:rPr>
            </w:pPr>
          </w:p>
        </w:tc>
        <w:tc>
          <w:tcPr>
            <w:tcW w:w="96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89"/>
              </w:rPr>
              <w:t>28</w:t>
            </w:r>
          </w:p>
        </w:tc>
        <w:tc>
          <w:tcPr>
            <w:tcW w:w="100" w:type="dxa"/>
            <w:vAlign w:val="bottom"/>
            <w:tcBorders>
              <w:bottom w:val="single" w:sz="8" w:color="CCEEFF"/>
            </w:tcBorders>
          </w:tcPr>
          <w:p>
            <w:pPr>
              <w:spacing w:after="0"/>
              <w:rPr>
                <w:sz w:val="15"/>
                <w:szCs w:val="15"/>
                <w:color w:val="auto"/>
              </w:rPr>
            </w:pPr>
          </w:p>
        </w:tc>
        <w:tc>
          <w:tcPr>
            <w:tcW w:w="600" w:type="dxa"/>
            <w:vAlign w:val="bottom"/>
            <w:tcBorders>
              <w:top w:val="single" w:sz="8" w:color="auto"/>
              <w:bottom w:val="single" w:sz="8" w:color="auto"/>
            </w:tcBorders>
          </w:tcPr>
          <w:p>
            <w:pPr>
              <w:jc w:val="center"/>
              <w:ind w:left="228"/>
              <w:spacing w:after="0"/>
              <w:rPr>
                <w:sz w:val="20"/>
                <w:szCs w:val="20"/>
                <w:color w:val="auto"/>
              </w:rPr>
            </w:pPr>
            <w:r>
              <w:rPr>
                <w:rFonts w:ascii="Arial" w:cs="Arial" w:eastAsia="Arial" w:hAnsi="Arial"/>
                <w:sz w:val="14"/>
                <w:szCs w:val="14"/>
                <w:color w:val="auto"/>
                <w:w w:val="92"/>
              </w:rPr>
              <w:t>12%</w:t>
            </w:r>
          </w:p>
        </w:tc>
        <w:tc>
          <w:tcPr>
            <w:tcW w:w="300" w:type="dxa"/>
            <w:vAlign w:val="bottom"/>
            <w:tcBorders>
              <w:top w:val="single" w:sz="8" w:color="auto"/>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2"/>
        </w:trPr>
        <w:tc>
          <w:tcPr>
            <w:tcW w:w="23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30-year:</w:t>
            </w:r>
          </w:p>
        </w:tc>
        <w:tc>
          <w:tcPr>
            <w:tcW w:w="8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5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6"/>
        </w:trPr>
        <w:tc>
          <w:tcPr>
            <w:tcW w:w="2380" w:type="dxa"/>
            <w:vAlign w:val="bottom"/>
            <w:gridSpan w:val="2"/>
          </w:tcPr>
          <w:p>
            <w:pPr>
              <w:ind w:left="360"/>
              <w:spacing w:after="0"/>
              <w:rPr>
                <w:sz w:val="20"/>
                <w:szCs w:val="20"/>
                <w:color w:val="auto"/>
              </w:rPr>
            </w:pPr>
            <w:r>
              <w:rPr>
                <w:rFonts w:ascii="Arial" w:cs="Arial" w:eastAsia="Arial" w:hAnsi="Arial"/>
                <w:sz w:val="14"/>
                <w:szCs w:val="14"/>
                <w:color w:val="auto"/>
              </w:rPr>
              <w:t>≤ 2.0%</w:t>
            </w: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15,617</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15,673</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15,581</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8"/>
              </w:rPr>
              <w:t>3%</w:t>
            </w:r>
          </w:p>
        </w:tc>
        <w:tc>
          <w:tcPr>
            <w:tcW w:w="1260" w:type="dxa"/>
            <w:vAlign w:val="bottom"/>
            <w:gridSpan w:val="2"/>
          </w:tcPr>
          <w:p>
            <w:pPr>
              <w:jc w:val="center"/>
              <w:ind w:left="148"/>
              <w:spacing w:after="0"/>
              <w:rPr>
                <w:sz w:val="20"/>
                <w:szCs w:val="20"/>
                <w:color w:val="auto"/>
              </w:rPr>
            </w:pPr>
            <w:r>
              <w:rPr>
                <w:rFonts w:ascii="Arial" w:cs="Arial" w:eastAsia="Arial" w:hAnsi="Arial"/>
                <w:sz w:val="14"/>
                <w:szCs w:val="14"/>
                <w:color w:val="auto"/>
                <w:w w:val="92"/>
              </w:rPr>
              <w:t>100.5%</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5"/>
              </w:rPr>
              <w:t>2.86%</w:t>
            </w:r>
          </w:p>
        </w:tc>
        <w:tc>
          <w:tcPr>
            <w:tcW w:w="860" w:type="dxa"/>
            <w:vAlign w:val="bottom"/>
            <w:gridSpan w:val="2"/>
          </w:tcPr>
          <w:p>
            <w:pPr>
              <w:jc w:val="center"/>
              <w:ind w:left="68"/>
              <w:spacing w:after="0"/>
              <w:rPr>
                <w:sz w:val="20"/>
                <w:szCs w:val="20"/>
                <w:color w:val="auto"/>
              </w:rPr>
            </w:pPr>
            <w:r>
              <w:rPr>
                <w:rFonts w:ascii="Arial" w:cs="Arial" w:eastAsia="Arial" w:hAnsi="Arial"/>
                <w:sz w:val="14"/>
                <w:szCs w:val="14"/>
                <w:color w:val="auto"/>
                <w:w w:val="90"/>
              </w:rPr>
              <w:t>1.92%</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76"/>
              </w:rPr>
              <w:t>8</w:t>
            </w:r>
          </w:p>
        </w:tc>
        <w:tc>
          <w:tcPr>
            <w:tcW w:w="100" w:type="dxa"/>
            <w:vAlign w:val="bottom"/>
          </w:tcPr>
          <w:p>
            <w:pPr>
              <w:spacing w:after="0"/>
              <w:rPr>
                <w:sz w:val="16"/>
                <w:szCs w:val="16"/>
                <w:color w:val="auto"/>
              </w:rPr>
            </w:pPr>
          </w:p>
        </w:tc>
        <w:tc>
          <w:tcPr>
            <w:tcW w:w="600" w:type="dxa"/>
            <w:vAlign w:val="bottom"/>
          </w:tcPr>
          <w:p>
            <w:pPr>
              <w:jc w:val="center"/>
              <w:ind w:left="228"/>
              <w:spacing w:after="0"/>
              <w:rPr>
                <w:sz w:val="20"/>
                <w:szCs w:val="20"/>
                <w:color w:val="auto"/>
              </w:rPr>
            </w:pPr>
            <w:r>
              <w:rPr>
                <w:rFonts w:ascii="Arial" w:cs="Arial" w:eastAsia="Arial" w:hAnsi="Arial"/>
                <w:sz w:val="14"/>
                <w:szCs w:val="14"/>
                <w:color w:val="auto"/>
                <w:w w:val="88"/>
              </w:rPr>
              <w:t>7%</w:t>
            </w: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260" w:type="dxa"/>
            <w:vAlign w:val="bottom"/>
            <w:shd w:val="clear" w:color="auto" w:fill="CCEEFF"/>
          </w:tcPr>
          <w:p>
            <w:pPr>
              <w:ind w:left="360"/>
              <w:spacing w:after="0"/>
              <w:rPr>
                <w:sz w:val="20"/>
                <w:szCs w:val="20"/>
                <w:color w:val="auto"/>
              </w:rPr>
            </w:pPr>
            <w:r>
              <w:rPr>
                <w:rFonts w:ascii="Arial" w:cs="Arial" w:eastAsia="Arial" w:hAnsi="Arial"/>
                <w:sz w:val="14"/>
                <w:szCs w:val="14"/>
                <w:color w:val="auto"/>
              </w:rPr>
              <w:t>2.5%</w:t>
            </w: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27,578</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28,342</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28,182</w:t>
            </w: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22%</w:t>
            </w:r>
          </w:p>
        </w:tc>
        <w:tc>
          <w:tcPr>
            <w:tcW w:w="126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2"/>
              </w:rPr>
              <w:t>104.1%</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3.16%</w:t>
            </w:r>
          </w:p>
        </w:tc>
        <w:tc>
          <w:tcPr>
            <w:tcW w:w="860" w:type="dxa"/>
            <w:vAlign w:val="bottom"/>
            <w:gridSpan w:val="2"/>
            <w:shd w:val="clear" w:color="auto" w:fill="CCEEFF"/>
          </w:tcPr>
          <w:p>
            <w:pPr>
              <w:jc w:val="center"/>
              <w:ind w:left="68"/>
              <w:spacing w:after="0"/>
              <w:rPr>
                <w:sz w:val="20"/>
                <w:szCs w:val="20"/>
                <w:color w:val="auto"/>
              </w:rPr>
            </w:pPr>
            <w:r>
              <w:rPr>
                <w:rFonts w:ascii="Arial" w:cs="Arial" w:eastAsia="Arial" w:hAnsi="Arial"/>
                <w:sz w:val="14"/>
                <w:szCs w:val="14"/>
                <w:color w:val="auto"/>
                <w:w w:val="90"/>
              </w:rPr>
              <w:t>1.96%</w:t>
            </w: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76"/>
              </w:rPr>
              <w:t>6</w:t>
            </w: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88"/>
              </w:rPr>
              <w:t>7%</w:t>
            </w:r>
          </w:p>
        </w:tc>
        <w:tc>
          <w:tcPr>
            <w:tcW w:w="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260" w:type="dxa"/>
            <w:vAlign w:val="bottom"/>
          </w:tcPr>
          <w:p>
            <w:pPr>
              <w:ind w:left="360"/>
              <w:spacing w:after="0"/>
              <w:rPr>
                <w:sz w:val="20"/>
                <w:szCs w:val="20"/>
                <w:color w:val="auto"/>
              </w:rPr>
            </w:pPr>
            <w:r>
              <w:rPr>
                <w:rFonts w:ascii="Arial" w:cs="Arial" w:eastAsia="Arial" w:hAnsi="Arial"/>
                <w:sz w:val="14"/>
                <w:szCs w:val="14"/>
                <w:color w:val="auto"/>
              </w:rPr>
              <w:t>3.0%</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5,031</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5,197</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5,234</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16%</w:t>
            </w:r>
          </w:p>
        </w:tc>
        <w:tc>
          <w:tcPr>
            <w:tcW w:w="1260" w:type="dxa"/>
            <w:vAlign w:val="bottom"/>
            <w:gridSpan w:val="2"/>
          </w:tcPr>
          <w:p>
            <w:pPr>
              <w:jc w:val="center"/>
              <w:ind w:left="148"/>
              <w:spacing w:after="0"/>
              <w:rPr>
                <w:sz w:val="20"/>
                <w:szCs w:val="20"/>
                <w:color w:val="auto"/>
              </w:rPr>
            </w:pPr>
            <w:r>
              <w:rPr>
                <w:rFonts w:ascii="Arial" w:cs="Arial" w:eastAsia="Arial" w:hAnsi="Arial"/>
                <w:sz w:val="14"/>
                <w:szCs w:val="14"/>
                <w:color w:val="auto"/>
                <w:w w:val="92"/>
              </w:rPr>
              <w:t>102.8%</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5"/>
              </w:rPr>
              <w:t>3.61%</w:t>
            </w:r>
          </w:p>
        </w:tc>
        <w:tc>
          <w:tcPr>
            <w:tcW w:w="860" w:type="dxa"/>
            <w:vAlign w:val="bottom"/>
            <w:gridSpan w:val="2"/>
          </w:tcPr>
          <w:p>
            <w:pPr>
              <w:jc w:val="center"/>
              <w:ind w:left="68"/>
              <w:spacing w:after="0"/>
              <w:rPr>
                <w:sz w:val="20"/>
                <w:szCs w:val="20"/>
                <w:color w:val="auto"/>
              </w:rPr>
            </w:pPr>
            <w:r>
              <w:rPr>
                <w:rFonts w:ascii="Arial" w:cs="Arial" w:eastAsia="Arial" w:hAnsi="Arial"/>
                <w:sz w:val="14"/>
                <w:szCs w:val="14"/>
                <w:color w:val="auto"/>
                <w:w w:val="90"/>
              </w:rPr>
              <w:t>2.52%</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89"/>
              </w:rPr>
              <w:t>49</w:t>
            </w:r>
          </w:p>
        </w:tc>
        <w:tc>
          <w:tcPr>
            <w:tcW w:w="100" w:type="dxa"/>
            <w:vAlign w:val="bottom"/>
          </w:tcPr>
          <w:p>
            <w:pPr>
              <w:spacing w:after="0"/>
              <w:rPr>
                <w:sz w:val="16"/>
                <w:szCs w:val="16"/>
                <w:color w:val="auto"/>
              </w:rPr>
            </w:pPr>
          </w:p>
        </w:tc>
        <w:tc>
          <w:tcPr>
            <w:tcW w:w="600" w:type="dxa"/>
            <w:vAlign w:val="bottom"/>
          </w:tcPr>
          <w:p>
            <w:pPr>
              <w:jc w:val="center"/>
              <w:ind w:left="228"/>
              <w:spacing w:after="0"/>
              <w:rPr>
                <w:sz w:val="20"/>
                <w:szCs w:val="20"/>
                <w:color w:val="auto"/>
              </w:rPr>
            </w:pPr>
            <w:r>
              <w:rPr>
                <w:rFonts w:ascii="Arial" w:cs="Arial" w:eastAsia="Arial" w:hAnsi="Arial"/>
                <w:sz w:val="14"/>
                <w:szCs w:val="14"/>
                <w:color w:val="auto"/>
                <w:w w:val="92"/>
              </w:rPr>
              <w:t>11%</w:t>
            </w: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260" w:type="dxa"/>
            <w:vAlign w:val="bottom"/>
            <w:shd w:val="clear" w:color="auto" w:fill="CCEEFF"/>
          </w:tcPr>
          <w:p>
            <w:pPr>
              <w:ind w:left="36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8,531</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8,917</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9,200</w:t>
            </w: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86%</w:t>
            </w:r>
          </w:p>
        </w:tc>
        <w:tc>
          <w:tcPr>
            <w:tcW w:w="126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2"/>
              </w:rPr>
              <w:t>104.5%</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4.05%</w:t>
            </w:r>
          </w:p>
        </w:tc>
        <w:tc>
          <w:tcPr>
            <w:tcW w:w="860" w:type="dxa"/>
            <w:vAlign w:val="bottom"/>
            <w:gridSpan w:val="2"/>
            <w:shd w:val="clear" w:color="auto" w:fill="CCEEFF"/>
          </w:tcPr>
          <w:p>
            <w:pPr>
              <w:jc w:val="center"/>
              <w:ind w:left="68"/>
              <w:spacing w:after="0"/>
              <w:rPr>
                <w:sz w:val="20"/>
                <w:szCs w:val="20"/>
                <w:color w:val="auto"/>
              </w:rPr>
            </w:pPr>
            <w:r>
              <w:rPr>
                <w:rFonts w:ascii="Arial" w:cs="Arial" w:eastAsia="Arial" w:hAnsi="Arial"/>
                <w:sz w:val="14"/>
                <w:szCs w:val="14"/>
                <w:color w:val="auto"/>
                <w:w w:val="90"/>
              </w:rPr>
              <w:t>2.59%</w:t>
            </w: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83</w:t>
            </w: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92"/>
              </w:rPr>
              <w:t>12%</w:t>
            </w:r>
          </w:p>
        </w:tc>
        <w:tc>
          <w:tcPr>
            <w:tcW w:w="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260" w:type="dxa"/>
            <w:vAlign w:val="bottom"/>
          </w:tcPr>
          <w:p>
            <w:pPr>
              <w:ind w:left="360"/>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8,696</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9,146</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9,495</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92%</w:t>
            </w:r>
          </w:p>
        </w:tc>
        <w:tc>
          <w:tcPr>
            <w:tcW w:w="1260" w:type="dxa"/>
            <w:vAlign w:val="bottom"/>
            <w:gridSpan w:val="2"/>
          </w:tcPr>
          <w:p>
            <w:pPr>
              <w:jc w:val="center"/>
              <w:ind w:left="148"/>
              <w:spacing w:after="0"/>
              <w:rPr>
                <w:sz w:val="20"/>
                <w:szCs w:val="20"/>
                <w:color w:val="auto"/>
              </w:rPr>
            </w:pPr>
            <w:r>
              <w:rPr>
                <w:rFonts w:ascii="Arial" w:cs="Arial" w:eastAsia="Arial" w:hAnsi="Arial"/>
                <w:sz w:val="14"/>
                <w:szCs w:val="14"/>
                <w:color w:val="auto"/>
                <w:w w:val="92"/>
              </w:rPr>
              <w:t>105.2%</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5"/>
              </w:rPr>
              <w:t>4.51%</w:t>
            </w:r>
          </w:p>
        </w:tc>
        <w:tc>
          <w:tcPr>
            <w:tcW w:w="860" w:type="dxa"/>
            <w:vAlign w:val="bottom"/>
            <w:gridSpan w:val="2"/>
          </w:tcPr>
          <w:p>
            <w:pPr>
              <w:jc w:val="center"/>
              <w:ind w:left="68"/>
              <w:spacing w:after="0"/>
              <w:rPr>
                <w:sz w:val="20"/>
                <w:szCs w:val="20"/>
                <w:color w:val="auto"/>
              </w:rPr>
            </w:pPr>
            <w:r>
              <w:rPr>
                <w:rFonts w:ascii="Arial" w:cs="Arial" w:eastAsia="Arial" w:hAnsi="Arial"/>
                <w:sz w:val="14"/>
                <w:szCs w:val="14"/>
                <w:color w:val="auto"/>
                <w:w w:val="90"/>
              </w:rPr>
              <w:t>2.81%</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89"/>
              </w:rPr>
              <w:t>65</w:t>
            </w:r>
          </w:p>
        </w:tc>
        <w:tc>
          <w:tcPr>
            <w:tcW w:w="100" w:type="dxa"/>
            <w:vAlign w:val="bottom"/>
          </w:tcPr>
          <w:p>
            <w:pPr>
              <w:spacing w:after="0"/>
              <w:rPr>
                <w:sz w:val="16"/>
                <w:szCs w:val="16"/>
                <w:color w:val="auto"/>
              </w:rPr>
            </w:pPr>
          </w:p>
        </w:tc>
        <w:tc>
          <w:tcPr>
            <w:tcW w:w="600" w:type="dxa"/>
            <w:vAlign w:val="bottom"/>
          </w:tcPr>
          <w:p>
            <w:pPr>
              <w:jc w:val="center"/>
              <w:ind w:left="228"/>
              <w:spacing w:after="0"/>
              <w:rPr>
                <w:sz w:val="20"/>
                <w:szCs w:val="20"/>
                <w:color w:val="auto"/>
              </w:rPr>
            </w:pPr>
            <w:r>
              <w:rPr>
                <w:rFonts w:ascii="Arial" w:cs="Arial" w:eastAsia="Arial" w:hAnsi="Arial"/>
                <w:sz w:val="14"/>
                <w:szCs w:val="14"/>
                <w:color w:val="auto"/>
                <w:w w:val="92"/>
              </w:rPr>
              <w:t>15%</w:t>
            </w: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380" w:type="dxa"/>
            <w:vAlign w:val="bottom"/>
            <w:gridSpan w:val="2"/>
            <w:shd w:val="clear" w:color="auto" w:fill="CCEEFF"/>
          </w:tcPr>
          <w:p>
            <w:pPr>
              <w:ind w:left="360"/>
              <w:spacing w:after="0"/>
              <w:rPr>
                <w:sz w:val="20"/>
                <w:szCs w:val="20"/>
                <w:color w:val="auto"/>
              </w:rPr>
            </w:pPr>
            <w:r>
              <w:rPr>
                <w:rFonts w:ascii="Arial" w:cs="Arial" w:eastAsia="Arial" w:hAnsi="Arial"/>
                <w:sz w:val="14"/>
                <w:szCs w:val="14"/>
                <w:color w:val="auto"/>
              </w:rPr>
              <w:t>≥ 4.5%</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4,606</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4,881</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5,084</w:t>
            </w: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97%</w:t>
            </w:r>
          </w:p>
        </w:tc>
        <w:tc>
          <w:tcPr>
            <w:tcW w:w="126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2"/>
              </w:rPr>
              <w:t>106.0%</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5.02%</w:t>
            </w:r>
          </w:p>
        </w:tc>
        <w:tc>
          <w:tcPr>
            <w:tcW w:w="860" w:type="dxa"/>
            <w:vAlign w:val="bottom"/>
            <w:gridSpan w:val="2"/>
            <w:shd w:val="clear" w:color="auto" w:fill="CCEEFF"/>
          </w:tcPr>
          <w:p>
            <w:pPr>
              <w:jc w:val="center"/>
              <w:ind w:left="68"/>
              <w:spacing w:after="0"/>
              <w:rPr>
                <w:sz w:val="20"/>
                <w:szCs w:val="20"/>
                <w:color w:val="auto"/>
              </w:rPr>
            </w:pPr>
            <w:r>
              <w:rPr>
                <w:rFonts w:ascii="Arial" w:cs="Arial" w:eastAsia="Arial" w:hAnsi="Arial"/>
                <w:sz w:val="14"/>
                <w:szCs w:val="14"/>
                <w:color w:val="auto"/>
                <w:w w:val="90"/>
              </w:rPr>
              <w:t>3.06%</w:t>
            </w: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53</w:t>
            </w: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92"/>
              </w:rPr>
              <w:t>16%</w:t>
            </w:r>
          </w:p>
        </w:tc>
        <w:tc>
          <w:tcPr>
            <w:tcW w:w="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79"/>
        </w:trPr>
        <w:tc>
          <w:tcPr>
            <w:tcW w:w="2380" w:type="dxa"/>
            <w:vAlign w:val="bottom"/>
            <w:tcBorders>
              <w:bottom w:val="single" w:sz="8" w:color="CCEEFF"/>
            </w:tcBorders>
            <w:gridSpan w:val="2"/>
          </w:tcPr>
          <w:p>
            <w:pPr>
              <w:ind w:left="180"/>
              <w:spacing w:after="0"/>
              <w:rPr>
                <w:sz w:val="20"/>
                <w:szCs w:val="20"/>
                <w:color w:val="auto"/>
              </w:rPr>
            </w:pPr>
            <w:r>
              <w:rPr>
                <w:rFonts w:ascii="Arial" w:cs="Arial" w:eastAsia="Arial" w:hAnsi="Arial"/>
                <w:sz w:val="14"/>
                <w:szCs w:val="14"/>
                <w:color w:val="auto"/>
              </w:rPr>
              <w:t>Total 30-year</w:t>
            </w:r>
          </w:p>
        </w:tc>
        <w:tc>
          <w:tcPr>
            <w:tcW w:w="80" w:type="dxa"/>
            <w:vAlign w:val="bottom"/>
            <w:tcBorders>
              <w:top w:val="single" w:sz="8" w:color="auto"/>
              <w:bottom w:val="single" w:sz="8" w:color="auto"/>
            </w:tcBorders>
          </w:tcPr>
          <w:p>
            <w:pPr>
              <w:spacing w:after="0"/>
              <w:rPr>
                <w:sz w:val="15"/>
                <w:szCs w:val="15"/>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70,059</w:t>
            </w:r>
          </w:p>
        </w:tc>
        <w:tc>
          <w:tcPr>
            <w:tcW w:w="120" w:type="dxa"/>
            <w:vAlign w:val="bottom"/>
            <w:tcBorders>
              <w:bottom w:val="single" w:sz="8" w:color="CCEEFF"/>
            </w:tcBorders>
          </w:tcPr>
          <w:p>
            <w:pPr>
              <w:spacing w:after="0"/>
              <w:rPr>
                <w:sz w:val="15"/>
                <w:szCs w:val="15"/>
                <w:color w:val="auto"/>
              </w:rPr>
            </w:pPr>
          </w:p>
        </w:tc>
        <w:tc>
          <w:tcPr>
            <w:tcW w:w="120" w:type="dxa"/>
            <w:vAlign w:val="bottom"/>
            <w:tcBorders>
              <w:top w:val="single" w:sz="8" w:color="auto"/>
              <w:bottom w:val="single" w:sz="8" w:color="auto"/>
            </w:tcBorders>
          </w:tcPr>
          <w:p>
            <w:pPr>
              <w:spacing w:after="0"/>
              <w:rPr>
                <w:sz w:val="15"/>
                <w:szCs w:val="15"/>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72,156</w:t>
            </w:r>
          </w:p>
        </w:tc>
        <w:tc>
          <w:tcPr>
            <w:tcW w:w="100" w:type="dxa"/>
            <w:vAlign w:val="bottom"/>
            <w:tcBorders>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72,776</w:t>
            </w:r>
          </w:p>
        </w:tc>
        <w:tc>
          <w:tcPr>
            <w:tcW w:w="120" w:type="dxa"/>
            <w:vAlign w:val="bottom"/>
            <w:tcBorders>
              <w:bottom w:val="single" w:sz="8" w:color="CCEEFF"/>
            </w:tcBorders>
          </w:tcPr>
          <w:p>
            <w:pPr>
              <w:spacing w:after="0"/>
              <w:rPr>
                <w:sz w:val="15"/>
                <w:szCs w:val="15"/>
                <w:color w:val="auto"/>
              </w:rPr>
            </w:pPr>
          </w:p>
        </w:tc>
        <w:tc>
          <w:tcPr>
            <w:tcW w:w="90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92"/>
              </w:rPr>
              <w:t>40%</w:t>
            </w:r>
          </w:p>
        </w:tc>
        <w:tc>
          <w:tcPr>
            <w:tcW w:w="220" w:type="dxa"/>
            <w:vAlign w:val="bottom"/>
            <w:tcBorders>
              <w:bottom w:val="single" w:sz="8" w:color="CCEEFF"/>
            </w:tcBorders>
          </w:tcPr>
          <w:p>
            <w:pPr>
              <w:spacing w:after="0"/>
              <w:rPr>
                <w:sz w:val="15"/>
                <w:szCs w:val="15"/>
                <w:color w:val="auto"/>
              </w:rPr>
            </w:pPr>
          </w:p>
        </w:tc>
        <w:tc>
          <w:tcPr>
            <w:tcW w:w="10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92"/>
              </w:rPr>
              <w:t>103.5%</w:t>
            </w:r>
          </w:p>
        </w:tc>
        <w:tc>
          <w:tcPr>
            <w:tcW w:w="120" w:type="dxa"/>
            <w:vAlign w:val="bottom"/>
            <w:tcBorders>
              <w:bottom w:val="single" w:sz="8" w:color="CCEEFF"/>
            </w:tcBorders>
          </w:tcPr>
          <w:p>
            <w:pPr>
              <w:spacing w:after="0"/>
              <w:rPr>
                <w:sz w:val="15"/>
                <w:szCs w:val="15"/>
                <w:color w:val="auto"/>
              </w:rPr>
            </w:pPr>
          </w:p>
        </w:tc>
        <w:tc>
          <w:tcPr>
            <w:tcW w:w="6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95"/>
              </w:rPr>
              <w:t>3.71%</w:t>
            </w:r>
          </w:p>
        </w:tc>
        <w:tc>
          <w:tcPr>
            <w:tcW w:w="140" w:type="dxa"/>
            <w:vAlign w:val="bottom"/>
            <w:tcBorders>
              <w:bottom w:val="single" w:sz="8" w:color="CCEEFF"/>
            </w:tcBorders>
          </w:tcPr>
          <w:p>
            <w:pPr>
              <w:spacing w:after="0"/>
              <w:rPr>
                <w:sz w:val="15"/>
                <w:szCs w:val="15"/>
                <w:color w:val="auto"/>
              </w:rPr>
            </w:pPr>
          </w:p>
        </w:tc>
        <w:tc>
          <w:tcPr>
            <w:tcW w:w="7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90"/>
              </w:rPr>
              <w:t>2.36%</w:t>
            </w:r>
          </w:p>
        </w:tc>
        <w:tc>
          <w:tcPr>
            <w:tcW w:w="120" w:type="dxa"/>
            <w:vAlign w:val="bottom"/>
            <w:tcBorders>
              <w:bottom w:val="single" w:sz="8" w:color="CCEEFF"/>
            </w:tcBorders>
          </w:tcPr>
          <w:p>
            <w:pPr>
              <w:spacing w:after="0"/>
              <w:rPr>
                <w:sz w:val="15"/>
                <w:szCs w:val="15"/>
                <w:color w:val="auto"/>
              </w:rPr>
            </w:pPr>
          </w:p>
        </w:tc>
        <w:tc>
          <w:tcPr>
            <w:tcW w:w="96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89"/>
              </w:rPr>
              <w:t>38</w:t>
            </w:r>
          </w:p>
        </w:tc>
        <w:tc>
          <w:tcPr>
            <w:tcW w:w="100" w:type="dxa"/>
            <w:vAlign w:val="bottom"/>
            <w:tcBorders>
              <w:bottom w:val="single" w:sz="8" w:color="CCEEFF"/>
            </w:tcBorders>
          </w:tcPr>
          <w:p>
            <w:pPr>
              <w:spacing w:after="0"/>
              <w:rPr>
                <w:sz w:val="15"/>
                <w:szCs w:val="15"/>
                <w:color w:val="auto"/>
              </w:rPr>
            </w:pPr>
          </w:p>
        </w:tc>
        <w:tc>
          <w:tcPr>
            <w:tcW w:w="600" w:type="dxa"/>
            <w:vAlign w:val="bottom"/>
            <w:tcBorders>
              <w:top w:val="single" w:sz="8" w:color="auto"/>
              <w:bottom w:val="single" w:sz="8" w:color="auto"/>
            </w:tcBorders>
          </w:tcPr>
          <w:p>
            <w:pPr>
              <w:jc w:val="center"/>
              <w:ind w:left="228"/>
              <w:spacing w:after="0"/>
              <w:rPr>
                <w:sz w:val="20"/>
                <w:szCs w:val="20"/>
                <w:color w:val="auto"/>
              </w:rPr>
            </w:pPr>
            <w:r>
              <w:rPr>
                <w:rFonts w:ascii="Arial" w:cs="Arial" w:eastAsia="Arial" w:hAnsi="Arial"/>
                <w:sz w:val="14"/>
                <w:szCs w:val="14"/>
                <w:color w:val="auto"/>
                <w:w w:val="92"/>
              </w:rPr>
              <w:t>11%</w:t>
            </w:r>
          </w:p>
        </w:tc>
        <w:tc>
          <w:tcPr>
            <w:tcW w:w="300" w:type="dxa"/>
            <w:vAlign w:val="bottom"/>
            <w:tcBorders>
              <w:top w:val="single" w:sz="8" w:color="auto"/>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11"/>
        </w:trPr>
        <w:tc>
          <w:tcPr>
            <w:tcW w:w="23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Total fixed rate</w:t>
            </w: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76,490</w:t>
            </w:r>
          </w:p>
        </w:tc>
        <w:tc>
          <w:tcPr>
            <w:tcW w:w="12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78,730</w:t>
            </w:r>
          </w:p>
        </w:tc>
        <w:tc>
          <w:tcPr>
            <w:tcW w:w="1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79,429</w:t>
            </w:r>
          </w:p>
        </w:tc>
        <w:tc>
          <w:tcPr>
            <w:tcW w:w="120" w:type="dxa"/>
            <w:vAlign w:val="bottom"/>
            <w:tcBorders>
              <w:bottom w:val="single" w:sz="8" w:color="CCEEFF"/>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41%</w:t>
            </w:r>
          </w:p>
        </w:tc>
        <w:tc>
          <w:tcPr>
            <w:tcW w:w="220" w:type="dxa"/>
            <w:vAlign w:val="bottom"/>
            <w:tcBorders>
              <w:bottom w:val="single" w:sz="8" w:color="CCEEFF"/>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103.5%</w:t>
            </w:r>
          </w:p>
        </w:tc>
        <w:tc>
          <w:tcPr>
            <w:tcW w:w="120" w:type="dxa"/>
            <w:vAlign w:val="bottom"/>
            <w:tcBorders>
              <w:bottom w:val="single" w:sz="8" w:color="CCEEFF"/>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3.70%</w:t>
            </w:r>
          </w:p>
        </w:tc>
        <w:tc>
          <w:tcPr>
            <w:tcW w:w="140" w:type="dxa"/>
            <w:vAlign w:val="bottom"/>
            <w:tcBorders>
              <w:bottom w:val="single" w:sz="8" w:color="CCEEFF"/>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2.34%</w:t>
            </w:r>
          </w:p>
        </w:tc>
        <w:tc>
          <w:tcPr>
            <w:tcW w:w="120" w:type="dxa"/>
            <w:vAlign w:val="bottom"/>
            <w:tcBorders>
              <w:bottom w:val="single" w:sz="8" w:color="CCEEFF"/>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38</w:t>
            </w:r>
          </w:p>
        </w:tc>
        <w:tc>
          <w:tcPr>
            <w:tcW w:w="100" w:type="dxa"/>
            <w:vAlign w:val="bottom"/>
            <w:tcBorders>
              <w:bottom w:val="single" w:sz="8" w:color="CCEEFF"/>
            </w:tcBorders>
            <w:shd w:val="clear" w:color="auto" w:fill="CCEEFF"/>
          </w:tcPr>
          <w:p>
            <w:pPr>
              <w:spacing w:after="0"/>
              <w:rPr>
                <w:sz w:val="17"/>
                <w:szCs w:val="17"/>
                <w:color w:val="auto"/>
              </w:rPr>
            </w:pPr>
          </w:p>
        </w:tc>
        <w:tc>
          <w:tcPr>
            <w:tcW w:w="600" w:type="dxa"/>
            <w:vAlign w:val="bottom"/>
            <w:tcBorders>
              <w:bottom w:val="single" w:sz="8" w:color="auto"/>
            </w:tcBorders>
            <w:shd w:val="clear" w:color="auto" w:fill="CCEEFF"/>
          </w:tcPr>
          <w:p>
            <w:pPr>
              <w:jc w:val="center"/>
              <w:ind w:left="228"/>
              <w:spacing w:after="0"/>
              <w:rPr>
                <w:sz w:val="20"/>
                <w:szCs w:val="20"/>
                <w:color w:val="auto"/>
              </w:rPr>
            </w:pPr>
            <w:r>
              <w:rPr>
                <w:rFonts w:ascii="Arial" w:cs="Arial" w:eastAsia="Arial" w:hAnsi="Arial"/>
                <w:sz w:val="14"/>
                <w:szCs w:val="14"/>
                <w:color w:val="auto"/>
                <w:w w:val="92"/>
              </w:rPr>
              <w:t>11%</w:t>
            </w:r>
          </w:p>
        </w:tc>
        <w:tc>
          <w:tcPr>
            <w:tcW w:w="300" w:type="dxa"/>
            <w:vAlign w:val="bottom"/>
            <w:tcBorders>
              <w:bottom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2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CCEEFF"/>
              <w:bottom w:val="single" w:sz="8" w:color="auto"/>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0"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right="20" w:hanging="328"/>
        <w:spacing w:after="0" w:line="260" w:lineRule="auto"/>
        <w:tabs>
          <w:tab w:leader="none" w:pos="660" w:val="left"/>
        </w:tabs>
        <w:numPr>
          <w:ilvl w:val="0"/>
          <w:numId w:val="23"/>
        </w:numPr>
        <w:rPr>
          <w:rFonts w:ascii="Arial" w:cs="Arial" w:eastAsia="Arial" w:hAnsi="Arial"/>
          <w:sz w:val="13"/>
          <w:szCs w:val="13"/>
          <w:color w:val="auto"/>
        </w:rPr>
      </w:pPr>
      <w:r>
        <w:rPr>
          <w:rFonts w:ascii="Arial" w:cs="Arial" w:eastAsia="Arial" w:hAnsi="Arial"/>
          <w:sz w:val="13"/>
          <w:szCs w:val="13"/>
          <w:color w:val="auto"/>
        </w:rPr>
        <w:t>See Note 1 of preceding table for specified pool composition. As of December 31, 2021, lower balance specified pools had a weighted average original loan balance of $119,000 and $117,000 for 15-year and 30-year securities, respectively, and HARP pools had a weighted average original LTV of 127% and 138% for 15-year and 30-year securities, respectively.</w:t>
      </w:r>
    </w:p>
    <w:p>
      <w:pPr>
        <w:ind w:left="660" w:hanging="328"/>
        <w:spacing w:after="0"/>
        <w:tabs>
          <w:tab w:leader="none" w:pos="660" w:val="left"/>
        </w:tabs>
        <w:numPr>
          <w:ilvl w:val="0"/>
          <w:numId w:val="23"/>
        </w:numPr>
        <w:rPr>
          <w:rFonts w:ascii="Arial" w:cs="Arial" w:eastAsia="Arial" w:hAnsi="Arial"/>
          <w:sz w:val="14"/>
          <w:szCs w:val="14"/>
          <w:color w:val="auto"/>
        </w:rPr>
      </w:pPr>
      <w:r>
        <w:rPr>
          <w:rFonts w:ascii="Arial" w:cs="Arial" w:eastAsia="Arial" w:hAnsi="Arial"/>
          <w:sz w:val="14"/>
          <w:szCs w:val="14"/>
          <w:color w:val="auto"/>
        </w:rPr>
        <w:t>WAC represents the weighted average coupon of the underlying collateral.</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3"/>
        </w:numPr>
        <w:rPr>
          <w:rFonts w:ascii="Arial" w:cs="Arial" w:eastAsia="Arial" w:hAnsi="Arial"/>
          <w:sz w:val="14"/>
          <w:szCs w:val="14"/>
          <w:color w:val="auto"/>
        </w:rPr>
      </w:pPr>
      <w:r>
        <w:rPr>
          <w:rFonts w:ascii="Arial" w:cs="Arial" w:eastAsia="Arial" w:hAnsi="Arial"/>
          <w:sz w:val="14"/>
          <w:szCs w:val="14"/>
          <w:color w:val="auto"/>
        </w:rPr>
        <w:t>Portfolio yield incorporates a projected life CPR based on forward rate assumptions as of December 31, 2021.</w:t>
      </w:r>
    </w:p>
    <w:p>
      <w:pPr>
        <w:spacing w:after="0" w:line="155" w:lineRule="exact"/>
        <w:rPr>
          <w:sz w:val="20"/>
          <w:szCs w:val="20"/>
          <w:color w:val="auto"/>
        </w:rPr>
      </w:pPr>
    </w:p>
    <w:p>
      <w:pPr>
        <w:jc w:val="both"/>
        <w:ind w:firstLine="445"/>
        <w:spacing w:after="0" w:line="277" w:lineRule="auto"/>
        <w:rPr>
          <w:sz w:val="20"/>
          <w:szCs w:val="20"/>
          <w:color w:val="auto"/>
        </w:rPr>
      </w:pPr>
      <w:r>
        <w:rPr>
          <w:rFonts w:ascii="Arial" w:cs="Arial" w:eastAsia="Arial" w:hAnsi="Arial"/>
          <w:sz w:val="18"/>
          <w:szCs w:val="18"/>
          <w:color w:val="auto"/>
        </w:rPr>
        <w:t>For additional details regarding our CRT and non-Agency securities, including credit ratings, as of June 30, 2022 and December 31, 2021, please refer to Note 3 of our Consolidated Financial Statements in this Form 10-Q.</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Non-GAAP Financial Measures</w:t>
      </w:r>
    </w:p>
    <w:p>
      <w:pPr>
        <w:spacing w:after="0" w:line="171" w:lineRule="exact"/>
        <w:rPr>
          <w:sz w:val="20"/>
          <w:szCs w:val="20"/>
          <w:color w:val="auto"/>
        </w:rPr>
      </w:pPr>
    </w:p>
    <w:p>
      <w:pPr>
        <w:jc w:val="both"/>
        <w:ind w:firstLine="486"/>
        <w:spacing w:after="0" w:line="259" w:lineRule="auto"/>
        <w:rPr>
          <w:sz w:val="20"/>
          <w:szCs w:val="20"/>
          <w:color w:val="auto"/>
        </w:rPr>
      </w:pPr>
      <w:r>
        <w:rPr>
          <w:rFonts w:ascii="Arial" w:cs="Arial" w:eastAsia="Arial" w:hAnsi="Arial"/>
          <w:sz w:val="18"/>
          <w:szCs w:val="18"/>
          <w:color w:val="auto"/>
        </w:rPr>
        <w:t>In addition to the results presented in accordance with GAAP, our results of operations discussed below include certain non-GAAP financial information, including "economic interest income," "economic interest expense," "net spread and dollar roll income," "net spread and dollar roll income, excluding 'catch-up' premium amortization," "estimated taxable income" and the related per common share measures and certain financial metrics derived from such non-GAAP information, such as "cost of funds" and "net interest spread."</w:t>
      </w:r>
    </w:p>
    <w:p>
      <w:pPr>
        <w:spacing w:after="0" w:line="133" w:lineRule="exact"/>
        <w:rPr>
          <w:sz w:val="20"/>
          <w:szCs w:val="20"/>
          <w:color w:val="auto"/>
        </w:rPr>
      </w:pPr>
    </w:p>
    <w:p>
      <w:pPr>
        <w:jc w:val="both"/>
        <w:ind w:firstLine="486"/>
        <w:spacing w:after="0" w:line="296" w:lineRule="auto"/>
        <w:rPr>
          <w:sz w:val="20"/>
          <w:szCs w:val="20"/>
          <w:color w:val="auto"/>
        </w:rPr>
      </w:pPr>
      <w:r>
        <w:rPr>
          <w:rFonts w:ascii="Arial" w:cs="Arial" w:eastAsia="Arial" w:hAnsi="Arial"/>
          <w:sz w:val="16"/>
          <w:szCs w:val="16"/>
          <w:color w:val="auto"/>
        </w:rPr>
        <w:t>"Economic interest income" is measured as interest income (GAAP measure), adjusted (i) to exclude "catch-up" premium amortization associated with changes in CPR estimates and (ii) to include TBA dollar roll implied interest income. "Economic interest expense" is measured as interest expense (GAAP measure) adjusted to include TBA dollar roll implied interest expense/(benefit) and interest rate swap periodic cost/(income). "Net spread and dollar roll income, excluding "catch-up" premium amortization" includes (i) the components of economic interest income and economic interest expense and other interest and dividend income (referred to as "adjusted net interest and dollar roll income"), less (ii) total operating expenses (GAAP measure).</w:t>
      </w:r>
    </w:p>
    <w:p>
      <w:pPr>
        <w:spacing w:after="0" w:line="200" w:lineRule="exact"/>
        <w:rPr>
          <w:sz w:val="20"/>
          <w:szCs w:val="20"/>
          <w:color w:val="auto"/>
        </w:rPr>
      </w:pPr>
    </w:p>
    <w:p>
      <w:pPr>
        <w:spacing w:after="0" w:line="2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27" w:right="339" w:bottom="1440" w:gutter="0" w:footer="0" w:header="0"/>
        </w:sectPr>
      </w:pPr>
    </w:p>
    <w:bookmarkStart w:id="31" w:name="page32"/>
    <w:bookmarkEnd w:id="31"/>
    <w:p>
      <w:pPr>
        <w:jc w:val="both"/>
        <w:ind w:firstLine="486"/>
        <w:spacing w:after="0" w:line="259" w:lineRule="auto"/>
        <w:rPr>
          <w:sz w:val="20"/>
          <w:szCs w:val="20"/>
          <w:color w:val="auto"/>
        </w:rPr>
      </w:pPr>
      <w:r>
        <w:rPr>
          <w:rFonts w:ascii="Arial" w:cs="Arial" w:eastAsia="Arial" w:hAnsi="Arial"/>
          <w:sz w:val="18"/>
          <w:szCs w:val="18"/>
          <w:color w:val="auto"/>
        </w:rPr>
        <w:t>By providing such measures, in addition to the related GAAP measures, we believe we give greater transparency into the information used by our management in its financial and operational decision-making. We also believe it is important for users of our financial information to consider information related to our current financial performance without the effects of certain measures and one-time events that are not necessarily indicative of our current investment portfolio performance and operations.</w:t>
      </w:r>
    </w:p>
    <w:p>
      <w:pPr>
        <w:spacing w:after="0" w:line="133" w:lineRule="exact"/>
        <w:rPr>
          <w:sz w:val="20"/>
          <w:szCs w:val="20"/>
          <w:color w:val="auto"/>
        </w:rPr>
      </w:pPr>
    </w:p>
    <w:p>
      <w:pPr>
        <w:jc w:val="both"/>
        <w:ind w:firstLine="486"/>
        <w:spacing w:after="0" w:line="288" w:lineRule="auto"/>
        <w:rPr>
          <w:sz w:val="20"/>
          <w:szCs w:val="20"/>
          <w:color w:val="auto"/>
        </w:rPr>
      </w:pPr>
      <w:r>
        <w:rPr>
          <w:rFonts w:ascii="Arial" w:cs="Arial" w:eastAsia="Arial" w:hAnsi="Arial"/>
          <w:sz w:val="16"/>
          <w:szCs w:val="16"/>
          <w:color w:val="auto"/>
        </w:rPr>
        <w:t>Specifically, in the case of "adjusted net interest and dollar roll income," we believe the inclusion of TBA dollar roll income is meaningful as TBAs, which are accounted for under GAAP as derivative instruments with gains and losses recognized in other gain (loss) in our consolidated statement of comprehensive income, are economically equivalent to holding and financing generic Agency RMBS using short-term repurchase agreements. Similarly, we believe that the inclusion of periodic interest rate swap settlements in "economic interest expense" is meaningful as interest rate swaps are the primary instrument we use to economically hedge against fluctuations in our borrowing costs and it is more indicative of our total cost of funds than interest expense alone. In the case of "economic interest income" and "net spread and dollar roll income, excluding 'catch-up' premium amortization," we believe the exclusion of "catch-up" adjustments to premium amortization cost or benefit is meaningful as it excludes the cumulative effect from prior reporting periods due to current changes in future prepayment expectations and, therefore, exclusion of such cost or benefit is more indicative of the current earnings potential of our investment portfolio. In the case of estimated taxable income, we believe it is meaningful information because it directly relates to the amount of dividends that we are required to distribute to maintain our REIT qualification status.</w:t>
      </w:r>
    </w:p>
    <w:p>
      <w:pPr>
        <w:spacing w:after="0" w:line="114" w:lineRule="exact"/>
        <w:rPr>
          <w:sz w:val="20"/>
          <w:szCs w:val="20"/>
          <w:color w:val="auto"/>
        </w:rPr>
      </w:pPr>
    </w:p>
    <w:p>
      <w:pPr>
        <w:jc w:val="both"/>
        <w:ind w:firstLine="486"/>
        <w:spacing w:after="0" w:line="257" w:lineRule="auto"/>
        <w:rPr>
          <w:sz w:val="20"/>
          <w:szCs w:val="20"/>
          <w:color w:val="auto"/>
        </w:rPr>
      </w:pPr>
      <w:r>
        <w:rPr>
          <w:rFonts w:ascii="Arial" w:cs="Arial" w:eastAsia="Arial" w:hAnsi="Arial"/>
          <w:sz w:val="18"/>
          <w:szCs w:val="18"/>
          <w:color w:val="auto"/>
        </w:rPr>
        <w:t>However, because such measures are incomplete measures of our financial performance and involve differences from results computed in accordance with GAAP, they should be considered as supplementary to, and not as a substitute for, results computed in accordance with GAAP. In addition, because not all companies use identical calculations, our presentation of such non-GAAP measures may not be comparable to other similarly-titled measures of other companies. Furthermore, estimated taxable income can include certain information that is subject to potential adjustments up to the time of filing our income tax returns, which occurs after the end of our fiscal year.</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Selected Financial Data</w:t>
      </w:r>
    </w:p>
    <w:p>
      <w:pPr>
        <w:spacing w:after="0" w:line="239" w:lineRule="exact"/>
        <w:rPr>
          <w:sz w:val="20"/>
          <w:szCs w:val="20"/>
          <w:color w:val="auto"/>
        </w:rPr>
      </w:pPr>
    </w:p>
    <w:p>
      <w:pPr>
        <w:jc w:val="both"/>
        <w:ind w:right="180" w:firstLine="445"/>
        <w:spacing w:after="0" w:line="250" w:lineRule="auto"/>
        <w:rPr>
          <w:sz w:val="20"/>
          <w:szCs w:val="20"/>
          <w:color w:val="auto"/>
        </w:rPr>
      </w:pPr>
      <w:r>
        <w:rPr>
          <w:rFonts w:ascii="Arial" w:cs="Arial" w:eastAsia="Arial" w:hAnsi="Arial"/>
          <w:sz w:val="17"/>
          <w:szCs w:val="17"/>
          <w:color w:val="auto"/>
        </w:rPr>
        <w:t>The following selected financial data is derived from our interim consolidated financial statements and the notes thereto. The tables below present our condensed consolidated balance sheets as of June 30, 2022 and December 31, 2021 and condensed consolidated statements of comprehensive income and key statistics for the three and six months ended June 30, 2022 and 2021 (in millions, except per share amounts):</w:t>
      </w:r>
    </w:p>
    <w:p>
      <w:pPr>
        <w:spacing w:after="0" w:line="2" w:lineRule="exact"/>
        <w:rPr>
          <w:sz w:val="20"/>
          <w:szCs w:val="20"/>
          <w:color w:val="auto"/>
        </w:rPr>
      </w:pPr>
    </w:p>
    <w:tbl>
      <w:tblPr>
        <w:tblLayout w:type="fixed"/>
        <w:tblInd w:w="780" w:type="dxa"/>
        <w:tblCellMar>
          <w:top w:w="0" w:type="dxa"/>
          <w:left w:w="0" w:type="dxa"/>
          <w:bottom w:w="0" w:type="dxa"/>
          <w:right w:w="0" w:type="dxa"/>
        </w:tblCellMar>
      </w:tblPr>
      <w:tr>
        <w:trPr>
          <w:trHeight w:val="186"/>
        </w:trPr>
        <w:tc>
          <w:tcPr>
            <w:tcW w:w="4880" w:type="dxa"/>
            <w:vAlign w:val="bottom"/>
          </w:tcPr>
          <w:p>
            <w:pPr>
              <w:spacing w:after="0"/>
              <w:rPr>
                <w:sz w:val="16"/>
                <w:szCs w:val="16"/>
                <w:color w:val="auto"/>
              </w:rPr>
            </w:pPr>
          </w:p>
        </w:tc>
        <w:tc>
          <w:tcPr>
            <w:tcW w:w="2140" w:type="dxa"/>
            <w:vAlign w:val="bottom"/>
          </w:tcPr>
          <w:p>
            <w:pPr>
              <w:spacing w:after="0"/>
              <w:rPr>
                <w:sz w:val="16"/>
                <w:szCs w:val="16"/>
                <w:color w:val="auto"/>
              </w:rPr>
            </w:pPr>
          </w:p>
        </w:tc>
        <w:tc>
          <w:tcPr>
            <w:tcW w:w="126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2"/>
              </w:rPr>
              <w:t>June 30,</w:t>
            </w:r>
          </w:p>
        </w:tc>
        <w:tc>
          <w:tcPr>
            <w:tcW w:w="200" w:type="dxa"/>
            <w:vAlign w:val="bottom"/>
          </w:tcPr>
          <w:p>
            <w:pPr>
              <w:spacing w:after="0"/>
              <w:rPr>
                <w:sz w:val="16"/>
                <w:szCs w:val="16"/>
                <w:color w:val="auto"/>
              </w:rPr>
            </w:pPr>
          </w:p>
        </w:tc>
        <w:tc>
          <w:tcPr>
            <w:tcW w:w="1220" w:type="dxa"/>
            <w:vAlign w:val="bottom"/>
          </w:tcPr>
          <w:p>
            <w:pPr>
              <w:jc w:val="right"/>
              <w:ind w:right="221"/>
              <w:spacing w:after="0"/>
              <w:rPr>
                <w:sz w:val="20"/>
                <w:szCs w:val="20"/>
                <w:color w:val="auto"/>
              </w:rPr>
            </w:pPr>
            <w:r>
              <w:rPr>
                <w:rFonts w:ascii="Arial" w:cs="Arial" w:eastAsia="Arial" w:hAnsi="Arial"/>
                <w:sz w:val="14"/>
                <w:szCs w:val="14"/>
                <w:b w:val="1"/>
                <w:bCs w:val="1"/>
                <w:color w:val="auto"/>
                <w:w w:val="98"/>
              </w:rPr>
              <w:t>December 31,</w:t>
            </w:r>
          </w:p>
        </w:tc>
      </w:tr>
      <w:tr>
        <w:trPr>
          <w:trHeight w:val="195"/>
        </w:trPr>
        <w:tc>
          <w:tcPr>
            <w:tcW w:w="488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Balance Sheet Data</w:t>
            </w:r>
          </w:p>
        </w:tc>
        <w:tc>
          <w:tcPr>
            <w:tcW w:w="214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center"/>
              <w:ind w:right="121"/>
              <w:spacing w:after="0"/>
              <w:rPr>
                <w:sz w:val="20"/>
                <w:szCs w:val="20"/>
                <w:color w:val="auto"/>
              </w:rPr>
            </w:pPr>
            <w:r>
              <w:rPr>
                <w:rFonts w:ascii="Arial" w:cs="Arial" w:eastAsia="Arial" w:hAnsi="Arial"/>
                <w:sz w:val="14"/>
                <w:szCs w:val="14"/>
                <w:b w:val="1"/>
                <w:bCs w:val="1"/>
                <w:color w:val="auto"/>
                <w:w w:val="89"/>
              </w:rPr>
              <w:t>2022</w:t>
            </w:r>
          </w:p>
        </w:tc>
        <w:tc>
          <w:tcPr>
            <w:tcW w:w="10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right"/>
              <w:ind w:right="481"/>
              <w:spacing w:after="0"/>
              <w:rPr>
                <w:sz w:val="20"/>
                <w:szCs w:val="20"/>
                <w:color w:val="auto"/>
              </w:rPr>
            </w:pPr>
            <w:r>
              <w:rPr>
                <w:rFonts w:ascii="Arial" w:cs="Arial" w:eastAsia="Arial" w:hAnsi="Arial"/>
                <w:sz w:val="14"/>
                <w:szCs w:val="14"/>
                <w:b w:val="1"/>
                <w:bCs w:val="1"/>
                <w:color w:val="auto"/>
              </w:rPr>
              <w:t>2021</w:t>
            </w:r>
          </w:p>
        </w:tc>
      </w:tr>
      <w:tr>
        <w:trPr>
          <w:trHeight w:val="213"/>
        </w:trPr>
        <w:tc>
          <w:tcPr>
            <w:tcW w:w="488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1260" w:type="dxa"/>
            <w:vAlign w:val="bottom"/>
            <w:gridSpan w:val="2"/>
          </w:tcPr>
          <w:p>
            <w:pPr>
              <w:jc w:val="center"/>
              <w:ind w:right="280"/>
              <w:spacing w:after="0"/>
              <w:rPr>
                <w:sz w:val="20"/>
                <w:szCs w:val="20"/>
                <w:color w:val="auto"/>
              </w:rPr>
            </w:pPr>
            <w:r>
              <w:rPr>
                <w:rFonts w:ascii="Arial" w:cs="Arial" w:eastAsia="Arial" w:hAnsi="Arial"/>
                <w:sz w:val="16"/>
                <w:szCs w:val="16"/>
                <w:color w:val="auto"/>
                <w:w w:val="93"/>
              </w:rPr>
              <w:t>(Unaudited)</w:t>
            </w:r>
          </w:p>
        </w:tc>
        <w:tc>
          <w:tcPr>
            <w:tcW w:w="200" w:type="dxa"/>
            <w:vAlign w:val="bottom"/>
          </w:tcPr>
          <w:p>
            <w:pPr>
              <w:spacing w:after="0"/>
              <w:rPr>
                <w:sz w:val="18"/>
                <w:szCs w:val="18"/>
                <w:color w:val="auto"/>
              </w:rPr>
            </w:pPr>
          </w:p>
        </w:tc>
        <w:tc>
          <w:tcPr>
            <w:tcW w:w="1220" w:type="dxa"/>
            <w:vAlign w:val="bottom"/>
          </w:tcPr>
          <w:p>
            <w:pPr>
              <w:spacing w:after="0"/>
              <w:rPr>
                <w:sz w:val="18"/>
                <w:szCs w:val="18"/>
                <w:color w:val="auto"/>
              </w:rPr>
            </w:pPr>
          </w:p>
        </w:tc>
      </w:tr>
      <w:tr>
        <w:trPr>
          <w:trHeight w:val="219"/>
        </w:trPr>
        <w:tc>
          <w:tcPr>
            <w:tcW w:w="4880" w:type="dxa"/>
            <w:vAlign w:val="bottom"/>
            <w:shd w:val="clear" w:color="auto" w:fill="CCEEFF"/>
          </w:tcPr>
          <w:p>
            <w:pPr>
              <w:ind w:left="20"/>
              <w:spacing w:after="0"/>
              <w:rPr>
                <w:sz w:val="20"/>
                <w:szCs w:val="20"/>
                <w:color w:val="auto"/>
              </w:rPr>
            </w:pPr>
            <w:r>
              <w:rPr>
                <w:rFonts w:ascii="Arial" w:cs="Arial" w:eastAsia="Arial" w:hAnsi="Arial"/>
                <w:sz w:val="16"/>
                <w:szCs w:val="16"/>
                <w:color w:val="auto"/>
              </w:rPr>
              <w:t>Investment securities, at fair value</w:t>
            </w:r>
          </w:p>
        </w:tc>
        <w:tc>
          <w:tcPr>
            <w:tcW w:w="21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45,401</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22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54,421</w:t>
            </w:r>
          </w:p>
        </w:tc>
      </w:tr>
      <w:tr>
        <w:trPr>
          <w:trHeight w:val="213"/>
        </w:trPr>
        <w:tc>
          <w:tcPr>
            <w:tcW w:w="4880" w:type="dxa"/>
            <w:vAlign w:val="bottom"/>
          </w:tcPr>
          <w:p>
            <w:pPr>
              <w:ind w:left="20"/>
              <w:spacing w:after="0"/>
              <w:rPr>
                <w:sz w:val="20"/>
                <w:szCs w:val="20"/>
                <w:color w:val="auto"/>
              </w:rPr>
            </w:pPr>
            <w:r>
              <w:rPr>
                <w:rFonts w:ascii="Arial" w:cs="Arial" w:eastAsia="Arial" w:hAnsi="Arial"/>
                <w:sz w:val="16"/>
                <w:szCs w:val="16"/>
                <w:color w:val="auto"/>
              </w:rPr>
              <w:t>Total assets</w:t>
            </w:r>
          </w:p>
        </w:tc>
        <w:tc>
          <w:tcPr>
            <w:tcW w:w="21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160" w:type="dxa"/>
            <w:vAlign w:val="bottom"/>
          </w:tcPr>
          <w:p>
            <w:pPr>
              <w:jc w:val="right"/>
              <w:spacing w:after="0"/>
              <w:rPr>
                <w:sz w:val="20"/>
                <w:szCs w:val="20"/>
                <w:color w:val="auto"/>
              </w:rPr>
            </w:pPr>
            <w:r>
              <w:rPr>
                <w:rFonts w:ascii="Arial" w:cs="Arial" w:eastAsia="Arial" w:hAnsi="Arial"/>
                <w:sz w:val="16"/>
                <w:szCs w:val="16"/>
                <w:color w:val="auto"/>
              </w:rPr>
              <w:t>61,240</w:t>
            </w:r>
          </w:p>
        </w:tc>
        <w:tc>
          <w:tcPr>
            <w:tcW w:w="100" w:type="dxa"/>
            <w:vAlign w:val="bottom"/>
          </w:tcPr>
          <w:p>
            <w:pPr>
              <w:spacing w:after="0"/>
              <w:rPr>
                <w:sz w:val="18"/>
                <w:szCs w:val="18"/>
                <w:color w:val="auto"/>
              </w:rPr>
            </w:pPr>
          </w:p>
        </w:tc>
        <w:tc>
          <w:tcPr>
            <w:tcW w:w="200" w:type="dxa"/>
            <w:vAlign w:val="bottom"/>
          </w:tcPr>
          <w:p>
            <w:pPr>
              <w:jc w:val="right"/>
              <w:ind w:right="19"/>
              <w:spacing w:after="0"/>
              <w:rPr>
                <w:sz w:val="20"/>
                <w:szCs w:val="20"/>
                <w:color w:val="auto"/>
              </w:rPr>
            </w:pPr>
            <w:r>
              <w:rPr>
                <w:rFonts w:ascii="Arial" w:cs="Arial" w:eastAsia="Arial" w:hAnsi="Arial"/>
                <w:sz w:val="16"/>
                <w:szCs w:val="16"/>
                <w:color w:val="auto"/>
                <w:w w:val="89"/>
              </w:rPr>
              <w:t>$</w:t>
            </w:r>
          </w:p>
        </w:tc>
        <w:tc>
          <w:tcPr>
            <w:tcW w:w="1220" w:type="dxa"/>
            <w:vAlign w:val="bottom"/>
          </w:tcPr>
          <w:p>
            <w:pPr>
              <w:jc w:val="right"/>
              <w:ind w:right="1"/>
              <w:spacing w:after="0"/>
              <w:rPr>
                <w:sz w:val="20"/>
                <w:szCs w:val="20"/>
                <w:color w:val="auto"/>
              </w:rPr>
            </w:pPr>
            <w:r>
              <w:rPr>
                <w:rFonts w:ascii="Arial" w:cs="Arial" w:eastAsia="Arial" w:hAnsi="Arial"/>
                <w:sz w:val="16"/>
                <w:szCs w:val="16"/>
                <w:color w:val="auto"/>
              </w:rPr>
              <w:t>68,149</w:t>
            </w:r>
          </w:p>
        </w:tc>
      </w:tr>
      <w:tr>
        <w:trPr>
          <w:trHeight w:val="219"/>
        </w:trPr>
        <w:tc>
          <w:tcPr>
            <w:tcW w:w="4880" w:type="dxa"/>
            <w:vAlign w:val="bottom"/>
            <w:shd w:val="clear" w:color="auto" w:fill="CCEEFF"/>
          </w:tcPr>
          <w:p>
            <w:pPr>
              <w:ind w:left="20"/>
              <w:spacing w:after="0"/>
              <w:rPr>
                <w:sz w:val="20"/>
                <w:szCs w:val="20"/>
                <w:color w:val="auto"/>
              </w:rPr>
            </w:pPr>
            <w:r>
              <w:rPr>
                <w:rFonts w:ascii="Arial" w:cs="Arial" w:eastAsia="Arial" w:hAnsi="Arial"/>
                <w:sz w:val="16"/>
                <w:szCs w:val="16"/>
                <w:color w:val="auto"/>
              </w:rPr>
              <w:t>Repurchase agreements and other debt</w:t>
            </w:r>
          </w:p>
        </w:tc>
        <w:tc>
          <w:tcPr>
            <w:tcW w:w="21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43,260</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22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47,507</w:t>
            </w:r>
          </w:p>
        </w:tc>
      </w:tr>
      <w:tr>
        <w:trPr>
          <w:trHeight w:val="213"/>
        </w:trPr>
        <w:tc>
          <w:tcPr>
            <w:tcW w:w="4880" w:type="dxa"/>
            <w:vAlign w:val="bottom"/>
          </w:tcPr>
          <w:p>
            <w:pPr>
              <w:ind w:left="20"/>
              <w:spacing w:after="0"/>
              <w:rPr>
                <w:sz w:val="20"/>
                <w:szCs w:val="20"/>
                <w:color w:val="auto"/>
              </w:rPr>
            </w:pPr>
            <w:r>
              <w:rPr>
                <w:rFonts w:ascii="Arial" w:cs="Arial" w:eastAsia="Arial" w:hAnsi="Arial"/>
                <w:sz w:val="16"/>
                <w:szCs w:val="16"/>
                <w:color w:val="auto"/>
              </w:rPr>
              <w:t>Total liabilities</w:t>
            </w:r>
          </w:p>
        </w:tc>
        <w:tc>
          <w:tcPr>
            <w:tcW w:w="21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160" w:type="dxa"/>
            <w:vAlign w:val="bottom"/>
          </w:tcPr>
          <w:p>
            <w:pPr>
              <w:jc w:val="right"/>
              <w:spacing w:after="0"/>
              <w:rPr>
                <w:sz w:val="20"/>
                <w:szCs w:val="20"/>
                <w:color w:val="auto"/>
              </w:rPr>
            </w:pPr>
            <w:r>
              <w:rPr>
                <w:rFonts w:ascii="Arial" w:cs="Arial" w:eastAsia="Arial" w:hAnsi="Arial"/>
                <w:sz w:val="16"/>
                <w:szCs w:val="16"/>
                <w:color w:val="auto"/>
              </w:rPr>
              <w:t>53,200</w:t>
            </w:r>
          </w:p>
        </w:tc>
        <w:tc>
          <w:tcPr>
            <w:tcW w:w="100" w:type="dxa"/>
            <w:vAlign w:val="bottom"/>
          </w:tcPr>
          <w:p>
            <w:pPr>
              <w:spacing w:after="0"/>
              <w:rPr>
                <w:sz w:val="18"/>
                <w:szCs w:val="18"/>
                <w:color w:val="auto"/>
              </w:rPr>
            </w:pPr>
          </w:p>
        </w:tc>
        <w:tc>
          <w:tcPr>
            <w:tcW w:w="200" w:type="dxa"/>
            <w:vAlign w:val="bottom"/>
          </w:tcPr>
          <w:p>
            <w:pPr>
              <w:jc w:val="right"/>
              <w:ind w:right="19"/>
              <w:spacing w:after="0"/>
              <w:rPr>
                <w:sz w:val="20"/>
                <w:szCs w:val="20"/>
                <w:color w:val="auto"/>
              </w:rPr>
            </w:pPr>
            <w:r>
              <w:rPr>
                <w:rFonts w:ascii="Arial" w:cs="Arial" w:eastAsia="Arial" w:hAnsi="Arial"/>
                <w:sz w:val="16"/>
                <w:szCs w:val="16"/>
                <w:color w:val="auto"/>
                <w:w w:val="89"/>
              </w:rPr>
              <w:t>$</w:t>
            </w:r>
          </w:p>
        </w:tc>
        <w:tc>
          <w:tcPr>
            <w:tcW w:w="1220" w:type="dxa"/>
            <w:vAlign w:val="bottom"/>
          </w:tcPr>
          <w:p>
            <w:pPr>
              <w:jc w:val="right"/>
              <w:ind w:right="1"/>
              <w:spacing w:after="0"/>
              <w:rPr>
                <w:sz w:val="20"/>
                <w:szCs w:val="20"/>
                <w:color w:val="auto"/>
              </w:rPr>
            </w:pPr>
            <w:r>
              <w:rPr>
                <w:rFonts w:ascii="Arial" w:cs="Arial" w:eastAsia="Arial" w:hAnsi="Arial"/>
                <w:sz w:val="16"/>
                <w:szCs w:val="16"/>
                <w:color w:val="auto"/>
              </w:rPr>
              <w:t>57,858</w:t>
            </w:r>
          </w:p>
        </w:tc>
      </w:tr>
      <w:tr>
        <w:trPr>
          <w:trHeight w:val="219"/>
        </w:trPr>
        <w:tc>
          <w:tcPr>
            <w:tcW w:w="4880" w:type="dxa"/>
            <w:vAlign w:val="bottom"/>
            <w:shd w:val="clear" w:color="auto" w:fill="CCEEFF"/>
          </w:tcPr>
          <w:p>
            <w:pPr>
              <w:ind w:left="20"/>
              <w:spacing w:after="0"/>
              <w:rPr>
                <w:sz w:val="20"/>
                <w:szCs w:val="20"/>
                <w:color w:val="auto"/>
              </w:rPr>
            </w:pPr>
            <w:r>
              <w:rPr>
                <w:rFonts w:ascii="Arial" w:cs="Arial" w:eastAsia="Arial" w:hAnsi="Arial"/>
                <w:sz w:val="16"/>
                <w:szCs w:val="16"/>
                <w:color w:val="auto"/>
              </w:rPr>
              <w:t>Total stockholders' equity</w:t>
            </w:r>
          </w:p>
        </w:tc>
        <w:tc>
          <w:tcPr>
            <w:tcW w:w="21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8,040</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22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10,291</w:t>
            </w:r>
          </w:p>
        </w:tc>
      </w:tr>
      <w:tr>
        <w:trPr>
          <w:trHeight w:val="216"/>
        </w:trPr>
        <w:tc>
          <w:tcPr>
            <w:tcW w:w="4880" w:type="dxa"/>
            <w:vAlign w:val="bottom"/>
          </w:tcPr>
          <w:p>
            <w:pPr>
              <w:ind w:left="20"/>
              <w:spacing w:after="0" w:line="216" w:lineRule="exact"/>
              <w:rPr>
                <w:sz w:val="20"/>
                <w:szCs w:val="20"/>
                <w:color w:val="auto"/>
              </w:rPr>
            </w:pPr>
            <w:r>
              <w:rPr>
                <w:rFonts w:ascii="Arial" w:cs="Arial" w:eastAsia="Arial" w:hAnsi="Arial"/>
                <w:sz w:val="16"/>
                <w:szCs w:val="16"/>
                <w:color w:val="auto"/>
              </w:rPr>
              <w:t xml:space="preserve">Net book value per common share </w:t>
            </w:r>
            <w:r>
              <w:rPr>
                <w:rFonts w:ascii="Arial" w:cs="Arial" w:eastAsia="Arial" w:hAnsi="Arial"/>
                <w:sz w:val="21"/>
                <w:szCs w:val="21"/>
                <w:color w:val="auto"/>
                <w:vertAlign w:val="superscript"/>
              </w:rPr>
              <w:t>1</w:t>
            </w:r>
          </w:p>
        </w:tc>
        <w:tc>
          <w:tcPr>
            <w:tcW w:w="21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160" w:type="dxa"/>
            <w:vAlign w:val="bottom"/>
          </w:tcPr>
          <w:p>
            <w:pPr>
              <w:jc w:val="right"/>
              <w:spacing w:after="0"/>
              <w:rPr>
                <w:sz w:val="20"/>
                <w:szCs w:val="20"/>
                <w:color w:val="auto"/>
              </w:rPr>
            </w:pPr>
            <w:r>
              <w:rPr>
                <w:rFonts w:ascii="Arial" w:cs="Arial" w:eastAsia="Arial" w:hAnsi="Arial"/>
                <w:sz w:val="16"/>
                <w:szCs w:val="16"/>
                <w:color w:val="auto"/>
              </w:rPr>
              <w:t>12.44</w:t>
            </w:r>
          </w:p>
        </w:tc>
        <w:tc>
          <w:tcPr>
            <w:tcW w:w="100" w:type="dxa"/>
            <w:vAlign w:val="bottom"/>
          </w:tcPr>
          <w:p>
            <w:pPr>
              <w:spacing w:after="0"/>
              <w:rPr>
                <w:sz w:val="18"/>
                <w:szCs w:val="18"/>
                <w:color w:val="auto"/>
              </w:rPr>
            </w:pPr>
          </w:p>
        </w:tc>
        <w:tc>
          <w:tcPr>
            <w:tcW w:w="200" w:type="dxa"/>
            <w:vAlign w:val="bottom"/>
          </w:tcPr>
          <w:p>
            <w:pPr>
              <w:jc w:val="right"/>
              <w:ind w:right="19"/>
              <w:spacing w:after="0"/>
              <w:rPr>
                <w:sz w:val="20"/>
                <w:szCs w:val="20"/>
                <w:color w:val="auto"/>
              </w:rPr>
            </w:pPr>
            <w:r>
              <w:rPr>
                <w:rFonts w:ascii="Arial" w:cs="Arial" w:eastAsia="Arial" w:hAnsi="Arial"/>
                <w:sz w:val="16"/>
                <w:szCs w:val="16"/>
                <w:color w:val="auto"/>
                <w:w w:val="89"/>
              </w:rPr>
              <w:t>$</w:t>
            </w:r>
          </w:p>
        </w:tc>
        <w:tc>
          <w:tcPr>
            <w:tcW w:w="1220" w:type="dxa"/>
            <w:vAlign w:val="bottom"/>
          </w:tcPr>
          <w:p>
            <w:pPr>
              <w:jc w:val="right"/>
              <w:ind w:right="1"/>
              <w:spacing w:after="0"/>
              <w:rPr>
                <w:sz w:val="20"/>
                <w:szCs w:val="20"/>
                <w:color w:val="auto"/>
              </w:rPr>
            </w:pPr>
            <w:r>
              <w:rPr>
                <w:rFonts w:ascii="Arial" w:cs="Arial" w:eastAsia="Arial" w:hAnsi="Arial"/>
                <w:sz w:val="16"/>
                <w:szCs w:val="16"/>
                <w:color w:val="auto"/>
              </w:rPr>
              <w:t>16.76</w:t>
            </w:r>
          </w:p>
        </w:tc>
      </w:tr>
      <w:tr>
        <w:trPr>
          <w:trHeight w:val="216"/>
        </w:trPr>
        <w:tc>
          <w:tcPr>
            <w:tcW w:w="4880" w:type="dxa"/>
            <w:vAlign w:val="bottom"/>
            <w:shd w:val="clear" w:color="auto" w:fill="CCEEFF"/>
          </w:tcPr>
          <w:p>
            <w:pPr>
              <w:ind w:left="20"/>
              <w:spacing w:after="0" w:line="216" w:lineRule="exact"/>
              <w:rPr>
                <w:sz w:val="20"/>
                <w:szCs w:val="20"/>
                <w:color w:val="auto"/>
              </w:rPr>
            </w:pPr>
            <w:r>
              <w:rPr>
                <w:rFonts w:ascii="Arial" w:cs="Arial" w:eastAsia="Arial" w:hAnsi="Arial"/>
                <w:sz w:val="16"/>
                <w:szCs w:val="16"/>
                <w:color w:val="auto"/>
              </w:rPr>
              <w:t xml:space="preserve">Tangible net book value per common share </w:t>
            </w:r>
            <w:r>
              <w:rPr>
                <w:rFonts w:ascii="Arial" w:cs="Arial" w:eastAsia="Arial" w:hAnsi="Arial"/>
                <w:sz w:val="21"/>
                <w:szCs w:val="21"/>
                <w:color w:val="auto"/>
                <w:vertAlign w:val="superscript"/>
              </w:rPr>
              <w:t>2</w:t>
            </w:r>
          </w:p>
        </w:tc>
        <w:tc>
          <w:tcPr>
            <w:tcW w:w="21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11.43</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22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15.75</w:t>
            </w:r>
          </w:p>
        </w:tc>
      </w:tr>
    </w:tbl>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32" w:name="page33"/>
    <w:bookmarkEnd w:id="32"/>
    <w:tbl>
      <w:tblPr>
        <w:tblLayout w:type="fixed"/>
        <w:tblInd w:w="20" w:type="dxa"/>
        <w:tblCellMar>
          <w:top w:w="0" w:type="dxa"/>
          <w:left w:w="0" w:type="dxa"/>
          <w:bottom w:w="0" w:type="dxa"/>
          <w:right w:w="0" w:type="dxa"/>
        </w:tblCellMar>
      </w:tblPr>
      <w:tr>
        <w:trPr>
          <w:trHeight w:val="161"/>
        </w:trPr>
        <w:tc>
          <w:tcPr>
            <w:tcW w:w="6500" w:type="dxa"/>
            <w:vAlign w:val="bottom"/>
          </w:tcPr>
          <w:p>
            <w:pPr>
              <w:spacing w:after="0"/>
              <w:rPr>
                <w:sz w:val="14"/>
                <w:szCs w:val="14"/>
                <w:color w:val="auto"/>
              </w:rPr>
            </w:pPr>
          </w:p>
        </w:tc>
        <w:tc>
          <w:tcPr>
            <w:tcW w:w="240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5"/>
              </w:rPr>
              <w:t>Three Months Ended</w:t>
            </w:r>
          </w:p>
        </w:tc>
        <w:tc>
          <w:tcPr>
            <w:tcW w:w="2320" w:type="dxa"/>
            <w:vAlign w:val="bottom"/>
            <w:gridSpan w:val="2"/>
          </w:tcPr>
          <w:p>
            <w:pPr>
              <w:jc w:val="center"/>
              <w:spacing w:after="0"/>
              <w:rPr>
                <w:sz w:val="20"/>
                <w:szCs w:val="20"/>
                <w:color w:val="auto"/>
              </w:rPr>
            </w:pPr>
            <w:r>
              <w:rPr>
                <w:rFonts w:ascii="Arial" w:cs="Arial" w:eastAsia="Arial" w:hAnsi="Arial"/>
                <w:sz w:val="14"/>
                <w:szCs w:val="14"/>
                <w:b w:val="1"/>
                <w:bCs w:val="1"/>
                <w:color w:val="auto"/>
                <w:w w:val="92"/>
              </w:rPr>
              <w:t>Six Months Ended</w:t>
            </w:r>
          </w:p>
        </w:tc>
      </w:tr>
      <w:tr>
        <w:trPr>
          <w:trHeight w:val="186"/>
        </w:trPr>
        <w:tc>
          <w:tcPr>
            <w:tcW w:w="650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620" w:type="dxa"/>
            <w:vAlign w:val="bottom"/>
            <w:gridSpan w:val="2"/>
          </w:tcPr>
          <w:p>
            <w:pPr>
              <w:jc w:val="center"/>
              <w:ind w:right="900"/>
              <w:spacing w:after="0"/>
              <w:rPr>
                <w:sz w:val="20"/>
                <w:szCs w:val="20"/>
                <w:color w:val="auto"/>
              </w:rPr>
            </w:pPr>
            <w:r>
              <w:rPr>
                <w:rFonts w:ascii="Arial" w:cs="Arial" w:eastAsia="Arial" w:hAnsi="Arial"/>
                <w:sz w:val="14"/>
                <w:szCs w:val="14"/>
                <w:b w:val="1"/>
                <w:bCs w:val="1"/>
                <w:color w:val="auto"/>
                <w:w w:val="92"/>
              </w:rPr>
              <w:t>June 30,</w:t>
            </w:r>
          </w:p>
        </w:tc>
        <w:tc>
          <w:tcPr>
            <w:tcW w:w="800" w:type="dxa"/>
            <w:vAlign w:val="bottom"/>
          </w:tcPr>
          <w:p>
            <w:pPr>
              <w:spacing w:after="0"/>
              <w:rPr>
                <w:sz w:val="16"/>
                <w:szCs w:val="16"/>
                <w:color w:val="auto"/>
              </w:rPr>
            </w:pPr>
          </w:p>
        </w:tc>
        <w:tc>
          <w:tcPr>
            <w:tcW w:w="1520" w:type="dxa"/>
            <w:vAlign w:val="bottom"/>
          </w:tcPr>
          <w:p>
            <w:pPr>
              <w:jc w:val="center"/>
              <w:ind w:right="728"/>
              <w:spacing w:after="0"/>
              <w:rPr>
                <w:sz w:val="20"/>
                <w:szCs w:val="20"/>
                <w:color w:val="auto"/>
              </w:rPr>
            </w:pPr>
            <w:r>
              <w:rPr>
                <w:rFonts w:ascii="Arial" w:cs="Arial" w:eastAsia="Arial" w:hAnsi="Arial"/>
                <w:sz w:val="14"/>
                <w:szCs w:val="14"/>
                <w:b w:val="1"/>
                <w:bCs w:val="1"/>
                <w:color w:val="auto"/>
                <w:w w:val="92"/>
              </w:rPr>
              <w:t>June 30,</w:t>
            </w:r>
          </w:p>
        </w:tc>
      </w:tr>
      <w:tr>
        <w:trPr>
          <w:trHeight w:val="183"/>
        </w:trPr>
        <w:tc>
          <w:tcPr>
            <w:tcW w:w="6500" w:type="dxa"/>
            <w:vAlign w:val="bottom"/>
          </w:tcPr>
          <w:p>
            <w:pPr>
              <w:spacing w:after="0"/>
              <w:rPr>
                <w:sz w:val="20"/>
                <w:szCs w:val="20"/>
                <w:color w:val="auto"/>
              </w:rPr>
            </w:pPr>
            <w:r>
              <w:rPr>
                <w:rFonts w:ascii="Arial" w:cs="Arial" w:eastAsia="Arial" w:hAnsi="Arial"/>
                <w:sz w:val="14"/>
                <w:szCs w:val="14"/>
                <w:b w:val="1"/>
                <w:bCs w:val="1"/>
                <w:color w:val="auto"/>
              </w:rPr>
              <w:t>Statement of Comprehensive Income Data (Unaudited)</w:t>
            </w:r>
          </w:p>
        </w:tc>
        <w:tc>
          <w:tcPr>
            <w:tcW w:w="78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b w:val="1"/>
                <w:bCs w:val="1"/>
                <w:color w:val="auto"/>
              </w:rPr>
              <w:t>2022</w:t>
            </w:r>
          </w:p>
        </w:tc>
        <w:tc>
          <w:tcPr>
            <w:tcW w:w="1500" w:type="dxa"/>
            <w:vAlign w:val="bottom"/>
            <w:tcBorders>
              <w:top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2021</w:t>
            </w:r>
          </w:p>
        </w:tc>
        <w:tc>
          <w:tcPr>
            <w:tcW w:w="120" w:type="dxa"/>
            <w:vAlign w:val="bottom"/>
          </w:tcPr>
          <w:p>
            <w:pPr>
              <w:spacing w:after="0"/>
              <w:rPr>
                <w:sz w:val="15"/>
                <w:szCs w:val="15"/>
                <w:color w:val="auto"/>
              </w:rPr>
            </w:pPr>
          </w:p>
        </w:tc>
        <w:tc>
          <w:tcPr>
            <w:tcW w:w="80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b w:val="1"/>
                <w:bCs w:val="1"/>
                <w:color w:val="auto"/>
              </w:rPr>
              <w:t>2022</w:t>
            </w:r>
          </w:p>
        </w:tc>
        <w:tc>
          <w:tcPr>
            <w:tcW w:w="1520" w:type="dxa"/>
            <w:vAlign w:val="bottom"/>
            <w:tcBorders>
              <w:top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2021</w:t>
            </w:r>
          </w:p>
        </w:tc>
      </w:tr>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2"/>
        </w:trPr>
        <w:tc>
          <w:tcPr>
            <w:tcW w:w="64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Interest income</w:t>
            </w:r>
          </w:p>
        </w:tc>
        <w:tc>
          <w:tcPr>
            <w:tcW w:w="120" w:type="dxa"/>
            <w:vAlign w:val="bottom"/>
            <w:tcBorders>
              <w:top w:val="single" w:sz="8" w:color="CCEEFF"/>
            </w:tcBorders>
            <w:shd w:val="clear" w:color="auto" w:fill="CCEEFF"/>
          </w:tcPr>
          <w:p>
            <w:pPr>
              <w:spacing w:after="0"/>
              <w:rPr>
                <w:sz w:val="18"/>
                <w:szCs w:val="18"/>
                <w:color w:val="auto"/>
              </w:rPr>
            </w:pPr>
          </w:p>
        </w:tc>
        <w:tc>
          <w:tcPr>
            <w:tcW w:w="380" w:type="dxa"/>
            <w:vAlign w:val="bottom"/>
            <w:tcBorders>
              <w:top w:val="single" w:sz="8" w:color="auto"/>
            </w:tcBorders>
            <w:shd w:val="clear" w:color="auto" w:fill="CCEEFF"/>
          </w:tcPr>
          <w:p>
            <w:pPr>
              <w:jc w:val="right"/>
              <w:ind w:right="199"/>
              <w:spacing w:after="0"/>
              <w:rPr>
                <w:sz w:val="20"/>
                <w:szCs w:val="20"/>
                <w:color w:val="auto"/>
              </w:rPr>
            </w:pPr>
            <w:r>
              <w:rPr>
                <w:rFonts w:ascii="Arial" w:cs="Arial" w:eastAsia="Arial" w:hAnsi="Arial"/>
                <w:sz w:val="16"/>
                <w:szCs w:val="16"/>
                <w:color w:val="auto"/>
                <w:w w:val="89"/>
              </w:rPr>
              <w:t>$</w:t>
            </w: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395</w:t>
            </w:r>
          </w:p>
        </w:tc>
        <w:tc>
          <w:tcPr>
            <w:tcW w:w="120" w:type="dxa"/>
            <w:vAlign w:val="bottom"/>
            <w:tcBorders>
              <w:top w:val="single" w:sz="8" w:color="CCEEFF"/>
            </w:tcBorders>
            <w:shd w:val="clear" w:color="auto" w:fill="CCEEFF"/>
          </w:tcPr>
          <w:p>
            <w:pPr>
              <w:spacing w:after="0"/>
              <w:rPr>
                <w:sz w:val="18"/>
                <w:szCs w:val="18"/>
                <w:color w:val="auto"/>
              </w:rPr>
            </w:pPr>
          </w:p>
        </w:tc>
        <w:tc>
          <w:tcPr>
            <w:tcW w:w="380" w:type="dxa"/>
            <w:vAlign w:val="bottom"/>
            <w:tcBorders>
              <w:top w:val="single" w:sz="8" w:color="auto"/>
            </w:tcBorders>
            <w:shd w:val="clear" w:color="auto" w:fill="CCEEFF"/>
          </w:tcPr>
          <w:p>
            <w:pPr>
              <w:jc w:val="right"/>
              <w:ind w:right="199"/>
              <w:spacing w:after="0"/>
              <w:rPr>
                <w:sz w:val="20"/>
                <w:szCs w:val="20"/>
                <w:color w:val="auto"/>
              </w:rPr>
            </w:pPr>
            <w:r>
              <w:rPr>
                <w:rFonts w:ascii="Arial" w:cs="Arial" w:eastAsia="Arial" w:hAnsi="Arial"/>
                <w:sz w:val="16"/>
                <w:szCs w:val="16"/>
                <w:color w:val="auto"/>
                <w:w w:val="89"/>
              </w:rPr>
              <w:t>$</w:t>
            </w: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249</w:t>
            </w:r>
          </w:p>
        </w:tc>
        <w:tc>
          <w:tcPr>
            <w:tcW w:w="120" w:type="dxa"/>
            <w:vAlign w:val="bottom"/>
            <w:tcBorders>
              <w:top w:val="single" w:sz="8" w:color="CCEEFF"/>
            </w:tcBorders>
            <w:shd w:val="clear" w:color="auto" w:fill="CCEEFF"/>
          </w:tcPr>
          <w:p>
            <w:pPr>
              <w:spacing w:after="0"/>
              <w:rPr>
                <w:sz w:val="18"/>
                <w:szCs w:val="18"/>
                <w:color w:val="auto"/>
              </w:rPr>
            </w:pPr>
          </w:p>
        </w:tc>
        <w:tc>
          <w:tcPr>
            <w:tcW w:w="360" w:type="dxa"/>
            <w:vAlign w:val="bottom"/>
            <w:tcBorders>
              <w:top w:val="single" w:sz="8" w:color="auto"/>
            </w:tcBorders>
            <w:shd w:val="clear" w:color="auto" w:fill="CCEEFF"/>
          </w:tcPr>
          <w:p>
            <w:pPr>
              <w:jc w:val="right"/>
              <w:ind w:right="179"/>
              <w:spacing w:after="0"/>
              <w:rPr>
                <w:sz w:val="20"/>
                <w:szCs w:val="20"/>
                <w:color w:val="auto"/>
              </w:rPr>
            </w:pPr>
            <w:r>
              <w:rPr>
                <w:rFonts w:ascii="Arial" w:cs="Arial" w:eastAsia="Arial" w:hAnsi="Arial"/>
                <w:sz w:val="16"/>
                <w:szCs w:val="16"/>
                <w:color w:val="auto"/>
                <w:w w:val="89"/>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870</w:t>
            </w:r>
          </w:p>
        </w:tc>
        <w:tc>
          <w:tcPr>
            <w:tcW w:w="120" w:type="dxa"/>
            <w:vAlign w:val="bottom"/>
            <w:tcBorders>
              <w:top w:val="single" w:sz="8" w:color="CCEEFF"/>
            </w:tcBorders>
            <w:shd w:val="clear" w:color="auto" w:fill="CCEEFF"/>
          </w:tcPr>
          <w:p>
            <w:pPr>
              <w:spacing w:after="0"/>
              <w:rPr>
                <w:sz w:val="18"/>
                <w:szCs w:val="18"/>
                <w:color w:val="auto"/>
              </w:rPr>
            </w:pPr>
          </w:p>
        </w:tc>
        <w:tc>
          <w:tcPr>
            <w:tcW w:w="380" w:type="dxa"/>
            <w:vAlign w:val="bottom"/>
            <w:tcBorders>
              <w:top w:val="single" w:sz="8" w:color="auto"/>
            </w:tcBorders>
            <w:shd w:val="clear" w:color="auto" w:fill="CCEEFF"/>
          </w:tcPr>
          <w:p>
            <w:pPr>
              <w:jc w:val="right"/>
              <w:ind w:right="199"/>
              <w:spacing w:after="0"/>
              <w:rPr>
                <w:sz w:val="20"/>
                <w:szCs w:val="20"/>
                <w:color w:val="auto"/>
              </w:rPr>
            </w:pPr>
            <w:r>
              <w:rPr>
                <w:rFonts w:ascii="Arial" w:cs="Arial" w:eastAsia="Arial" w:hAnsi="Arial"/>
                <w:sz w:val="16"/>
                <w:szCs w:val="16"/>
                <w:color w:val="auto"/>
                <w:w w:val="89"/>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806</w:t>
            </w:r>
          </w:p>
        </w:tc>
      </w:tr>
      <w:tr>
        <w:trPr>
          <w:trHeight w:val="213"/>
        </w:trPr>
        <w:tc>
          <w:tcPr>
            <w:tcW w:w="652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Interest expense</w:t>
            </w:r>
          </w:p>
        </w:tc>
        <w:tc>
          <w:tcPr>
            <w:tcW w:w="38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80</w:t>
            </w:r>
          </w:p>
        </w:tc>
        <w:tc>
          <w:tcPr>
            <w:tcW w:w="120" w:type="dxa"/>
            <w:vAlign w:val="bottom"/>
            <w:tcBorders>
              <w:bottom w:val="single" w:sz="8" w:color="CCEEFF"/>
            </w:tcBorders>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w:t>
            </w:r>
          </w:p>
        </w:tc>
        <w:tc>
          <w:tcPr>
            <w:tcW w:w="120" w:type="dxa"/>
            <w:vAlign w:val="bottom"/>
            <w:tcBorders>
              <w:bottom w:val="single" w:sz="8" w:color="CCEEFF"/>
            </w:tcBorders>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107</w:t>
            </w:r>
          </w:p>
        </w:tc>
        <w:tc>
          <w:tcPr>
            <w:tcW w:w="120" w:type="dxa"/>
            <w:vAlign w:val="bottom"/>
            <w:tcBorders>
              <w:bottom w:val="single" w:sz="8" w:color="CCEEFF"/>
            </w:tcBorders>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46</w:t>
            </w:r>
          </w:p>
        </w:tc>
      </w:tr>
      <w:tr>
        <w:trPr>
          <w:trHeight w:val="210"/>
        </w:trPr>
        <w:tc>
          <w:tcPr>
            <w:tcW w:w="65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Net interest income</w:t>
            </w:r>
          </w:p>
        </w:tc>
        <w:tc>
          <w:tcPr>
            <w:tcW w:w="38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315</w:t>
            </w:r>
          </w:p>
        </w:tc>
        <w:tc>
          <w:tcPr>
            <w:tcW w:w="120" w:type="dxa"/>
            <w:vAlign w:val="bottom"/>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232</w:t>
            </w:r>
          </w:p>
        </w:tc>
        <w:tc>
          <w:tcPr>
            <w:tcW w:w="120" w:type="dxa"/>
            <w:vAlign w:val="bottom"/>
            <w:shd w:val="clear" w:color="auto" w:fill="CCEEFF"/>
          </w:tcPr>
          <w:p>
            <w:pPr>
              <w:spacing w:after="0"/>
              <w:rPr>
                <w:sz w:val="18"/>
                <w:szCs w:val="18"/>
                <w:color w:val="auto"/>
              </w:rPr>
            </w:pPr>
          </w:p>
        </w:tc>
        <w:tc>
          <w:tcPr>
            <w:tcW w:w="36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763</w:t>
            </w:r>
          </w:p>
        </w:tc>
        <w:tc>
          <w:tcPr>
            <w:tcW w:w="120" w:type="dxa"/>
            <w:vAlign w:val="bottom"/>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760</w:t>
            </w:r>
          </w:p>
        </w:tc>
      </w:tr>
      <w:tr>
        <w:trPr>
          <w:trHeight w:val="209"/>
        </w:trPr>
        <w:tc>
          <w:tcPr>
            <w:tcW w:w="6520" w:type="dxa"/>
            <w:vAlign w:val="bottom"/>
            <w:gridSpan w:val="2"/>
          </w:tcPr>
          <w:p>
            <w:pPr>
              <w:ind w:left="20"/>
              <w:spacing w:after="0"/>
              <w:rPr>
                <w:sz w:val="20"/>
                <w:szCs w:val="20"/>
                <w:color w:val="auto"/>
              </w:rPr>
            </w:pPr>
            <w:r>
              <w:rPr>
                <w:rFonts w:ascii="Arial" w:cs="Arial" w:eastAsia="Arial" w:hAnsi="Arial"/>
                <w:sz w:val="14"/>
                <w:szCs w:val="14"/>
                <w:color w:val="auto"/>
              </w:rPr>
              <w:t>Other gain (loss), net</w:t>
            </w:r>
          </w:p>
        </w:tc>
        <w:tc>
          <w:tcPr>
            <w:tcW w:w="3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(729)</w:t>
            </w: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(621)</w:t>
            </w:r>
          </w:p>
        </w:tc>
        <w:tc>
          <w:tcPr>
            <w:tcW w:w="1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6"/>
                <w:szCs w:val="16"/>
                <w:color w:val="auto"/>
              </w:rPr>
              <w:t>(1,807)</w:t>
            </w: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(150)</w:t>
            </w:r>
          </w:p>
        </w:tc>
      </w:tr>
      <w:tr>
        <w:trPr>
          <w:trHeight w:val="216"/>
        </w:trPr>
        <w:tc>
          <w:tcPr>
            <w:tcW w:w="65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Operating expenses</w:t>
            </w:r>
          </w:p>
        </w:tc>
        <w:tc>
          <w:tcPr>
            <w:tcW w:w="38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20</w:t>
            </w:r>
          </w:p>
        </w:tc>
        <w:tc>
          <w:tcPr>
            <w:tcW w:w="120" w:type="dxa"/>
            <w:vAlign w:val="bottom"/>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22</w:t>
            </w:r>
          </w:p>
        </w:tc>
        <w:tc>
          <w:tcPr>
            <w:tcW w:w="120" w:type="dxa"/>
            <w:vAlign w:val="bottom"/>
            <w:shd w:val="clear" w:color="auto" w:fill="CCEEFF"/>
          </w:tcPr>
          <w:p>
            <w:pPr>
              <w:spacing w:after="0"/>
              <w:rPr>
                <w:sz w:val="18"/>
                <w:szCs w:val="18"/>
                <w:color w:val="auto"/>
              </w:rPr>
            </w:pPr>
          </w:p>
        </w:tc>
        <w:tc>
          <w:tcPr>
            <w:tcW w:w="36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41</w:t>
            </w:r>
          </w:p>
        </w:tc>
        <w:tc>
          <w:tcPr>
            <w:tcW w:w="120" w:type="dxa"/>
            <w:vAlign w:val="bottom"/>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46</w:t>
            </w:r>
          </w:p>
        </w:tc>
      </w:tr>
      <w:tr>
        <w:trPr>
          <w:trHeight w:val="210"/>
        </w:trPr>
        <w:tc>
          <w:tcPr>
            <w:tcW w:w="6520" w:type="dxa"/>
            <w:vAlign w:val="bottom"/>
            <w:gridSpan w:val="2"/>
          </w:tcPr>
          <w:p>
            <w:pPr>
              <w:ind w:left="20"/>
              <w:spacing w:after="0"/>
              <w:rPr>
                <w:sz w:val="20"/>
                <w:szCs w:val="20"/>
                <w:color w:val="auto"/>
              </w:rPr>
            </w:pPr>
            <w:r>
              <w:rPr>
                <w:rFonts w:ascii="Arial" w:cs="Arial" w:eastAsia="Arial" w:hAnsi="Arial"/>
                <w:sz w:val="14"/>
                <w:szCs w:val="14"/>
                <w:color w:val="auto"/>
              </w:rPr>
              <w:t>Net income (loss)</w:t>
            </w:r>
          </w:p>
        </w:tc>
        <w:tc>
          <w:tcPr>
            <w:tcW w:w="3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(434)</w:t>
            </w: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(411)</w:t>
            </w:r>
          </w:p>
        </w:tc>
        <w:tc>
          <w:tcPr>
            <w:tcW w:w="1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6"/>
                <w:szCs w:val="16"/>
                <w:color w:val="auto"/>
              </w:rPr>
              <w:t>(1,085)</w:t>
            </w: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564</w:t>
            </w:r>
          </w:p>
        </w:tc>
      </w:tr>
      <w:tr>
        <w:trPr>
          <w:trHeight w:val="216"/>
        </w:trPr>
        <w:tc>
          <w:tcPr>
            <w:tcW w:w="65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Dividends on preferred stock</w:t>
            </w:r>
          </w:p>
        </w:tc>
        <w:tc>
          <w:tcPr>
            <w:tcW w:w="38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25</w:t>
            </w:r>
          </w:p>
        </w:tc>
        <w:tc>
          <w:tcPr>
            <w:tcW w:w="120" w:type="dxa"/>
            <w:vAlign w:val="bottom"/>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25</w:t>
            </w:r>
          </w:p>
        </w:tc>
        <w:tc>
          <w:tcPr>
            <w:tcW w:w="120" w:type="dxa"/>
            <w:vAlign w:val="bottom"/>
            <w:shd w:val="clear" w:color="auto" w:fill="CCEEFF"/>
          </w:tcPr>
          <w:p>
            <w:pPr>
              <w:spacing w:after="0"/>
              <w:rPr>
                <w:sz w:val="18"/>
                <w:szCs w:val="18"/>
                <w:color w:val="auto"/>
              </w:rPr>
            </w:pPr>
          </w:p>
        </w:tc>
        <w:tc>
          <w:tcPr>
            <w:tcW w:w="36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50</w:t>
            </w:r>
          </w:p>
        </w:tc>
        <w:tc>
          <w:tcPr>
            <w:tcW w:w="120" w:type="dxa"/>
            <w:vAlign w:val="bottom"/>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50</w:t>
            </w:r>
          </w:p>
        </w:tc>
      </w:tr>
      <w:tr>
        <w:trPr>
          <w:trHeight w:val="213"/>
        </w:trPr>
        <w:tc>
          <w:tcPr>
            <w:tcW w:w="6520" w:type="dxa"/>
            <w:vAlign w:val="bottom"/>
            <w:gridSpan w:val="2"/>
          </w:tcPr>
          <w:p>
            <w:pPr>
              <w:ind w:left="20"/>
              <w:spacing w:after="0"/>
              <w:rPr>
                <w:sz w:val="20"/>
                <w:szCs w:val="20"/>
                <w:color w:val="auto"/>
              </w:rPr>
            </w:pPr>
            <w:r>
              <w:rPr>
                <w:rFonts w:ascii="Arial" w:cs="Arial" w:eastAsia="Arial" w:hAnsi="Arial"/>
                <w:sz w:val="14"/>
                <w:szCs w:val="14"/>
                <w:color w:val="auto"/>
              </w:rPr>
              <w:t>Net income (loss) available (attributable) to common stockholders</w:t>
            </w:r>
          </w:p>
        </w:tc>
        <w:tc>
          <w:tcPr>
            <w:tcW w:w="38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color w:val="auto"/>
                <w:w w:val="89"/>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(459)</w:t>
            </w:r>
          </w:p>
        </w:tc>
        <w:tc>
          <w:tcPr>
            <w:tcW w:w="120" w:type="dxa"/>
            <w:vAlign w:val="bottom"/>
          </w:tcPr>
          <w:p>
            <w:pPr>
              <w:spacing w:after="0"/>
              <w:rPr>
                <w:sz w:val="18"/>
                <w:szCs w:val="18"/>
                <w:color w:val="auto"/>
              </w:rPr>
            </w:pPr>
          </w:p>
        </w:tc>
        <w:tc>
          <w:tcPr>
            <w:tcW w:w="38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color w:val="auto"/>
                <w:w w:val="89"/>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(436)</w:t>
            </w:r>
          </w:p>
        </w:tc>
        <w:tc>
          <w:tcPr>
            <w:tcW w:w="120" w:type="dxa"/>
            <w:vAlign w:val="bottom"/>
          </w:tcPr>
          <w:p>
            <w:pPr>
              <w:spacing w:after="0"/>
              <w:rPr>
                <w:sz w:val="18"/>
                <w:szCs w:val="18"/>
                <w:color w:val="auto"/>
              </w:rPr>
            </w:pPr>
          </w:p>
        </w:tc>
        <w:tc>
          <w:tcPr>
            <w:tcW w:w="360" w:type="dxa"/>
            <w:vAlign w:val="bottom"/>
            <w:tcBorders>
              <w:bottom w:val="single" w:sz="8" w:color="auto"/>
            </w:tcBorders>
          </w:tcPr>
          <w:p>
            <w:pPr>
              <w:jc w:val="right"/>
              <w:ind w:right="179"/>
              <w:spacing w:after="0"/>
              <w:rPr>
                <w:sz w:val="20"/>
                <w:szCs w:val="20"/>
                <w:color w:val="auto"/>
              </w:rPr>
            </w:pPr>
            <w:r>
              <w:rPr>
                <w:rFonts w:ascii="Arial" w:cs="Arial" w:eastAsia="Arial" w:hAnsi="Arial"/>
                <w:sz w:val="16"/>
                <w:szCs w:val="16"/>
                <w:color w:val="auto"/>
                <w:w w:val="89"/>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(1,135)</w:t>
            </w:r>
          </w:p>
        </w:tc>
        <w:tc>
          <w:tcPr>
            <w:tcW w:w="120" w:type="dxa"/>
            <w:vAlign w:val="bottom"/>
          </w:tcPr>
          <w:p>
            <w:pPr>
              <w:spacing w:after="0"/>
              <w:rPr>
                <w:sz w:val="18"/>
                <w:szCs w:val="18"/>
                <w:color w:val="auto"/>
              </w:rPr>
            </w:pPr>
          </w:p>
        </w:tc>
        <w:tc>
          <w:tcPr>
            <w:tcW w:w="38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color w:val="auto"/>
                <w:w w:val="89"/>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514</w:t>
            </w:r>
          </w:p>
        </w:tc>
      </w:tr>
      <w:tr>
        <w:trPr>
          <w:trHeight w:val="20"/>
        </w:trPr>
        <w:tc>
          <w:tcPr>
            <w:tcW w:w="64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r>
        <w:trPr>
          <w:trHeight w:val="223"/>
        </w:trPr>
        <w:tc>
          <w:tcPr>
            <w:tcW w:w="64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7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r>
      <w:tr>
        <w:trPr>
          <w:trHeight w:val="213"/>
        </w:trPr>
        <w:tc>
          <w:tcPr>
            <w:tcW w:w="6520" w:type="dxa"/>
            <w:vAlign w:val="bottom"/>
            <w:gridSpan w:val="2"/>
          </w:tcPr>
          <w:p>
            <w:pPr>
              <w:ind w:left="20"/>
              <w:spacing w:after="0"/>
              <w:rPr>
                <w:sz w:val="20"/>
                <w:szCs w:val="20"/>
                <w:color w:val="auto"/>
              </w:rPr>
            </w:pPr>
            <w:r>
              <w:rPr>
                <w:rFonts w:ascii="Arial" w:cs="Arial" w:eastAsia="Arial" w:hAnsi="Arial"/>
                <w:sz w:val="14"/>
                <w:szCs w:val="14"/>
                <w:color w:val="auto"/>
              </w:rPr>
              <w:t>Net income (loss)</w:t>
            </w:r>
          </w:p>
        </w:tc>
        <w:tc>
          <w:tcPr>
            <w:tcW w:w="380" w:type="dxa"/>
            <w:vAlign w:val="bottom"/>
          </w:tcPr>
          <w:p>
            <w:pPr>
              <w:jc w:val="right"/>
              <w:ind w:right="199"/>
              <w:spacing w:after="0"/>
              <w:rPr>
                <w:sz w:val="20"/>
                <w:szCs w:val="20"/>
                <w:color w:val="auto"/>
              </w:rPr>
            </w:pPr>
            <w:r>
              <w:rPr>
                <w:rFonts w:ascii="Arial" w:cs="Arial" w:eastAsia="Arial" w:hAnsi="Arial"/>
                <w:sz w:val="16"/>
                <w:szCs w:val="16"/>
                <w:color w:val="auto"/>
                <w:w w:val="89"/>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(434)</w:t>
            </w:r>
          </w:p>
        </w:tc>
        <w:tc>
          <w:tcPr>
            <w:tcW w:w="120" w:type="dxa"/>
            <w:vAlign w:val="bottom"/>
          </w:tcPr>
          <w:p>
            <w:pPr>
              <w:spacing w:after="0"/>
              <w:rPr>
                <w:sz w:val="18"/>
                <w:szCs w:val="18"/>
                <w:color w:val="auto"/>
              </w:rPr>
            </w:pPr>
          </w:p>
        </w:tc>
        <w:tc>
          <w:tcPr>
            <w:tcW w:w="380" w:type="dxa"/>
            <w:vAlign w:val="bottom"/>
          </w:tcPr>
          <w:p>
            <w:pPr>
              <w:jc w:val="right"/>
              <w:ind w:right="199"/>
              <w:spacing w:after="0"/>
              <w:rPr>
                <w:sz w:val="20"/>
                <w:szCs w:val="20"/>
                <w:color w:val="auto"/>
              </w:rPr>
            </w:pPr>
            <w:r>
              <w:rPr>
                <w:rFonts w:ascii="Arial" w:cs="Arial" w:eastAsia="Arial" w:hAnsi="Arial"/>
                <w:sz w:val="16"/>
                <w:szCs w:val="16"/>
                <w:color w:val="auto"/>
                <w:w w:val="89"/>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(411)</w:t>
            </w:r>
          </w:p>
        </w:tc>
        <w:tc>
          <w:tcPr>
            <w:tcW w:w="120" w:type="dxa"/>
            <w:vAlign w:val="bottom"/>
          </w:tcPr>
          <w:p>
            <w:pPr>
              <w:spacing w:after="0"/>
              <w:rPr>
                <w:sz w:val="18"/>
                <w:szCs w:val="18"/>
                <w:color w:val="auto"/>
              </w:rPr>
            </w:pPr>
          </w:p>
        </w:tc>
        <w:tc>
          <w:tcPr>
            <w:tcW w:w="360" w:type="dxa"/>
            <w:vAlign w:val="bottom"/>
          </w:tcPr>
          <w:p>
            <w:pPr>
              <w:jc w:val="right"/>
              <w:ind w:right="179"/>
              <w:spacing w:after="0"/>
              <w:rPr>
                <w:sz w:val="20"/>
                <w:szCs w:val="20"/>
                <w:color w:val="auto"/>
              </w:rPr>
            </w:pPr>
            <w:r>
              <w:rPr>
                <w:rFonts w:ascii="Arial" w:cs="Arial" w:eastAsia="Arial" w:hAnsi="Arial"/>
                <w:sz w:val="16"/>
                <w:szCs w:val="16"/>
                <w:color w:val="auto"/>
                <w:w w:val="89"/>
              </w:rPr>
              <w:t>$</w:t>
            </w:r>
          </w:p>
        </w:tc>
        <w:tc>
          <w:tcPr>
            <w:tcW w:w="740" w:type="dxa"/>
            <w:vAlign w:val="bottom"/>
          </w:tcPr>
          <w:p>
            <w:pPr>
              <w:jc w:val="right"/>
              <w:spacing w:after="0"/>
              <w:rPr>
                <w:sz w:val="20"/>
                <w:szCs w:val="20"/>
                <w:color w:val="auto"/>
              </w:rPr>
            </w:pPr>
            <w:r>
              <w:rPr>
                <w:rFonts w:ascii="Arial" w:cs="Arial" w:eastAsia="Arial" w:hAnsi="Arial"/>
                <w:sz w:val="16"/>
                <w:szCs w:val="16"/>
                <w:color w:val="auto"/>
              </w:rPr>
              <w:t>(1,085)</w:t>
            </w:r>
          </w:p>
        </w:tc>
        <w:tc>
          <w:tcPr>
            <w:tcW w:w="120" w:type="dxa"/>
            <w:vAlign w:val="bottom"/>
          </w:tcPr>
          <w:p>
            <w:pPr>
              <w:spacing w:after="0"/>
              <w:rPr>
                <w:sz w:val="18"/>
                <w:szCs w:val="18"/>
                <w:color w:val="auto"/>
              </w:rPr>
            </w:pPr>
          </w:p>
        </w:tc>
        <w:tc>
          <w:tcPr>
            <w:tcW w:w="380" w:type="dxa"/>
            <w:vAlign w:val="bottom"/>
          </w:tcPr>
          <w:p>
            <w:pPr>
              <w:jc w:val="right"/>
              <w:ind w:right="199"/>
              <w:spacing w:after="0"/>
              <w:rPr>
                <w:sz w:val="20"/>
                <w:szCs w:val="20"/>
                <w:color w:val="auto"/>
              </w:rPr>
            </w:pPr>
            <w:r>
              <w:rPr>
                <w:rFonts w:ascii="Arial" w:cs="Arial" w:eastAsia="Arial" w:hAnsi="Arial"/>
                <w:sz w:val="16"/>
                <w:szCs w:val="16"/>
                <w:color w:val="auto"/>
                <w:w w:val="89"/>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564</w:t>
            </w:r>
          </w:p>
        </w:tc>
      </w:tr>
      <w:tr>
        <w:trPr>
          <w:trHeight w:val="216"/>
        </w:trPr>
        <w:tc>
          <w:tcPr>
            <w:tcW w:w="65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Other comprehensive income (loss), net</w:t>
            </w:r>
          </w:p>
        </w:tc>
        <w:tc>
          <w:tcPr>
            <w:tcW w:w="38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(245)</w:t>
            </w:r>
          </w:p>
        </w:tc>
        <w:tc>
          <w:tcPr>
            <w:tcW w:w="120" w:type="dxa"/>
            <w:vAlign w:val="bottom"/>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(77)</w:t>
            </w:r>
          </w:p>
        </w:tc>
        <w:tc>
          <w:tcPr>
            <w:tcW w:w="120" w:type="dxa"/>
            <w:vAlign w:val="bottom"/>
            <w:shd w:val="clear" w:color="auto" w:fill="CCEEFF"/>
          </w:tcPr>
          <w:p>
            <w:pPr>
              <w:spacing w:after="0"/>
              <w:rPr>
                <w:sz w:val="18"/>
                <w:szCs w:val="18"/>
                <w:color w:val="auto"/>
              </w:rPr>
            </w:pPr>
          </w:p>
        </w:tc>
        <w:tc>
          <w:tcPr>
            <w:tcW w:w="36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(736)</w:t>
            </w:r>
          </w:p>
        </w:tc>
        <w:tc>
          <w:tcPr>
            <w:tcW w:w="120" w:type="dxa"/>
            <w:vAlign w:val="bottom"/>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(314)</w:t>
            </w:r>
          </w:p>
        </w:tc>
      </w:tr>
      <w:tr>
        <w:trPr>
          <w:trHeight w:val="209"/>
        </w:trPr>
        <w:tc>
          <w:tcPr>
            <w:tcW w:w="6520" w:type="dxa"/>
            <w:vAlign w:val="bottom"/>
            <w:gridSpan w:val="2"/>
          </w:tcPr>
          <w:p>
            <w:pPr>
              <w:ind w:left="20"/>
              <w:spacing w:after="0"/>
              <w:rPr>
                <w:sz w:val="20"/>
                <w:szCs w:val="20"/>
                <w:color w:val="auto"/>
              </w:rPr>
            </w:pPr>
            <w:r>
              <w:rPr>
                <w:rFonts w:ascii="Arial" w:cs="Arial" w:eastAsia="Arial" w:hAnsi="Arial"/>
                <w:sz w:val="14"/>
                <w:szCs w:val="14"/>
                <w:color w:val="auto"/>
              </w:rPr>
              <w:t>Comprehensive income (loss)</w:t>
            </w:r>
          </w:p>
        </w:tc>
        <w:tc>
          <w:tcPr>
            <w:tcW w:w="3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(679)</w:t>
            </w: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(488)</w:t>
            </w:r>
          </w:p>
        </w:tc>
        <w:tc>
          <w:tcPr>
            <w:tcW w:w="1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6"/>
                <w:szCs w:val="16"/>
                <w:color w:val="auto"/>
              </w:rPr>
              <w:t>(1,821)</w:t>
            </w: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250</w:t>
            </w:r>
          </w:p>
        </w:tc>
      </w:tr>
      <w:tr>
        <w:trPr>
          <w:trHeight w:val="216"/>
        </w:trPr>
        <w:tc>
          <w:tcPr>
            <w:tcW w:w="65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Dividends on preferred stock</w:t>
            </w:r>
          </w:p>
        </w:tc>
        <w:tc>
          <w:tcPr>
            <w:tcW w:w="38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25</w:t>
            </w:r>
          </w:p>
        </w:tc>
        <w:tc>
          <w:tcPr>
            <w:tcW w:w="120" w:type="dxa"/>
            <w:vAlign w:val="bottom"/>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25</w:t>
            </w:r>
          </w:p>
        </w:tc>
        <w:tc>
          <w:tcPr>
            <w:tcW w:w="120" w:type="dxa"/>
            <w:vAlign w:val="bottom"/>
            <w:shd w:val="clear" w:color="auto" w:fill="CCEEFF"/>
          </w:tcPr>
          <w:p>
            <w:pPr>
              <w:spacing w:after="0"/>
              <w:rPr>
                <w:sz w:val="18"/>
                <w:szCs w:val="18"/>
                <w:color w:val="auto"/>
              </w:rPr>
            </w:pPr>
          </w:p>
        </w:tc>
        <w:tc>
          <w:tcPr>
            <w:tcW w:w="36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50</w:t>
            </w:r>
          </w:p>
        </w:tc>
        <w:tc>
          <w:tcPr>
            <w:tcW w:w="120" w:type="dxa"/>
            <w:vAlign w:val="bottom"/>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50</w:t>
            </w:r>
          </w:p>
        </w:tc>
      </w:tr>
      <w:tr>
        <w:trPr>
          <w:trHeight w:val="212"/>
        </w:trPr>
        <w:tc>
          <w:tcPr>
            <w:tcW w:w="6520" w:type="dxa"/>
            <w:vAlign w:val="bottom"/>
            <w:gridSpan w:val="2"/>
          </w:tcPr>
          <w:p>
            <w:pPr>
              <w:ind w:left="20"/>
              <w:spacing w:after="0"/>
              <w:rPr>
                <w:sz w:val="20"/>
                <w:szCs w:val="20"/>
                <w:color w:val="auto"/>
              </w:rPr>
            </w:pPr>
            <w:r>
              <w:rPr>
                <w:rFonts w:ascii="Arial" w:cs="Arial" w:eastAsia="Arial" w:hAnsi="Arial"/>
                <w:sz w:val="14"/>
                <w:szCs w:val="14"/>
                <w:color w:val="auto"/>
              </w:rPr>
              <w:t>Comprehensive income (loss) available (attributable) to common stockholders</w:t>
            </w:r>
          </w:p>
        </w:tc>
        <w:tc>
          <w:tcPr>
            <w:tcW w:w="38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color w:val="auto"/>
                <w:w w:val="89"/>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(704)</w:t>
            </w:r>
          </w:p>
        </w:tc>
        <w:tc>
          <w:tcPr>
            <w:tcW w:w="120" w:type="dxa"/>
            <w:vAlign w:val="bottom"/>
          </w:tcPr>
          <w:p>
            <w:pPr>
              <w:spacing w:after="0"/>
              <w:rPr>
                <w:sz w:val="18"/>
                <w:szCs w:val="18"/>
                <w:color w:val="auto"/>
              </w:rPr>
            </w:pPr>
          </w:p>
        </w:tc>
        <w:tc>
          <w:tcPr>
            <w:tcW w:w="38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color w:val="auto"/>
                <w:w w:val="89"/>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(513)</w:t>
            </w:r>
          </w:p>
        </w:tc>
        <w:tc>
          <w:tcPr>
            <w:tcW w:w="120" w:type="dxa"/>
            <w:vAlign w:val="bottom"/>
          </w:tcPr>
          <w:p>
            <w:pPr>
              <w:spacing w:after="0"/>
              <w:rPr>
                <w:sz w:val="18"/>
                <w:szCs w:val="18"/>
                <w:color w:val="auto"/>
              </w:rPr>
            </w:pPr>
          </w:p>
        </w:tc>
        <w:tc>
          <w:tcPr>
            <w:tcW w:w="360" w:type="dxa"/>
            <w:vAlign w:val="bottom"/>
            <w:tcBorders>
              <w:bottom w:val="single" w:sz="8" w:color="auto"/>
            </w:tcBorders>
          </w:tcPr>
          <w:p>
            <w:pPr>
              <w:jc w:val="right"/>
              <w:ind w:right="179"/>
              <w:spacing w:after="0"/>
              <w:rPr>
                <w:sz w:val="20"/>
                <w:szCs w:val="20"/>
                <w:color w:val="auto"/>
              </w:rPr>
            </w:pPr>
            <w:r>
              <w:rPr>
                <w:rFonts w:ascii="Arial" w:cs="Arial" w:eastAsia="Arial" w:hAnsi="Arial"/>
                <w:sz w:val="16"/>
                <w:szCs w:val="16"/>
                <w:color w:val="auto"/>
                <w:w w:val="89"/>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(1,871)</w:t>
            </w:r>
          </w:p>
        </w:tc>
        <w:tc>
          <w:tcPr>
            <w:tcW w:w="120" w:type="dxa"/>
            <w:vAlign w:val="bottom"/>
          </w:tcPr>
          <w:p>
            <w:pPr>
              <w:spacing w:after="0"/>
              <w:rPr>
                <w:sz w:val="18"/>
                <w:szCs w:val="18"/>
                <w:color w:val="auto"/>
              </w:rPr>
            </w:pPr>
          </w:p>
        </w:tc>
        <w:tc>
          <w:tcPr>
            <w:tcW w:w="38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color w:val="auto"/>
                <w:w w:val="89"/>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200</w:t>
            </w:r>
          </w:p>
        </w:tc>
      </w:tr>
      <w:tr>
        <w:trPr>
          <w:trHeight w:val="20"/>
        </w:trPr>
        <w:tc>
          <w:tcPr>
            <w:tcW w:w="64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r>
        <w:trPr>
          <w:trHeight w:val="224"/>
        </w:trPr>
        <w:tc>
          <w:tcPr>
            <w:tcW w:w="64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7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r>
      <w:tr>
        <w:trPr>
          <w:trHeight w:val="216"/>
        </w:trPr>
        <w:tc>
          <w:tcPr>
            <w:tcW w:w="6520" w:type="dxa"/>
            <w:vAlign w:val="bottom"/>
            <w:gridSpan w:val="2"/>
          </w:tcPr>
          <w:p>
            <w:pPr>
              <w:ind w:left="20"/>
              <w:spacing w:after="0"/>
              <w:rPr>
                <w:sz w:val="20"/>
                <w:szCs w:val="20"/>
                <w:color w:val="auto"/>
              </w:rPr>
            </w:pPr>
            <w:r>
              <w:rPr>
                <w:rFonts w:ascii="Arial" w:cs="Arial" w:eastAsia="Arial" w:hAnsi="Arial"/>
                <w:sz w:val="14"/>
                <w:szCs w:val="14"/>
                <w:color w:val="auto"/>
              </w:rPr>
              <w:t>Weighted average number of common shares outstanding - basic</w:t>
            </w:r>
          </w:p>
        </w:tc>
        <w:tc>
          <w:tcPr>
            <w:tcW w:w="38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526.2</w:t>
            </w:r>
          </w:p>
        </w:tc>
        <w:tc>
          <w:tcPr>
            <w:tcW w:w="12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526.6</w:t>
            </w:r>
          </w:p>
        </w:tc>
        <w:tc>
          <w:tcPr>
            <w:tcW w:w="120" w:type="dxa"/>
            <w:vAlign w:val="bottom"/>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525.3</w:t>
            </w:r>
          </w:p>
        </w:tc>
        <w:tc>
          <w:tcPr>
            <w:tcW w:w="12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530.1</w:t>
            </w:r>
          </w:p>
        </w:tc>
      </w:tr>
      <w:tr>
        <w:trPr>
          <w:trHeight w:val="20"/>
        </w:trPr>
        <w:tc>
          <w:tcPr>
            <w:tcW w:w="64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r>
        <w:trPr>
          <w:trHeight w:val="235"/>
        </w:trPr>
        <w:tc>
          <w:tcPr>
            <w:tcW w:w="65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outstanding - diluted</w:t>
            </w:r>
          </w:p>
        </w:tc>
        <w:tc>
          <w:tcPr>
            <w:tcW w:w="380" w:type="dxa"/>
            <w:vAlign w:val="bottom"/>
            <w:tcBorders>
              <w:bottom w:val="single" w:sz="8" w:color="auto"/>
            </w:tcBorders>
            <w:shd w:val="clear" w:color="auto" w:fill="CCEEFF"/>
          </w:tcPr>
          <w:p>
            <w:pPr>
              <w:spacing w:after="0"/>
              <w:rPr>
                <w:sz w:val="20"/>
                <w:szCs w:val="20"/>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526.2</w:t>
            </w:r>
          </w:p>
        </w:tc>
        <w:tc>
          <w:tcPr>
            <w:tcW w:w="12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auto"/>
            </w:tcBorders>
            <w:shd w:val="clear" w:color="auto" w:fill="CCEEFF"/>
          </w:tcPr>
          <w:p>
            <w:pPr>
              <w:spacing w:after="0"/>
              <w:rPr>
                <w:sz w:val="20"/>
                <w:szCs w:val="20"/>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526.6</w:t>
            </w:r>
          </w:p>
        </w:tc>
        <w:tc>
          <w:tcPr>
            <w:tcW w:w="12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auto"/>
            </w:tcBorders>
            <w:shd w:val="clear" w:color="auto" w:fill="CCEEFF"/>
          </w:tcPr>
          <w:p>
            <w:pPr>
              <w:spacing w:after="0"/>
              <w:rPr>
                <w:sz w:val="20"/>
                <w:szCs w:val="20"/>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525.3</w:t>
            </w:r>
          </w:p>
        </w:tc>
        <w:tc>
          <w:tcPr>
            <w:tcW w:w="12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auto"/>
            </w:tcBorders>
            <w:shd w:val="clear" w:color="auto" w:fill="CCEEFF"/>
          </w:tcPr>
          <w:p>
            <w:pPr>
              <w:spacing w:after="0"/>
              <w:rPr>
                <w:sz w:val="20"/>
                <w:szCs w:val="20"/>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531.9</w:t>
            </w:r>
          </w:p>
        </w:tc>
      </w:tr>
      <w:tr>
        <w:trPr>
          <w:trHeight w:val="20"/>
        </w:trPr>
        <w:tc>
          <w:tcPr>
            <w:tcW w:w="64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r>
      <w:tr>
        <w:trPr>
          <w:trHeight w:val="190"/>
        </w:trPr>
        <w:tc>
          <w:tcPr>
            <w:tcW w:w="6520" w:type="dxa"/>
            <w:vAlign w:val="bottom"/>
            <w:gridSpan w:val="2"/>
          </w:tcPr>
          <w:p>
            <w:pPr>
              <w:ind w:left="20"/>
              <w:spacing w:after="0"/>
              <w:rPr>
                <w:sz w:val="20"/>
                <w:szCs w:val="20"/>
                <w:color w:val="auto"/>
              </w:rPr>
            </w:pPr>
            <w:r>
              <w:rPr>
                <w:rFonts w:ascii="Arial" w:cs="Arial" w:eastAsia="Arial" w:hAnsi="Arial"/>
                <w:sz w:val="14"/>
                <w:szCs w:val="14"/>
                <w:color w:val="auto"/>
              </w:rPr>
              <w:t>Net income (loss) per common share - basic</w:t>
            </w:r>
          </w:p>
        </w:tc>
        <w:tc>
          <w:tcPr>
            <w:tcW w:w="38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color w:val="auto"/>
                <w:w w:val="89"/>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(0.87)</w:t>
            </w:r>
          </w:p>
        </w:tc>
        <w:tc>
          <w:tcPr>
            <w:tcW w:w="120" w:type="dxa"/>
            <w:vAlign w:val="bottom"/>
          </w:tcPr>
          <w:p>
            <w:pPr>
              <w:spacing w:after="0"/>
              <w:rPr>
                <w:sz w:val="16"/>
                <w:szCs w:val="16"/>
                <w:color w:val="auto"/>
              </w:rPr>
            </w:pPr>
          </w:p>
        </w:tc>
        <w:tc>
          <w:tcPr>
            <w:tcW w:w="38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color w:val="auto"/>
                <w:w w:val="89"/>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(0.83)</w:t>
            </w:r>
          </w:p>
        </w:tc>
        <w:tc>
          <w:tcPr>
            <w:tcW w:w="120" w:type="dxa"/>
            <w:vAlign w:val="bottom"/>
          </w:tcPr>
          <w:p>
            <w:pPr>
              <w:spacing w:after="0"/>
              <w:rPr>
                <w:sz w:val="16"/>
                <w:szCs w:val="16"/>
                <w:color w:val="auto"/>
              </w:rPr>
            </w:pPr>
          </w:p>
        </w:tc>
        <w:tc>
          <w:tcPr>
            <w:tcW w:w="360" w:type="dxa"/>
            <w:vAlign w:val="bottom"/>
            <w:tcBorders>
              <w:bottom w:val="single" w:sz="8" w:color="auto"/>
            </w:tcBorders>
          </w:tcPr>
          <w:p>
            <w:pPr>
              <w:jc w:val="right"/>
              <w:ind w:right="179"/>
              <w:spacing w:after="0"/>
              <w:rPr>
                <w:sz w:val="20"/>
                <w:szCs w:val="20"/>
                <w:color w:val="auto"/>
              </w:rPr>
            </w:pPr>
            <w:r>
              <w:rPr>
                <w:rFonts w:ascii="Arial" w:cs="Arial" w:eastAsia="Arial" w:hAnsi="Arial"/>
                <w:sz w:val="16"/>
                <w:szCs w:val="16"/>
                <w:color w:val="auto"/>
                <w:w w:val="89"/>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(2.16)</w:t>
            </w:r>
          </w:p>
        </w:tc>
        <w:tc>
          <w:tcPr>
            <w:tcW w:w="120" w:type="dxa"/>
            <w:vAlign w:val="bottom"/>
          </w:tcPr>
          <w:p>
            <w:pPr>
              <w:spacing w:after="0"/>
              <w:rPr>
                <w:sz w:val="16"/>
                <w:szCs w:val="16"/>
                <w:color w:val="auto"/>
              </w:rPr>
            </w:pPr>
          </w:p>
        </w:tc>
        <w:tc>
          <w:tcPr>
            <w:tcW w:w="38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color w:val="auto"/>
                <w:w w:val="89"/>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0.97</w:t>
            </w:r>
          </w:p>
        </w:tc>
      </w:tr>
      <w:tr>
        <w:trPr>
          <w:trHeight w:val="20"/>
        </w:trPr>
        <w:tc>
          <w:tcPr>
            <w:tcW w:w="64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r>
        <w:trPr>
          <w:trHeight w:val="235"/>
        </w:trPr>
        <w:tc>
          <w:tcPr>
            <w:tcW w:w="65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Net income (loss) per common share - diluted</w:t>
            </w:r>
          </w:p>
        </w:tc>
        <w:tc>
          <w:tcPr>
            <w:tcW w:w="380" w:type="dxa"/>
            <w:vAlign w:val="bottom"/>
            <w:tcBorders>
              <w:bottom w:val="single" w:sz="8" w:color="auto"/>
            </w:tcBorders>
            <w:shd w:val="clear" w:color="auto" w:fill="CCEEFF"/>
          </w:tcPr>
          <w:p>
            <w:pPr>
              <w:jc w:val="right"/>
              <w:ind w:right="199"/>
              <w:spacing w:after="0"/>
              <w:rPr>
                <w:sz w:val="20"/>
                <w:szCs w:val="20"/>
                <w:color w:val="auto"/>
              </w:rPr>
            </w:pPr>
            <w:r>
              <w:rPr>
                <w:rFonts w:ascii="Arial" w:cs="Arial" w:eastAsia="Arial" w:hAnsi="Arial"/>
                <w:sz w:val="16"/>
                <w:szCs w:val="16"/>
                <w:color w:val="auto"/>
                <w:w w:val="89"/>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(0.87)</w:t>
            </w:r>
          </w:p>
        </w:tc>
        <w:tc>
          <w:tcPr>
            <w:tcW w:w="12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auto"/>
            </w:tcBorders>
            <w:shd w:val="clear" w:color="auto" w:fill="CCEEFF"/>
          </w:tcPr>
          <w:p>
            <w:pPr>
              <w:jc w:val="right"/>
              <w:ind w:right="199"/>
              <w:spacing w:after="0"/>
              <w:rPr>
                <w:sz w:val="20"/>
                <w:szCs w:val="20"/>
                <w:color w:val="auto"/>
              </w:rPr>
            </w:pPr>
            <w:r>
              <w:rPr>
                <w:rFonts w:ascii="Arial" w:cs="Arial" w:eastAsia="Arial" w:hAnsi="Arial"/>
                <w:sz w:val="16"/>
                <w:szCs w:val="16"/>
                <w:color w:val="auto"/>
                <w:w w:val="89"/>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(0.83)</w:t>
            </w:r>
          </w:p>
        </w:tc>
        <w:tc>
          <w:tcPr>
            <w:tcW w:w="12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auto"/>
            </w:tcBorders>
            <w:shd w:val="clear" w:color="auto" w:fill="CCEEFF"/>
          </w:tcPr>
          <w:p>
            <w:pPr>
              <w:jc w:val="right"/>
              <w:ind w:right="179"/>
              <w:spacing w:after="0"/>
              <w:rPr>
                <w:sz w:val="20"/>
                <w:szCs w:val="20"/>
                <w:color w:val="auto"/>
              </w:rPr>
            </w:pPr>
            <w:r>
              <w:rPr>
                <w:rFonts w:ascii="Arial" w:cs="Arial" w:eastAsia="Arial" w:hAnsi="Arial"/>
                <w:sz w:val="16"/>
                <w:szCs w:val="16"/>
                <w:color w:val="auto"/>
                <w:w w:val="89"/>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(2.16)</w:t>
            </w:r>
          </w:p>
        </w:tc>
        <w:tc>
          <w:tcPr>
            <w:tcW w:w="12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auto"/>
            </w:tcBorders>
            <w:shd w:val="clear" w:color="auto" w:fill="CCEEFF"/>
          </w:tcPr>
          <w:p>
            <w:pPr>
              <w:jc w:val="right"/>
              <w:ind w:right="199"/>
              <w:spacing w:after="0"/>
              <w:rPr>
                <w:sz w:val="20"/>
                <w:szCs w:val="20"/>
                <w:color w:val="auto"/>
              </w:rPr>
            </w:pPr>
            <w:r>
              <w:rPr>
                <w:rFonts w:ascii="Arial" w:cs="Arial" w:eastAsia="Arial" w:hAnsi="Arial"/>
                <w:sz w:val="16"/>
                <w:szCs w:val="16"/>
                <w:color w:val="auto"/>
                <w:w w:val="89"/>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0.97</w:t>
            </w:r>
          </w:p>
        </w:tc>
      </w:tr>
      <w:tr>
        <w:trPr>
          <w:trHeight w:val="20"/>
        </w:trPr>
        <w:tc>
          <w:tcPr>
            <w:tcW w:w="64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r>
      <w:tr>
        <w:trPr>
          <w:trHeight w:val="190"/>
        </w:trPr>
        <w:tc>
          <w:tcPr>
            <w:tcW w:w="6520" w:type="dxa"/>
            <w:vAlign w:val="bottom"/>
            <w:gridSpan w:val="2"/>
          </w:tcPr>
          <w:p>
            <w:pPr>
              <w:ind w:left="20"/>
              <w:spacing w:after="0"/>
              <w:rPr>
                <w:sz w:val="20"/>
                <w:szCs w:val="20"/>
                <w:color w:val="auto"/>
              </w:rPr>
            </w:pPr>
            <w:r>
              <w:rPr>
                <w:rFonts w:ascii="Arial" w:cs="Arial" w:eastAsia="Arial" w:hAnsi="Arial"/>
                <w:sz w:val="14"/>
                <w:szCs w:val="14"/>
                <w:color w:val="auto"/>
              </w:rPr>
              <w:t>Comprehensive income (loss) per common share - basic</w:t>
            </w:r>
          </w:p>
        </w:tc>
        <w:tc>
          <w:tcPr>
            <w:tcW w:w="38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color w:val="auto"/>
                <w:w w:val="89"/>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(1.34)</w:t>
            </w:r>
          </w:p>
        </w:tc>
        <w:tc>
          <w:tcPr>
            <w:tcW w:w="120" w:type="dxa"/>
            <w:vAlign w:val="bottom"/>
          </w:tcPr>
          <w:p>
            <w:pPr>
              <w:spacing w:after="0"/>
              <w:rPr>
                <w:sz w:val="16"/>
                <w:szCs w:val="16"/>
                <w:color w:val="auto"/>
              </w:rPr>
            </w:pPr>
          </w:p>
        </w:tc>
        <w:tc>
          <w:tcPr>
            <w:tcW w:w="38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color w:val="auto"/>
                <w:w w:val="89"/>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(0.97)</w:t>
            </w:r>
          </w:p>
        </w:tc>
        <w:tc>
          <w:tcPr>
            <w:tcW w:w="120" w:type="dxa"/>
            <w:vAlign w:val="bottom"/>
          </w:tcPr>
          <w:p>
            <w:pPr>
              <w:spacing w:after="0"/>
              <w:rPr>
                <w:sz w:val="16"/>
                <w:szCs w:val="16"/>
                <w:color w:val="auto"/>
              </w:rPr>
            </w:pPr>
          </w:p>
        </w:tc>
        <w:tc>
          <w:tcPr>
            <w:tcW w:w="360" w:type="dxa"/>
            <w:vAlign w:val="bottom"/>
            <w:tcBorders>
              <w:bottom w:val="single" w:sz="8" w:color="auto"/>
            </w:tcBorders>
          </w:tcPr>
          <w:p>
            <w:pPr>
              <w:jc w:val="right"/>
              <w:ind w:right="179"/>
              <w:spacing w:after="0"/>
              <w:rPr>
                <w:sz w:val="20"/>
                <w:szCs w:val="20"/>
                <w:color w:val="auto"/>
              </w:rPr>
            </w:pPr>
            <w:r>
              <w:rPr>
                <w:rFonts w:ascii="Arial" w:cs="Arial" w:eastAsia="Arial" w:hAnsi="Arial"/>
                <w:sz w:val="16"/>
                <w:szCs w:val="16"/>
                <w:color w:val="auto"/>
                <w:w w:val="89"/>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(3.56)</w:t>
            </w:r>
          </w:p>
        </w:tc>
        <w:tc>
          <w:tcPr>
            <w:tcW w:w="120" w:type="dxa"/>
            <w:vAlign w:val="bottom"/>
          </w:tcPr>
          <w:p>
            <w:pPr>
              <w:spacing w:after="0"/>
              <w:rPr>
                <w:sz w:val="16"/>
                <w:szCs w:val="16"/>
                <w:color w:val="auto"/>
              </w:rPr>
            </w:pPr>
          </w:p>
        </w:tc>
        <w:tc>
          <w:tcPr>
            <w:tcW w:w="38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color w:val="auto"/>
                <w:w w:val="89"/>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0.38</w:t>
            </w:r>
          </w:p>
        </w:tc>
      </w:tr>
      <w:tr>
        <w:trPr>
          <w:trHeight w:val="20"/>
        </w:trPr>
        <w:tc>
          <w:tcPr>
            <w:tcW w:w="64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r>
        <w:trPr>
          <w:trHeight w:val="235"/>
        </w:trPr>
        <w:tc>
          <w:tcPr>
            <w:tcW w:w="65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Comprehensive income (loss) per common share - diluted</w:t>
            </w:r>
          </w:p>
        </w:tc>
        <w:tc>
          <w:tcPr>
            <w:tcW w:w="380" w:type="dxa"/>
            <w:vAlign w:val="bottom"/>
            <w:tcBorders>
              <w:bottom w:val="single" w:sz="8" w:color="auto"/>
            </w:tcBorders>
            <w:shd w:val="clear" w:color="auto" w:fill="CCEEFF"/>
          </w:tcPr>
          <w:p>
            <w:pPr>
              <w:jc w:val="right"/>
              <w:ind w:right="199"/>
              <w:spacing w:after="0"/>
              <w:rPr>
                <w:sz w:val="20"/>
                <w:szCs w:val="20"/>
                <w:color w:val="auto"/>
              </w:rPr>
            </w:pPr>
            <w:r>
              <w:rPr>
                <w:rFonts w:ascii="Arial" w:cs="Arial" w:eastAsia="Arial" w:hAnsi="Arial"/>
                <w:sz w:val="16"/>
                <w:szCs w:val="16"/>
                <w:color w:val="auto"/>
                <w:w w:val="89"/>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(1.34)</w:t>
            </w:r>
          </w:p>
        </w:tc>
        <w:tc>
          <w:tcPr>
            <w:tcW w:w="12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auto"/>
            </w:tcBorders>
            <w:shd w:val="clear" w:color="auto" w:fill="CCEEFF"/>
          </w:tcPr>
          <w:p>
            <w:pPr>
              <w:jc w:val="right"/>
              <w:ind w:right="199"/>
              <w:spacing w:after="0"/>
              <w:rPr>
                <w:sz w:val="20"/>
                <w:szCs w:val="20"/>
                <w:color w:val="auto"/>
              </w:rPr>
            </w:pPr>
            <w:r>
              <w:rPr>
                <w:rFonts w:ascii="Arial" w:cs="Arial" w:eastAsia="Arial" w:hAnsi="Arial"/>
                <w:sz w:val="16"/>
                <w:szCs w:val="16"/>
                <w:color w:val="auto"/>
                <w:w w:val="89"/>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(0.97)</w:t>
            </w:r>
          </w:p>
        </w:tc>
        <w:tc>
          <w:tcPr>
            <w:tcW w:w="12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auto"/>
            </w:tcBorders>
            <w:shd w:val="clear" w:color="auto" w:fill="CCEEFF"/>
          </w:tcPr>
          <w:p>
            <w:pPr>
              <w:jc w:val="right"/>
              <w:ind w:right="179"/>
              <w:spacing w:after="0"/>
              <w:rPr>
                <w:sz w:val="20"/>
                <w:szCs w:val="20"/>
                <w:color w:val="auto"/>
              </w:rPr>
            </w:pPr>
            <w:r>
              <w:rPr>
                <w:rFonts w:ascii="Arial" w:cs="Arial" w:eastAsia="Arial" w:hAnsi="Arial"/>
                <w:sz w:val="16"/>
                <w:szCs w:val="16"/>
                <w:color w:val="auto"/>
                <w:w w:val="89"/>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(3.56)</w:t>
            </w:r>
          </w:p>
        </w:tc>
        <w:tc>
          <w:tcPr>
            <w:tcW w:w="12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auto"/>
            </w:tcBorders>
            <w:shd w:val="clear" w:color="auto" w:fill="CCEEFF"/>
          </w:tcPr>
          <w:p>
            <w:pPr>
              <w:jc w:val="right"/>
              <w:ind w:right="199"/>
              <w:spacing w:after="0"/>
              <w:rPr>
                <w:sz w:val="20"/>
                <w:szCs w:val="20"/>
                <w:color w:val="auto"/>
              </w:rPr>
            </w:pPr>
            <w:r>
              <w:rPr>
                <w:rFonts w:ascii="Arial" w:cs="Arial" w:eastAsia="Arial" w:hAnsi="Arial"/>
                <w:sz w:val="16"/>
                <w:szCs w:val="16"/>
                <w:color w:val="auto"/>
                <w:w w:val="89"/>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0.38</w:t>
            </w:r>
          </w:p>
        </w:tc>
      </w:tr>
      <w:tr>
        <w:trPr>
          <w:trHeight w:val="20"/>
        </w:trPr>
        <w:tc>
          <w:tcPr>
            <w:tcW w:w="64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r>
      <w:tr>
        <w:trPr>
          <w:trHeight w:val="190"/>
        </w:trPr>
        <w:tc>
          <w:tcPr>
            <w:tcW w:w="6520" w:type="dxa"/>
            <w:vAlign w:val="bottom"/>
            <w:gridSpan w:val="2"/>
          </w:tcPr>
          <w:p>
            <w:pPr>
              <w:ind w:left="20"/>
              <w:spacing w:after="0"/>
              <w:rPr>
                <w:sz w:val="20"/>
                <w:szCs w:val="20"/>
                <w:color w:val="auto"/>
              </w:rPr>
            </w:pPr>
            <w:r>
              <w:rPr>
                <w:rFonts w:ascii="Arial" w:cs="Arial" w:eastAsia="Arial" w:hAnsi="Arial"/>
                <w:sz w:val="14"/>
                <w:szCs w:val="14"/>
                <w:color w:val="auto"/>
              </w:rPr>
              <w:t>Dividends declared per common share</w:t>
            </w:r>
          </w:p>
        </w:tc>
        <w:tc>
          <w:tcPr>
            <w:tcW w:w="38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color w:val="auto"/>
                <w:w w:val="89"/>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0.36</w:t>
            </w:r>
          </w:p>
        </w:tc>
        <w:tc>
          <w:tcPr>
            <w:tcW w:w="120" w:type="dxa"/>
            <w:vAlign w:val="bottom"/>
          </w:tcPr>
          <w:p>
            <w:pPr>
              <w:spacing w:after="0"/>
              <w:rPr>
                <w:sz w:val="16"/>
                <w:szCs w:val="16"/>
                <w:color w:val="auto"/>
              </w:rPr>
            </w:pPr>
          </w:p>
        </w:tc>
        <w:tc>
          <w:tcPr>
            <w:tcW w:w="38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color w:val="auto"/>
                <w:w w:val="89"/>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0.36</w:t>
            </w:r>
          </w:p>
        </w:tc>
        <w:tc>
          <w:tcPr>
            <w:tcW w:w="120" w:type="dxa"/>
            <w:vAlign w:val="bottom"/>
          </w:tcPr>
          <w:p>
            <w:pPr>
              <w:spacing w:after="0"/>
              <w:rPr>
                <w:sz w:val="16"/>
                <w:szCs w:val="16"/>
                <w:color w:val="auto"/>
              </w:rPr>
            </w:pPr>
          </w:p>
        </w:tc>
        <w:tc>
          <w:tcPr>
            <w:tcW w:w="360" w:type="dxa"/>
            <w:vAlign w:val="bottom"/>
            <w:tcBorders>
              <w:bottom w:val="single" w:sz="8" w:color="auto"/>
            </w:tcBorders>
          </w:tcPr>
          <w:p>
            <w:pPr>
              <w:jc w:val="right"/>
              <w:ind w:right="179"/>
              <w:spacing w:after="0"/>
              <w:rPr>
                <w:sz w:val="20"/>
                <w:szCs w:val="20"/>
                <w:color w:val="auto"/>
              </w:rPr>
            </w:pPr>
            <w:r>
              <w:rPr>
                <w:rFonts w:ascii="Arial" w:cs="Arial" w:eastAsia="Arial" w:hAnsi="Arial"/>
                <w:sz w:val="16"/>
                <w:szCs w:val="16"/>
                <w:color w:val="auto"/>
                <w:w w:val="89"/>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0.72</w:t>
            </w:r>
          </w:p>
        </w:tc>
        <w:tc>
          <w:tcPr>
            <w:tcW w:w="120" w:type="dxa"/>
            <w:vAlign w:val="bottom"/>
          </w:tcPr>
          <w:p>
            <w:pPr>
              <w:spacing w:after="0"/>
              <w:rPr>
                <w:sz w:val="16"/>
                <w:szCs w:val="16"/>
                <w:color w:val="auto"/>
              </w:rPr>
            </w:pPr>
          </w:p>
        </w:tc>
        <w:tc>
          <w:tcPr>
            <w:tcW w:w="38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color w:val="auto"/>
                <w:w w:val="89"/>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0.72</w:t>
            </w:r>
          </w:p>
        </w:tc>
      </w:tr>
      <w:tr>
        <w:trPr>
          <w:trHeight w:val="21"/>
        </w:trPr>
        <w:tc>
          <w:tcPr>
            <w:tcW w:w="64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bl>
    <w:p>
      <w:pPr>
        <w:spacing w:after="0" w:line="10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0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300" w:type="dxa"/>
            <w:vAlign w:val="bottom"/>
            <w:gridSpan w:val="6"/>
          </w:tcPr>
          <w:p>
            <w:pPr>
              <w:ind w:left="300"/>
              <w:spacing w:after="0"/>
              <w:rPr>
                <w:sz w:val="20"/>
                <w:szCs w:val="20"/>
                <w:color w:val="auto"/>
              </w:rPr>
            </w:pPr>
            <w:r>
              <w:rPr>
                <w:rFonts w:ascii="Arial" w:cs="Arial" w:eastAsia="Arial" w:hAnsi="Arial"/>
                <w:sz w:val="14"/>
                <w:szCs w:val="14"/>
                <w:b w:val="1"/>
                <w:bCs w:val="1"/>
                <w:color w:val="auto"/>
              </w:rPr>
              <w:t>Three Months Ended</w:t>
            </w:r>
          </w:p>
        </w:tc>
        <w:tc>
          <w:tcPr>
            <w:tcW w:w="280" w:type="dxa"/>
            <w:vAlign w:val="bottom"/>
          </w:tcPr>
          <w:p>
            <w:pPr>
              <w:spacing w:after="0"/>
              <w:rPr>
                <w:sz w:val="14"/>
                <w:szCs w:val="14"/>
                <w:color w:val="auto"/>
              </w:rPr>
            </w:pPr>
          </w:p>
        </w:tc>
        <w:tc>
          <w:tcPr>
            <w:tcW w:w="2240" w:type="dxa"/>
            <w:vAlign w:val="bottom"/>
            <w:gridSpan w:val="5"/>
          </w:tcPr>
          <w:p>
            <w:pPr>
              <w:jc w:val="right"/>
              <w:ind w:right="600"/>
              <w:spacing w:after="0"/>
              <w:rPr>
                <w:sz w:val="20"/>
                <w:szCs w:val="20"/>
                <w:color w:val="auto"/>
              </w:rPr>
            </w:pPr>
            <w:r>
              <w:rPr>
                <w:rFonts w:ascii="Arial" w:cs="Arial" w:eastAsia="Arial" w:hAnsi="Arial"/>
                <w:sz w:val="14"/>
                <w:szCs w:val="14"/>
                <w:b w:val="1"/>
                <w:bCs w:val="1"/>
                <w:color w:val="auto"/>
              </w:rPr>
              <w:t>Six Months Ended</w:t>
            </w:r>
          </w:p>
        </w:tc>
      </w:tr>
      <w:tr>
        <w:trPr>
          <w:trHeight w:val="186"/>
        </w:trPr>
        <w:tc>
          <w:tcPr>
            <w:tcW w:w="60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gridSpan w:val="3"/>
          </w:tcPr>
          <w:p>
            <w:pPr>
              <w:jc w:val="right"/>
              <w:ind w:right="120"/>
              <w:spacing w:after="0"/>
              <w:rPr>
                <w:sz w:val="20"/>
                <w:szCs w:val="20"/>
                <w:color w:val="auto"/>
              </w:rPr>
            </w:pPr>
            <w:r>
              <w:rPr>
                <w:rFonts w:ascii="Arial" w:cs="Arial" w:eastAsia="Arial" w:hAnsi="Arial"/>
                <w:sz w:val="14"/>
                <w:szCs w:val="14"/>
                <w:b w:val="1"/>
                <w:bCs w:val="1"/>
                <w:color w:val="auto"/>
                <w:w w:val="89"/>
              </w:rPr>
              <w:t>June 30,</w:t>
            </w:r>
          </w:p>
        </w:tc>
        <w:tc>
          <w:tcPr>
            <w:tcW w:w="8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gridSpan w:val="3"/>
          </w:tcPr>
          <w:p>
            <w:pPr>
              <w:jc w:val="right"/>
              <w:ind w:right="120"/>
              <w:spacing w:after="0"/>
              <w:rPr>
                <w:sz w:val="20"/>
                <w:szCs w:val="20"/>
                <w:color w:val="auto"/>
              </w:rPr>
            </w:pPr>
            <w:r>
              <w:rPr>
                <w:rFonts w:ascii="Arial" w:cs="Arial" w:eastAsia="Arial" w:hAnsi="Arial"/>
                <w:sz w:val="14"/>
                <w:szCs w:val="14"/>
                <w:b w:val="1"/>
                <w:bCs w:val="1"/>
                <w:color w:val="auto"/>
                <w:w w:val="89"/>
              </w:rPr>
              <w:t>June 30,</w:t>
            </w:r>
          </w:p>
        </w:tc>
        <w:tc>
          <w:tcPr>
            <w:tcW w:w="880" w:type="dxa"/>
            <w:vAlign w:val="bottom"/>
            <w:tcBorders>
              <w:bottom w:val="single" w:sz="8" w:color="auto"/>
            </w:tcBorders>
          </w:tcPr>
          <w:p>
            <w:pPr>
              <w:spacing w:after="0"/>
              <w:rPr>
                <w:sz w:val="16"/>
                <w:szCs w:val="16"/>
                <w:color w:val="auto"/>
              </w:rPr>
            </w:pPr>
          </w:p>
        </w:tc>
      </w:tr>
      <w:tr>
        <w:trPr>
          <w:trHeight w:val="184"/>
        </w:trPr>
        <w:tc>
          <w:tcPr>
            <w:tcW w:w="602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Other Data (Unaudited) *</w:t>
            </w:r>
          </w:p>
        </w:tc>
        <w:tc>
          <w:tcPr>
            <w:tcW w:w="120" w:type="dxa"/>
            <w:vAlign w:val="bottom"/>
            <w:tcBorders>
              <w:bottom w:val="single" w:sz="8" w:color="CCEEFF"/>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ind w:right="161"/>
              <w:spacing w:after="0"/>
              <w:rPr>
                <w:sz w:val="20"/>
                <w:szCs w:val="20"/>
                <w:color w:val="auto"/>
              </w:rPr>
            </w:pPr>
            <w:r>
              <w:rPr>
                <w:rFonts w:ascii="Arial" w:cs="Arial" w:eastAsia="Arial" w:hAnsi="Arial"/>
                <w:sz w:val="14"/>
                <w:szCs w:val="14"/>
                <w:b w:val="1"/>
                <w:bCs w:val="1"/>
                <w:color w:val="auto"/>
              </w:rPr>
              <w:t>2022</w:t>
            </w:r>
          </w:p>
        </w:tc>
        <w:tc>
          <w:tcPr>
            <w:tcW w:w="200" w:type="dxa"/>
            <w:vAlign w:val="bottom"/>
            <w:tcBorders>
              <w:bottom w:val="single" w:sz="8" w:color="auto"/>
            </w:tcBorders>
          </w:tcPr>
          <w:p>
            <w:pPr>
              <w:spacing w:after="0"/>
              <w:rPr>
                <w:sz w:val="15"/>
                <w:szCs w:val="15"/>
                <w:color w:val="auto"/>
              </w:rPr>
            </w:pPr>
          </w:p>
        </w:tc>
        <w:tc>
          <w:tcPr>
            <w:tcW w:w="120" w:type="dxa"/>
            <w:vAlign w:val="bottom"/>
            <w:tcBorders>
              <w:bottom w:val="single" w:sz="8" w:color="CCEEFF"/>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ind w:right="360"/>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right"/>
              <w:ind w:right="161"/>
              <w:spacing w:after="0"/>
              <w:rPr>
                <w:sz w:val="20"/>
                <w:szCs w:val="20"/>
                <w:color w:val="auto"/>
              </w:rPr>
            </w:pPr>
            <w:r>
              <w:rPr>
                <w:rFonts w:ascii="Arial" w:cs="Arial" w:eastAsia="Arial" w:hAnsi="Arial"/>
                <w:sz w:val="14"/>
                <w:szCs w:val="14"/>
                <w:b w:val="1"/>
                <w:bCs w:val="1"/>
                <w:color w:val="auto"/>
              </w:rPr>
              <w:t>2022</w:t>
            </w:r>
          </w:p>
        </w:tc>
        <w:tc>
          <w:tcPr>
            <w:tcW w:w="220" w:type="dxa"/>
            <w:vAlign w:val="bottom"/>
            <w:tcBorders>
              <w:bottom w:val="single" w:sz="8" w:color="auto"/>
            </w:tcBorders>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right"/>
              <w:ind w:right="380"/>
              <w:spacing w:after="0"/>
              <w:rPr>
                <w:sz w:val="20"/>
                <w:szCs w:val="20"/>
                <w:color w:val="auto"/>
              </w:rPr>
            </w:pPr>
            <w:r>
              <w:rPr>
                <w:rFonts w:ascii="Arial" w:cs="Arial" w:eastAsia="Arial" w:hAnsi="Arial"/>
                <w:sz w:val="14"/>
                <w:szCs w:val="14"/>
                <w:b w:val="1"/>
                <w:bCs w:val="1"/>
                <w:color w:val="auto"/>
              </w:rPr>
              <w:t>2021</w:t>
            </w:r>
          </w:p>
        </w:tc>
      </w:tr>
      <w:tr>
        <w:trPr>
          <w:trHeight w:val="211"/>
        </w:trPr>
        <w:tc>
          <w:tcPr>
            <w:tcW w:w="61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Average investment securities - at par</w:t>
            </w:r>
          </w:p>
        </w:tc>
        <w:tc>
          <w:tcPr>
            <w:tcW w:w="28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49,453</w:t>
            </w:r>
          </w:p>
        </w:tc>
        <w:tc>
          <w:tcPr>
            <w:tcW w:w="640" w:type="dxa"/>
            <w:vAlign w:val="bottom"/>
            <w:gridSpan w:val="3"/>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86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rPr>
              <w:t>55,246</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50,601</w:t>
            </w:r>
          </w:p>
        </w:tc>
        <w:tc>
          <w:tcPr>
            <w:tcW w:w="640" w:type="dxa"/>
            <w:vAlign w:val="bottom"/>
            <w:gridSpan w:val="3"/>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88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rPr>
              <w:t>55,944</w:t>
            </w:r>
          </w:p>
        </w:tc>
      </w:tr>
      <w:tr>
        <w:trPr>
          <w:trHeight w:val="213"/>
        </w:trPr>
        <w:tc>
          <w:tcPr>
            <w:tcW w:w="6140" w:type="dxa"/>
            <w:vAlign w:val="bottom"/>
            <w:gridSpan w:val="2"/>
          </w:tcPr>
          <w:p>
            <w:pPr>
              <w:ind w:left="20"/>
              <w:spacing w:after="0"/>
              <w:rPr>
                <w:sz w:val="20"/>
                <w:szCs w:val="20"/>
                <w:color w:val="auto"/>
              </w:rPr>
            </w:pPr>
            <w:r>
              <w:rPr>
                <w:rFonts w:ascii="Arial" w:cs="Arial" w:eastAsia="Arial" w:hAnsi="Arial"/>
                <w:sz w:val="14"/>
                <w:szCs w:val="14"/>
                <w:color w:val="auto"/>
              </w:rPr>
              <w:t>Average investment securities - at cost</w:t>
            </w: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51,089</w:t>
            </w:r>
          </w:p>
        </w:tc>
        <w:tc>
          <w:tcPr>
            <w:tcW w:w="640" w:type="dxa"/>
            <w:vAlign w:val="bottom"/>
            <w:gridSpan w:val="3"/>
          </w:tcPr>
          <w:p>
            <w:pPr>
              <w:jc w:val="right"/>
              <w:ind w:right="220"/>
              <w:spacing w:after="0"/>
              <w:rPr>
                <w:sz w:val="20"/>
                <w:szCs w:val="20"/>
                <w:color w:val="auto"/>
              </w:rPr>
            </w:pPr>
            <w:r>
              <w:rPr>
                <w:rFonts w:ascii="Arial" w:cs="Arial" w:eastAsia="Arial" w:hAnsi="Arial"/>
                <w:sz w:val="16"/>
                <w:szCs w:val="16"/>
                <w:color w:val="auto"/>
              </w:rPr>
              <w:t>$</w:t>
            </w:r>
          </w:p>
        </w:tc>
        <w:tc>
          <w:tcPr>
            <w:tcW w:w="860" w:type="dxa"/>
            <w:vAlign w:val="bottom"/>
          </w:tcPr>
          <w:p>
            <w:pPr>
              <w:jc w:val="right"/>
              <w:ind w:right="120"/>
              <w:spacing w:after="0"/>
              <w:rPr>
                <w:sz w:val="20"/>
                <w:szCs w:val="20"/>
                <w:color w:val="auto"/>
              </w:rPr>
            </w:pPr>
            <w:r>
              <w:rPr>
                <w:rFonts w:ascii="Arial" w:cs="Arial" w:eastAsia="Arial" w:hAnsi="Arial"/>
                <w:sz w:val="16"/>
                <w:szCs w:val="16"/>
                <w:color w:val="auto"/>
              </w:rPr>
              <w:t>57,420</w:t>
            </w:r>
          </w:p>
        </w:tc>
        <w:tc>
          <w:tcPr>
            <w:tcW w:w="100" w:type="dxa"/>
            <w:vAlign w:val="bottom"/>
          </w:tcPr>
          <w:p>
            <w:pPr>
              <w:spacing w:after="0"/>
              <w:rPr>
                <w:sz w:val="18"/>
                <w:szCs w:val="18"/>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52,264</w:t>
            </w:r>
          </w:p>
        </w:tc>
        <w:tc>
          <w:tcPr>
            <w:tcW w:w="640" w:type="dxa"/>
            <w:vAlign w:val="bottom"/>
            <w:gridSpan w:val="3"/>
          </w:tcPr>
          <w:p>
            <w:pPr>
              <w:jc w:val="right"/>
              <w:ind w:right="220"/>
              <w:spacing w:after="0"/>
              <w:rPr>
                <w:sz w:val="20"/>
                <w:szCs w:val="20"/>
                <w:color w:val="auto"/>
              </w:rPr>
            </w:pPr>
            <w:r>
              <w:rPr>
                <w:rFonts w:ascii="Arial" w:cs="Arial" w:eastAsia="Arial" w:hAnsi="Arial"/>
                <w:sz w:val="16"/>
                <w:szCs w:val="16"/>
                <w:color w:val="auto"/>
              </w:rPr>
              <w:t>$</w:t>
            </w:r>
          </w:p>
        </w:tc>
        <w:tc>
          <w:tcPr>
            <w:tcW w:w="880" w:type="dxa"/>
            <w:vAlign w:val="bottom"/>
          </w:tcPr>
          <w:p>
            <w:pPr>
              <w:jc w:val="right"/>
              <w:ind w:right="120"/>
              <w:spacing w:after="0"/>
              <w:rPr>
                <w:sz w:val="20"/>
                <w:szCs w:val="20"/>
                <w:color w:val="auto"/>
              </w:rPr>
            </w:pPr>
            <w:r>
              <w:rPr>
                <w:rFonts w:ascii="Arial" w:cs="Arial" w:eastAsia="Arial" w:hAnsi="Arial"/>
                <w:sz w:val="16"/>
                <w:szCs w:val="16"/>
                <w:color w:val="auto"/>
              </w:rPr>
              <w:t>58,073</w:t>
            </w:r>
          </w:p>
        </w:tc>
      </w:tr>
      <w:tr>
        <w:trPr>
          <w:trHeight w:val="219"/>
        </w:trPr>
        <w:tc>
          <w:tcPr>
            <w:tcW w:w="61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Average net TBA dollar roll position - at cost</w:t>
            </w:r>
          </w:p>
        </w:tc>
        <w:tc>
          <w:tcPr>
            <w:tcW w:w="28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19,653</w:t>
            </w:r>
          </w:p>
        </w:tc>
        <w:tc>
          <w:tcPr>
            <w:tcW w:w="640" w:type="dxa"/>
            <w:vAlign w:val="bottom"/>
            <w:gridSpan w:val="3"/>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86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rPr>
              <w:t>28,082</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21,618</w:t>
            </w:r>
          </w:p>
        </w:tc>
        <w:tc>
          <w:tcPr>
            <w:tcW w:w="640" w:type="dxa"/>
            <w:vAlign w:val="bottom"/>
            <w:gridSpan w:val="3"/>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88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rPr>
              <w:t>30,041</w:t>
            </w:r>
          </w:p>
        </w:tc>
      </w:tr>
      <w:tr>
        <w:trPr>
          <w:trHeight w:val="213"/>
        </w:trPr>
        <w:tc>
          <w:tcPr>
            <w:tcW w:w="6140" w:type="dxa"/>
            <w:vAlign w:val="bottom"/>
            <w:gridSpan w:val="2"/>
          </w:tcPr>
          <w:p>
            <w:pPr>
              <w:ind w:left="20"/>
              <w:spacing w:after="0"/>
              <w:rPr>
                <w:sz w:val="20"/>
                <w:szCs w:val="20"/>
                <w:color w:val="auto"/>
              </w:rPr>
            </w:pPr>
            <w:r>
              <w:rPr>
                <w:rFonts w:ascii="Arial" w:cs="Arial" w:eastAsia="Arial" w:hAnsi="Arial"/>
                <w:sz w:val="14"/>
                <w:szCs w:val="14"/>
                <w:color w:val="auto"/>
              </w:rPr>
              <w:t>Average total assets - at fair value</w:t>
            </w: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65,274</w:t>
            </w:r>
          </w:p>
        </w:tc>
        <w:tc>
          <w:tcPr>
            <w:tcW w:w="640" w:type="dxa"/>
            <w:vAlign w:val="bottom"/>
            <w:gridSpan w:val="3"/>
          </w:tcPr>
          <w:p>
            <w:pPr>
              <w:jc w:val="right"/>
              <w:ind w:right="220"/>
              <w:spacing w:after="0"/>
              <w:rPr>
                <w:sz w:val="20"/>
                <w:szCs w:val="20"/>
                <w:color w:val="auto"/>
              </w:rPr>
            </w:pPr>
            <w:r>
              <w:rPr>
                <w:rFonts w:ascii="Arial" w:cs="Arial" w:eastAsia="Arial" w:hAnsi="Arial"/>
                <w:sz w:val="16"/>
                <w:szCs w:val="16"/>
                <w:color w:val="auto"/>
              </w:rPr>
              <w:t>$</w:t>
            </w:r>
          </w:p>
        </w:tc>
        <w:tc>
          <w:tcPr>
            <w:tcW w:w="860" w:type="dxa"/>
            <w:vAlign w:val="bottom"/>
          </w:tcPr>
          <w:p>
            <w:pPr>
              <w:jc w:val="right"/>
              <w:ind w:right="120"/>
              <w:spacing w:after="0"/>
              <w:rPr>
                <w:sz w:val="20"/>
                <w:szCs w:val="20"/>
                <w:color w:val="auto"/>
              </w:rPr>
            </w:pPr>
            <w:r>
              <w:rPr>
                <w:rFonts w:ascii="Arial" w:cs="Arial" w:eastAsia="Arial" w:hAnsi="Arial"/>
                <w:sz w:val="16"/>
                <w:szCs w:val="16"/>
                <w:color w:val="auto"/>
              </w:rPr>
              <w:t>77,502</w:t>
            </w:r>
          </w:p>
        </w:tc>
        <w:tc>
          <w:tcPr>
            <w:tcW w:w="100" w:type="dxa"/>
            <w:vAlign w:val="bottom"/>
          </w:tcPr>
          <w:p>
            <w:pPr>
              <w:spacing w:after="0"/>
              <w:rPr>
                <w:sz w:val="18"/>
                <w:szCs w:val="18"/>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66,197</w:t>
            </w:r>
          </w:p>
        </w:tc>
        <w:tc>
          <w:tcPr>
            <w:tcW w:w="640" w:type="dxa"/>
            <w:vAlign w:val="bottom"/>
            <w:gridSpan w:val="3"/>
          </w:tcPr>
          <w:p>
            <w:pPr>
              <w:jc w:val="right"/>
              <w:ind w:right="220"/>
              <w:spacing w:after="0"/>
              <w:rPr>
                <w:sz w:val="20"/>
                <w:szCs w:val="20"/>
                <w:color w:val="auto"/>
              </w:rPr>
            </w:pPr>
            <w:r>
              <w:rPr>
                <w:rFonts w:ascii="Arial" w:cs="Arial" w:eastAsia="Arial" w:hAnsi="Arial"/>
                <w:sz w:val="16"/>
                <w:szCs w:val="16"/>
                <w:color w:val="auto"/>
              </w:rPr>
              <w:t>$</w:t>
            </w:r>
          </w:p>
        </w:tc>
        <w:tc>
          <w:tcPr>
            <w:tcW w:w="880" w:type="dxa"/>
            <w:vAlign w:val="bottom"/>
          </w:tcPr>
          <w:p>
            <w:pPr>
              <w:jc w:val="right"/>
              <w:ind w:right="120"/>
              <w:spacing w:after="0"/>
              <w:rPr>
                <w:sz w:val="20"/>
                <w:szCs w:val="20"/>
                <w:color w:val="auto"/>
              </w:rPr>
            </w:pPr>
            <w:r>
              <w:rPr>
                <w:rFonts w:ascii="Arial" w:cs="Arial" w:eastAsia="Arial" w:hAnsi="Arial"/>
                <w:sz w:val="16"/>
                <w:szCs w:val="16"/>
                <w:color w:val="auto"/>
              </w:rPr>
              <w:t>78,345</w:t>
            </w:r>
          </w:p>
        </w:tc>
      </w:tr>
      <w:tr>
        <w:trPr>
          <w:trHeight w:val="219"/>
        </w:trPr>
        <w:tc>
          <w:tcPr>
            <w:tcW w:w="61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 xml:space="preserve">Average repurchase agreements and other debt outstanding </w:t>
            </w:r>
            <w:r>
              <w:rPr>
                <w:rFonts w:ascii="Arial" w:cs="Arial" w:eastAsia="Arial" w:hAnsi="Arial"/>
                <w:sz w:val="18"/>
                <w:szCs w:val="18"/>
                <w:color w:val="auto"/>
                <w:vertAlign w:val="superscript"/>
              </w:rPr>
              <w:t>3</w:t>
            </w:r>
          </w:p>
        </w:tc>
        <w:tc>
          <w:tcPr>
            <w:tcW w:w="28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42,997</w:t>
            </w:r>
          </w:p>
        </w:tc>
        <w:tc>
          <w:tcPr>
            <w:tcW w:w="640" w:type="dxa"/>
            <w:vAlign w:val="bottom"/>
            <w:gridSpan w:val="3"/>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86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rPr>
              <w:t>52,374</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44,774</w:t>
            </w:r>
          </w:p>
        </w:tc>
        <w:tc>
          <w:tcPr>
            <w:tcW w:w="640" w:type="dxa"/>
            <w:vAlign w:val="bottom"/>
            <w:gridSpan w:val="3"/>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88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rPr>
              <w:t>53,482</w:t>
            </w:r>
          </w:p>
        </w:tc>
      </w:tr>
      <w:tr>
        <w:trPr>
          <w:trHeight w:val="216"/>
        </w:trPr>
        <w:tc>
          <w:tcPr>
            <w:tcW w:w="6140" w:type="dxa"/>
            <w:vAlign w:val="bottom"/>
            <w:gridSpan w:val="2"/>
          </w:tcPr>
          <w:p>
            <w:pPr>
              <w:ind w:left="20"/>
              <w:spacing w:after="0"/>
              <w:rPr>
                <w:sz w:val="20"/>
                <w:szCs w:val="20"/>
                <w:color w:val="auto"/>
              </w:rPr>
            </w:pPr>
            <w:r>
              <w:rPr>
                <w:rFonts w:ascii="Arial" w:cs="Arial" w:eastAsia="Arial" w:hAnsi="Arial"/>
                <w:sz w:val="14"/>
                <w:szCs w:val="14"/>
                <w:color w:val="auto"/>
              </w:rPr>
              <w:t xml:space="preserve">Average stockholders' equity </w:t>
            </w:r>
            <w:r>
              <w:rPr>
                <w:rFonts w:ascii="Arial" w:cs="Arial" w:eastAsia="Arial" w:hAnsi="Arial"/>
                <w:sz w:val="18"/>
                <w:szCs w:val="18"/>
                <w:color w:val="auto"/>
                <w:vertAlign w:val="superscript"/>
              </w:rPr>
              <w:t>4</w:t>
            </w: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8,525</w:t>
            </w:r>
          </w:p>
        </w:tc>
        <w:tc>
          <w:tcPr>
            <w:tcW w:w="640" w:type="dxa"/>
            <w:vAlign w:val="bottom"/>
            <w:gridSpan w:val="3"/>
          </w:tcPr>
          <w:p>
            <w:pPr>
              <w:jc w:val="right"/>
              <w:ind w:right="220"/>
              <w:spacing w:after="0"/>
              <w:rPr>
                <w:sz w:val="20"/>
                <w:szCs w:val="20"/>
                <w:color w:val="auto"/>
              </w:rPr>
            </w:pPr>
            <w:r>
              <w:rPr>
                <w:rFonts w:ascii="Arial" w:cs="Arial" w:eastAsia="Arial" w:hAnsi="Arial"/>
                <w:sz w:val="16"/>
                <w:szCs w:val="16"/>
                <w:color w:val="auto"/>
              </w:rPr>
              <w:t>$</w:t>
            </w:r>
          </w:p>
        </w:tc>
        <w:tc>
          <w:tcPr>
            <w:tcW w:w="860" w:type="dxa"/>
            <w:vAlign w:val="bottom"/>
          </w:tcPr>
          <w:p>
            <w:pPr>
              <w:jc w:val="right"/>
              <w:ind w:right="120"/>
              <w:spacing w:after="0"/>
              <w:rPr>
                <w:sz w:val="20"/>
                <w:szCs w:val="20"/>
                <w:color w:val="auto"/>
              </w:rPr>
            </w:pPr>
            <w:r>
              <w:rPr>
                <w:rFonts w:ascii="Arial" w:cs="Arial" w:eastAsia="Arial" w:hAnsi="Arial"/>
                <w:sz w:val="16"/>
                <w:szCs w:val="16"/>
                <w:color w:val="auto"/>
              </w:rPr>
              <w:t>11,103</w:t>
            </w:r>
          </w:p>
        </w:tc>
        <w:tc>
          <w:tcPr>
            <w:tcW w:w="100" w:type="dxa"/>
            <w:vAlign w:val="bottom"/>
          </w:tcPr>
          <w:p>
            <w:pPr>
              <w:spacing w:after="0"/>
              <w:rPr>
                <w:sz w:val="18"/>
                <w:szCs w:val="18"/>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9,051</w:t>
            </w:r>
          </w:p>
        </w:tc>
        <w:tc>
          <w:tcPr>
            <w:tcW w:w="640" w:type="dxa"/>
            <w:vAlign w:val="bottom"/>
            <w:gridSpan w:val="3"/>
          </w:tcPr>
          <w:p>
            <w:pPr>
              <w:jc w:val="right"/>
              <w:ind w:right="220"/>
              <w:spacing w:after="0"/>
              <w:rPr>
                <w:sz w:val="20"/>
                <w:szCs w:val="20"/>
                <w:color w:val="auto"/>
              </w:rPr>
            </w:pPr>
            <w:r>
              <w:rPr>
                <w:rFonts w:ascii="Arial" w:cs="Arial" w:eastAsia="Arial" w:hAnsi="Arial"/>
                <w:sz w:val="16"/>
                <w:szCs w:val="16"/>
                <w:color w:val="auto"/>
              </w:rPr>
              <w:t>$</w:t>
            </w:r>
          </w:p>
        </w:tc>
        <w:tc>
          <w:tcPr>
            <w:tcW w:w="880" w:type="dxa"/>
            <w:vAlign w:val="bottom"/>
          </w:tcPr>
          <w:p>
            <w:pPr>
              <w:jc w:val="right"/>
              <w:ind w:right="120"/>
              <w:spacing w:after="0"/>
              <w:rPr>
                <w:sz w:val="20"/>
                <w:szCs w:val="20"/>
                <w:color w:val="auto"/>
              </w:rPr>
            </w:pPr>
            <w:r>
              <w:rPr>
                <w:rFonts w:ascii="Arial" w:cs="Arial" w:eastAsia="Arial" w:hAnsi="Arial"/>
                <w:sz w:val="16"/>
                <w:szCs w:val="16"/>
                <w:color w:val="auto"/>
              </w:rPr>
              <w:t>11,185</w:t>
            </w:r>
          </w:p>
        </w:tc>
      </w:tr>
    </w:tbl>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5700" w:type="dxa"/>
            <w:vAlign w:val="bottom"/>
            <w:shd w:val="clear" w:color="auto" w:fill="CCEEFF"/>
          </w:tcPr>
          <w:p>
            <w:pPr>
              <w:ind w:left="20"/>
              <w:spacing w:after="0"/>
              <w:rPr>
                <w:sz w:val="20"/>
                <w:szCs w:val="20"/>
                <w:color w:val="auto"/>
              </w:rPr>
            </w:pPr>
            <w:r>
              <w:rPr>
                <w:rFonts w:ascii="Arial" w:cs="Arial" w:eastAsia="Arial" w:hAnsi="Arial"/>
                <w:sz w:val="14"/>
                <w:szCs w:val="14"/>
                <w:color w:val="auto"/>
              </w:rPr>
              <w:t xml:space="preserve">Average tangible net book value "at risk" leverage </w:t>
            </w:r>
            <w:r>
              <w:rPr>
                <w:rFonts w:ascii="Arial" w:cs="Arial" w:eastAsia="Arial" w:hAnsi="Arial"/>
                <w:sz w:val="18"/>
                <w:szCs w:val="18"/>
                <w:color w:val="auto"/>
                <w:vertAlign w:val="superscript"/>
              </w:rPr>
              <w:t>5</w:t>
            </w:r>
          </w:p>
        </w:tc>
        <w:tc>
          <w:tcPr>
            <w:tcW w:w="2020" w:type="dxa"/>
            <w:vAlign w:val="bottom"/>
            <w:shd w:val="clear" w:color="auto" w:fill="CCEEFF"/>
          </w:tcPr>
          <w:p>
            <w:pPr>
              <w:jc w:val="right"/>
              <w:ind w:right="339"/>
              <w:spacing w:after="0"/>
              <w:rPr>
                <w:sz w:val="20"/>
                <w:szCs w:val="20"/>
                <w:color w:val="auto"/>
              </w:rPr>
            </w:pPr>
            <w:r>
              <w:rPr>
                <w:rFonts w:ascii="Arial" w:cs="Arial" w:eastAsia="Arial" w:hAnsi="Arial"/>
                <w:sz w:val="16"/>
                <w:szCs w:val="16"/>
                <w:color w:val="auto"/>
              </w:rPr>
              <w:t>7.8:1</w:t>
            </w:r>
          </w:p>
        </w:tc>
        <w:tc>
          <w:tcPr>
            <w:tcW w:w="1280" w:type="dxa"/>
            <w:vAlign w:val="bottom"/>
            <w:shd w:val="clear" w:color="auto" w:fill="CCEEFF"/>
          </w:tcPr>
          <w:p>
            <w:pPr>
              <w:jc w:val="right"/>
              <w:ind w:right="319"/>
              <w:spacing w:after="0"/>
              <w:rPr>
                <w:sz w:val="20"/>
                <w:szCs w:val="20"/>
                <w:color w:val="auto"/>
              </w:rPr>
            </w:pPr>
            <w:r>
              <w:rPr>
                <w:rFonts w:ascii="Arial" w:cs="Arial" w:eastAsia="Arial" w:hAnsi="Arial"/>
                <w:sz w:val="16"/>
                <w:szCs w:val="16"/>
                <w:color w:val="auto"/>
              </w:rPr>
              <w:t>7.6:1</w:t>
            </w:r>
          </w:p>
        </w:tc>
        <w:tc>
          <w:tcPr>
            <w:tcW w:w="1340" w:type="dxa"/>
            <w:vAlign w:val="bottom"/>
            <w:shd w:val="clear" w:color="auto" w:fill="CCEEFF"/>
          </w:tcPr>
          <w:p>
            <w:pPr>
              <w:jc w:val="right"/>
              <w:ind w:right="339"/>
              <w:spacing w:after="0"/>
              <w:rPr>
                <w:sz w:val="20"/>
                <w:szCs w:val="20"/>
                <w:color w:val="auto"/>
              </w:rPr>
            </w:pPr>
            <w:r>
              <w:rPr>
                <w:rFonts w:ascii="Arial" w:cs="Arial" w:eastAsia="Arial" w:hAnsi="Arial"/>
                <w:sz w:val="16"/>
                <w:szCs w:val="16"/>
                <w:color w:val="auto"/>
              </w:rPr>
              <w:t>7.8:1</w:t>
            </w: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7.8:1</w:t>
            </w:r>
          </w:p>
        </w:tc>
      </w:tr>
      <w:tr>
        <w:trPr>
          <w:trHeight w:val="216"/>
        </w:trPr>
        <w:tc>
          <w:tcPr>
            <w:tcW w:w="5700" w:type="dxa"/>
            <w:vAlign w:val="bottom"/>
          </w:tcPr>
          <w:p>
            <w:pPr>
              <w:ind w:left="20"/>
              <w:spacing w:after="0"/>
              <w:rPr>
                <w:sz w:val="20"/>
                <w:szCs w:val="20"/>
                <w:color w:val="auto"/>
              </w:rPr>
            </w:pPr>
            <w:r>
              <w:rPr>
                <w:rFonts w:ascii="Arial" w:cs="Arial" w:eastAsia="Arial" w:hAnsi="Arial"/>
                <w:sz w:val="14"/>
                <w:szCs w:val="14"/>
                <w:color w:val="auto"/>
              </w:rPr>
              <w:t xml:space="preserve">Tangible net book value "at risk" leverage </w:t>
            </w:r>
            <w:r>
              <w:rPr>
                <w:rFonts w:ascii="Arial" w:cs="Arial" w:eastAsia="Arial" w:hAnsi="Arial"/>
                <w:sz w:val="14"/>
                <w:szCs w:val="14"/>
                <w:i w:val="1"/>
                <w:iCs w:val="1"/>
                <w:color w:val="auto"/>
              </w:rPr>
              <w:t>(as of period end)</w:t>
            </w:r>
            <w:r>
              <w:rPr>
                <w:rFonts w:ascii="Arial" w:cs="Arial" w:eastAsia="Arial" w:hAnsi="Arial"/>
                <w:sz w:val="14"/>
                <w:szCs w:val="14"/>
                <w:color w:val="auto"/>
              </w:rPr>
              <w:t xml:space="preserve"> </w:t>
            </w:r>
            <w:r>
              <w:rPr>
                <w:rFonts w:ascii="Arial" w:cs="Arial" w:eastAsia="Arial" w:hAnsi="Arial"/>
                <w:sz w:val="18"/>
                <w:szCs w:val="18"/>
                <w:color w:val="auto"/>
                <w:vertAlign w:val="superscript"/>
              </w:rPr>
              <w:t>6</w:t>
            </w:r>
          </w:p>
        </w:tc>
        <w:tc>
          <w:tcPr>
            <w:tcW w:w="2020" w:type="dxa"/>
            <w:vAlign w:val="bottom"/>
          </w:tcPr>
          <w:p>
            <w:pPr>
              <w:jc w:val="right"/>
              <w:ind w:right="339"/>
              <w:spacing w:after="0"/>
              <w:rPr>
                <w:sz w:val="20"/>
                <w:szCs w:val="20"/>
                <w:color w:val="auto"/>
              </w:rPr>
            </w:pPr>
            <w:r>
              <w:rPr>
                <w:rFonts w:ascii="Arial" w:cs="Arial" w:eastAsia="Arial" w:hAnsi="Arial"/>
                <w:sz w:val="16"/>
                <w:szCs w:val="16"/>
                <w:color w:val="auto"/>
              </w:rPr>
              <w:t>7.4:1</w:t>
            </w:r>
          </w:p>
        </w:tc>
        <w:tc>
          <w:tcPr>
            <w:tcW w:w="1280" w:type="dxa"/>
            <w:vAlign w:val="bottom"/>
          </w:tcPr>
          <w:p>
            <w:pPr>
              <w:jc w:val="right"/>
              <w:ind w:right="319"/>
              <w:spacing w:after="0"/>
              <w:rPr>
                <w:sz w:val="20"/>
                <w:szCs w:val="20"/>
                <w:color w:val="auto"/>
              </w:rPr>
            </w:pPr>
            <w:r>
              <w:rPr>
                <w:rFonts w:ascii="Arial" w:cs="Arial" w:eastAsia="Arial" w:hAnsi="Arial"/>
                <w:sz w:val="16"/>
                <w:szCs w:val="16"/>
                <w:color w:val="auto"/>
              </w:rPr>
              <w:t>7.9:1</w:t>
            </w:r>
          </w:p>
        </w:tc>
        <w:tc>
          <w:tcPr>
            <w:tcW w:w="1340" w:type="dxa"/>
            <w:vAlign w:val="bottom"/>
          </w:tcPr>
          <w:p>
            <w:pPr>
              <w:jc w:val="right"/>
              <w:ind w:right="339"/>
              <w:spacing w:after="0"/>
              <w:rPr>
                <w:sz w:val="20"/>
                <w:szCs w:val="20"/>
                <w:color w:val="auto"/>
              </w:rPr>
            </w:pPr>
            <w:r>
              <w:rPr>
                <w:rFonts w:ascii="Arial" w:cs="Arial" w:eastAsia="Arial" w:hAnsi="Arial"/>
                <w:sz w:val="16"/>
                <w:szCs w:val="16"/>
                <w:color w:val="auto"/>
              </w:rPr>
              <w:t>7.4:1</w:t>
            </w:r>
          </w:p>
        </w:tc>
        <w:tc>
          <w:tcPr>
            <w:tcW w:w="900" w:type="dxa"/>
            <w:vAlign w:val="bottom"/>
          </w:tcPr>
          <w:p>
            <w:pPr>
              <w:jc w:val="right"/>
              <w:spacing w:after="0"/>
              <w:rPr>
                <w:sz w:val="20"/>
                <w:szCs w:val="20"/>
                <w:color w:val="auto"/>
              </w:rPr>
            </w:pPr>
            <w:r>
              <w:rPr>
                <w:rFonts w:ascii="Arial" w:cs="Arial" w:eastAsia="Arial" w:hAnsi="Arial"/>
                <w:sz w:val="16"/>
                <w:szCs w:val="16"/>
                <w:color w:val="auto"/>
              </w:rPr>
              <w:t>7.9:1</w:t>
            </w:r>
          </w:p>
        </w:tc>
      </w:tr>
      <w:tr>
        <w:trPr>
          <w:trHeight w:val="216"/>
        </w:trPr>
        <w:tc>
          <w:tcPr>
            <w:tcW w:w="5700" w:type="dxa"/>
            <w:vAlign w:val="bottom"/>
            <w:shd w:val="clear" w:color="auto" w:fill="CCEEFF"/>
          </w:tcPr>
          <w:p>
            <w:pPr>
              <w:ind w:left="20"/>
              <w:spacing w:after="0"/>
              <w:rPr>
                <w:sz w:val="20"/>
                <w:szCs w:val="20"/>
                <w:color w:val="auto"/>
              </w:rPr>
            </w:pPr>
            <w:r>
              <w:rPr>
                <w:rFonts w:ascii="Arial" w:cs="Arial" w:eastAsia="Arial" w:hAnsi="Arial"/>
                <w:sz w:val="14"/>
                <w:szCs w:val="14"/>
                <w:color w:val="auto"/>
              </w:rPr>
              <w:t xml:space="preserve">Economic return on tangible common equity - unannualized </w:t>
            </w:r>
            <w:r>
              <w:rPr>
                <w:rFonts w:ascii="Arial" w:cs="Arial" w:eastAsia="Arial" w:hAnsi="Arial"/>
                <w:sz w:val="18"/>
                <w:szCs w:val="18"/>
                <w:color w:val="auto"/>
                <w:vertAlign w:val="superscript"/>
              </w:rPr>
              <w:t>7</w:t>
            </w:r>
          </w:p>
        </w:tc>
        <w:tc>
          <w:tcPr>
            <w:tcW w:w="2020" w:type="dxa"/>
            <w:vAlign w:val="bottom"/>
            <w:shd w:val="clear" w:color="auto" w:fill="CCEEFF"/>
          </w:tcPr>
          <w:p>
            <w:pPr>
              <w:jc w:val="right"/>
              <w:ind w:right="339"/>
              <w:spacing w:after="0"/>
              <w:rPr>
                <w:sz w:val="20"/>
                <w:szCs w:val="20"/>
                <w:color w:val="auto"/>
              </w:rPr>
            </w:pPr>
            <w:r>
              <w:rPr>
                <w:rFonts w:ascii="Arial" w:cs="Arial" w:eastAsia="Arial" w:hAnsi="Arial"/>
                <w:sz w:val="16"/>
                <w:szCs w:val="16"/>
                <w:color w:val="auto"/>
              </w:rPr>
              <w:t>(10.1)%</w:t>
            </w:r>
          </w:p>
        </w:tc>
        <w:tc>
          <w:tcPr>
            <w:tcW w:w="1280" w:type="dxa"/>
            <w:vAlign w:val="bottom"/>
            <w:shd w:val="clear" w:color="auto" w:fill="CCEEFF"/>
          </w:tcPr>
          <w:p>
            <w:pPr>
              <w:jc w:val="right"/>
              <w:ind w:right="319"/>
              <w:spacing w:after="0"/>
              <w:rPr>
                <w:sz w:val="20"/>
                <w:szCs w:val="20"/>
                <w:color w:val="auto"/>
              </w:rPr>
            </w:pPr>
            <w:r>
              <w:rPr>
                <w:rFonts w:ascii="Arial" w:cs="Arial" w:eastAsia="Arial" w:hAnsi="Arial"/>
                <w:sz w:val="16"/>
                <w:szCs w:val="16"/>
                <w:color w:val="auto"/>
              </w:rPr>
              <w:t>(5.5)%</w:t>
            </w:r>
          </w:p>
        </w:tc>
        <w:tc>
          <w:tcPr>
            <w:tcW w:w="1340" w:type="dxa"/>
            <w:vAlign w:val="bottom"/>
            <w:shd w:val="clear" w:color="auto" w:fill="CCEEFF"/>
          </w:tcPr>
          <w:p>
            <w:pPr>
              <w:jc w:val="right"/>
              <w:ind w:right="339"/>
              <w:spacing w:after="0"/>
              <w:rPr>
                <w:sz w:val="20"/>
                <w:szCs w:val="20"/>
                <w:color w:val="auto"/>
              </w:rPr>
            </w:pPr>
            <w:r>
              <w:rPr>
                <w:rFonts w:ascii="Arial" w:cs="Arial" w:eastAsia="Arial" w:hAnsi="Arial"/>
                <w:sz w:val="16"/>
                <w:szCs w:val="16"/>
                <w:color w:val="auto"/>
              </w:rPr>
              <w:t>(22.9)%</w:t>
            </w: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2.4 %</w:t>
            </w:r>
          </w:p>
        </w:tc>
      </w:tr>
      <w:tr>
        <w:trPr>
          <w:trHeight w:val="213"/>
        </w:trPr>
        <w:tc>
          <w:tcPr>
            <w:tcW w:w="5700" w:type="dxa"/>
            <w:vAlign w:val="bottom"/>
          </w:tcPr>
          <w:p>
            <w:pPr>
              <w:ind w:left="20"/>
              <w:spacing w:after="0"/>
              <w:rPr>
                <w:sz w:val="20"/>
                <w:szCs w:val="20"/>
                <w:color w:val="auto"/>
              </w:rPr>
            </w:pPr>
            <w:r>
              <w:rPr>
                <w:rFonts w:ascii="Arial" w:cs="Arial" w:eastAsia="Arial" w:hAnsi="Arial"/>
                <w:sz w:val="14"/>
                <w:szCs w:val="14"/>
                <w:color w:val="auto"/>
              </w:rPr>
              <w:t>Expenses % of average total assets - annualized</w:t>
            </w:r>
          </w:p>
        </w:tc>
        <w:tc>
          <w:tcPr>
            <w:tcW w:w="2020" w:type="dxa"/>
            <w:vAlign w:val="bottom"/>
          </w:tcPr>
          <w:p>
            <w:pPr>
              <w:jc w:val="right"/>
              <w:ind w:right="339"/>
              <w:spacing w:after="0"/>
              <w:rPr>
                <w:sz w:val="20"/>
                <w:szCs w:val="20"/>
                <w:color w:val="auto"/>
              </w:rPr>
            </w:pPr>
            <w:r>
              <w:rPr>
                <w:rFonts w:ascii="Arial" w:cs="Arial" w:eastAsia="Arial" w:hAnsi="Arial"/>
                <w:sz w:val="16"/>
                <w:szCs w:val="16"/>
                <w:color w:val="auto"/>
              </w:rPr>
              <w:t>0.12 %</w:t>
            </w:r>
          </w:p>
        </w:tc>
        <w:tc>
          <w:tcPr>
            <w:tcW w:w="1280" w:type="dxa"/>
            <w:vAlign w:val="bottom"/>
          </w:tcPr>
          <w:p>
            <w:pPr>
              <w:jc w:val="right"/>
              <w:ind w:right="319"/>
              <w:spacing w:after="0"/>
              <w:rPr>
                <w:sz w:val="20"/>
                <w:szCs w:val="20"/>
                <w:color w:val="auto"/>
              </w:rPr>
            </w:pPr>
            <w:r>
              <w:rPr>
                <w:rFonts w:ascii="Arial" w:cs="Arial" w:eastAsia="Arial" w:hAnsi="Arial"/>
                <w:sz w:val="16"/>
                <w:szCs w:val="16"/>
                <w:color w:val="auto"/>
              </w:rPr>
              <w:t>0.11 %</w:t>
            </w:r>
          </w:p>
        </w:tc>
        <w:tc>
          <w:tcPr>
            <w:tcW w:w="1340" w:type="dxa"/>
            <w:vAlign w:val="bottom"/>
          </w:tcPr>
          <w:p>
            <w:pPr>
              <w:jc w:val="right"/>
              <w:ind w:right="339"/>
              <w:spacing w:after="0"/>
              <w:rPr>
                <w:sz w:val="20"/>
                <w:szCs w:val="20"/>
                <w:color w:val="auto"/>
              </w:rPr>
            </w:pPr>
            <w:r>
              <w:rPr>
                <w:rFonts w:ascii="Arial" w:cs="Arial" w:eastAsia="Arial" w:hAnsi="Arial"/>
                <w:sz w:val="16"/>
                <w:szCs w:val="16"/>
                <w:color w:val="auto"/>
              </w:rPr>
              <w:t>0.12 %</w:t>
            </w:r>
          </w:p>
        </w:tc>
        <w:tc>
          <w:tcPr>
            <w:tcW w:w="900" w:type="dxa"/>
            <w:vAlign w:val="bottom"/>
          </w:tcPr>
          <w:p>
            <w:pPr>
              <w:jc w:val="right"/>
              <w:spacing w:after="0"/>
              <w:rPr>
                <w:sz w:val="20"/>
                <w:szCs w:val="20"/>
                <w:color w:val="auto"/>
              </w:rPr>
            </w:pPr>
            <w:r>
              <w:rPr>
                <w:rFonts w:ascii="Arial" w:cs="Arial" w:eastAsia="Arial" w:hAnsi="Arial"/>
                <w:sz w:val="16"/>
                <w:szCs w:val="16"/>
                <w:color w:val="auto"/>
              </w:rPr>
              <w:t>0.12 %</w:t>
            </w:r>
          </w:p>
        </w:tc>
      </w:tr>
      <w:tr>
        <w:trPr>
          <w:trHeight w:val="219"/>
        </w:trPr>
        <w:tc>
          <w:tcPr>
            <w:tcW w:w="5700" w:type="dxa"/>
            <w:vAlign w:val="bottom"/>
            <w:shd w:val="clear" w:color="auto" w:fill="CCEEFF"/>
          </w:tcPr>
          <w:p>
            <w:pPr>
              <w:ind w:left="20"/>
              <w:spacing w:after="0"/>
              <w:rPr>
                <w:sz w:val="20"/>
                <w:szCs w:val="20"/>
                <w:color w:val="auto"/>
              </w:rPr>
            </w:pPr>
            <w:r>
              <w:rPr>
                <w:rFonts w:ascii="Arial" w:cs="Arial" w:eastAsia="Arial" w:hAnsi="Arial"/>
                <w:sz w:val="14"/>
                <w:szCs w:val="14"/>
                <w:color w:val="auto"/>
              </w:rPr>
              <w:t>Expenses % of average assets, including average net TBA position - annualized</w:t>
            </w:r>
          </w:p>
        </w:tc>
        <w:tc>
          <w:tcPr>
            <w:tcW w:w="2020" w:type="dxa"/>
            <w:vAlign w:val="bottom"/>
            <w:shd w:val="clear" w:color="auto" w:fill="CCEEFF"/>
          </w:tcPr>
          <w:p>
            <w:pPr>
              <w:jc w:val="right"/>
              <w:ind w:right="339"/>
              <w:spacing w:after="0"/>
              <w:rPr>
                <w:sz w:val="20"/>
                <w:szCs w:val="20"/>
                <w:color w:val="auto"/>
              </w:rPr>
            </w:pPr>
            <w:r>
              <w:rPr>
                <w:rFonts w:ascii="Arial" w:cs="Arial" w:eastAsia="Arial" w:hAnsi="Arial"/>
                <w:sz w:val="16"/>
                <w:szCs w:val="16"/>
                <w:color w:val="auto"/>
              </w:rPr>
              <w:t>0.09 %</w:t>
            </w:r>
          </w:p>
        </w:tc>
        <w:tc>
          <w:tcPr>
            <w:tcW w:w="1280" w:type="dxa"/>
            <w:vAlign w:val="bottom"/>
            <w:shd w:val="clear" w:color="auto" w:fill="CCEEFF"/>
          </w:tcPr>
          <w:p>
            <w:pPr>
              <w:jc w:val="right"/>
              <w:ind w:right="319"/>
              <w:spacing w:after="0"/>
              <w:rPr>
                <w:sz w:val="20"/>
                <w:szCs w:val="20"/>
                <w:color w:val="auto"/>
              </w:rPr>
            </w:pPr>
            <w:r>
              <w:rPr>
                <w:rFonts w:ascii="Arial" w:cs="Arial" w:eastAsia="Arial" w:hAnsi="Arial"/>
                <w:sz w:val="16"/>
                <w:szCs w:val="16"/>
                <w:color w:val="auto"/>
              </w:rPr>
              <w:t>0.08 %</w:t>
            </w:r>
          </w:p>
        </w:tc>
        <w:tc>
          <w:tcPr>
            <w:tcW w:w="1340" w:type="dxa"/>
            <w:vAlign w:val="bottom"/>
            <w:shd w:val="clear" w:color="auto" w:fill="CCEEFF"/>
          </w:tcPr>
          <w:p>
            <w:pPr>
              <w:jc w:val="right"/>
              <w:ind w:right="339"/>
              <w:spacing w:after="0"/>
              <w:rPr>
                <w:sz w:val="20"/>
                <w:szCs w:val="20"/>
                <w:color w:val="auto"/>
              </w:rPr>
            </w:pPr>
            <w:r>
              <w:rPr>
                <w:rFonts w:ascii="Arial" w:cs="Arial" w:eastAsia="Arial" w:hAnsi="Arial"/>
                <w:sz w:val="16"/>
                <w:szCs w:val="16"/>
                <w:color w:val="auto"/>
              </w:rPr>
              <w:t>0.09 %</w:t>
            </w: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0.08 %</w:t>
            </w:r>
          </w:p>
        </w:tc>
      </w:tr>
      <w:tr>
        <w:trPr>
          <w:trHeight w:val="210"/>
        </w:trPr>
        <w:tc>
          <w:tcPr>
            <w:tcW w:w="5700" w:type="dxa"/>
            <w:vAlign w:val="bottom"/>
          </w:tcPr>
          <w:p>
            <w:pPr>
              <w:ind w:left="20"/>
              <w:spacing w:after="0"/>
              <w:rPr>
                <w:sz w:val="20"/>
                <w:szCs w:val="20"/>
                <w:color w:val="auto"/>
              </w:rPr>
            </w:pPr>
            <w:r>
              <w:rPr>
                <w:rFonts w:ascii="Arial" w:cs="Arial" w:eastAsia="Arial" w:hAnsi="Arial"/>
                <w:sz w:val="14"/>
                <w:szCs w:val="14"/>
                <w:color w:val="auto"/>
              </w:rPr>
              <w:t>Expenses % of average stockholders' equity - annualized</w:t>
            </w:r>
          </w:p>
        </w:tc>
        <w:tc>
          <w:tcPr>
            <w:tcW w:w="2020" w:type="dxa"/>
            <w:vAlign w:val="bottom"/>
          </w:tcPr>
          <w:p>
            <w:pPr>
              <w:jc w:val="right"/>
              <w:ind w:right="339"/>
              <w:spacing w:after="0"/>
              <w:rPr>
                <w:sz w:val="20"/>
                <w:szCs w:val="20"/>
                <w:color w:val="auto"/>
              </w:rPr>
            </w:pPr>
            <w:r>
              <w:rPr>
                <w:rFonts w:ascii="Arial" w:cs="Arial" w:eastAsia="Arial" w:hAnsi="Arial"/>
                <w:sz w:val="16"/>
                <w:szCs w:val="16"/>
                <w:color w:val="auto"/>
              </w:rPr>
              <w:t>0.94 %</w:t>
            </w:r>
          </w:p>
        </w:tc>
        <w:tc>
          <w:tcPr>
            <w:tcW w:w="1280" w:type="dxa"/>
            <w:vAlign w:val="bottom"/>
          </w:tcPr>
          <w:p>
            <w:pPr>
              <w:jc w:val="right"/>
              <w:ind w:right="319"/>
              <w:spacing w:after="0"/>
              <w:rPr>
                <w:sz w:val="20"/>
                <w:szCs w:val="20"/>
                <w:color w:val="auto"/>
              </w:rPr>
            </w:pPr>
            <w:r>
              <w:rPr>
                <w:rFonts w:ascii="Arial" w:cs="Arial" w:eastAsia="Arial" w:hAnsi="Arial"/>
                <w:sz w:val="16"/>
                <w:szCs w:val="16"/>
                <w:color w:val="auto"/>
              </w:rPr>
              <w:t>0.79 %</w:t>
            </w:r>
          </w:p>
        </w:tc>
        <w:tc>
          <w:tcPr>
            <w:tcW w:w="1340" w:type="dxa"/>
            <w:vAlign w:val="bottom"/>
          </w:tcPr>
          <w:p>
            <w:pPr>
              <w:jc w:val="right"/>
              <w:ind w:right="339"/>
              <w:spacing w:after="0"/>
              <w:rPr>
                <w:sz w:val="20"/>
                <w:szCs w:val="20"/>
                <w:color w:val="auto"/>
              </w:rPr>
            </w:pPr>
            <w:r>
              <w:rPr>
                <w:rFonts w:ascii="Arial" w:cs="Arial" w:eastAsia="Arial" w:hAnsi="Arial"/>
                <w:sz w:val="16"/>
                <w:szCs w:val="16"/>
                <w:color w:val="auto"/>
              </w:rPr>
              <w:t>0.91 %</w:t>
            </w:r>
          </w:p>
        </w:tc>
        <w:tc>
          <w:tcPr>
            <w:tcW w:w="900" w:type="dxa"/>
            <w:vAlign w:val="bottom"/>
          </w:tcPr>
          <w:p>
            <w:pPr>
              <w:jc w:val="right"/>
              <w:spacing w:after="0"/>
              <w:rPr>
                <w:sz w:val="20"/>
                <w:szCs w:val="20"/>
                <w:color w:val="auto"/>
              </w:rPr>
            </w:pPr>
            <w:r>
              <w:rPr>
                <w:rFonts w:ascii="Arial" w:cs="Arial" w:eastAsia="Arial" w:hAnsi="Arial"/>
                <w:sz w:val="16"/>
                <w:szCs w:val="16"/>
                <w:color w:val="auto"/>
              </w:rPr>
              <w:t>0.82 %</w:t>
            </w:r>
          </w:p>
        </w:tc>
      </w:tr>
    </w:tbl>
    <w:p>
      <w:pPr>
        <w:spacing w:after="0" w:line="102"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340"/>
        <w:spacing w:after="0"/>
        <w:rPr>
          <w:sz w:val="20"/>
          <w:szCs w:val="20"/>
          <w:color w:val="auto"/>
        </w:rPr>
      </w:pPr>
      <w:r>
        <w:rPr>
          <w:rFonts w:ascii="Arial" w:cs="Arial" w:eastAsia="Arial" w:hAnsi="Arial"/>
          <w:sz w:val="14"/>
          <w:szCs w:val="14"/>
          <w:color w:val="auto"/>
        </w:rPr>
        <w:t>* Except as noted below, average numbers for each period are weighted based on days on our books and records.</w:t>
      </w:r>
    </w:p>
    <w:p>
      <w:pPr>
        <w:spacing w:after="0" w:line="1" w:lineRule="exact"/>
        <w:rPr>
          <w:sz w:val="20"/>
          <w:szCs w:val="20"/>
          <w:color w:val="auto"/>
        </w:rPr>
      </w:pPr>
    </w:p>
    <w:p>
      <w:pPr>
        <w:ind w:left="660" w:hanging="328"/>
        <w:spacing w:after="0" w:line="241" w:lineRule="auto"/>
        <w:tabs>
          <w:tab w:leader="none" w:pos="660" w:val="left"/>
        </w:tabs>
        <w:numPr>
          <w:ilvl w:val="0"/>
          <w:numId w:val="24"/>
        </w:numPr>
        <w:rPr>
          <w:rFonts w:ascii="Arial" w:cs="Arial" w:eastAsia="Arial" w:hAnsi="Arial"/>
          <w:sz w:val="14"/>
          <w:szCs w:val="14"/>
          <w:color w:val="auto"/>
        </w:rPr>
      </w:pPr>
      <w:r>
        <w:rPr>
          <w:rFonts w:ascii="Arial" w:cs="Arial" w:eastAsia="Arial" w:hAnsi="Arial"/>
          <w:sz w:val="14"/>
          <w:szCs w:val="14"/>
          <w:color w:val="auto"/>
        </w:rPr>
        <w:t>Net book value per common share is calculated as total stockholders' equity, less preferred stock liquidation preference, divided by number of common shares outstanding as of period end.</w:t>
      </w:r>
    </w:p>
    <w:p>
      <w:pPr>
        <w:ind w:left="660" w:hanging="328"/>
        <w:spacing w:after="0"/>
        <w:tabs>
          <w:tab w:leader="none" w:pos="660" w:val="left"/>
        </w:tabs>
        <w:numPr>
          <w:ilvl w:val="0"/>
          <w:numId w:val="24"/>
        </w:numPr>
        <w:rPr>
          <w:rFonts w:ascii="Arial" w:cs="Arial" w:eastAsia="Arial" w:hAnsi="Arial"/>
          <w:sz w:val="14"/>
          <w:szCs w:val="14"/>
          <w:color w:val="auto"/>
        </w:rPr>
      </w:pPr>
      <w:r>
        <w:rPr>
          <w:rFonts w:ascii="Arial" w:cs="Arial" w:eastAsia="Arial" w:hAnsi="Arial"/>
          <w:sz w:val="14"/>
          <w:szCs w:val="14"/>
          <w:color w:val="auto"/>
        </w:rPr>
        <w:t>Tangible net book value per common share excludes goodwill.</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4"/>
        </w:numPr>
        <w:rPr>
          <w:rFonts w:ascii="Arial" w:cs="Arial" w:eastAsia="Arial" w:hAnsi="Arial"/>
          <w:sz w:val="14"/>
          <w:szCs w:val="14"/>
          <w:color w:val="auto"/>
        </w:rPr>
      </w:pPr>
      <w:r>
        <w:rPr>
          <w:rFonts w:ascii="Arial" w:cs="Arial" w:eastAsia="Arial" w:hAnsi="Arial"/>
          <w:sz w:val="14"/>
          <w:szCs w:val="14"/>
          <w:color w:val="auto"/>
        </w:rPr>
        <w:t>Amount excludes U.S. Treasury repurchase agreements and TBA contracts. Other debt includes debt of consolidated VIEs.</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4"/>
        </w:numPr>
        <w:rPr>
          <w:rFonts w:ascii="Arial" w:cs="Arial" w:eastAsia="Arial" w:hAnsi="Arial"/>
          <w:sz w:val="14"/>
          <w:szCs w:val="14"/>
          <w:color w:val="auto"/>
        </w:rPr>
      </w:pPr>
      <w:r>
        <w:rPr>
          <w:rFonts w:ascii="Arial" w:cs="Arial" w:eastAsia="Arial" w:hAnsi="Arial"/>
          <w:sz w:val="14"/>
          <w:szCs w:val="14"/>
          <w:color w:val="auto"/>
        </w:rPr>
        <w:t>Average stockholders' equity calculated as average month-ended stockholders' equity during the period.</w:t>
      </w:r>
    </w:p>
    <w:p>
      <w:pPr>
        <w:spacing w:after="0" w:line="1" w:lineRule="exact"/>
        <w:rPr>
          <w:rFonts w:ascii="Arial" w:cs="Arial" w:eastAsia="Arial" w:hAnsi="Arial"/>
          <w:sz w:val="14"/>
          <w:szCs w:val="14"/>
          <w:color w:val="auto"/>
        </w:rPr>
      </w:pPr>
    </w:p>
    <w:p>
      <w:pPr>
        <w:jc w:val="both"/>
        <w:ind w:left="660" w:hanging="328"/>
        <w:spacing w:after="0" w:line="241" w:lineRule="auto"/>
        <w:tabs>
          <w:tab w:leader="none" w:pos="660" w:val="left"/>
        </w:tabs>
        <w:numPr>
          <w:ilvl w:val="0"/>
          <w:numId w:val="24"/>
        </w:numPr>
        <w:rPr>
          <w:rFonts w:ascii="Arial" w:cs="Arial" w:eastAsia="Arial" w:hAnsi="Arial"/>
          <w:sz w:val="14"/>
          <w:szCs w:val="14"/>
          <w:color w:val="auto"/>
        </w:rPr>
      </w:pPr>
      <w:r>
        <w:rPr>
          <w:rFonts w:ascii="Arial" w:cs="Arial" w:eastAsia="Arial" w:hAnsi="Arial"/>
          <w:sz w:val="14"/>
          <w:szCs w:val="14"/>
          <w:color w:val="auto"/>
        </w:rPr>
        <w:t>Average tangible net book value "at risk" leverage is calculated by dividing the sum of daily weighted average repurchase agreements used to fund our investment securities, other debt, and TBA and forward settling securities (at cost) (collectively "mortgage borrowings") outstanding for the period by the sum of average stockholders' equity adjusted to exclude goodwill for the period. Leverage excludes U.S. Treasury repurchase agreements.</w:t>
      </w:r>
    </w:p>
    <w:p>
      <w:pPr>
        <w:spacing w:after="0" w:line="1" w:lineRule="exact"/>
        <w:rPr>
          <w:rFonts w:ascii="Arial" w:cs="Arial" w:eastAsia="Arial" w:hAnsi="Arial"/>
          <w:sz w:val="14"/>
          <w:szCs w:val="14"/>
          <w:color w:val="auto"/>
        </w:rPr>
      </w:pPr>
    </w:p>
    <w:p>
      <w:pPr>
        <w:ind w:left="660" w:hanging="328"/>
        <w:spacing w:after="0" w:line="293" w:lineRule="auto"/>
        <w:tabs>
          <w:tab w:leader="none" w:pos="660" w:val="left"/>
        </w:tabs>
        <w:numPr>
          <w:ilvl w:val="0"/>
          <w:numId w:val="24"/>
        </w:numPr>
        <w:rPr>
          <w:rFonts w:ascii="Arial" w:cs="Arial" w:eastAsia="Arial" w:hAnsi="Arial"/>
          <w:sz w:val="13"/>
          <w:szCs w:val="13"/>
          <w:color w:val="auto"/>
        </w:rPr>
      </w:pPr>
      <w:r>
        <w:rPr>
          <w:rFonts w:ascii="Arial" w:cs="Arial" w:eastAsia="Arial" w:hAnsi="Arial"/>
          <w:sz w:val="13"/>
          <w:szCs w:val="13"/>
          <w:color w:val="auto"/>
        </w:rPr>
        <w:t>Tangible net book value "at risk" leverage as of period end is calculated by dividing the sum of mortgage borrowings outstanding and receivable/payable for unsettled investment securities as of period end by the sum of total stockholders' equity adjusted to exclude goodwill as of period end. Leverage excludes U.S. Treasury repurchase agreements.</w:t>
      </w:r>
    </w:p>
    <w:p>
      <w:pPr>
        <w:spacing w:after="0" w:line="200" w:lineRule="exact"/>
        <w:rPr>
          <w:sz w:val="20"/>
          <w:szCs w:val="20"/>
          <w:color w:val="auto"/>
        </w:rPr>
      </w:pPr>
    </w:p>
    <w:p>
      <w:pPr>
        <w:spacing w:after="0" w:line="3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0" w:right="339" w:bottom="1440" w:gutter="0" w:footer="0" w:header="0"/>
        </w:sectPr>
      </w:pPr>
    </w:p>
    <w:bookmarkStart w:id="33" w:name="page34"/>
    <w:bookmarkEnd w:id="33"/>
    <w:p>
      <w:pPr>
        <w:ind w:left="660" w:right="20" w:hanging="328"/>
        <w:spacing w:after="0" w:line="273" w:lineRule="auto"/>
        <w:tabs>
          <w:tab w:leader="none" w:pos="660" w:val="left"/>
        </w:tabs>
        <w:numPr>
          <w:ilvl w:val="0"/>
          <w:numId w:val="25"/>
        </w:numPr>
        <w:rPr>
          <w:rFonts w:ascii="Arial" w:cs="Arial" w:eastAsia="Arial" w:hAnsi="Arial"/>
          <w:sz w:val="14"/>
          <w:szCs w:val="14"/>
          <w:color w:val="auto"/>
        </w:rPr>
      </w:pPr>
      <w:r>
        <w:rPr>
          <w:rFonts w:ascii="Arial" w:cs="Arial" w:eastAsia="Arial" w:hAnsi="Arial"/>
          <w:sz w:val="14"/>
          <w:szCs w:val="14"/>
          <w:color w:val="auto"/>
        </w:rPr>
        <w:t>Economic return on tangible common equity represents the sum of the change in tangible net book value per common share and dividends declared per share of common stock during the period over beginning tangible net book value per common share.</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Economic Interest Income and Asset Yields</w:t>
      </w:r>
    </w:p>
    <w:p>
      <w:pPr>
        <w:spacing w:after="0" w:line="171" w:lineRule="exact"/>
        <w:rPr>
          <w:sz w:val="20"/>
          <w:szCs w:val="20"/>
          <w:color w:val="auto"/>
        </w:rPr>
      </w:pPr>
    </w:p>
    <w:p>
      <w:pPr>
        <w:jc w:val="both"/>
        <w:ind w:firstLine="445"/>
        <w:spacing w:after="0" w:line="259" w:lineRule="auto"/>
        <w:rPr>
          <w:sz w:val="20"/>
          <w:szCs w:val="20"/>
          <w:color w:val="auto"/>
        </w:rPr>
      </w:pPr>
      <w:r>
        <w:rPr>
          <w:rFonts w:ascii="Arial" w:cs="Arial" w:eastAsia="Arial" w:hAnsi="Arial"/>
          <w:sz w:val="18"/>
          <w:szCs w:val="18"/>
          <w:color w:val="auto"/>
        </w:rPr>
        <w:t>The following table summarizes our economic interest income (a non-GAAP measure) for the three and six months ended June 30, 2022 and 2021, which includes the combination of interest income (a GAAP measure) on our holdings reported as investment securities on our consolidated balance sheets, adjusted to exclude estimated "catch-up" premium amortization adjustments for the cumulative effect from prior reporting periods due to changes in our CPR forecast, and implied interest income on our TBA securities (dollars in millions):</w:t>
      </w:r>
    </w:p>
    <w:p>
      <w:pPr>
        <w:spacing w:after="0" w:line="9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94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2100" w:type="dxa"/>
            <w:vAlign w:val="bottom"/>
            <w:tcBorders>
              <w:bottom w:val="single" w:sz="8" w:color="auto"/>
            </w:tcBorders>
            <w:gridSpan w:val="8"/>
          </w:tcPr>
          <w:p>
            <w:pPr>
              <w:jc w:val="right"/>
              <w:ind w:right="220"/>
              <w:spacing w:after="0"/>
              <w:rPr>
                <w:sz w:val="20"/>
                <w:szCs w:val="20"/>
                <w:color w:val="auto"/>
              </w:rPr>
            </w:pPr>
            <w:r>
              <w:rPr>
                <w:rFonts w:ascii="Arial" w:cs="Arial" w:eastAsia="Arial" w:hAnsi="Arial"/>
                <w:sz w:val="14"/>
                <w:szCs w:val="14"/>
                <w:b w:val="1"/>
                <w:bCs w:val="1"/>
                <w:color w:val="auto"/>
                <w:w w:val="93"/>
              </w:rPr>
              <w:t>Three Months Ended June 30,</w:t>
            </w:r>
          </w:p>
        </w:tc>
        <w:tc>
          <w:tcPr>
            <w:tcW w:w="6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40" w:type="dxa"/>
            <w:vAlign w:val="bottom"/>
            <w:tcBorders>
              <w:bottom w:val="single" w:sz="8" w:color="auto"/>
            </w:tcBorders>
            <w:gridSpan w:val="7"/>
          </w:tcPr>
          <w:p>
            <w:pPr>
              <w:jc w:val="right"/>
              <w:ind w:right="320"/>
              <w:spacing w:after="0"/>
              <w:rPr>
                <w:sz w:val="20"/>
                <w:szCs w:val="20"/>
                <w:color w:val="auto"/>
              </w:rPr>
            </w:pPr>
            <w:r>
              <w:rPr>
                <w:rFonts w:ascii="Arial" w:cs="Arial" w:eastAsia="Arial" w:hAnsi="Arial"/>
                <w:sz w:val="14"/>
                <w:szCs w:val="14"/>
                <w:b w:val="1"/>
                <w:bCs w:val="1"/>
                <w:color w:val="auto"/>
                <w:w w:val="93"/>
              </w:rPr>
              <w:t>Six Months Ended June 30,</w:t>
            </w:r>
          </w:p>
        </w:tc>
        <w:tc>
          <w:tcPr>
            <w:tcW w:w="6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394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gridSpan w:val="3"/>
          </w:tcPr>
          <w:p>
            <w:pPr>
              <w:jc w:val="right"/>
              <w:ind w:right="80"/>
              <w:spacing w:after="0"/>
              <w:rPr>
                <w:sz w:val="20"/>
                <w:szCs w:val="20"/>
                <w:color w:val="auto"/>
              </w:rPr>
            </w:pPr>
            <w:r>
              <w:rPr>
                <w:rFonts w:ascii="Arial" w:cs="Arial" w:eastAsia="Arial" w:hAnsi="Arial"/>
                <w:sz w:val="14"/>
                <w:szCs w:val="14"/>
                <w:b w:val="1"/>
                <w:bCs w:val="1"/>
                <w:color w:val="auto"/>
              </w:rPr>
              <w:t>2022</w:t>
            </w:r>
          </w:p>
        </w:tc>
        <w:tc>
          <w:tcPr>
            <w:tcW w:w="660" w:type="dxa"/>
            <w:vAlign w:val="bottom"/>
            <w:tcBorders>
              <w:bottom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gridSpan w:val="3"/>
          </w:tcPr>
          <w:p>
            <w:pPr>
              <w:jc w:val="right"/>
              <w:ind w:right="80"/>
              <w:spacing w:after="0"/>
              <w:rPr>
                <w:sz w:val="20"/>
                <w:szCs w:val="20"/>
                <w:color w:val="auto"/>
              </w:rPr>
            </w:pPr>
            <w:r>
              <w:rPr>
                <w:rFonts w:ascii="Arial" w:cs="Arial" w:eastAsia="Arial" w:hAnsi="Arial"/>
                <w:sz w:val="14"/>
                <w:szCs w:val="14"/>
                <w:b w:val="1"/>
                <w:bCs w:val="1"/>
                <w:color w:val="auto"/>
              </w:rPr>
              <w:t>2021</w:t>
            </w:r>
          </w:p>
        </w:tc>
        <w:tc>
          <w:tcPr>
            <w:tcW w:w="6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gridSpan w:val="3"/>
          </w:tcPr>
          <w:p>
            <w:pPr>
              <w:jc w:val="right"/>
              <w:ind w:right="8"/>
              <w:spacing w:after="0"/>
              <w:rPr>
                <w:sz w:val="20"/>
                <w:szCs w:val="20"/>
                <w:color w:val="auto"/>
              </w:rPr>
            </w:pPr>
            <w:r>
              <w:rPr>
                <w:rFonts w:ascii="Arial" w:cs="Arial" w:eastAsia="Arial" w:hAnsi="Arial"/>
                <w:sz w:val="14"/>
                <w:szCs w:val="14"/>
                <w:b w:val="1"/>
                <w:bCs w:val="1"/>
                <w:color w:val="auto"/>
              </w:rPr>
              <w:t>2022</w:t>
            </w:r>
          </w:p>
        </w:tc>
        <w:tc>
          <w:tcPr>
            <w:tcW w:w="6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gridSpan w:val="3"/>
          </w:tcPr>
          <w:p>
            <w:pPr>
              <w:jc w:val="right"/>
              <w:ind w:right="100"/>
              <w:spacing w:after="0"/>
              <w:rPr>
                <w:sz w:val="20"/>
                <w:szCs w:val="20"/>
                <w:color w:val="auto"/>
              </w:rPr>
            </w:pPr>
            <w:r>
              <w:rPr>
                <w:rFonts w:ascii="Arial" w:cs="Arial" w:eastAsia="Arial" w:hAnsi="Arial"/>
                <w:sz w:val="14"/>
                <w:szCs w:val="14"/>
                <w:b w:val="1"/>
                <w:bCs w:val="1"/>
                <w:color w:val="auto"/>
              </w:rPr>
              <w:t>2021</w:t>
            </w:r>
          </w:p>
        </w:tc>
        <w:tc>
          <w:tcPr>
            <w:tcW w:w="6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1"/>
        </w:trPr>
        <w:tc>
          <w:tcPr>
            <w:tcW w:w="39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60" w:type="dxa"/>
            <w:vAlign w:val="bottom"/>
            <w:gridSpan w:val="3"/>
          </w:tcPr>
          <w:p>
            <w:pPr>
              <w:jc w:val="right"/>
              <w:ind w:right="420"/>
              <w:spacing w:after="0"/>
              <w:rPr>
                <w:sz w:val="20"/>
                <w:szCs w:val="20"/>
                <w:color w:val="auto"/>
              </w:rPr>
            </w:pPr>
            <w:r>
              <w:rPr>
                <w:rFonts w:ascii="Arial" w:cs="Arial" w:eastAsia="Arial" w:hAnsi="Arial"/>
                <w:sz w:val="14"/>
                <w:szCs w:val="14"/>
                <w:b w:val="1"/>
                <w:bCs w:val="1"/>
                <w:color w:val="auto"/>
                <w:w w:val="98"/>
              </w:rPr>
              <w:t>Amount</w:t>
            </w:r>
          </w:p>
        </w:tc>
        <w:tc>
          <w:tcPr>
            <w:tcW w:w="660" w:type="dxa"/>
            <w:vAlign w:val="bottom"/>
          </w:tcPr>
          <w:p>
            <w:pPr>
              <w:jc w:val="right"/>
              <w:ind w:right="188"/>
              <w:spacing w:after="0"/>
              <w:rPr>
                <w:sz w:val="20"/>
                <w:szCs w:val="20"/>
                <w:color w:val="auto"/>
              </w:rPr>
            </w:pPr>
            <w:r>
              <w:rPr>
                <w:rFonts w:ascii="Arial" w:cs="Arial" w:eastAsia="Arial" w:hAnsi="Arial"/>
                <w:sz w:val="14"/>
                <w:szCs w:val="14"/>
                <w:b w:val="1"/>
                <w:bCs w:val="1"/>
                <w:color w:val="auto"/>
              </w:rPr>
              <w:t>Yield</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60" w:type="dxa"/>
            <w:vAlign w:val="bottom"/>
            <w:gridSpan w:val="3"/>
          </w:tcPr>
          <w:p>
            <w:pPr>
              <w:jc w:val="right"/>
              <w:ind w:right="420"/>
              <w:spacing w:after="0"/>
              <w:rPr>
                <w:sz w:val="20"/>
                <w:szCs w:val="20"/>
                <w:color w:val="auto"/>
              </w:rPr>
            </w:pPr>
            <w:r>
              <w:rPr>
                <w:rFonts w:ascii="Arial" w:cs="Arial" w:eastAsia="Arial" w:hAnsi="Arial"/>
                <w:sz w:val="14"/>
                <w:szCs w:val="14"/>
                <w:b w:val="1"/>
                <w:bCs w:val="1"/>
                <w:color w:val="auto"/>
                <w:w w:val="98"/>
              </w:rPr>
              <w:t>Amount</w:t>
            </w:r>
          </w:p>
        </w:tc>
        <w:tc>
          <w:tcPr>
            <w:tcW w:w="640" w:type="dxa"/>
            <w:vAlign w:val="bottom"/>
          </w:tcPr>
          <w:p>
            <w:pPr>
              <w:jc w:val="right"/>
              <w:ind w:right="168"/>
              <w:spacing w:after="0"/>
              <w:rPr>
                <w:sz w:val="20"/>
                <w:szCs w:val="20"/>
                <w:color w:val="auto"/>
              </w:rPr>
            </w:pPr>
            <w:r>
              <w:rPr>
                <w:rFonts w:ascii="Arial" w:cs="Arial" w:eastAsia="Arial" w:hAnsi="Arial"/>
                <w:sz w:val="14"/>
                <w:szCs w:val="14"/>
                <w:b w:val="1"/>
                <w:bCs w:val="1"/>
                <w:color w:val="auto"/>
              </w:rPr>
              <w:t>Yield</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60" w:type="dxa"/>
            <w:vAlign w:val="bottom"/>
            <w:gridSpan w:val="3"/>
          </w:tcPr>
          <w:p>
            <w:pPr>
              <w:jc w:val="right"/>
              <w:ind w:right="348"/>
              <w:spacing w:after="0"/>
              <w:rPr>
                <w:sz w:val="20"/>
                <w:szCs w:val="20"/>
                <w:color w:val="auto"/>
              </w:rPr>
            </w:pPr>
            <w:r>
              <w:rPr>
                <w:rFonts w:ascii="Arial" w:cs="Arial" w:eastAsia="Arial" w:hAnsi="Arial"/>
                <w:sz w:val="14"/>
                <w:szCs w:val="14"/>
                <w:b w:val="1"/>
                <w:bCs w:val="1"/>
                <w:color w:val="auto"/>
                <w:w w:val="98"/>
              </w:rPr>
              <w:t>Amount</w:t>
            </w:r>
          </w:p>
        </w:tc>
        <w:tc>
          <w:tcPr>
            <w:tcW w:w="660" w:type="dxa"/>
            <w:vAlign w:val="bottom"/>
          </w:tcPr>
          <w:p>
            <w:pPr>
              <w:jc w:val="right"/>
              <w:ind w:right="168"/>
              <w:spacing w:after="0"/>
              <w:rPr>
                <w:sz w:val="20"/>
                <w:szCs w:val="20"/>
                <w:color w:val="auto"/>
              </w:rPr>
            </w:pPr>
            <w:r>
              <w:rPr>
                <w:rFonts w:ascii="Arial" w:cs="Arial" w:eastAsia="Arial" w:hAnsi="Arial"/>
                <w:sz w:val="14"/>
                <w:szCs w:val="14"/>
                <w:b w:val="1"/>
                <w:bCs w:val="1"/>
                <w:color w:val="auto"/>
              </w:rPr>
              <w:t>Yield</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80" w:type="dxa"/>
            <w:vAlign w:val="bottom"/>
            <w:gridSpan w:val="3"/>
          </w:tcPr>
          <w:p>
            <w:pPr>
              <w:jc w:val="right"/>
              <w:ind w:right="440"/>
              <w:spacing w:after="0"/>
              <w:rPr>
                <w:sz w:val="20"/>
                <w:szCs w:val="20"/>
                <w:color w:val="auto"/>
              </w:rPr>
            </w:pPr>
            <w:r>
              <w:rPr>
                <w:rFonts w:ascii="Arial" w:cs="Arial" w:eastAsia="Arial" w:hAnsi="Arial"/>
                <w:sz w:val="14"/>
                <w:szCs w:val="14"/>
                <w:b w:val="1"/>
                <w:bCs w:val="1"/>
                <w:color w:val="auto"/>
                <w:w w:val="98"/>
              </w:rPr>
              <w:t>Amount</w:t>
            </w:r>
          </w:p>
        </w:tc>
        <w:tc>
          <w:tcPr>
            <w:tcW w:w="640" w:type="dxa"/>
            <w:vAlign w:val="bottom"/>
          </w:tcPr>
          <w:p>
            <w:pPr>
              <w:jc w:val="right"/>
              <w:ind w:right="168"/>
              <w:spacing w:after="0"/>
              <w:rPr>
                <w:sz w:val="20"/>
                <w:szCs w:val="20"/>
                <w:color w:val="auto"/>
              </w:rPr>
            </w:pPr>
            <w:r>
              <w:rPr>
                <w:rFonts w:ascii="Arial" w:cs="Arial" w:eastAsia="Arial" w:hAnsi="Arial"/>
                <w:sz w:val="14"/>
                <w:szCs w:val="14"/>
                <w:b w:val="1"/>
                <w:bCs w:val="1"/>
                <w:color w:val="auto"/>
              </w:rPr>
              <w:t>Yield</w:t>
            </w:r>
          </w:p>
        </w:tc>
        <w:tc>
          <w:tcPr>
            <w:tcW w:w="0" w:type="dxa"/>
            <w:vAlign w:val="bottom"/>
          </w:tcPr>
          <w:p>
            <w:pPr>
              <w:spacing w:after="0"/>
              <w:rPr>
                <w:sz w:val="1"/>
                <w:szCs w:val="1"/>
                <w:color w:val="auto"/>
              </w:rPr>
            </w:pPr>
          </w:p>
        </w:tc>
      </w:tr>
      <w:tr>
        <w:trPr>
          <w:trHeight w:val="167"/>
        </w:trPr>
        <w:tc>
          <w:tcPr>
            <w:tcW w:w="3940" w:type="dxa"/>
            <w:vAlign w:val="bottom"/>
          </w:tcPr>
          <w:p>
            <w:pPr>
              <w:ind w:left="20"/>
              <w:spacing w:after="0"/>
              <w:rPr>
                <w:sz w:val="20"/>
                <w:szCs w:val="20"/>
                <w:color w:val="auto"/>
              </w:rPr>
            </w:pPr>
            <w:r>
              <w:rPr>
                <w:rFonts w:ascii="Arial" w:cs="Arial" w:eastAsia="Arial" w:hAnsi="Arial"/>
                <w:sz w:val="14"/>
                <w:szCs w:val="14"/>
                <w:color w:val="auto"/>
              </w:rPr>
              <w:t>Interest income:</w:t>
            </w:r>
          </w:p>
        </w:tc>
        <w:tc>
          <w:tcPr>
            <w:tcW w:w="140" w:type="dxa"/>
            <w:vAlign w:val="bottom"/>
            <w:tcBorders>
              <w:top w:val="single" w:sz="8" w:color="auto"/>
            </w:tcBorders>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660" w:type="dxa"/>
            <w:vAlign w:val="bottom"/>
            <w:tcBorders>
              <w:top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64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66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640" w:type="dxa"/>
            <w:vAlign w:val="bottom"/>
            <w:tcBorders>
              <w:top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3940" w:type="dxa"/>
            <w:vAlign w:val="bottom"/>
            <w:shd w:val="clear" w:color="auto" w:fill="CCEEFF"/>
          </w:tcPr>
          <w:p>
            <w:pPr>
              <w:ind w:left="100"/>
              <w:spacing w:after="0"/>
              <w:rPr>
                <w:sz w:val="20"/>
                <w:szCs w:val="20"/>
                <w:color w:val="auto"/>
              </w:rPr>
            </w:pPr>
            <w:r>
              <w:rPr>
                <w:rFonts w:ascii="Arial" w:cs="Arial" w:eastAsia="Arial" w:hAnsi="Arial"/>
                <w:sz w:val="14"/>
                <w:szCs w:val="14"/>
                <w:color w:val="auto"/>
              </w:rPr>
              <w:t>Cash/coupon interest income</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395</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3.19 %</w:t>
            </w: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453</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3.28 %</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792</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3.13 %</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934</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3.34 %</w:t>
            </w:r>
          </w:p>
        </w:tc>
        <w:tc>
          <w:tcPr>
            <w:tcW w:w="0" w:type="dxa"/>
            <w:vAlign w:val="bottom"/>
          </w:tcPr>
          <w:p>
            <w:pPr>
              <w:spacing w:after="0"/>
              <w:rPr>
                <w:sz w:val="1"/>
                <w:szCs w:val="1"/>
                <w:color w:val="auto"/>
              </w:rPr>
            </w:pPr>
          </w:p>
        </w:tc>
      </w:tr>
      <w:tr>
        <w:trPr>
          <w:trHeight w:val="186"/>
        </w:trPr>
        <w:tc>
          <w:tcPr>
            <w:tcW w:w="3940" w:type="dxa"/>
            <w:vAlign w:val="bottom"/>
          </w:tcPr>
          <w:p>
            <w:pPr>
              <w:ind w:left="100"/>
              <w:spacing w:after="0"/>
              <w:rPr>
                <w:sz w:val="20"/>
                <w:szCs w:val="20"/>
                <w:color w:val="auto"/>
              </w:rPr>
            </w:pPr>
            <w:r>
              <w:rPr>
                <w:rFonts w:ascii="Arial" w:cs="Arial" w:eastAsia="Arial" w:hAnsi="Arial"/>
                <w:sz w:val="14"/>
                <w:szCs w:val="14"/>
                <w:color w:val="auto"/>
              </w:rPr>
              <w:t>Net premium amortization benefit (cost)</w:t>
            </w:r>
          </w:p>
        </w:tc>
        <w:tc>
          <w:tcPr>
            <w:tcW w:w="140" w:type="dxa"/>
            <w:vAlign w:val="bottom"/>
          </w:tcPr>
          <w:p>
            <w:pPr>
              <w:spacing w:after="0"/>
              <w:rPr>
                <w:sz w:val="16"/>
                <w:szCs w:val="16"/>
                <w:color w:val="auto"/>
              </w:rPr>
            </w:pPr>
          </w:p>
        </w:tc>
        <w:tc>
          <w:tcPr>
            <w:tcW w:w="960" w:type="dxa"/>
            <w:vAlign w:val="bottom"/>
            <w:gridSpan w:val="3"/>
          </w:tcPr>
          <w:p>
            <w:pPr>
              <w:jc w:val="right"/>
              <w:ind w:right="440"/>
              <w:spacing w:after="0"/>
              <w:rPr>
                <w:sz w:val="20"/>
                <w:szCs w:val="20"/>
                <w:color w:val="auto"/>
              </w:rPr>
            </w:pPr>
            <w:r>
              <w:rPr>
                <w:rFonts w:ascii="Arial" w:cs="Arial" w:eastAsia="Arial" w:hAnsi="Arial"/>
                <w:sz w:val="14"/>
                <w:szCs w:val="14"/>
                <w:color w:val="auto"/>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(0.10)%</w:t>
            </w: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00" w:type="dxa"/>
            <w:vAlign w:val="bottom"/>
          </w:tcPr>
          <w:p>
            <w:pPr>
              <w:jc w:val="right"/>
              <w:ind w:right="68"/>
              <w:spacing w:after="0"/>
              <w:rPr>
                <w:sz w:val="20"/>
                <w:szCs w:val="20"/>
                <w:color w:val="auto"/>
              </w:rPr>
            </w:pPr>
            <w:r>
              <w:rPr>
                <w:rFonts w:ascii="Arial" w:cs="Arial" w:eastAsia="Arial" w:hAnsi="Arial"/>
                <w:sz w:val="14"/>
                <w:szCs w:val="14"/>
                <w:color w:val="auto"/>
              </w:rPr>
              <w:t>(204)</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(1.55)%</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00" w:type="dxa"/>
            <w:vAlign w:val="bottom"/>
          </w:tcPr>
          <w:p>
            <w:pPr>
              <w:jc w:val="right"/>
              <w:ind w:right="108"/>
              <w:spacing w:after="0"/>
              <w:rPr>
                <w:sz w:val="20"/>
                <w:szCs w:val="20"/>
                <w:color w:val="auto"/>
              </w:rPr>
            </w:pPr>
            <w:r>
              <w:rPr>
                <w:rFonts w:ascii="Arial" w:cs="Arial" w:eastAsia="Arial" w:hAnsi="Arial"/>
                <w:sz w:val="14"/>
                <w:szCs w:val="14"/>
                <w:color w:val="auto"/>
              </w:rPr>
              <w:t>78</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0.20 %</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00" w:type="dxa"/>
            <w:vAlign w:val="bottom"/>
          </w:tcPr>
          <w:p>
            <w:pPr>
              <w:jc w:val="right"/>
              <w:ind w:right="68"/>
              <w:spacing w:after="0"/>
              <w:rPr>
                <w:sz w:val="20"/>
                <w:szCs w:val="20"/>
                <w:color w:val="auto"/>
              </w:rPr>
            </w:pPr>
            <w:r>
              <w:rPr>
                <w:rFonts w:ascii="Arial" w:cs="Arial" w:eastAsia="Arial" w:hAnsi="Arial"/>
                <w:sz w:val="14"/>
                <w:szCs w:val="14"/>
                <w:color w:val="auto"/>
              </w:rPr>
              <w:t>(128)</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(0.56)%</w:t>
            </w:r>
          </w:p>
        </w:tc>
        <w:tc>
          <w:tcPr>
            <w:tcW w:w="0" w:type="dxa"/>
            <w:vAlign w:val="bottom"/>
          </w:tcPr>
          <w:p>
            <w:pPr>
              <w:spacing w:after="0"/>
              <w:rPr>
                <w:sz w:val="1"/>
                <w:szCs w:val="1"/>
                <w:color w:val="auto"/>
              </w:rPr>
            </w:pPr>
          </w:p>
        </w:tc>
      </w:tr>
      <w:tr>
        <w:trPr>
          <w:trHeight w:val="186"/>
        </w:trPr>
        <w:tc>
          <w:tcPr>
            <w:tcW w:w="39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Interest income (GAAP measure)</w:t>
            </w:r>
          </w:p>
        </w:tc>
        <w:tc>
          <w:tcPr>
            <w:tcW w:w="140" w:type="dxa"/>
            <w:vAlign w:val="bottom"/>
            <w:tcBorders>
              <w:top w:val="single" w:sz="8" w:color="auto"/>
            </w:tcBorders>
            <w:shd w:val="clear" w:color="auto" w:fill="CCEEFF"/>
          </w:tcPr>
          <w:p>
            <w:pPr>
              <w:spacing w:after="0"/>
              <w:rPr>
                <w:sz w:val="16"/>
                <w:szCs w:val="16"/>
                <w:color w:val="auto"/>
              </w:rPr>
            </w:pPr>
          </w:p>
        </w:tc>
        <w:tc>
          <w:tcPr>
            <w:tcW w:w="700" w:type="dxa"/>
            <w:vAlign w:val="bottom"/>
            <w:tcBorders>
              <w:top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395</w:t>
            </w:r>
          </w:p>
        </w:tc>
        <w:tc>
          <w:tcPr>
            <w:tcW w:w="100" w:type="dxa"/>
            <w:vAlign w:val="bottom"/>
            <w:tcBorders>
              <w:top w:val="single" w:sz="8" w:color="CCEEFF"/>
            </w:tcBorders>
            <w:shd w:val="clear" w:color="auto" w:fill="CCEEFF"/>
          </w:tcPr>
          <w:p>
            <w:pPr>
              <w:spacing w:after="0"/>
              <w:rPr>
                <w:sz w:val="16"/>
                <w:szCs w:val="16"/>
                <w:color w:val="auto"/>
              </w:rPr>
            </w:pPr>
          </w:p>
        </w:tc>
        <w:tc>
          <w:tcPr>
            <w:tcW w:w="160" w:type="dxa"/>
            <w:vAlign w:val="bottom"/>
            <w:tcBorders>
              <w:top w:val="single" w:sz="8" w:color="auto"/>
            </w:tcBorders>
            <w:shd w:val="clear" w:color="auto" w:fill="CCEEFF"/>
          </w:tcPr>
          <w:p>
            <w:pPr>
              <w:spacing w:after="0"/>
              <w:rPr>
                <w:sz w:val="16"/>
                <w:szCs w:val="16"/>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3.09 %</w:t>
            </w:r>
          </w:p>
        </w:tc>
        <w:tc>
          <w:tcPr>
            <w:tcW w:w="80" w:type="dxa"/>
            <w:vAlign w:val="bottom"/>
            <w:tcBorders>
              <w:top w:val="single" w:sz="8" w:color="CCEEFF"/>
            </w:tcBorders>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spacing w:after="0"/>
              <w:rPr>
                <w:sz w:val="16"/>
                <w:szCs w:val="16"/>
                <w:color w:val="auto"/>
              </w:rPr>
            </w:pPr>
          </w:p>
        </w:tc>
        <w:tc>
          <w:tcPr>
            <w:tcW w:w="700" w:type="dxa"/>
            <w:vAlign w:val="bottom"/>
            <w:tcBorders>
              <w:top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249</w:t>
            </w:r>
          </w:p>
        </w:tc>
        <w:tc>
          <w:tcPr>
            <w:tcW w:w="100" w:type="dxa"/>
            <w:vAlign w:val="bottom"/>
            <w:tcBorders>
              <w:top w:val="single" w:sz="8" w:color="CCEEFF"/>
            </w:tcBorders>
            <w:shd w:val="clear" w:color="auto" w:fill="CCEEFF"/>
          </w:tcPr>
          <w:p>
            <w:pPr>
              <w:spacing w:after="0"/>
              <w:rPr>
                <w:sz w:val="16"/>
                <w:szCs w:val="16"/>
                <w:color w:val="auto"/>
              </w:rPr>
            </w:pPr>
          </w:p>
        </w:tc>
        <w:tc>
          <w:tcPr>
            <w:tcW w:w="160" w:type="dxa"/>
            <w:vAlign w:val="bottom"/>
            <w:tcBorders>
              <w:top w:val="single" w:sz="8" w:color="auto"/>
            </w:tcBorders>
            <w:shd w:val="clear" w:color="auto" w:fill="CCEEFF"/>
          </w:tcPr>
          <w:p>
            <w:pPr>
              <w:spacing w:after="0"/>
              <w:rPr>
                <w:sz w:val="16"/>
                <w:szCs w:val="16"/>
                <w:color w:val="auto"/>
              </w:rPr>
            </w:pP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1.73 %</w:t>
            </w:r>
          </w:p>
        </w:tc>
        <w:tc>
          <w:tcPr>
            <w:tcW w:w="100" w:type="dxa"/>
            <w:vAlign w:val="bottom"/>
            <w:tcBorders>
              <w:top w:val="single" w:sz="8" w:color="CCEEFF"/>
            </w:tcBorders>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spacing w:after="0"/>
              <w:rPr>
                <w:sz w:val="16"/>
                <w:szCs w:val="16"/>
                <w:color w:val="auto"/>
              </w:rPr>
            </w:pPr>
          </w:p>
        </w:tc>
        <w:tc>
          <w:tcPr>
            <w:tcW w:w="700" w:type="dxa"/>
            <w:vAlign w:val="bottom"/>
            <w:tcBorders>
              <w:top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870</w:t>
            </w:r>
          </w:p>
        </w:tc>
        <w:tc>
          <w:tcPr>
            <w:tcW w:w="100" w:type="dxa"/>
            <w:vAlign w:val="bottom"/>
            <w:tcBorders>
              <w:top w:val="single" w:sz="8" w:color="CCEEFF"/>
            </w:tcBorders>
            <w:shd w:val="clear" w:color="auto" w:fill="CCEEFF"/>
          </w:tcPr>
          <w:p>
            <w:pPr>
              <w:spacing w:after="0"/>
              <w:rPr>
                <w:sz w:val="16"/>
                <w:szCs w:val="16"/>
                <w:color w:val="auto"/>
              </w:rPr>
            </w:pPr>
          </w:p>
        </w:tc>
        <w:tc>
          <w:tcPr>
            <w:tcW w:w="160" w:type="dxa"/>
            <w:vAlign w:val="bottom"/>
            <w:tcBorders>
              <w:top w:val="single" w:sz="8" w:color="auto"/>
            </w:tcBorders>
            <w:shd w:val="clear" w:color="auto" w:fill="CCEEFF"/>
          </w:tcPr>
          <w:p>
            <w:pPr>
              <w:spacing w:after="0"/>
              <w:rPr>
                <w:sz w:val="16"/>
                <w:szCs w:val="16"/>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3.33 %</w:t>
            </w:r>
          </w:p>
        </w:tc>
        <w:tc>
          <w:tcPr>
            <w:tcW w:w="100" w:type="dxa"/>
            <w:vAlign w:val="bottom"/>
            <w:tcBorders>
              <w:top w:val="single" w:sz="8" w:color="CCEEFF"/>
            </w:tcBorders>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spacing w:after="0"/>
              <w:rPr>
                <w:sz w:val="16"/>
                <w:szCs w:val="16"/>
                <w:color w:val="auto"/>
              </w:rPr>
            </w:pPr>
          </w:p>
        </w:tc>
        <w:tc>
          <w:tcPr>
            <w:tcW w:w="700" w:type="dxa"/>
            <w:vAlign w:val="bottom"/>
            <w:tcBorders>
              <w:top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806</w:t>
            </w:r>
          </w:p>
        </w:tc>
        <w:tc>
          <w:tcPr>
            <w:tcW w:w="100" w:type="dxa"/>
            <w:vAlign w:val="bottom"/>
            <w:tcBorders>
              <w:top w:val="single" w:sz="8" w:color="CCEEFF"/>
            </w:tcBorders>
            <w:shd w:val="clear" w:color="auto" w:fill="CCEEFF"/>
          </w:tcPr>
          <w:p>
            <w:pPr>
              <w:spacing w:after="0"/>
              <w:rPr>
                <w:sz w:val="16"/>
                <w:szCs w:val="16"/>
                <w:color w:val="auto"/>
              </w:rPr>
            </w:pPr>
          </w:p>
        </w:tc>
        <w:tc>
          <w:tcPr>
            <w:tcW w:w="180" w:type="dxa"/>
            <w:vAlign w:val="bottom"/>
            <w:tcBorders>
              <w:top w:val="single" w:sz="8" w:color="auto"/>
            </w:tcBorders>
            <w:shd w:val="clear" w:color="auto" w:fill="CCEEFF"/>
          </w:tcPr>
          <w:p>
            <w:pPr>
              <w:spacing w:after="0"/>
              <w:rPr>
                <w:sz w:val="16"/>
                <w:szCs w:val="16"/>
                <w:color w:val="auto"/>
              </w:rPr>
            </w:pP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2.78 %</w:t>
            </w:r>
          </w:p>
        </w:tc>
        <w:tc>
          <w:tcPr>
            <w:tcW w:w="0" w:type="dxa"/>
            <w:vAlign w:val="bottom"/>
          </w:tcPr>
          <w:p>
            <w:pPr>
              <w:spacing w:after="0"/>
              <w:rPr>
                <w:sz w:val="1"/>
                <w:szCs w:val="1"/>
                <w:color w:val="auto"/>
              </w:rPr>
            </w:pPr>
          </w:p>
        </w:tc>
      </w:tr>
      <w:tr>
        <w:trPr>
          <w:trHeight w:val="135"/>
        </w:trPr>
        <w:tc>
          <w:tcPr>
            <w:tcW w:w="3940" w:type="dxa"/>
            <w:vAlign w:val="bottom"/>
          </w:tcPr>
          <w:p>
            <w:pPr>
              <w:ind w:left="100"/>
              <w:spacing w:after="0" w:line="135" w:lineRule="exact"/>
              <w:rPr>
                <w:sz w:val="20"/>
                <w:szCs w:val="20"/>
                <w:color w:val="auto"/>
              </w:rPr>
            </w:pPr>
            <w:r>
              <w:rPr>
                <w:rFonts w:ascii="Arial" w:cs="Arial" w:eastAsia="Arial" w:hAnsi="Arial"/>
                <w:sz w:val="14"/>
                <w:szCs w:val="14"/>
                <w:color w:val="auto"/>
              </w:rPr>
              <w:t>Estimated "catch-up" premium amortization cost (benefit) due</w:t>
            </w:r>
          </w:p>
        </w:tc>
        <w:tc>
          <w:tcPr>
            <w:tcW w:w="140" w:type="dxa"/>
            <w:vAlign w:val="bottom"/>
          </w:tcPr>
          <w:p>
            <w:pPr>
              <w:spacing w:after="0"/>
              <w:rPr>
                <w:sz w:val="11"/>
                <w:szCs w:val="11"/>
                <w:color w:val="auto"/>
              </w:rPr>
            </w:pPr>
          </w:p>
        </w:tc>
        <w:tc>
          <w:tcPr>
            <w:tcW w:w="700" w:type="dxa"/>
            <w:vAlign w:val="bottom"/>
            <w:vMerge w:val="restart"/>
          </w:tcPr>
          <w:p>
            <w:pPr>
              <w:jc w:val="right"/>
              <w:ind w:right="68"/>
              <w:spacing w:after="0"/>
              <w:rPr>
                <w:sz w:val="20"/>
                <w:szCs w:val="20"/>
                <w:color w:val="auto"/>
              </w:rPr>
            </w:pPr>
            <w:r>
              <w:rPr>
                <w:rFonts w:ascii="Arial" w:cs="Arial" w:eastAsia="Arial" w:hAnsi="Arial"/>
                <w:sz w:val="14"/>
                <w:szCs w:val="14"/>
                <w:color w:val="auto"/>
              </w:rPr>
              <w:t>(66)</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60" w:type="dxa"/>
            <w:vAlign w:val="bottom"/>
            <w:vMerge w:val="restart"/>
          </w:tcPr>
          <w:p>
            <w:pPr>
              <w:jc w:val="right"/>
              <w:spacing w:after="0"/>
              <w:rPr>
                <w:sz w:val="20"/>
                <w:szCs w:val="20"/>
                <w:color w:val="auto"/>
              </w:rPr>
            </w:pPr>
            <w:r>
              <w:rPr>
                <w:rFonts w:ascii="Arial" w:cs="Arial" w:eastAsia="Arial" w:hAnsi="Arial"/>
                <w:sz w:val="14"/>
                <w:szCs w:val="14"/>
                <w:color w:val="auto"/>
              </w:rPr>
              <w:t>(0.51)%</w:t>
            </w: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vMerge w:val="restart"/>
          </w:tcPr>
          <w:p>
            <w:pPr>
              <w:jc w:val="right"/>
              <w:ind w:right="108"/>
              <w:spacing w:after="0"/>
              <w:rPr>
                <w:sz w:val="20"/>
                <w:szCs w:val="20"/>
                <w:color w:val="auto"/>
              </w:rPr>
            </w:pPr>
            <w:r>
              <w:rPr>
                <w:rFonts w:ascii="Arial" w:cs="Arial" w:eastAsia="Arial" w:hAnsi="Arial"/>
                <w:sz w:val="14"/>
                <w:szCs w:val="14"/>
                <w:color w:val="auto"/>
              </w:rPr>
              <w:t>71</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vMerge w:val="restart"/>
          </w:tcPr>
          <w:p>
            <w:pPr>
              <w:jc w:val="right"/>
              <w:spacing w:after="0"/>
              <w:rPr>
                <w:sz w:val="20"/>
                <w:szCs w:val="20"/>
                <w:color w:val="auto"/>
              </w:rPr>
            </w:pPr>
            <w:r>
              <w:rPr>
                <w:rFonts w:ascii="Arial" w:cs="Arial" w:eastAsia="Arial" w:hAnsi="Arial"/>
                <w:sz w:val="14"/>
                <w:szCs w:val="14"/>
                <w:color w:val="auto"/>
              </w:rPr>
              <w:t>0.50 %</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vMerge w:val="restart"/>
          </w:tcPr>
          <w:p>
            <w:pPr>
              <w:jc w:val="right"/>
              <w:ind w:right="68"/>
              <w:spacing w:after="0"/>
              <w:rPr>
                <w:sz w:val="20"/>
                <w:szCs w:val="20"/>
                <w:color w:val="auto"/>
              </w:rPr>
            </w:pPr>
            <w:r>
              <w:rPr>
                <w:rFonts w:ascii="Arial" w:cs="Arial" w:eastAsia="Arial" w:hAnsi="Arial"/>
                <w:sz w:val="14"/>
                <w:szCs w:val="14"/>
                <w:color w:val="auto"/>
              </w:rPr>
              <w:t>(225)</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60" w:type="dxa"/>
            <w:vAlign w:val="bottom"/>
            <w:vMerge w:val="restart"/>
          </w:tcPr>
          <w:p>
            <w:pPr>
              <w:jc w:val="right"/>
              <w:spacing w:after="0"/>
              <w:rPr>
                <w:sz w:val="20"/>
                <w:szCs w:val="20"/>
                <w:color w:val="auto"/>
              </w:rPr>
            </w:pPr>
            <w:r>
              <w:rPr>
                <w:rFonts w:ascii="Arial" w:cs="Arial" w:eastAsia="Arial" w:hAnsi="Arial"/>
                <w:sz w:val="14"/>
                <w:szCs w:val="14"/>
                <w:color w:val="auto"/>
              </w:rPr>
              <w:t>(0.86)%</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vMerge w:val="restart"/>
          </w:tcPr>
          <w:p>
            <w:pPr>
              <w:jc w:val="right"/>
              <w:ind w:right="68"/>
              <w:spacing w:after="0"/>
              <w:rPr>
                <w:sz w:val="20"/>
                <w:szCs w:val="20"/>
                <w:color w:val="auto"/>
              </w:rPr>
            </w:pPr>
            <w:r>
              <w:rPr>
                <w:rFonts w:ascii="Arial" w:cs="Arial" w:eastAsia="Arial" w:hAnsi="Arial"/>
                <w:sz w:val="14"/>
                <w:szCs w:val="14"/>
                <w:color w:val="auto"/>
              </w:rPr>
              <w:t>(142)</w:t>
            </w: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40" w:type="dxa"/>
            <w:vAlign w:val="bottom"/>
            <w:vMerge w:val="restart"/>
          </w:tcPr>
          <w:p>
            <w:pPr>
              <w:jc w:val="right"/>
              <w:spacing w:after="0"/>
              <w:rPr>
                <w:sz w:val="20"/>
                <w:szCs w:val="20"/>
                <w:color w:val="auto"/>
              </w:rPr>
            </w:pPr>
            <w:r>
              <w:rPr>
                <w:rFonts w:ascii="Arial" w:cs="Arial" w:eastAsia="Arial" w:hAnsi="Arial"/>
                <w:sz w:val="14"/>
                <w:szCs w:val="14"/>
                <w:color w:val="auto"/>
              </w:rPr>
              <w:t>(0.49)%</w:t>
            </w:r>
          </w:p>
        </w:tc>
        <w:tc>
          <w:tcPr>
            <w:tcW w:w="0" w:type="dxa"/>
            <w:vAlign w:val="bottom"/>
          </w:tcPr>
          <w:p>
            <w:pPr>
              <w:spacing w:after="0"/>
              <w:rPr>
                <w:sz w:val="1"/>
                <w:szCs w:val="1"/>
                <w:color w:val="auto"/>
              </w:rPr>
            </w:pPr>
          </w:p>
        </w:tc>
      </w:tr>
      <w:tr>
        <w:trPr>
          <w:trHeight w:val="186"/>
        </w:trPr>
        <w:tc>
          <w:tcPr>
            <w:tcW w:w="3940" w:type="dxa"/>
            <w:vAlign w:val="bottom"/>
            <w:tcBorders>
              <w:bottom w:val="single" w:sz="8" w:color="CCEEFF"/>
            </w:tcBorders>
          </w:tcPr>
          <w:p>
            <w:pPr>
              <w:ind w:left="100"/>
              <w:spacing w:after="0"/>
              <w:rPr>
                <w:sz w:val="20"/>
                <w:szCs w:val="20"/>
                <w:color w:val="auto"/>
              </w:rPr>
            </w:pPr>
            <w:r>
              <w:rPr>
                <w:rFonts w:ascii="Arial" w:cs="Arial" w:eastAsia="Arial" w:hAnsi="Arial"/>
                <w:sz w:val="14"/>
                <w:szCs w:val="14"/>
                <w:color w:val="auto"/>
              </w:rPr>
              <w:t>to change in CPR forecast</w:t>
            </w:r>
          </w:p>
        </w:tc>
        <w:tc>
          <w:tcPr>
            <w:tcW w:w="14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vMerge w:val="continue"/>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394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Interest income, excluding "catch-up" premium amortization</w:t>
            </w:r>
          </w:p>
        </w:tc>
        <w:tc>
          <w:tcPr>
            <w:tcW w:w="140" w:type="dxa"/>
            <w:vAlign w:val="bottom"/>
            <w:shd w:val="clear" w:color="auto" w:fill="CCEEFF"/>
          </w:tcPr>
          <w:p>
            <w:pPr>
              <w:spacing w:after="0"/>
              <w:rPr>
                <w:sz w:val="16"/>
                <w:szCs w:val="16"/>
                <w:color w:val="auto"/>
              </w:rPr>
            </w:pPr>
          </w:p>
        </w:tc>
        <w:tc>
          <w:tcPr>
            <w:tcW w:w="70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329</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2.58 %</w:t>
            </w: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0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320</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2.23 %</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0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645</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2.47 %</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0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664</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2.29 %</w:t>
            </w:r>
          </w:p>
        </w:tc>
        <w:tc>
          <w:tcPr>
            <w:tcW w:w="0" w:type="dxa"/>
            <w:vAlign w:val="bottom"/>
          </w:tcPr>
          <w:p>
            <w:pPr>
              <w:spacing w:after="0"/>
              <w:rPr>
                <w:sz w:val="1"/>
                <w:szCs w:val="1"/>
                <w:color w:val="auto"/>
              </w:rPr>
            </w:pPr>
          </w:p>
        </w:tc>
      </w:tr>
      <w:tr>
        <w:trPr>
          <w:trHeight w:val="189"/>
        </w:trPr>
        <w:tc>
          <w:tcPr>
            <w:tcW w:w="3940" w:type="dxa"/>
            <w:vAlign w:val="bottom"/>
            <w:tcBorders>
              <w:bottom w:val="single" w:sz="8" w:color="CCEEFF"/>
            </w:tcBorders>
          </w:tcPr>
          <w:p>
            <w:pPr>
              <w:ind w:left="100"/>
              <w:spacing w:after="0" w:line="189" w:lineRule="exact"/>
              <w:rPr>
                <w:sz w:val="20"/>
                <w:szCs w:val="20"/>
                <w:color w:val="auto"/>
              </w:rPr>
            </w:pPr>
            <w:r>
              <w:rPr>
                <w:rFonts w:ascii="Arial" w:cs="Arial" w:eastAsia="Arial" w:hAnsi="Arial"/>
                <w:sz w:val="14"/>
                <w:szCs w:val="14"/>
                <w:color w:val="auto"/>
              </w:rPr>
              <w:t xml:space="preserve">TBA dollar roll income - implied interest income </w:t>
            </w:r>
            <w:r>
              <w:rPr>
                <w:rFonts w:ascii="Arial" w:cs="Arial" w:eastAsia="Arial" w:hAnsi="Arial"/>
                <w:sz w:val="18"/>
                <w:szCs w:val="18"/>
                <w:color w:val="auto"/>
                <w:vertAlign w:val="superscript"/>
              </w:rPr>
              <w:t>1,2</w:t>
            </w:r>
          </w:p>
        </w:tc>
        <w:tc>
          <w:tcPr>
            <w:tcW w:w="14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180</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3.66 %</w:t>
            </w:r>
          </w:p>
        </w:tc>
        <w:tc>
          <w:tcPr>
            <w:tcW w:w="8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139</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1.98 %</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303</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2.80 %</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255</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1.69 %</w:t>
            </w:r>
          </w:p>
        </w:tc>
        <w:tc>
          <w:tcPr>
            <w:tcW w:w="0" w:type="dxa"/>
            <w:vAlign w:val="bottom"/>
          </w:tcPr>
          <w:p>
            <w:pPr>
              <w:spacing w:after="0"/>
              <w:rPr>
                <w:sz w:val="1"/>
                <w:szCs w:val="1"/>
                <w:color w:val="auto"/>
              </w:rPr>
            </w:pPr>
          </w:p>
        </w:tc>
      </w:tr>
      <w:tr>
        <w:trPr>
          <w:trHeight w:val="115"/>
        </w:trPr>
        <w:tc>
          <w:tcPr>
            <w:tcW w:w="3940" w:type="dxa"/>
            <w:vAlign w:val="bottom"/>
            <w:shd w:val="clear" w:color="auto" w:fill="CCEEFF"/>
          </w:tcPr>
          <w:p>
            <w:pPr>
              <w:ind w:left="20"/>
              <w:spacing w:after="0" w:line="115" w:lineRule="exact"/>
              <w:rPr>
                <w:sz w:val="20"/>
                <w:szCs w:val="20"/>
                <w:color w:val="auto"/>
              </w:rPr>
            </w:pPr>
            <w:r>
              <w:rPr>
                <w:rFonts w:ascii="Arial" w:cs="Arial" w:eastAsia="Arial" w:hAnsi="Arial"/>
                <w:sz w:val="13"/>
                <w:szCs w:val="13"/>
                <w:color w:val="auto"/>
              </w:rPr>
              <w:t>Economic interest income, excluding "catch-up" amortization</w:t>
            </w: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00" w:type="dxa"/>
            <w:vAlign w:val="bottom"/>
            <w:vMerge w:val="restart"/>
            <w:shd w:val="clear" w:color="auto" w:fill="CCEEFF"/>
          </w:tcPr>
          <w:p>
            <w:pPr>
              <w:jc w:val="right"/>
              <w:ind w:right="108"/>
              <w:spacing w:after="0"/>
              <w:rPr>
                <w:sz w:val="20"/>
                <w:szCs w:val="20"/>
                <w:color w:val="auto"/>
              </w:rPr>
            </w:pPr>
            <w:r>
              <w:rPr>
                <w:rFonts w:ascii="Arial" w:cs="Arial" w:eastAsia="Arial" w:hAnsi="Arial"/>
                <w:sz w:val="14"/>
                <w:szCs w:val="14"/>
                <w:color w:val="auto"/>
              </w:rPr>
              <w:t>509</w:t>
            </w:r>
          </w:p>
        </w:tc>
        <w:tc>
          <w:tcPr>
            <w:tcW w:w="1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2.88 %</w:t>
            </w:r>
          </w:p>
        </w:tc>
        <w:tc>
          <w:tcPr>
            <w:tcW w:w="80" w:type="dxa"/>
            <w:vAlign w:val="bottom"/>
            <w:shd w:val="clear" w:color="auto" w:fill="CCEEFF"/>
          </w:tcPr>
          <w:p>
            <w:pPr>
              <w:spacing w:after="0"/>
              <w:rPr>
                <w:sz w:val="10"/>
                <w:szCs w:val="10"/>
                <w:color w:val="auto"/>
              </w:rPr>
            </w:pP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00" w:type="dxa"/>
            <w:vAlign w:val="bottom"/>
            <w:vMerge w:val="restart"/>
            <w:shd w:val="clear" w:color="auto" w:fill="CCEEFF"/>
          </w:tcPr>
          <w:p>
            <w:pPr>
              <w:jc w:val="right"/>
              <w:ind w:right="108"/>
              <w:spacing w:after="0"/>
              <w:rPr>
                <w:sz w:val="20"/>
                <w:szCs w:val="20"/>
                <w:color w:val="auto"/>
              </w:rPr>
            </w:pPr>
            <w:r>
              <w:rPr>
                <w:rFonts w:ascii="Arial" w:cs="Arial" w:eastAsia="Arial" w:hAnsi="Arial"/>
                <w:sz w:val="14"/>
                <w:szCs w:val="14"/>
                <w:color w:val="auto"/>
              </w:rPr>
              <w:t>459</w:t>
            </w:r>
          </w:p>
        </w:tc>
        <w:tc>
          <w:tcPr>
            <w:tcW w:w="1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6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2.15 %</w:t>
            </w:r>
          </w:p>
        </w:tc>
        <w:tc>
          <w:tcPr>
            <w:tcW w:w="100" w:type="dxa"/>
            <w:vAlign w:val="bottom"/>
            <w:shd w:val="clear" w:color="auto" w:fill="CCEEFF"/>
          </w:tcPr>
          <w:p>
            <w:pPr>
              <w:spacing w:after="0"/>
              <w:rPr>
                <w:sz w:val="10"/>
                <w:szCs w:val="10"/>
                <w:color w:val="auto"/>
              </w:rPr>
            </w:pP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00" w:type="dxa"/>
            <w:vAlign w:val="bottom"/>
            <w:vMerge w:val="restart"/>
            <w:shd w:val="clear" w:color="auto" w:fill="CCEEFF"/>
          </w:tcPr>
          <w:p>
            <w:pPr>
              <w:jc w:val="right"/>
              <w:ind w:right="108"/>
              <w:spacing w:after="0"/>
              <w:rPr>
                <w:sz w:val="20"/>
                <w:szCs w:val="20"/>
                <w:color w:val="auto"/>
              </w:rPr>
            </w:pPr>
            <w:r>
              <w:rPr>
                <w:rFonts w:ascii="Arial" w:cs="Arial" w:eastAsia="Arial" w:hAnsi="Arial"/>
                <w:sz w:val="14"/>
                <w:szCs w:val="14"/>
                <w:color w:val="auto"/>
              </w:rPr>
              <w:t>948</w:t>
            </w:r>
          </w:p>
        </w:tc>
        <w:tc>
          <w:tcPr>
            <w:tcW w:w="1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2.57 %</w:t>
            </w:r>
          </w:p>
        </w:tc>
        <w:tc>
          <w:tcPr>
            <w:tcW w:w="100" w:type="dxa"/>
            <w:vAlign w:val="bottom"/>
            <w:shd w:val="clear" w:color="auto" w:fill="CCEEFF"/>
          </w:tcPr>
          <w:p>
            <w:pPr>
              <w:spacing w:after="0"/>
              <w:rPr>
                <w:sz w:val="10"/>
                <w:szCs w:val="10"/>
                <w:color w:val="auto"/>
              </w:rPr>
            </w:pP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00" w:type="dxa"/>
            <w:vAlign w:val="bottom"/>
            <w:vMerge w:val="restart"/>
            <w:shd w:val="clear" w:color="auto" w:fill="CCEEFF"/>
          </w:tcPr>
          <w:p>
            <w:pPr>
              <w:jc w:val="right"/>
              <w:ind w:right="108"/>
              <w:spacing w:after="0"/>
              <w:rPr>
                <w:sz w:val="20"/>
                <w:szCs w:val="20"/>
                <w:color w:val="auto"/>
              </w:rPr>
            </w:pPr>
            <w:r>
              <w:rPr>
                <w:rFonts w:ascii="Arial" w:cs="Arial" w:eastAsia="Arial" w:hAnsi="Arial"/>
                <w:sz w:val="14"/>
                <w:szCs w:val="14"/>
                <w:color w:val="auto"/>
              </w:rPr>
              <w:t>919</w:t>
            </w:r>
          </w:p>
        </w:tc>
        <w:tc>
          <w:tcPr>
            <w:tcW w:w="10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6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2.08 %</w:t>
            </w:r>
          </w:p>
        </w:tc>
        <w:tc>
          <w:tcPr>
            <w:tcW w:w="0" w:type="dxa"/>
            <w:vAlign w:val="bottom"/>
          </w:tcPr>
          <w:p>
            <w:pPr>
              <w:spacing w:after="0"/>
              <w:rPr>
                <w:sz w:val="1"/>
                <w:szCs w:val="1"/>
                <w:color w:val="auto"/>
              </w:rPr>
            </w:pPr>
          </w:p>
        </w:tc>
      </w:tr>
      <w:tr>
        <w:trPr>
          <w:trHeight w:val="182"/>
        </w:trPr>
        <w:tc>
          <w:tcPr>
            <w:tcW w:w="3940" w:type="dxa"/>
            <w:vAlign w:val="bottom"/>
            <w:tcBorders>
              <w:bottom w:val="single" w:sz="8" w:color="CCEEFF"/>
            </w:tcBorders>
            <w:shd w:val="clear" w:color="auto" w:fill="CCEEFF"/>
          </w:tcPr>
          <w:p>
            <w:pPr>
              <w:ind w:left="20"/>
              <w:spacing w:after="0" w:line="162" w:lineRule="exact"/>
              <w:rPr>
                <w:sz w:val="20"/>
                <w:szCs w:val="20"/>
                <w:color w:val="auto"/>
              </w:rPr>
            </w:pPr>
            <w:r>
              <w:rPr>
                <w:rFonts w:ascii="Arial" w:cs="Arial" w:eastAsia="Arial" w:hAnsi="Arial"/>
                <w:sz w:val="14"/>
                <w:szCs w:val="14"/>
                <w:color w:val="auto"/>
              </w:rPr>
              <w:t xml:space="preserve">(non-GAAP measure) </w:t>
            </w:r>
            <w:r>
              <w:rPr>
                <w:rFonts w:ascii="Arial" w:cs="Arial" w:eastAsia="Arial" w:hAnsi="Arial"/>
                <w:sz w:val="18"/>
                <w:szCs w:val="18"/>
                <w:color w:val="auto"/>
                <w:vertAlign w:val="superscript"/>
              </w:rPr>
              <w:t>3</w:t>
            </w:r>
          </w:p>
        </w:tc>
        <w:tc>
          <w:tcPr>
            <w:tcW w:w="140" w:type="dxa"/>
            <w:vAlign w:val="bottom"/>
            <w:tcBorders>
              <w:bottom w:val="single" w:sz="8" w:color="auto"/>
            </w:tcBorders>
            <w:vMerge w:val="continue"/>
            <w:shd w:val="clear" w:color="auto" w:fill="CCEEFF"/>
          </w:tcPr>
          <w:p>
            <w:pPr>
              <w:spacing w:after="0"/>
              <w:rPr>
                <w:sz w:val="15"/>
                <w:szCs w:val="15"/>
                <w:color w:val="auto"/>
              </w:rPr>
            </w:pPr>
          </w:p>
        </w:tc>
        <w:tc>
          <w:tcPr>
            <w:tcW w:w="70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60" w:type="dxa"/>
            <w:vAlign w:val="bottom"/>
            <w:tcBorders>
              <w:bottom w:val="single" w:sz="8" w:color="auto"/>
            </w:tcBorders>
            <w:shd w:val="clear" w:color="auto" w:fill="CCEEFF"/>
          </w:tcPr>
          <w:p>
            <w:pPr>
              <w:spacing w:after="0"/>
              <w:rPr>
                <w:sz w:val="15"/>
                <w:szCs w:val="15"/>
                <w:color w:val="auto"/>
              </w:rPr>
            </w:pPr>
          </w:p>
        </w:tc>
        <w:tc>
          <w:tcPr>
            <w:tcW w:w="660" w:type="dxa"/>
            <w:vAlign w:val="bottom"/>
            <w:tcBorders>
              <w:bottom w:val="single" w:sz="8" w:color="auto"/>
            </w:tcBorders>
            <w:vMerge w:val="continue"/>
            <w:shd w:val="clear" w:color="auto" w:fill="CCEEFF"/>
          </w:tcPr>
          <w:p>
            <w:pPr>
              <w:spacing w:after="0"/>
              <w:rPr>
                <w:sz w:val="15"/>
                <w:szCs w:val="15"/>
                <w:color w:val="auto"/>
              </w:rPr>
            </w:pPr>
          </w:p>
        </w:tc>
        <w:tc>
          <w:tcPr>
            <w:tcW w:w="80" w:type="dxa"/>
            <w:vAlign w:val="bottom"/>
            <w:tcBorders>
              <w:bottom w:val="single" w:sz="8" w:color="CCEEFF"/>
            </w:tcBorders>
            <w:shd w:val="clear" w:color="auto" w:fill="CCEEFF"/>
          </w:tcPr>
          <w:p>
            <w:pPr>
              <w:spacing w:after="0"/>
              <w:rPr>
                <w:sz w:val="15"/>
                <w:szCs w:val="15"/>
                <w:color w:val="auto"/>
              </w:rPr>
            </w:pPr>
          </w:p>
        </w:tc>
        <w:tc>
          <w:tcPr>
            <w:tcW w:w="140" w:type="dxa"/>
            <w:vAlign w:val="bottom"/>
            <w:tcBorders>
              <w:bottom w:val="single" w:sz="8" w:color="auto"/>
            </w:tcBorders>
            <w:vMerge w:val="continue"/>
            <w:shd w:val="clear" w:color="auto" w:fill="CCEEFF"/>
          </w:tcPr>
          <w:p>
            <w:pPr>
              <w:spacing w:after="0"/>
              <w:rPr>
                <w:sz w:val="15"/>
                <w:szCs w:val="15"/>
                <w:color w:val="auto"/>
              </w:rPr>
            </w:pPr>
          </w:p>
        </w:tc>
        <w:tc>
          <w:tcPr>
            <w:tcW w:w="70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60" w:type="dxa"/>
            <w:vAlign w:val="bottom"/>
            <w:tcBorders>
              <w:bottom w:val="single" w:sz="8" w:color="auto"/>
            </w:tcBorders>
            <w:shd w:val="clear" w:color="auto" w:fill="CCEEFF"/>
          </w:tcPr>
          <w:p>
            <w:pPr>
              <w:spacing w:after="0"/>
              <w:rPr>
                <w:sz w:val="15"/>
                <w:szCs w:val="15"/>
                <w:color w:val="auto"/>
              </w:rPr>
            </w:pPr>
          </w:p>
        </w:tc>
        <w:tc>
          <w:tcPr>
            <w:tcW w:w="64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40" w:type="dxa"/>
            <w:vAlign w:val="bottom"/>
            <w:tcBorders>
              <w:bottom w:val="single" w:sz="8" w:color="auto"/>
            </w:tcBorders>
            <w:vMerge w:val="continue"/>
            <w:shd w:val="clear" w:color="auto" w:fill="CCEEFF"/>
          </w:tcPr>
          <w:p>
            <w:pPr>
              <w:spacing w:after="0"/>
              <w:rPr>
                <w:sz w:val="15"/>
                <w:szCs w:val="15"/>
                <w:color w:val="auto"/>
              </w:rPr>
            </w:pPr>
          </w:p>
        </w:tc>
        <w:tc>
          <w:tcPr>
            <w:tcW w:w="70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60" w:type="dxa"/>
            <w:vAlign w:val="bottom"/>
            <w:tcBorders>
              <w:bottom w:val="single" w:sz="8" w:color="auto"/>
            </w:tcBorders>
            <w:shd w:val="clear" w:color="auto" w:fill="CCEEFF"/>
          </w:tcPr>
          <w:p>
            <w:pPr>
              <w:spacing w:after="0"/>
              <w:rPr>
                <w:sz w:val="15"/>
                <w:szCs w:val="15"/>
                <w:color w:val="auto"/>
              </w:rPr>
            </w:pPr>
          </w:p>
        </w:tc>
        <w:tc>
          <w:tcPr>
            <w:tcW w:w="66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40" w:type="dxa"/>
            <w:vAlign w:val="bottom"/>
            <w:tcBorders>
              <w:bottom w:val="single" w:sz="8" w:color="auto"/>
            </w:tcBorders>
            <w:vMerge w:val="continue"/>
            <w:shd w:val="clear" w:color="auto" w:fill="CCEEFF"/>
          </w:tcPr>
          <w:p>
            <w:pPr>
              <w:spacing w:after="0"/>
              <w:rPr>
                <w:sz w:val="15"/>
                <w:szCs w:val="15"/>
                <w:color w:val="auto"/>
              </w:rPr>
            </w:pPr>
          </w:p>
        </w:tc>
        <w:tc>
          <w:tcPr>
            <w:tcW w:w="70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spacing w:after="0"/>
              <w:rPr>
                <w:sz w:val="15"/>
                <w:szCs w:val="15"/>
                <w:color w:val="auto"/>
              </w:rPr>
            </w:pPr>
          </w:p>
        </w:tc>
        <w:tc>
          <w:tcPr>
            <w:tcW w:w="640" w:type="dxa"/>
            <w:vAlign w:val="bottom"/>
            <w:tcBorders>
              <w:bottom w:val="single" w:sz="8" w:color="auto"/>
            </w:tcBorders>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394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6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6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39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3940" w:type="dxa"/>
            <w:vAlign w:val="bottom"/>
            <w:shd w:val="clear" w:color="auto" w:fill="CCEEFF"/>
          </w:tcPr>
          <w:p>
            <w:pPr>
              <w:ind w:left="20"/>
              <w:spacing w:after="0" w:line="135" w:lineRule="exact"/>
              <w:rPr>
                <w:sz w:val="20"/>
                <w:szCs w:val="20"/>
                <w:color w:val="auto"/>
              </w:rPr>
            </w:pPr>
            <w:r>
              <w:rPr>
                <w:rFonts w:ascii="Arial" w:cs="Arial" w:eastAsia="Arial" w:hAnsi="Arial"/>
                <w:sz w:val="14"/>
                <w:szCs w:val="14"/>
                <w:color w:val="auto"/>
                <w:w w:val="98"/>
              </w:rPr>
              <w:t>Weighted average actual portfolio CPR for investment securities</w:t>
            </w:r>
          </w:p>
        </w:tc>
        <w:tc>
          <w:tcPr>
            <w:tcW w:w="140" w:type="dxa"/>
            <w:vAlign w:val="bottom"/>
            <w:shd w:val="clear" w:color="auto" w:fill="CCEEFF"/>
          </w:tcPr>
          <w:p>
            <w:pPr>
              <w:spacing w:after="0"/>
              <w:rPr>
                <w:sz w:val="11"/>
                <w:szCs w:val="11"/>
                <w:color w:val="auto"/>
              </w:rPr>
            </w:pP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12.4 %</w:t>
            </w: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25.7 %</w:t>
            </w: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13.5 %</w:t>
            </w: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25.2 %</w:t>
            </w: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89"/>
        </w:trPr>
        <w:tc>
          <w:tcPr>
            <w:tcW w:w="3940" w:type="dxa"/>
            <w:vAlign w:val="bottom"/>
            <w:shd w:val="clear" w:color="auto" w:fill="CCEEFF"/>
          </w:tcPr>
          <w:p>
            <w:pPr>
              <w:ind w:left="20"/>
              <w:spacing w:after="0"/>
              <w:rPr>
                <w:sz w:val="20"/>
                <w:szCs w:val="20"/>
                <w:color w:val="auto"/>
              </w:rPr>
            </w:pPr>
            <w:r>
              <w:rPr>
                <w:rFonts w:ascii="Arial" w:cs="Arial" w:eastAsia="Arial" w:hAnsi="Arial"/>
                <w:sz w:val="14"/>
                <w:szCs w:val="14"/>
                <w:color w:val="auto"/>
              </w:rPr>
              <w:t>held during the period</w:t>
            </w:r>
          </w:p>
        </w:tc>
        <w:tc>
          <w:tcPr>
            <w:tcW w:w="140" w:type="dxa"/>
            <w:vAlign w:val="bottom"/>
            <w:shd w:val="clear" w:color="auto" w:fill="CCEEFF"/>
          </w:tcPr>
          <w:p>
            <w:pPr>
              <w:spacing w:after="0"/>
              <w:rPr>
                <w:sz w:val="16"/>
                <w:szCs w:val="16"/>
                <w:color w:val="auto"/>
              </w:rPr>
            </w:pPr>
          </w:p>
        </w:tc>
        <w:tc>
          <w:tcPr>
            <w:tcW w:w="70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0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0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0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3940" w:type="dxa"/>
            <w:vAlign w:val="bottom"/>
          </w:tcPr>
          <w:p>
            <w:pPr>
              <w:ind w:left="20"/>
              <w:spacing w:after="0" w:line="135" w:lineRule="exact"/>
              <w:rPr>
                <w:sz w:val="20"/>
                <w:szCs w:val="20"/>
                <w:color w:val="auto"/>
              </w:rPr>
            </w:pPr>
            <w:r>
              <w:rPr>
                <w:rFonts w:ascii="Arial" w:cs="Arial" w:eastAsia="Arial" w:hAnsi="Arial"/>
                <w:sz w:val="14"/>
                <w:szCs w:val="14"/>
                <w:color w:val="auto"/>
              </w:rPr>
              <w:t>Weighted average projected CPR for the remaining life of</w:t>
            </w:r>
          </w:p>
        </w:tc>
        <w:tc>
          <w:tcPr>
            <w:tcW w:w="140" w:type="dxa"/>
            <w:vAlign w:val="bottom"/>
          </w:tcPr>
          <w:p>
            <w:pPr>
              <w:spacing w:after="0"/>
              <w:rPr>
                <w:sz w:val="11"/>
                <w:szCs w:val="11"/>
                <w:color w:val="auto"/>
              </w:rPr>
            </w:pPr>
          </w:p>
        </w:tc>
        <w:tc>
          <w:tcPr>
            <w:tcW w:w="700" w:type="dxa"/>
            <w:vAlign w:val="bottom"/>
            <w:vMerge w:val="restart"/>
          </w:tcPr>
          <w:p>
            <w:pPr>
              <w:jc w:val="right"/>
              <w:spacing w:after="0"/>
              <w:rPr>
                <w:sz w:val="20"/>
                <w:szCs w:val="20"/>
                <w:color w:val="auto"/>
              </w:rPr>
            </w:pPr>
            <w:r>
              <w:rPr>
                <w:rFonts w:ascii="Arial" w:cs="Arial" w:eastAsia="Arial" w:hAnsi="Arial"/>
                <w:sz w:val="14"/>
                <w:szCs w:val="14"/>
                <w:color w:val="auto"/>
              </w:rPr>
              <w:t>7.2 %</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vMerge w:val="restart"/>
          </w:tcPr>
          <w:p>
            <w:pPr>
              <w:jc w:val="right"/>
              <w:spacing w:after="0"/>
              <w:rPr>
                <w:sz w:val="20"/>
                <w:szCs w:val="20"/>
                <w:color w:val="auto"/>
              </w:rPr>
            </w:pPr>
            <w:r>
              <w:rPr>
                <w:rFonts w:ascii="Arial" w:cs="Arial" w:eastAsia="Arial" w:hAnsi="Arial"/>
                <w:sz w:val="14"/>
                <w:szCs w:val="14"/>
                <w:color w:val="auto"/>
              </w:rPr>
              <w:t>11.6 %</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vMerge w:val="restart"/>
          </w:tcPr>
          <w:p>
            <w:pPr>
              <w:jc w:val="right"/>
              <w:spacing w:after="0"/>
              <w:rPr>
                <w:sz w:val="20"/>
                <w:szCs w:val="20"/>
                <w:color w:val="auto"/>
              </w:rPr>
            </w:pPr>
            <w:r>
              <w:rPr>
                <w:rFonts w:ascii="Arial" w:cs="Arial" w:eastAsia="Arial" w:hAnsi="Arial"/>
                <w:sz w:val="14"/>
                <w:szCs w:val="14"/>
                <w:color w:val="auto"/>
              </w:rPr>
              <w:t>7.2 %</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vMerge w:val="restart"/>
          </w:tcPr>
          <w:p>
            <w:pPr>
              <w:jc w:val="right"/>
              <w:spacing w:after="0"/>
              <w:rPr>
                <w:sz w:val="20"/>
                <w:szCs w:val="20"/>
                <w:color w:val="auto"/>
              </w:rPr>
            </w:pPr>
            <w:r>
              <w:rPr>
                <w:rFonts w:ascii="Arial" w:cs="Arial" w:eastAsia="Arial" w:hAnsi="Arial"/>
                <w:sz w:val="14"/>
                <w:szCs w:val="14"/>
                <w:color w:val="auto"/>
              </w:rPr>
              <w:t>11.6 %</w:t>
            </w: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6"/>
        </w:trPr>
        <w:tc>
          <w:tcPr>
            <w:tcW w:w="3940" w:type="dxa"/>
            <w:vAlign w:val="bottom"/>
          </w:tcPr>
          <w:p>
            <w:pPr>
              <w:ind w:left="20"/>
              <w:spacing w:after="0"/>
              <w:rPr>
                <w:sz w:val="20"/>
                <w:szCs w:val="20"/>
                <w:color w:val="auto"/>
              </w:rPr>
            </w:pPr>
            <w:r>
              <w:rPr>
                <w:rFonts w:ascii="Arial" w:cs="Arial" w:eastAsia="Arial" w:hAnsi="Arial"/>
                <w:sz w:val="14"/>
                <w:szCs w:val="14"/>
                <w:color w:val="auto"/>
              </w:rPr>
              <w:t>investment securities held as of period end</w:t>
            </w:r>
          </w:p>
        </w:tc>
        <w:tc>
          <w:tcPr>
            <w:tcW w:w="14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3940" w:type="dxa"/>
            <w:vAlign w:val="bottom"/>
            <w:shd w:val="clear" w:color="auto" w:fill="CCEEFF"/>
          </w:tcPr>
          <w:p>
            <w:pPr>
              <w:ind w:left="20"/>
              <w:spacing w:after="0" w:line="193" w:lineRule="exact"/>
              <w:rPr>
                <w:sz w:val="20"/>
                <w:szCs w:val="20"/>
                <w:color w:val="auto"/>
              </w:rPr>
            </w:pPr>
            <w:r>
              <w:rPr>
                <w:rFonts w:ascii="Arial" w:cs="Arial" w:eastAsia="Arial" w:hAnsi="Arial"/>
                <w:sz w:val="14"/>
                <w:szCs w:val="14"/>
                <w:color w:val="auto"/>
              </w:rPr>
              <w:t xml:space="preserve">30-year fixed rate mortgage rate as of period end </w:t>
            </w:r>
            <w:r>
              <w:rPr>
                <w:rFonts w:ascii="Arial" w:cs="Arial" w:eastAsia="Arial" w:hAnsi="Arial"/>
                <w:sz w:val="18"/>
                <w:szCs w:val="18"/>
                <w:color w:val="auto"/>
                <w:vertAlign w:val="superscript"/>
              </w:rPr>
              <w:t>4</w:t>
            </w:r>
          </w:p>
        </w:tc>
        <w:tc>
          <w:tcPr>
            <w:tcW w:w="14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5.83 %</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3.13 %</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5.83 %</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3.13 %</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44"/>
        </w:trPr>
        <w:tc>
          <w:tcPr>
            <w:tcW w:w="3940" w:type="dxa"/>
            <w:vAlign w:val="bottom"/>
          </w:tcPr>
          <w:p>
            <w:pPr>
              <w:ind w:left="20"/>
              <w:spacing w:after="0"/>
              <w:rPr>
                <w:sz w:val="20"/>
                <w:szCs w:val="20"/>
                <w:color w:val="auto"/>
              </w:rPr>
            </w:pPr>
            <w:r>
              <w:rPr>
                <w:rFonts w:ascii="Arial" w:cs="Arial" w:eastAsia="Arial" w:hAnsi="Arial"/>
                <w:sz w:val="14"/>
                <w:szCs w:val="14"/>
                <w:color w:val="auto"/>
              </w:rPr>
              <w:t xml:space="preserve">10-year U.S. Treasury rate as of period end </w:t>
            </w:r>
            <w:r>
              <w:rPr>
                <w:rFonts w:ascii="Arial" w:cs="Arial" w:eastAsia="Arial" w:hAnsi="Arial"/>
                <w:sz w:val="18"/>
                <w:szCs w:val="18"/>
                <w:color w:val="auto"/>
                <w:vertAlign w:val="superscript"/>
              </w:rPr>
              <w:t>4</w:t>
            </w:r>
          </w:p>
        </w:tc>
        <w:tc>
          <w:tcPr>
            <w:tcW w:w="14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3.02 %</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1.47 %</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3.02 %</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1.47 %</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41"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tabs>
          <w:tab w:leader="none" w:pos="660" w:val="left"/>
        </w:tabs>
        <w:numPr>
          <w:ilvl w:val="0"/>
          <w:numId w:val="26"/>
        </w:numPr>
        <w:rPr>
          <w:rFonts w:ascii="Arial" w:cs="Arial" w:eastAsia="Arial" w:hAnsi="Arial"/>
          <w:sz w:val="14"/>
          <w:szCs w:val="14"/>
          <w:color w:val="auto"/>
        </w:rPr>
      </w:pPr>
      <w:r>
        <w:rPr>
          <w:rFonts w:ascii="Arial" w:cs="Arial" w:eastAsia="Arial" w:hAnsi="Arial"/>
          <w:sz w:val="14"/>
          <w:szCs w:val="14"/>
          <w:color w:val="auto"/>
        </w:rPr>
        <w:t>Reported in gain (loss) on derivatives instruments and other securities, net in the accompanying consolidated statements of operations.</w:t>
      </w:r>
    </w:p>
    <w:p>
      <w:pPr>
        <w:spacing w:after="0" w:line="1" w:lineRule="exact"/>
        <w:rPr>
          <w:rFonts w:ascii="Arial" w:cs="Arial" w:eastAsia="Arial" w:hAnsi="Arial"/>
          <w:sz w:val="14"/>
          <w:szCs w:val="14"/>
          <w:color w:val="auto"/>
        </w:rPr>
      </w:pPr>
    </w:p>
    <w:p>
      <w:pPr>
        <w:jc w:val="both"/>
        <w:ind w:left="660" w:hanging="328"/>
        <w:spacing w:after="0" w:line="241" w:lineRule="auto"/>
        <w:tabs>
          <w:tab w:leader="none" w:pos="660" w:val="left"/>
        </w:tabs>
        <w:numPr>
          <w:ilvl w:val="0"/>
          <w:numId w:val="26"/>
        </w:numPr>
        <w:rPr>
          <w:rFonts w:ascii="Arial" w:cs="Arial" w:eastAsia="Arial" w:hAnsi="Arial"/>
          <w:sz w:val="14"/>
          <w:szCs w:val="14"/>
          <w:color w:val="auto"/>
        </w:rPr>
      </w:pPr>
      <w:r>
        <w:rPr>
          <w:rFonts w:ascii="Arial" w:cs="Arial" w:eastAsia="Arial" w:hAnsi="Arial"/>
          <w:sz w:val="14"/>
          <w:szCs w:val="14"/>
          <w:color w:val="auto"/>
        </w:rPr>
        <w:t xml:space="preserve">Implied interest income from TBA dollar roll transactions is computed as the sum of (i) TBA dollar roll income and (ii) estimated TBA implied funding cost (see </w:t>
      </w:r>
      <w:r>
        <w:rPr>
          <w:rFonts w:ascii="Arial" w:cs="Arial" w:eastAsia="Arial" w:hAnsi="Arial"/>
          <w:sz w:val="14"/>
          <w:szCs w:val="14"/>
          <w:i w:val="1"/>
          <w:iCs w:val="1"/>
          <w:color w:val="auto"/>
        </w:rPr>
        <w:t>Economic Interest</w:t>
      </w:r>
      <w:r>
        <w:rPr>
          <w:rFonts w:ascii="Arial" w:cs="Arial" w:eastAsia="Arial" w:hAnsi="Arial"/>
          <w:sz w:val="14"/>
          <w:szCs w:val="14"/>
          <w:color w:val="auto"/>
        </w:rPr>
        <w:t xml:space="preserve"> </w:t>
      </w:r>
      <w:r>
        <w:rPr>
          <w:rFonts w:ascii="Arial" w:cs="Arial" w:eastAsia="Arial" w:hAnsi="Arial"/>
          <w:sz w:val="14"/>
          <w:szCs w:val="14"/>
          <w:i w:val="1"/>
          <w:iCs w:val="1"/>
          <w:color w:val="auto"/>
        </w:rPr>
        <w:t xml:space="preserve">Expense and Aggregate Cost of Funds </w:t>
      </w:r>
      <w:r>
        <w:rPr>
          <w:rFonts w:ascii="Arial" w:cs="Arial" w:eastAsia="Arial" w:hAnsi="Arial"/>
          <w:sz w:val="14"/>
          <w:szCs w:val="14"/>
          <w:color w:val="auto"/>
        </w:rPr>
        <w:t>below). TBA dollar roll income represents the price differential, or "price drop," between the TBA price for current month settlement versus the</w:t>
      </w:r>
      <w:r>
        <w:rPr>
          <w:rFonts w:ascii="Arial" w:cs="Arial" w:eastAsia="Arial" w:hAnsi="Arial"/>
          <w:sz w:val="14"/>
          <w:szCs w:val="14"/>
          <w:i w:val="1"/>
          <w:iCs w:val="1"/>
          <w:color w:val="auto"/>
        </w:rPr>
        <w:t xml:space="preserve"> </w:t>
      </w:r>
      <w:r>
        <w:rPr>
          <w:rFonts w:ascii="Arial" w:cs="Arial" w:eastAsia="Arial" w:hAnsi="Arial"/>
          <w:sz w:val="14"/>
          <w:szCs w:val="14"/>
          <w:color w:val="auto"/>
        </w:rPr>
        <w:t>TBA price for forward month settlement and is the economic equivalent to interest income on the underlying Agency securities, less an implied funding cost, over the forward settlement period. Amount is net of TBAs used for hedging purposes. Amount excludes TBA mark-to-market adjustments.</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6"/>
        </w:numPr>
        <w:rPr>
          <w:rFonts w:ascii="Arial" w:cs="Arial" w:eastAsia="Arial" w:hAnsi="Arial"/>
          <w:sz w:val="13"/>
          <w:szCs w:val="13"/>
          <w:color w:val="auto"/>
        </w:rPr>
      </w:pPr>
      <w:r>
        <w:rPr>
          <w:rFonts w:ascii="Arial" w:cs="Arial" w:eastAsia="Arial" w:hAnsi="Arial"/>
          <w:sz w:val="13"/>
          <w:szCs w:val="13"/>
          <w:color w:val="auto"/>
        </w:rPr>
        <w:t>The combined asset yield is calculated on a weighted average basis based on our average investment and TBA balances outstanding during the period and their respective yields.</w:t>
      </w:r>
    </w:p>
    <w:p>
      <w:pPr>
        <w:spacing w:after="0" w:line="12" w:lineRule="exact"/>
        <w:rPr>
          <w:rFonts w:ascii="Arial" w:cs="Arial" w:eastAsia="Arial" w:hAnsi="Arial"/>
          <w:sz w:val="13"/>
          <w:szCs w:val="13"/>
          <w:color w:val="auto"/>
        </w:rPr>
      </w:pPr>
    </w:p>
    <w:p>
      <w:pPr>
        <w:ind w:left="660" w:hanging="328"/>
        <w:spacing w:after="0"/>
        <w:tabs>
          <w:tab w:leader="none" w:pos="660" w:val="left"/>
        </w:tabs>
        <w:numPr>
          <w:ilvl w:val="0"/>
          <w:numId w:val="26"/>
        </w:numPr>
        <w:rPr>
          <w:rFonts w:ascii="Arial" w:cs="Arial" w:eastAsia="Arial" w:hAnsi="Arial"/>
          <w:sz w:val="14"/>
          <w:szCs w:val="14"/>
          <w:color w:val="auto"/>
        </w:rPr>
      </w:pPr>
      <w:r>
        <w:rPr>
          <w:rFonts w:ascii="Arial" w:cs="Arial" w:eastAsia="Arial" w:hAnsi="Arial"/>
          <w:sz w:val="14"/>
          <w:szCs w:val="14"/>
          <w:color w:val="auto"/>
        </w:rPr>
        <w:t>Source: Bloomberg</w:t>
      </w:r>
    </w:p>
    <w:p>
      <w:pPr>
        <w:spacing w:after="0" w:line="155" w:lineRule="exact"/>
        <w:rPr>
          <w:sz w:val="20"/>
          <w:szCs w:val="20"/>
          <w:color w:val="auto"/>
        </w:rPr>
      </w:pPr>
    </w:p>
    <w:p>
      <w:pPr>
        <w:jc w:val="both"/>
        <w:ind w:firstLine="445"/>
        <w:spacing w:after="0" w:line="263" w:lineRule="auto"/>
        <w:rPr>
          <w:sz w:val="20"/>
          <w:szCs w:val="20"/>
          <w:color w:val="auto"/>
        </w:rPr>
      </w:pPr>
      <w:r>
        <w:rPr>
          <w:rFonts w:ascii="Arial" w:cs="Arial" w:eastAsia="Arial" w:hAnsi="Arial"/>
          <w:sz w:val="18"/>
          <w:szCs w:val="18"/>
          <w:color w:val="auto"/>
        </w:rPr>
        <w:t>The principal elements impacting our economic interest income are the size of our average investment portfolio and the yield on our securities. The following table includes a summary of the estimated impact of each of these elements on our economic interest income for the three and six months ended June 30, 2022 compared to the prior year period (in millions):</w:t>
      </w:r>
    </w:p>
    <w:p>
      <w:pPr>
        <w:spacing w:after="0" w:line="200" w:lineRule="exact"/>
        <w:rPr>
          <w:sz w:val="20"/>
          <w:szCs w:val="20"/>
          <w:color w:val="auto"/>
        </w:rPr>
      </w:pPr>
    </w:p>
    <w:p>
      <w:pPr>
        <w:spacing w:after="0" w:line="3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0" w:right="339" w:bottom="1440" w:gutter="0" w:footer="0" w:header="0"/>
        </w:sectPr>
      </w:pPr>
    </w:p>
    <w:bookmarkStart w:id="34" w:name="page35"/>
    <w:bookmarkEnd w:id="34"/>
    <w:p>
      <w:pPr>
        <w:jc w:val="center"/>
        <w:ind w:right="40"/>
        <w:spacing w:after="0"/>
        <w:rPr>
          <w:sz w:val="20"/>
          <w:szCs w:val="20"/>
          <w:color w:val="auto"/>
        </w:rPr>
      </w:pPr>
      <w:r>
        <w:rPr>
          <w:rFonts w:ascii="Arial" w:cs="Arial" w:eastAsia="Arial" w:hAnsi="Arial"/>
          <w:sz w:val="14"/>
          <w:szCs w:val="14"/>
          <w:b w:val="1"/>
          <w:bCs w:val="1"/>
          <w:color w:val="auto"/>
        </w:rPr>
        <w:t>Impact of Changes in the Principal Elements Impacting Economic Interest Income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06285" cy="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06285" cy="8255"/>
                    </a:xfrm>
                    <a:prstGeom prst="rect">
                      <a:avLst/>
                    </a:prstGeom>
                    <a:noFill/>
                  </pic:spPr>
                </pic:pic>
              </a:graphicData>
            </a:graphic>
          </wp:anchor>
        </w:drawing>
      </w:r>
    </w:p>
    <w:p>
      <w:pPr>
        <w:spacing w:after="0" w:line="22" w:lineRule="exact"/>
        <w:rPr>
          <w:sz w:val="20"/>
          <w:szCs w:val="20"/>
          <w:color w:val="auto"/>
        </w:rPr>
      </w:pPr>
    </w:p>
    <w:p>
      <w:pPr>
        <w:jc w:val="center"/>
        <w:ind w:right="40"/>
        <w:spacing w:after="0"/>
        <w:rPr>
          <w:sz w:val="20"/>
          <w:szCs w:val="20"/>
          <w:color w:val="auto"/>
        </w:rPr>
      </w:pPr>
      <w:r>
        <w:rPr>
          <w:rFonts w:ascii="Arial" w:cs="Arial" w:eastAsia="Arial" w:hAnsi="Arial"/>
          <w:sz w:val="14"/>
          <w:szCs w:val="14"/>
          <w:b w:val="1"/>
          <w:bCs w:val="1"/>
          <w:color w:val="auto"/>
        </w:rPr>
        <w:t>Periods ended June 30, 2022 vs. June 30, 2021</w:t>
      </w:r>
    </w:p>
    <w:p>
      <w:pPr>
        <w:spacing w:after="0" w:line="2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600" w:type="dxa"/>
            <w:vAlign w:val="bottom"/>
            <w:tcBorders>
              <w:top w:val="single" w:sz="8" w:color="auto"/>
            </w:tcBorders>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1260" w:type="dxa"/>
            <w:vAlign w:val="bottom"/>
            <w:tcBorders>
              <w:top w:val="single" w:sz="8" w:color="auto"/>
            </w:tcBorders>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260" w:type="dxa"/>
            <w:vAlign w:val="bottom"/>
            <w:tcBorders>
              <w:top w:val="single" w:sz="8" w:color="auto"/>
              <w:bottom w:val="single" w:sz="8" w:color="auto"/>
            </w:tcBorders>
          </w:tcPr>
          <w:p>
            <w:pPr>
              <w:spacing w:after="0"/>
              <w:rPr>
                <w:sz w:val="16"/>
                <w:szCs w:val="16"/>
                <w:color w:val="auto"/>
              </w:rPr>
            </w:pPr>
          </w:p>
        </w:tc>
        <w:tc>
          <w:tcPr>
            <w:tcW w:w="2680" w:type="dxa"/>
            <w:vAlign w:val="bottom"/>
            <w:tcBorders>
              <w:top w:val="single" w:sz="8" w:color="auto"/>
              <w:bottom w:val="single" w:sz="8" w:color="auto"/>
            </w:tcBorders>
            <w:gridSpan w:val="4"/>
          </w:tcPr>
          <w:p>
            <w:pPr>
              <w:jc w:val="right"/>
              <w:ind w:right="608"/>
              <w:spacing w:after="0"/>
              <w:rPr>
                <w:sz w:val="20"/>
                <w:szCs w:val="20"/>
                <w:color w:val="auto"/>
              </w:rPr>
            </w:pPr>
            <w:r>
              <w:rPr>
                <w:rFonts w:ascii="Arial" w:cs="Arial" w:eastAsia="Arial" w:hAnsi="Arial"/>
                <w:sz w:val="14"/>
                <w:szCs w:val="14"/>
                <w:b w:val="1"/>
                <w:bCs w:val="1"/>
                <w:color w:val="auto"/>
              </w:rPr>
              <w:t>Due to Change in Average</w:t>
            </w:r>
          </w:p>
        </w:tc>
        <w:tc>
          <w:tcPr>
            <w:tcW w:w="0" w:type="dxa"/>
            <w:vAlign w:val="bottom"/>
          </w:tcPr>
          <w:p>
            <w:pPr>
              <w:spacing w:after="0"/>
              <w:rPr>
                <w:sz w:val="1"/>
                <w:szCs w:val="1"/>
                <w:color w:val="auto"/>
              </w:rPr>
            </w:pPr>
          </w:p>
        </w:tc>
      </w:tr>
      <w:tr>
        <w:trPr>
          <w:trHeight w:val="131"/>
        </w:trPr>
        <w:tc>
          <w:tcPr>
            <w:tcW w:w="672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Three months ended:</w:t>
            </w:r>
          </w:p>
        </w:tc>
        <w:tc>
          <w:tcPr>
            <w:tcW w:w="160" w:type="dxa"/>
            <w:vAlign w:val="bottom"/>
          </w:tcPr>
          <w:p>
            <w:pPr>
              <w:spacing w:after="0"/>
              <w:rPr>
                <w:sz w:val="11"/>
                <w:szCs w:val="11"/>
                <w:color w:val="auto"/>
              </w:rPr>
            </w:pPr>
          </w:p>
        </w:tc>
        <w:tc>
          <w:tcPr>
            <w:tcW w:w="1380" w:type="dxa"/>
            <w:vAlign w:val="bottom"/>
            <w:gridSpan w:val="2"/>
          </w:tcPr>
          <w:p>
            <w:pPr>
              <w:jc w:val="center"/>
              <w:ind w:right="280"/>
              <w:spacing w:after="0" w:line="131" w:lineRule="exact"/>
              <w:rPr>
                <w:sz w:val="20"/>
                <w:szCs w:val="20"/>
                <w:color w:val="auto"/>
              </w:rPr>
            </w:pPr>
            <w:r>
              <w:rPr>
                <w:rFonts w:ascii="Arial" w:cs="Arial" w:eastAsia="Arial" w:hAnsi="Arial"/>
                <w:sz w:val="14"/>
                <w:szCs w:val="14"/>
                <w:b w:val="1"/>
                <w:bCs w:val="1"/>
                <w:color w:val="auto"/>
                <w:w w:val="92"/>
              </w:rPr>
              <w:t>Total Increase /</w:t>
            </w:r>
          </w:p>
        </w:tc>
        <w:tc>
          <w:tcPr>
            <w:tcW w:w="260" w:type="dxa"/>
            <w:vAlign w:val="bottom"/>
          </w:tcPr>
          <w:p>
            <w:pPr>
              <w:spacing w:after="0"/>
              <w:rPr>
                <w:sz w:val="11"/>
                <w:szCs w:val="11"/>
                <w:color w:val="auto"/>
              </w:rPr>
            </w:pPr>
          </w:p>
        </w:tc>
        <w:tc>
          <w:tcPr>
            <w:tcW w:w="1240" w:type="dxa"/>
            <w:vAlign w:val="bottom"/>
            <w:gridSpan w:val="2"/>
          </w:tcPr>
          <w:p>
            <w:pPr>
              <w:jc w:val="center"/>
              <w:ind w:right="360"/>
              <w:spacing w:after="0" w:line="131" w:lineRule="exact"/>
              <w:rPr>
                <w:sz w:val="20"/>
                <w:szCs w:val="20"/>
                <w:color w:val="auto"/>
              </w:rPr>
            </w:pPr>
            <w:r>
              <w:rPr>
                <w:rFonts w:ascii="Arial" w:cs="Arial" w:eastAsia="Arial" w:hAnsi="Arial"/>
                <w:sz w:val="14"/>
                <w:szCs w:val="14"/>
                <w:b w:val="1"/>
                <w:bCs w:val="1"/>
                <w:color w:val="auto"/>
                <w:w w:val="97"/>
              </w:rPr>
              <w:t>Portfolio</w:t>
            </w:r>
          </w:p>
        </w:tc>
        <w:tc>
          <w:tcPr>
            <w:tcW w:w="320" w:type="dxa"/>
            <w:vAlign w:val="bottom"/>
          </w:tcPr>
          <w:p>
            <w:pPr>
              <w:spacing w:after="0"/>
              <w:rPr>
                <w:sz w:val="11"/>
                <w:szCs w:val="11"/>
                <w:color w:val="auto"/>
              </w:rPr>
            </w:pPr>
          </w:p>
        </w:tc>
        <w:tc>
          <w:tcPr>
            <w:tcW w:w="1120" w:type="dxa"/>
            <w:vAlign w:val="bottom"/>
          </w:tcPr>
          <w:p>
            <w:pPr>
              <w:jc w:val="right"/>
              <w:ind w:right="488"/>
              <w:spacing w:after="0" w:line="131" w:lineRule="exact"/>
              <w:rPr>
                <w:sz w:val="20"/>
                <w:szCs w:val="20"/>
                <w:color w:val="auto"/>
              </w:rPr>
            </w:pPr>
            <w:r>
              <w:rPr>
                <w:rFonts w:ascii="Arial" w:cs="Arial" w:eastAsia="Arial" w:hAnsi="Arial"/>
                <w:sz w:val="14"/>
                <w:szCs w:val="14"/>
                <w:b w:val="1"/>
                <w:bCs w:val="1"/>
                <w:color w:val="auto"/>
              </w:rPr>
              <w:t>Asset</w:t>
            </w:r>
          </w:p>
        </w:tc>
        <w:tc>
          <w:tcPr>
            <w:tcW w:w="0" w:type="dxa"/>
            <w:vAlign w:val="bottom"/>
          </w:tcPr>
          <w:p>
            <w:pPr>
              <w:spacing w:after="0"/>
              <w:rPr>
                <w:sz w:val="1"/>
                <w:szCs w:val="1"/>
                <w:color w:val="auto"/>
              </w:rPr>
            </w:pPr>
          </w:p>
        </w:tc>
      </w:tr>
      <w:tr>
        <w:trPr>
          <w:trHeight w:val="188"/>
        </w:trPr>
        <w:tc>
          <w:tcPr>
            <w:tcW w:w="6720" w:type="dxa"/>
            <w:vAlign w:val="bottom"/>
            <w:gridSpan w:val="2"/>
            <w:vMerge w:val="continue"/>
          </w:tcPr>
          <w:p>
            <w:pPr>
              <w:spacing w:after="0"/>
              <w:rPr>
                <w:sz w:val="16"/>
                <w:szCs w:val="16"/>
                <w:color w:val="auto"/>
              </w:rPr>
            </w:pPr>
          </w:p>
        </w:tc>
        <w:tc>
          <w:tcPr>
            <w:tcW w:w="160" w:type="dxa"/>
            <w:vAlign w:val="bottom"/>
          </w:tcPr>
          <w:p>
            <w:pPr>
              <w:spacing w:after="0"/>
              <w:rPr>
                <w:sz w:val="16"/>
                <w:szCs w:val="16"/>
                <w:color w:val="auto"/>
              </w:rPr>
            </w:pPr>
          </w:p>
        </w:tc>
        <w:tc>
          <w:tcPr>
            <w:tcW w:w="13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9"/>
              </w:rPr>
              <w:t>(Decrease)</w:t>
            </w:r>
          </w:p>
        </w:tc>
        <w:tc>
          <w:tcPr>
            <w:tcW w:w="260" w:type="dxa"/>
            <w:vAlign w:val="bottom"/>
          </w:tcPr>
          <w:p>
            <w:pPr>
              <w:spacing w:after="0"/>
              <w:rPr>
                <w:sz w:val="16"/>
                <w:szCs w:val="16"/>
                <w:color w:val="auto"/>
              </w:rPr>
            </w:pPr>
          </w:p>
        </w:tc>
        <w:tc>
          <w:tcPr>
            <w:tcW w:w="124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85"/>
              </w:rPr>
              <w:t>Size</w:t>
            </w:r>
          </w:p>
        </w:tc>
        <w:tc>
          <w:tcPr>
            <w:tcW w:w="320" w:type="dxa"/>
            <w:vAlign w:val="bottom"/>
          </w:tcPr>
          <w:p>
            <w:pPr>
              <w:spacing w:after="0"/>
              <w:rPr>
                <w:sz w:val="16"/>
                <w:szCs w:val="16"/>
                <w:color w:val="auto"/>
              </w:rPr>
            </w:pPr>
          </w:p>
        </w:tc>
        <w:tc>
          <w:tcPr>
            <w:tcW w:w="1120" w:type="dxa"/>
            <w:vAlign w:val="bottom"/>
          </w:tcPr>
          <w:p>
            <w:pPr>
              <w:jc w:val="right"/>
              <w:ind w:right="488"/>
              <w:spacing w:after="0"/>
              <w:rPr>
                <w:sz w:val="20"/>
                <w:szCs w:val="20"/>
                <w:color w:val="auto"/>
              </w:rPr>
            </w:pPr>
            <w:r>
              <w:rPr>
                <w:rFonts w:ascii="Arial" w:cs="Arial" w:eastAsia="Arial" w:hAnsi="Arial"/>
                <w:sz w:val="14"/>
                <w:szCs w:val="14"/>
                <w:b w:val="1"/>
                <w:bCs w:val="1"/>
                <w:color w:val="auto"/>
              </w:rPr>
              <w:t>Yield</w:t>
            </w:r>
          </w:p>
        </w:tc>
        <w:tc>
          <w:tcPr>
            <w:tcW w:w="0" w:type="dxa"/>
            <w:vAlign w:val="bottom"/>
          </w:tcPr>
          <w:p>
            <w:pPr>
              <w:spacing w:after="0"/>
              <w:rPr>
                <w:sz w:val="1"/>
                <w:szCs w:val="1"/>
                <w:color w:val="auto"/>
              </w:rPr>
            </w:pPr>
          </w:p>
        </w:tc>
      </w:tr>
      <w:tr>
        <w:trPr>
          <w:trHeight w:val="184"/>
        </w:trPr>
        <w:tc>
          <w:tcPr>
            <w:tcW w:w="66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Interest Income (GAAP measure)</w:t>
            </w:r>
          </w:p>
        </w:tc>
        <w:tc>
          <w:tcPr>
            <w:tcW w:w="120" w:type="dxa"/>
            <w:vAlign w:val="bottom"/>
            <w:tcBorders>
              <w:top w:val="single" w:sz="8" w:color="CCEEFF"/>
            </w:tcBorders>
            <w:shd w:val="clear" w:color="auto" w:fill="CCEEFF"/>
          </w:tcPr>
          <w:p>
            <w:pPr>
              <w:spacing w:after="0"/>
              <w:rPr>
                <w:sz w:val="15"/>
                <w:szCs w:val="15"/>
                <w:color w:val="auto"/>
              </w:rPr>
            </w:pPr>
          </w:p>
        </w:tc>
        <w:tc>
          <w:tcPr>
            <w:tcW w:w="16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12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146</w:t>
            </w:r>
          </w:p>
        </w:tc>
        <w:tc>
          <w:tcPr>
            <w:tcW w:w="120" w:type="dxa"/>
            <w:vAlign w:val="bottom"/>
            <w:tcBorders>
              <w:top w:val="single" w:sz="8" w:color="CCEEFF"/>
            </w:tcBorders>
            <w:shd w:val="clear" w:color="auto" w:fill="CCEEFF"/>
          </w:tcPr>
          <w:p>
            <w:pPr>
              <w:spacing w:after="0"/>
              <w:rPr>
                <w:sz w:val="15"/>
                <w:szCs w:val="15"/>
                <w:color w:val="auto"/>
              </w:rPr>
            </w:pPr>
          </w:p>
        </w:tc>
        <w:tc>
          <w:tcPr>
            <w:tcW w:w="260" w:type="dxa"/>
            <w:vAlign w:val="bottom"/>
            <w:tcBorders>
              <w:top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w w:val="76"/>
              </w:rPr>
              <w:t>$</w:t>
            </w:r>
          </w:p>
        </w:tc>
        <w:tc>
          <w:tcPr>
            <w:tcW w:w="1140" w:type="dxa"/>
            <w:vAlign w:val="bottom"/>
            <w:tcBorders>
              <w:top w:val="single" w:sz="8" w:color="auto"/>
            </w:tcBorders>
            <w:shd w:val="clear" w:color="auto" w:fill="CCEEFF"/>
          </w:tcPr>
          <w:p>
            <w:pPr>
              <w:jc w:val="center"/>
              <w:ind w:left="788"/>
              <w:spacing w:after="0"/>
              <w:rPr>
                <w:sz w:val="20"/>
                <w:szCs w:val="20"/>
                <w:color w:val="auto"/>
              </w:rPr>
            </w:pPr>
            <w:r>
              <w:rPr>
                <w:rFonts w:ascii="Arial" w:cs="Arial" w:eastAsia="Arial" w:hAnsi="Arial"/>
                <w:sz w:val="14"/>
                <w:szCs w:val="14"/>
                <w:color w:val="auto"/>
                <w:w w:val="96"/>
              </w:rPr>
              <w:t>(27)</w:t>
            </w:r>
          </w:p>
        </w:tc>
        <w:tc>
          <w:tcPr>
            <w:tcW w:w="100" w:type="dxa"/>
            <w:vAlign w:val="bottom"/>
            <w:tcBorders>
              <w:top w:val="single" w:sz="8" w:color="CCEEFF"/>
            </w:tcBorders>
            <w:shd w:val="clear" w:color="auto" w:fill="CCEEFF"/>
          </w:tcPr>
          <w:p>
            <w:pPr>
              <w:spacing w:after="0"/>
              <w:rPr>
                <w:sz w:val="15"/>
                <w:szCs w:val="15"/>
                <w:color w:val="auto"/>
              </w:rPr>
            </w:pPr>
          </w:p>
        </w:tc>
        <w:tc>
          <w:tcPr>
            <w:tcW w:w="320" w:type="dxa"/>
            <w:vAlign w:val="bottom"/>
            <w:tcBorders>
              <w:top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173</w:t>
            </w:r>
          </w:p>
        </w:tc>
        <w:tc>
          <w:tcPr>
            <w:tcW w:w="0" w:type="dxa"/>
            <w:vAlign w:val="bottom"/>
          </w:tcPr>
          <w:p>
            <w:pPr>
              <w:spacing w:after="0"/>
              <w:rPr>
                <w:sz w:val="1"/>
                <w:szCs w:val="1"/>
                <w:color w:val="auto"/>
              </w:rPr>
            </w:pPr>
          </w:p>
        </w:tc>
      </w:tr>
      <w:tr>
        <w:trPr>
          <w:trHeight w:val="186"/>
        </w:trPr>
        <w:tc>
          <w:tcPr>
            <w:tcW w:w="6720" w:type="dxa"/>
            <w:vAlign w:val="bottom"/>
            <w:gridSpan w:val="2"/>
          </w:tcPr>
          <w:p>
            <w:pPr>
              <w:ind w:left="20"/>
              <w:spacing w:after="0"/>
              <w:rPr>
                <w:sz w:val="20"/>
                <w:szCs w:val="20"/>
                <w:color w:val="auto"/>
              </w:rPr>
            </w:pPr>
            <w:r>
              <w:rPr>
                <w:rFonts w:ascii="Arial" w:cs="Arial" w:eastAsia="Arial" w:hAnsi="Arial"/>
                <w:sz w:val="14"/>
                <w:szCs w:val="14"/>
                <w:color w:val="auto"/>
              </w:rPr>
              <w:t>Estimated "catch-up" premium amortization due to change in CPR forecast</w:t>
            </w:r>
          </w:p>
        </w:tc>
        <w:tc>
          <w:tcPr>
            <w:tcW w:w="160" w:type="dxa"/>
            <w:vAlign w:val="bottom"/>
          </w:tcPr>
          <w:p>
            <w:pPr>
              <w:spacing w:after="0"/>
              <w:rPr>
                <w:sz w:val="16"/>
                <w:szCs w:val="16"/>
                <w:color w:val="auto"/>
              </w:rPr>
            </w:pPr>
          </w:p>
        </w:tc>
        <w:tc>
          <w:tcPr>
            <w:tcW w:w="1260" w:type="dxa"/>
            <w:vAlign w:val="bottom"/>
          </w:tcPr>
          <w:p>
            <w:pPr>
              <w:jc w:val="right"/>
              <w:spacing w:after="0"/>
              <w:rPr>
                <w:sz w:val="20"/>
                <w:szCs w:val="20"/>
                <w:color w:val="auto"/>
              </w:rPr>
            </w:pPr>
            <w:r>
              <w:rPr>
                <w:rFonts w:ascii="Arial" w:cs="Arial" w:eastAsia="Arial" w:hAnsi="Arial"/>
                <w:sz w:val="14"/>
                <w:szCs w:val="14"/>
                <w:color w:val="auto"/>
              </w:rPr>
              <w:t>(137)</w:t>
            </w: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240" w:type="dxa"/>
            <w:vAlign w:val="bottom"/>
            <w:gridSpan w:val="2"/>
          </w:tcPr>
          <w:p>
            <w:pPr>
              <w:jc w:val="center"/>
              <w:ind w:left="708"/>
              <w:spacing w:after="0"/>
              <w:rPr>
                <w:sz w:val="20"/>
                <w:szCs w:val="20"/>
                <w:color w:val="auto"/>
              </w:rPr>
            </w:pPr>
            <w:r>
              <w:rPr>
                <w:rFonts w:ascii="Arial" w:cs="Arial" w:eastAsia="Arial" w:hAnsi="Arial"/>
                <w:sz w:val="14"/>
                <w:szCs w:val="14"/>
                <w:color w:val="auto"/>
                <w:w w:val="99"/>
              </w:rPr>
              <w:t>—</w:t>
            </w:r>
          </w:p>
        </w:tc>
        <w:tc>
          <w:tcPr>
            <w:tcW w:w="320" w:type="dxa"/>
            <w:vAlign w:val="bottom"/>
          </w:tcPr>
          <w:p>
            <w:pPr>
              <w:spacing w:after="0"/>
              <w:rPr>
                <w:sz w:val="16"/>
                <w:szCs w:val="16"/>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(137)</w:t>
            </w:r>
          </w:p>
        </w:tc>
        <w:tc>
          <w:tcPr>
            <w:tcW w:w="0" w:type="dxa"/>
            <w:vAlign w:val="bottom"/>
          </w:tcPr>
          <w:p>
            <w:pPr>
              <w:spacing w:after="0"/>
              <w:rPr>
                <w:sz w:val="1"/>
                <w:szCs w:val="1"/>
                <w:color w:val="auto"/>
              </w:rPr>
            </w:pPr>
          </w:p>
        </w:tc>
      </w:tr>
      <w:tr>
        <w:trPr>
          <w:trHeight w:val="186"/>
        </w:trPr>
        <w:tc>
          <w:tcPr>
            <w:tcW w:w="6720" w:type="dxa"/>
            <w:vAlign w:val="bottom"/>
            <w:tcBorders>
              <w:top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Interest income, excluding "catch-up" premium amortization</w:t>
            </w:r>
          </w:p>
        </w:tc>
        <w:tc>
          <w:tcPr>
            <w:tcW w:w="160" w:type="dxa"/>
            <w:vAlign w:val="bottom"/>
            <w:tcBorders>
              <w:top w:val="single" w:sz="8" w:color="auto"/>
            </w:tcBorders>
            <w:shd w:val="clear" w:color="auto" w:fill="CCEEFF"/>
          </w:tcPr>
          <w:p>
            <w:pPr>
              <w:spacing w:after="0"/>
              <w:rPr>
                <w:sz w:val="16"/>
                <w:szCs w:val="16"/>
                <w:color w:val="auto"/>
              </w:rPr>
            </w:pPr>
          </w:p>
        </w:tc>
        <w:tc>
          <w:tcPr>
            <w:tcW w:w="12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w:t>
            </w:r>
          </w:p>
        </w:tc>
        <w:tc>
          <w:tcPr>
            <w:tcW w:w="120" w:type="dxa"/>
            <w:vAlign w:val="bottom"/>
            <w:tcBorders>
              <w:top w:val="single" w:sz="8" w:color="CCEEFF"/>
            </w:tcBorders>
            <w:shd w:val="clear" w:color="auto" w:fill="CCEEFF"/>
          </w:tcPr>
          <w:p>
            <w:pPr>
              <w:spacing w:after="0"/>
              <w:rPr>
                <w:sz w:val="16"/>
                <w:szCs w:val="16"/>
                <w:color w:val="auto"/>
              </w:rPr>
            </w:pPr>
          </w:p>
        </w:tc>
        <w:tc>
          <w:tcPr>
            <w:tcW w:w="260" w:type="dxa"/>
            <w:vAlign w:val="bottom"/>
            <w:tcBorders>
              <w:top w:val="single" w:sz="8" w:color="auto"/>
            </w:tcBorders>
            <w:shd w:val="clear" w:color="auto" w:fill="CCEEFF"/>
          </w:tcPr>
          <w:p>
            <w:pPr>
              <w:spacing w:after="0"/>
              <w:rPr>
                <w:sz w:val="16"/>
                <w:szCs w:val="16"/>
                <w:color w:val="auto"/>
              </w:rPr>
            </w:pPr>
          </w:p>
        </w:tc>
        <w:tc>
          <w:tcPr>
            <w:tcW w:w="1140" w:type="dxa"/>
            <w:vAlign w:val="bottom"/>
            <w:tcBorders>
              <w:top w:val="single" w:sz="8" w:color="auto"/>
            </w:tcBorders>
            <w:shd w:val="clear" w:color="auto" w:fill="CCEEFF"/>
          </w:tcPr>
          <w:p>
            <w:pPr>
              <w:jc w:val="center"/>
              <w:ind w:left="788"/>
              <w:spacing w:after="0"/>
              <w:rPr>
                <w:sz w:val="20"/>
                <w:szCs w:val="20"/>
                <w:color w:val="auto"/>
              </w:rPr>
            </w:pPr>
            <w:r>
              <w:rPr>
                <w:rFonts w:ascii="Arial" w:cs="Arial" w:eastAsia="Arial" w:hAnsi="Arial"/>
                <w:sz w:val="14"/>
                <w:szCs w:val="14"/>
                <w:color w:val="auto"/>
                <w:w w:val="96"/>
              </w:rPr>
              <w:t>(27)</w:t>
            </w:r>
          </w:p>
        </w:tc>
        <w:tc>
          <w:tcPr>
            <w:tcW w:w="100" w:type="dxa"/>
            <w:vAlign w:val="bottom"/>
            <w:tcBorders>
              <w:top w:val="single" w:sz="8" w:color="CCEEFF"/>
            </w:tcBorders>
            <w:shd w:val="clear" w:color="auto" w:fill="CCEEFF"/>
          </w:tcPr>
          <w:p>
            <w:pPr>
              <w:spacing w:after="0"/>
              <w:rPr>
                <w:sz w:val="16"/>
                <w:szCs w:val="16"/>
                <w:color w:val="auto"/>
              </w:rPr>
            </w:pPr>
          </w:p>
        </w:tc>
        <w:tc>
          <w:tcPr>
            <w:tcW w:w="320" w:type="dxa"/>
            <w:vAlign w:val="bottom"/>
            <w:tcBorders>
              <w:top w:val="single" w:sz="8" w:color="auto"/>
            </w:tcBorders>
            <w:shd w:val="clear" w:color="auto" w:fill="CCEEFF"/>
          </w:tcPr>
          <w:p>
            <w:pPr>
              <w:spacing w:after="0"/>
              <w:rPr>
                <w:sz w:val="16"/>
                <w:szCs w:val="16"/>
                <w:color w:val="auto"/>
              </w:rPr>
            </w:pP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36</w:t>
            </w:r>
          </w:p>
        </w:tc>
        <w:tc>
          <w:tcPr>
            <w:tcW w:w="0" w:type="dxa"/>
            <w:vAlign w:val="bottom"/>
          </w:tcPr>
          <w:p>
            <w:pPr>
              <w:spacing w:after="0"/>
              <w:rPr>
                <w:sz w:val="1"/>
                <w:szCs w:val="1"/>
                <w:color w:val="auto"/>
              </w:rPr>
            </w:pPr>
          </w:p>
        </w:tc>
      </w:tr>
      <w:tr>
        <w:trPr>
          <w:trHeight w:val="186"/>
        </w:trPr>
        <w:tc>
          <w:tcPr>
            <w:tcW w:w="672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TBA dollar roll income - implied interest income</w:t>
            </w:r>
          </w:p>
        </w:tc>
        <w:tc>
          <w:tcPr>
            <w:tcW w:w="16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41</w:t>
            </w:r>
          </w:p>
        </w:tc>
        <w:tc>
          <w:tcPr>
            <w:tcW w:w="12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center"/>
              <w:ind w:left="788"/>
              <w:spacing w:after="0"/>
              <w:rPr>
                <w:sz w:val="20"/>
                <w:szCs w:val="20"/>
                <w:color w:val="auto"/>
              </w:rPr>
            </w:pPr>
            <w:r>
              <w:rPr>
                <w:rFonts w:ascii="Arial" w:cs="Arial" w:eastAsia="Arial" w:hAnsi="Arial"/>
                <w:sz w:val="14"/>
                <w:szCs w:val="14"/>
                <w:color w:val="auto"/>
                <w:w w:val="96"/>
              </w:rPr>
              <w:t>(42)</w:t>
            </w:r>
          </w:p>
        </w:tc>
        <w:tc>
          <w:tcPr>
            <w:tcW w:w="10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83</w:t>
            </w:r>
          </w:p>
        </w:tc>
        <w:tc>
          <w:tcPr>
            <w:tcW w:w="0" w:type="dxa"/>
            <w:vAlign w:val="bottom"/>
          </w:tcPr>
          <w:p>
            <w:pPr>
              <w:spacing w:after="0"/>
              <w:rPr>
                <w:sz w:val="1"/>
                <w:szCs w:val="1"/>
                <w:color w:val="auto"/>
              </w:rPr>
            </w:pPr>
          </w:p>
        </w:tc>
      </w:tr>
      <w:tr>
        <w:trPr>
          <w:trHeight w:val="211"/>
        </w:trPr>
        <w:tc>
          <w:tcPr>
            <w:tcW w:w="67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Economic interest income, excluding "catch-up" amortization (non-GAAP measure)</w:t>
            </w:r>
          </w:p>
        </w:tc>
        <w:tc>
          <w:tcPr>
            <w:tcW w:w="1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50</w:t>
            </w:r>
          </w:p>
        </w:tc>
        <w:tc>
          <w:tcPr>
            <w:tcW w:w="12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w w:val="76"/>
              </w:rPr>
              <w:t>$</w:t>
            </w:r>
          </w:p>
        </w:tc>
        <w:tc>
          <w:tcPr>
            <w:tcW w:w="1140" w:type="dxa"/>
            <w:vAlign w:val="bottom"/>
            <w:tcBorders>
              <w:bottom w:val="single" w:sz="8" w:color="auto"/>
            </w:tcBorders>
            <w:shd w:val="clear" w:color="auto" w:fill="CCEEFF"/>
          </w:tcPr>
          <w:p>
            <w:pPr>
              <w:jc w:val="center"/>
              <w:ind w:left="788"/>
              <w:spacing w:after="0"/>
              <w:rPr>
                <w:sz w:val="20"/>
                <w:szCs w:val="20"/>
                <w:color w:val="auto"/>
              </w:rPr>
            </w:pPr>
            <w:r>
              <w:rPr>
                <w:rFonts w:ascii="Arial" w:cs="Arial" w:eastAsia="Arial" w:hAnsi="Arial"/>
                <w:sz w:val="14"/>
                <w:szCs w:val="14"/>
                <w:color w:val="auto"/>
                <w:w w:val="96"/>
              </w:rPr>
              <w:t>(69)</w:t>
            </w:r>
          </w:p>
        </w:tc>
        <w:tc>
          <w:tcPr>
            <w:tcW w:w="100" w:type="dxa"/>
            <w:vAlign w:val="bottom"/>
            <w:tcBorders>
              <w:bottom w:val="single" w:sz="8" w:color="CCEEFF"/>
            </w:tcBorders>
            <w:shd w:val="clear" w:color="auto" w:fill="CCEEFF"/>
          </w:tcPr>
          <w:p>
            <w:pPr>
              <w:spacing w:after="0"/>
              <w:rPr>
                <w:sz w:val="17"/>
                <w:szCs w:val="17"/>
                <w:color w:val="auto"/>
              </w:rPr>
            </w:pPr>
          </w:p>
        </w:tc>
        <w:tc>
          <w:tcPr>
            <w:tcW w:w="32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119</w:t>
            </w:r>
          </w:p>
        </w:tc>
        <w:tc>
          <w:tcPr>
            <w:tcW w:w="0" w:type="dxa"/>
            <w:vAlign w:val="bottom"/>
          </w:tcPr>
          <w:p>
            <w:pPr>
              <w:spacing w:after="0"/>
              <w:rPr>
                <w:sz w:val="1"/>
                <w:szCs w:val="1"/>
                <w:color w:val="auto"/>
              </w:rPr>
            </w:pPr>
          </w:p>
        </w:tc>
      </w:tr>
      <w:tr>
        <w:trPr>
          <w:trHeight w:val="20"/>
        </w:trPr>
        <w:tc>
          <w:tcPr>
            <w:tcW w:w="66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6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2680" w:type="dxa"/>
            <w:vAlign w:val="bottom"/>
            <w:tcBorders>
              <w:bottom w:val="single" w:sz="8" w:color="auto"/>
            </w:tcBorders>
            <w:gridSpan w:val="4"/>
          </w:tcPr>
          <w:p>
            <w:pPr>
              <w:jc w:val="right"/>
              <w:ind w:right="608"/>
              <w:spacing w:after="0"/>
              <w:rPr>
                <w:sz w:val="20"/>
                <w:szCs w:val="20"/>
                <w:color w:val="auto"/>
              </w:rPr>
            </w:pPr>
            <w:r>
              <w:rPr>
                <w:rFonts w:ascii="Arial" w:cs="Arial" w:eastAsia="Arial" w:hAnsi="Arial"/>
                <w:sz w:val="14"/>
                <w:szCs w:val="14"/>
                <w:b w:val="1"/>
                <w:bCs w:val="1"/>
                <w:color w:val="auto"/>
              </w:rPr>
              <w:t>Due to Change in Average</w:t>
            </w:r>
          </w:p>
        </w:tc>
        <w:tc>
          <w:tcPr>
            <w:tcW w:w="0" w:type="dxa"/>
            <w:vAlign w:val="bottom"/>
          </w:tcPr>
          <w:p>
            <w:pPr>
              <w:spacing w:after="0"/>
              <w:rPr>
                <w:sz w:val="1"/>
                <w:szCs w:val="1"/>
                <w:color w:val="auto"/>
              </w:rPr>
            </w:pPr>
          </w:p>
        </w:tc>
      </w:tr>
      <w:tr>
        <w:trPr>
          <w:trHeight w:val="135"/>
        </w:trPr>
        <w:tc>
          <w:tcPr>
            <w:tcW w:w="672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Six months ended:</w:t>
            </w:r>
          </w:p>
        </w:tc>
        <w:tc>
          <w:tcPr>
            <w:tcW w:w="160" w:type="dxa"/>
            <w:vAlign w:val="bottom"/>
          </w:tcPr>
          <w:p>
            <w:pPr>
              <w:spacing w:after="0"/>
              <w:rPr>
                <w:sz w:val="11"/>
                <w:szCs w:val="11"/>
                <w:color w:val="auto"/>
              </w:rPr>
            </w:pPr>
          </w:p>
        </w:tc>
        <w:tc>
          <w:tcPr>
            <w:tcW w:w="1380" w:type="dxa"/>
            <w:vAlign w:val="bottom"/>
            <w:gridSpan w:val="2"/>
          </w:tcPr>
          <w:p>
            <w:pPr>
              <w:jc w:val="center"/>
              <w:ind w:right="280"/>
              <w:spacing w:after="0" w:line="135" w:lineRule="exact"/>
              <w:rPr>
                <w:sz w:val="20"/>
                <w:szCs w:val="20"/>
                <w:color w:val="auto"/>
              </w:rPr>
            </w:pPr>
            <w:r>
              <w:rPr>
                <w:rFonts w:ascii="Arial" w:cs="Arial" w:eastAsia="Arial" w:hAnsi="Arial"/>
                <w:sz w:val="14"/>
                <w:szCs w:val="14"/>
                <w:b w:val="1"/>
                <w:bCs w:val="1"/>
                <w:color w:val="auto"/>
                <w:w w:val="92"/>
              </w:rPr>
              <w:t>Total Increase /</w:t>
            </w:r>
          </w:p>
        </w:tc>
        <w:tc>
          <w:tcPr>
            <w:tcW w:w="260" w:type="dxa"/>
            <w:vAlign w:val="bottom"/>
          </w:tcPr>
          <w:p>
            <w:pPr>
              <w:spacing w:after="0"/>
              <w:rPr>
                <w:sz w:val="11"/>
                <w:szCs w:val="11"/>
                <w:color w:val="auto"/>
              </w:rPr>
            </w:pPr>
          </w:p>
        </w:tc>
        <w:tc>
          <w:tcPr>
            <w:tcW w:w="1240" w:type="dxa"/>
            <w:vAlign w:val="bottom"/>
            <w:gridSpan w:val="2"/>
          </w:tcPr>
          <w:p>
            <w:pPr>
              <w:jc w:val="center"/>
              <w:ind w:right="360"/>
              <w:spacing w:after="0" w:line="135" w:lineRule="exact"/>
              <w:rPr>
                <w:sz w:val="20"/>
                <w:szCs w:val="20"/>
                <w:color w:val="auto"/>
              </w:rPr>
            </w:pPr>
            <w:r>
              <w:rPr>
                <w:rFonts w:ascii="Arial" w:cs="Arial" w:eastAsia="Arial" w:hAnsi="Arial"/>
                <w:sz w:val="14"/>
                <w:szCs w:val="14"/>
                <w:b w:val="1"/>
                <w:bCs w:val="1"/>
                <w:color w:val="auto"/>
                <w:w w:val="97"/>
              </w:rPr>
              <w:t>Portfolio</w:t>
            </w:r>
          </w:p>
        </w:tc>
        <w:tc>
          <w:tcPr>
            <w:tcW w:w="320" w:type="dxa"/>
            <w:vAlign w:val="bottom"/>
          </w:tcPr>
          <w:p>
            <w:pPr>
              <w:spacing w:after="0"/>
              <w:rPr>
                <w:sz w:val="11"/>
                <w:szCs w:val="11"/>
                <w:color w:val="auto"/>
              </w:rPr>
            </w:pPr>
          </w:p>
        </w:tc>
        <w:tc>
          <w:tcPr>
            <w:tcW w:w="1120" w:type="dxa"/>
            <w:vAlign w:val="bottom"/>
          </w:tcPr>
          <w:p>
            <w:pPr>
              <w:jc w:val="right"/>
              <w:ind w:right="488"/>
              <w:spacing w:after="0" w:line="135" w:lineRule="exact"/>
              <w:rPr>
                <w:sz w:val="20"/>
                <w:szCs w:val="20"/>
                <w:color w:val="auto"/>
              </w:rPr>
            </w:pPr>
            <w:r>
              <w:rPr>
                <w:rFonts w:ascii="Arial" w:cs="Arial" w:eastAsia="Arial" w:hAnsi="Arial"/>
                <w:sz w:val="14"/>
                <w:szCs w:val="14"/>
                <w:b w:val="1"/>
                <w:bCs w:val="1"/>
                <w:color w:val="auto"/>
              </w:rPr>
              <w:t>Asset</w:t>
            </w:r>
          </w:p>
        </w:tc>
        <w:tc>
          <w:tcPr>
            <w:tcW w:w="0" w:type="dxa"/>
            <w:vAlign w:val="bottom"/>
          </w:tcPr>
          <w:p>
            <w:pPr>
              <w:spacing w:after="0"/>
              <w:rPr>
                <w:sz w:val="1"/>
                <w:szCs w:val="1"/>
                <w:color w:val="auto"/>
              </w:rPr>
            </w:pPr>
          </w:p>
        </w:tc>
      </w:tr>
      <w:tr>
        <w:trPr>
          <w:trHeight w:val="188"/>
        </w:trPr>
        <w:tc>
          <w:tcPr>
            <w:tcW w:w="6720" w:type="dxa"/>
            <w:vAlign w:val="bottom"/>
            <w:gridSpan w:val="2"/>
            <w:vMerge w:val="continue"/>
          </w:tcPr>
          <w:p>
            <w:pPr>
              <w:spacing w:after="0"/>
              <w:rPr>
                <w:sz w:val="16"/>
                <w:szCs w:val="16"/>
                <w:color w:val="auto"/>
              </w:rPr>
            </w:pPr>
          </w:p>
        </w:tc>
        <w:tc>
          <w:tcPr>
            <w:tcW w:w="160" w:type="dxa"/>
            <w:vAlign w:val="bottom"/>
          </w:tcPr>
          <w:p>
            <w:pPr>
              <w:spacing w:after="0"/>
              <w:rPr>
                <w:sz w:val="16"/>
                <w:szCs w:val="16"/>
                <w:color w:val="auto"/>
              </w:rPr>
            </w:pPr>
          </w:p>
        </w:tc>
        <w:tc>
          <w:tcPr>
            <w:tcW w:w="13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9"/>
              </w:rPr>
              <w:t>(Decrease)</w:t>
            </w:r>
          </w:p>
        </w:tc>
        <w:tc>
          <w:tcPr>
            <w:tcW w:w="260" w:type="dxa"/>
            <w:vAlign w:val="bottom"/>
          </w:tcPr>
          <w:p>
            <w:pPr>
              <w:spacing w:after="0"/>
              <w:rPr>
                <w:sz w:val="16"/>
                <w:szCs w:val="16"/>
                <w:color w:val="auto"/>
              </w:rPr>
            </w:pPr>
          </w:p>
        </w:tc>
        <w:tc>
          <w:tcPr>
            <w:tcW w:w="124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85"/>
              </w:rPr>
              <w:t>Size</w:t>
            </w:r>
          </w:p>
        </w:tc>
        <w:tc>
          <w:tcPr>
            <w:tcW w:w="320" w:type="dxa"/>
            <w:vAlign w:val="bottom"/>
          </w:tcPr>
          <w:p>
            <w:pPr>
              <w:spacing w:after="0"/>
              <w:rPr>
                <w:sz w:val="16"/>
                <w:szCs w:val="16"/>
                <w:color w:val="auto"/>
              </w:rPr>
            </w:pPr>
          </w:p>
        </w:tc>
        <w:tc>
          <w:tcPr>
            <w:tcW w:w="1120" w:type="dxa"/>
            <w:vAlign w:val="bottom"/>
          </w:tcPr>
          <w:p>
            <w:pPr>
              <w:jc w:val="right"/>
              <w:ind w:right="488"/>
              <w:spacing w:after="0"/>
              <w:rPr>
                <w:sz w:val="20"/>
                <w:szCs w:val="20"/>
                <w:color w:val="auto"/>
              </w:rPr>
            </w:pPr>
            <w:r>
              <w:rPr>
                <w:rFonts w:ascii="Arial" w:cs="Arial" w:eastAsia="Arial" w:hAnsi="Arial"/>
                <w:sz w:val="14"/>
                <w:szCs w:val="14"/>
                <w:b w:val="1"/>
                <w:bCs w:val="1"/>
                <w:color w:val="auto"/>
              </w:rPr>
              <w:t>Yield</w:t>
            </w:r>
          </w:p>
        </w:tc>
        <w:tc>
          <w:tcPr>
            <w:tcW w:w="0" w:type="dxa"/>
            <w:vAlign w:val="bottom"/>
          </w:tcPr>
          <w:p>
            <w:pPr>
              <w:spacing w:after="0"/>
              <w:rPr>
                <w:sz w:val="1"/>
                <w:szCs w:val="1"/>
                <w:color w:val="auto"/>
              </w:rPr>
            </w:pPr>
          </w:p>
        </w:tc>
      </w:tr>
      <w:tr>
        <w:trPr>
          <w:trHeight w:val="184"/>
        </w:trPr>
        <w:tc>
          <w:tcPr>
            <w:tcW w:w="66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Interest Income (GAAP measure)</w:t>
            </w:r>
          </w:p>
        </w:tc>
        <w:tc>
          <w:tcPr>
            <w:tcW w:w="120" w:type="dxa"/>
            <w:vAlign w:val="bottom"/>
            <w:tcBorders>
              <w:top w:val="single" w:sz="8" w:color="CCEEFF"/>
            </w:tcBorders>
            <w:shd w:val="clear" w:color="auto" w:fill="CCEEFF"/>
          </w:tcPr>
          <w:p>
            <w:pPr>
              <w:spacing w:after="0"/>
              <w:rPr>
                <w:sz w:val="15"/>
                <w:szCs w:val="15"/>
                <w:color w:val="auto"/>
              </w:rPr>
            </w:pPr>
          </w:p>
        </w:tc>
        <w:tc>
          <w:tcPr>
            <w:tcW w:w="16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1260" w:type="dxa"/>
            <w:vAlign w:val="bottom"/>
            <w:tcBorders>
              <w:top w:val="single" w:sz="8" w:color="auto"/>
            </w:tcBorders>
            <w:shd w:val="clear" w:color="auto" w:fill="CCEEFF"/>
          </w:tcPr>
          <w:p>
            <w:pPr>
              <w:jc w:val="center"/>
              <w:ind w:left="928"/>
              <w:spacing w:after="0"/>
              <w:rPr>
                <w:sz w:val="20"/>
                <w:szCs w:val="20"/>
                <w:color w:val="auto"/>
              </w:rPr>
            </w:pPr>
            <w:r>
              <w:rPr>
                <w:rFonts w:ascii="Arial" w:cs="Arial" w:eastAsia="Arial" w:hAnsi="Arial"/>
                <w:sz w:val="14"/>
                <w:szCs w:val="14"/>
                <w:color w:val="auto"/>
                <w:w w:val="89"/>
              </w:rPr>
              <w:t>64</w:t>
            </w:r>
          </w:p>
        </w:tc>
        <w:tc>
          <w:tcPr>
            <w:tcW w:w="120" w:type="dxa"/>
            <w:vAlign w:val="bottom"/>
            <w:tcBorders>
              <w:top w:val="single" w:sz="8" w:color="CCEEFF"/>
            </w:tcBorders>
            <w:shd w:val="clear" w:color="auto" w:fill="CCEEFF"/>
          </w:tcPr>
          <w:p>
            <w:pPr>
              <w:spacing w:after="0"/>
              <w:rPr>
                <w:sz w:val="15"/>
                <w:szCs w:val="15"/>
                <w:color w:val="auto"/>
              </w:rPr>
            </w:pPr>
          </w:p>
        </w:tc>
        <w:tc>
          <w:tcPr>
            <w:tcW w:w="260" w:type="dxa"/>
            <w:vAlign w:val="bottom"/>
            <w:tcBorders>
              <w:top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w w:val="76"/>
              </w:rPr>
              <w:t>$</w:t>
            </w: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(81)</w:t>
            </w:r>
          </w:p>
        </w:tc>
        <w:tc>
          <w:tcPr>
            <w:tcW w:w="100" w:type="dxa"/>
            <w:vAlign w:val="bottom"/>
            <w:tcBorders>
              <w:top w:val="single" w:sz="8" w:color="CCEEFF"/>
            </w:tcBorders>
            <w:shd w:val="clear" w:color="auto" w:fill="CCEEFF"/>
          </w:tcPr>
          <w:p>
            <w:pPr>
              <w:spacing w:after="0"/>
              <w:rPr>
                <w:sz w:val="15"/>
                <w:szCs w:val="15"/>
                <w:color w:val="auto"/>
              </w:rPr>
            </w:pPr>
          </w:p>
        </w:tc>
        <w:tc>
          <w:tcPr>
            <w:tcW w:w="320" w:type="dxa"/>
            <w:vAlign w:val="bottom"/>
            <w:tcBorders>
              <w:top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145</w:t>
            </w:r>
          </w:p>
        </w:tc>
        <w:tc>
          <w:tcPr>
            <w:tcW w:w="0" w:type="dxa"/>
            <w:vAlign w:val="bottom"/>
          </w:tcPr>
          <w:p>
            <w:pPr>
              <w:spacing w:after="0"/>
              <w:rPr>
                <w:sz w:val="1"/>
                <w:szCs w:val="1"/>
                <w:color w:val="auto"/>
              </w:rPr>
            </w:pPr>
          </w:p>
        </w:tc>
      </w:tr>
      <w:tr>
        <w:trPr>
          <w:trHeight w:val="186"/>
        </w:trPr>
        <w:tc>
          <w:tcPr>
            <w:tcW w:w="6720" w:type="dxa"/>
            <w:vAlign w:val="bottom"/>
            <w:gridSpan w:val="2"/>
          </w:tcPr>
          <w:p>
            <w:pPr>
              <w:ind w:left="20"/>
              <w:spacing w:after="0"/>
              <w:rPr>
                <w:sz w:val="20"/>
                <w:szCs w:val="20"/>
                <w:color w:val="auto"/>
              </w:rPr>
            </w:pPr>
            <w:r>
              <w:rPr>
                <w:rFonts w:ascii="Arial" w:cs="Arial" w:eastAsia="Arial" w:hAnsi="Arial"/>
                <w:sz w:val="14"/>
                <w:szCs w:val="14"/>
                <w:color w:val="auto"/>
              </w:rPr>
              <w:t>Estimated "catch-up" premium amortization due to change in CPR forecast</w:t>
            </w:r>
          </w:p>
        </w:tc>
        <w:tc>
          <w:tcPr>
            <w:tcW w:w="160" w:type="dxa"/>
            <w:vAlign w:val="bottom"/>
          </w:tcPr>
          <w:p>
            <w:pPr>
              <w:spacing w:after="0"/>
              <w:rPr>
                <w:sz w:val="16"/>
                <w:szCs w:val="16"/>
                <w:color w:val="auto"/>
              </w:rPr>
            </w:pPr>
          </w:p>
        </w:tc>
        <w:tc>
          <w:tcPr>
            <w:tcW w:w="1260" w:type="dxa"/>
            <w:vAlign w:val="bottom"/>
          </w:tcPr>
          <w:p>
            <w:pPr>
              <w:jc w:val="center"/>
              <w:ind w:left="908"/>
              <w:spacing w:after="0"/>
              <w:rPr>
                <w:sz w:val="20"/>
                <w:szCs w:val="20"/>
                <w:color w:val="auto"/>
              </w:rPr>
            </w:pPr>
            <w:r>
              <w:rPr>
                <w:rFonts w:ascii="Arial" w:cs="Arial" w:eastAsia="Arial" w:hAnsi="Arial"/>
                <w:sz w:val="14"/>
                <w:szCs w:val="14"/>
                <w:color w:val="auto"/>
                <w:w w:val="96"/>
              </w:rPr>
              <w:t>(83)</w:t>
            </w: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240" w:type="dxa"/>
            <w:vAlign w:val="bottom"/>
            <w:gridSpan w:val="2"/>
          </w:tcPr>
          <w:p>
            <w:pPr>
              <w:ind w:left="940"/>
              <w:spacing w:after="0"/>
              <w:rPr>
                <w:sz w:val="20"/>
                <w:szCs w:val="20"/>
                <w:color w:val="auto"/>
              </w:rPr>
            </w:pPr>
            <w:r>
              <w:rPr>
                <w:rFonts w:ascii="Arial" w:cs="Arial" w:eastAsia="Arial" w:hAnsi="Arial"/>
                <w:sz w:val="14"/>
                <w:szCs w:val="14"/>
                <w:color w:val="auto"/>
              </w:rPr>
              <w:t>—</w:t>
            </w:r>
          </w:p>
        </w:tc>
        <w:tc>
          <w:tcPr>
            <w:tcW w:w="320" w:type="dxa"/>
            <w:vAlign w:val="bottom"/>
          </w:tcPr>
          <w:p>
            <w:pPr>
              <w:spacing w:after="0"/>
              <w:rPr>
                <w:sz w:val="16"/>
                <w:szCs w:val="16"/>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(83)</w:t>
            </w:r>
          </w:p>
        </w:tc>
        <w:tc>
          <w:tcPr>
            <w:tcW w:w="0" w:type="dxa"/>
            <w:vAlign w:val="bottom"/>
          </w:tcPr>
          <w:p>
            <w:pPr>
              <w:spacing w:after="0"/>
              <w:rPr>
                <w:sz w:val="1"/>
                <w:szCs w:val="1"/>
                <w:color w:val="auto"/>
              </w:rPr>
            </w:pPr>
          </w:p>
        </w:tc>
      </w:tr>
      <w:tr>
        <w:trPr>
          <w:trHeight w:val="186"/>
        </w:trPr>
        <w:tc>
          <w:tcPr>
            <w:tcW w:w="6720" w:type="dxa"/>
            <w:vAlign w:val="bottom"/>
            <w:tcBorders>
              <w:top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Interest income, excluding "catch-up" premium amortization</w:t>
            </w:r>
          </w:p>
        </w:tc>
        <w:tc>
          <w:tcPr>
            <w:tcW w:w="160" w:type="dxa"/>
            <w:vAlign w:val="bottom"/>
            <w:tcBorders>
              <w:top w:val="single" w:sz="8" w:color="auto"/>
            </w:tcBorders>
            <w:shd w:val="clear" w:color="auto" w:fill="CCEEFF"/>
          </w:tcPr>
          <w:p>
            <w:pPr>
              <w:spacing w:after="0"/>
              <w:rPr>
                <w:sz w:val="16"/>
                <w:szCs w:val="16"/>
                <w:color w:val="auto"/>
              </w:rPr>
            </w:pPr>
          </w:p>
        </w:tc>
        <w:tc>
          <w:tcPr>
            <w:tcW w:w="1260" w:type="dxa"/>
            <w:vAlign w:val="bottom"/>
            <w:tcBorders>
              <w:top w:val="single" w:sz="8" w:color="auto"/>
            </w:tcBorders>
            <w:shd w:val="clear" w:color="auto" w:fill="CCEEFF"/>
          </w:tcPr>
          <w:p>
            <w:pPr>
              <w:jc w:val="center"/>
              <w:ind w:left="908"/>
              <w:spacing w:after="0"/>
              <w:rPr>
                <w:sz w:val="20"/>
                <w:szCs w:val="20"/>
                <w:color w:val="auto"/>
              </w:rPr>
            </w:pPr>
            <w:r>
              <w:rPr>
                <w:rFonts w:ascii="Arial" w:cs="Arial" w:eastAsia="Arial" w:hAnsi="Arial"/>
                <w:sz w:val="14"/>
                <w:szCs w:val="14"/>
                <w:color w:val="auto"/>
                <w:w w:val="96"/>
              </w:rPr>
              <w:t>(19)</w:t>
            </w:r>
          </w:p>
        </w:tc>
        <w:tc>
          <w:tcPr>
            <w:tcW w:w="120" w:type="dxa"/>
            <w:vAlign w:val="bottom"/>
            <w:tcBorders>
              <w:top w:val="single" w:sz="8" w:color="CCEEFF"/>
            </w:tcBorders>
            <w:shd w:val="clear" w:color="auto" w:fill="CCEEFF"/>
          </w:tcPr>
          <w:p>
            <w:pPr>
              <w:spacing w:after="0"/>
              <w:rPr>
                <w:sz w:val="16"/>
                <w:szCs w:val="16"/>
                <w:color w:val="auto"/>
              </w:rPr>
            </w:pPr>
          </w:p>
        </w:tc>
        <w:tc>
          <w:tcPr>
            <w:tcW w:w="260" w:type="dxa"/>
            <w:vAlign w:val="bottom"/>
            <w:tcBorders>
              <w:top w:val="single" w:sz="8" w:color="auto"/>
            </w:tcBorders>
            <w:shd w:val="clear" w:color="auto" w:fill="CCEEFF"/>
          </w:tcPr>
          <w:p>
            <w:pPr>
              <w:spacing w:after="0"/>
              <w:rPr>
                <w:sz w:val="16"/>
                <w:szCs w:val="16"/>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(81)</w:t>
            </w:r>
          </w:p>
        </w:tc>
        <w:tc>
          <w:tcPr>
            <w:tcW w:w="100" w:type="dxa"/>
            <w:vAlign w:val="bottom"/>
            <w:tcBorders>
              <w:top w:val="single" w:sz="8" w:color="CCEEFF"/>
            </w:tcBorders>
            <w:shd w:val="clear" w:color="auto" w:fill="CCEEFF"/>
          </w:tcPr>
          <w:p>
            <w:pPr>
              <w:spacing w:after="0"/>
              <w:rPr>
                <w:sz w:val="16"/>
                <w:szCs w:val="16"/>
                <w:color w:val="auto"/>
              </w:rPr>
            </w:pPr>
          </w:p>
        </w:tc>
        <w:tc>
          <w:tcPr>
            <w:tcW w:w="320" w:type="dxa"/>
            <w:vAlign w:val="bottom"/>
            <w:tcBorders>
              <w:top w:val="single" w:sz="8" w:color="auto"/>
            </w:tcBorders>
            <w:shd w:val="clear" w:color="auto" w:fill="CCEEFF"/>
          </w:tcPr>
          <w:p>
            <w:pPr>
              <w:spacing w:after="0"/>
              <w:rPr>
                <w:sz w:val="16"/>
                <w:szCs w:val="16"/>
                <w:color w:val="auto"/>
              </w:rPr>
            </w:pP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62</w:t>
            </w:r>
          </w:p>
        </w:tc>
        <w:tc>
          <w:tcPr>
            <w:tcW w:w="0" w:type="dxa"/>
            <w:vAlign w:val="bottom"/>
          </w:tcPr>
          <w:p>
            <w:pPr>
              <w:spacing w:after="0"/>
              <w:rPr>
                <w:sz w:val="1"/>
                <w:szCs w:val="1"/>
                <w:color w:val="auto"/>
              </w:rPr>
            </w:pPr>
          </w:p>
        </w:tc>
      </w:tr>
      <w:tr>
        <w:trPr>
          <w:trHeight w:val="186"/>
        </w:trPr>
        <w:tc>
          <w:tcPr>
            <w:tcW w:w="672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TBA dollar roll income - implied interest income</w:t>
            </w:r>
          </w:p>
        </w:tc>
        <w:tc>
          <w:tcPr>
            <w:tcW w:w="16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center"/>
              <w:ind w:left="928"/>
              <w:spacing w:after="0"/>
              <w:rPr>
                <w:sz w:val="20"/>
                <w:szCs w:val="20"/>
                <w:color w:val="auto"/>
              </w:rPr>
            </w:pPr>
            <w:r>
              <w:rPr>
                <w:rFonts w:ascii="Arial" w:cs="Arial" w:eastAsia="Arial" w:hAnsi="Arial"/>
                <w:sz w:val="14"/>
                <w:szCs w:val="14"/>
                <w:color w:val="auto"/>
                <w:w w:val="89"/>
              </w:rPr>
              <w:t>48</w:t>
            </w:r>
          </w:p>
        </w:tc>
        <w:tc>
          <w:tcPr>
            <w:tcW w:w="12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(71)</w:t>
            </w:r>
          </w:p>
        </w:tc>
        <w:tc>
          <w:tcPr>
            <w:tcW w:w="10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119</w:t>
            </w:r>
          </w:p>
        </w:tc>
        <w:tc>
          <w:tcPr>
            <w:tcW w:w="0" w:type="dxa"/>
            <w:vAlign w:val="bottom"/>
          </w:tcPr>
          <w:p>
            <w:pPr>
              <w:spacing w:after="0"/>
              <w:rPr>
                <w:sz w:val="1"/>
                <w:szCs w:val="1"/>
                <w:color w:val="auto"/>
              </w:rPr>
            </w:pPr>
          </w:p>
        </w:tc>
      </w:tr>
      <w:tr>
        <w:trPr>
          <w:trHeight w:val="211"/>
        </w:trPr>
        <w:tc>
          <w:tcPr>
            <w:tcW w:w="67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Economic interest income, excluding "catch-up" amortization (non-GAAP measure)</w:t>
            </w:r>
          </w:p>
        </w:tc>
        <w:tc>
          <w:tcPr>
            <w:tcW w:w="1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1260" w:type="dxa"/>
            <w:vAlign w:val="bottom"/>
            <w:tcBorders>
              <w:bottom w:val="single" w:sz="8" w:color="auto"/>
            </w:tcBorders>
            <w:shd w:val="clear" w:color="auto" w:fill="CCEEFF"/>
          </w:tcPr>
          <w:p>
            <w:pPr>
              <w:jc w:val="center"/>
              <w:ind w:left="928"/>
              <w:spacing w:after="0"/>
              <w:rPr>
                <w:sz w:val="20"/>
                <w:szCs w:val="20"/>
                <w:color w:val="auto"/>
              </w:rPr>
            </w:pPr>
            <w:r>
              <w:rPr>
                <w:rFonts w:ascii="Arial" w:cs="Arial" w:eastAsia="Arial" w:hAnsi="Arial"/>
                <w:sz w:val="14"/>
                <w:szCs w:val="14"/>
                <w:color w:val="auto"/>
                <w:w w:val="89"/>
              </w:rPr>
              <w:t>29</w:t>
            </w:r>
          </w:p>
        </w:tc>
        <w:tc>
          <w:tcPr>
            <w:tcW w:w="12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w w:val="76"/>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(152)</w:t>
            </w:r>
          </w:p>
        </w:tc>
        <w:tc>
          <w:tcPr>
            <w:tcW w:w="100" w:type="dxa"/>
            <w:vAlign w:val="bottom"/>
            <w:tcBorders>
              <w:bottom w:val="single" w:sz="8" w:color="CCEEFF"/>
            </w:tcBorders>
            <w:shd w:val="clear" w:color="auto" w:fill="CCEEFF"/>
          </w:tcPr>
          <w:p>
            <w:pPr>
              <w:spacing w:after="0"/>
              <w:rPr>
                <w:sz w:val="17"/>
                <w:szCs w:val="17"/>
                <w:color w:val="auto"/>
              </w:rPr>
            </w:pPr>
          </w:p>
        </w:tc>
        <w:tc>
          <w:tcPr>
            <w:tcW w:w="32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181</w:t>
            </w:r>
          </w:p>
        </w:tc>
        <w:tc>
          <w:tcPr>
            <w:tcW w:w="0" w:type="dxa"/>
            <w:vAlign w:val="bottom"/>
          </w:tcPr>
          <w:p>
            <w:pPr>
              <w:spacing w:after="0"/>
              <w:rPr>
                <w:sz w:val="1"/>
                <w:szCs w:val="1"/>
                <w:color w:val="auto"/>
              </w:rPr>
            </w:pPr>
          </w:p>
        </w:tc>
      </w:tr>
      <w:tr>
        <w:trPr>
          <w:trHeight w:val="20"/>
        </w:trPr>
        <w:tc>
          <w:tcPr>
            <w:tcW w:w="66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56" w:lineRule="exact"/>
        <w:rPr>
          <w:sz w:val="20"/>
          <w:szCs w:val="20"/>
          <w:color w:val="auto"/>
        </w:rPr>
      </w:pPr>
    </w:p>
    <w:p>
      <w:pPr>
        <w:jc w:val="both"/>
        <w:ind w:firstLine="445"/>
        <w:spacing w:after="0" w:line="259" w:lineRule="auto"/>
        <w:rPr>
          <w:sz w:val="20"/>
          <w:szCs w:val="20"/>
          <w:color w:val="auto"/>
        </w:rPr>
      </w:pPr>
      <w:r>
        <w:rPr>
          <w:rFonts w:ascii="Arial" w:cs="Arial" w:eastAsia="Arial" w:hAnsi="Arial"/>
          <w:sz w:val="18"/>
          <w:szCs w:val="18"/>
          <w:color w:val="auto"/>
        </w:rPr>
        <w:t>Our average investment portfolio, inclusive of TBAs (at cost), decreased 17% and 16% for the three and six months ended June 30, 2022, respectively, compared to the prior year period, due to a decline in stockholders' equity. The average yield on our investment portfolio, including TBA implied asset yields and excluding "catch-up" premium amortization, increased 73 and 49 basis points, respectively, due to changes in asset composition and slower CPR projections.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Leverage</w:t>
      </w:r>
    </w:p>
    <w:p>
      <w:pPr>
        <w:spacing w:after="0" w:line="171" w:lineRule="exact"/>
        <w:rPr>
          <w:sz w:val="20"/>
          <w:szCs w:val="20"/>
          <w:color w:val="auto"/>
        </w:rPr>
      </w:pPr>
    </w:p>
    <w:p>
      <w:pPr>
        <w:jc w:val="both"/>
        <w:ind w:firstLine="445"/>
        <w:spacing w:after="0" w:line="311" w:lineRule="auto"/>
        <w:rPr>
          <w:sz w:val="20"/>
          <w:szCs w:val="20"/>
          <w:color w:val="auto"/>
        </w:rPr>
      </w:pPr>
      <w:r>
        <w:rPr>
          <w:rFonts w:ascii="Arial" w:cs="Arial" w:eastAsia="Arial" w:hAnsi="Arial"/>
          <w:sz w:val="16"/>
          <w:szCs w:val="16"/>
          <w:color w:val="auto"/>
        </w:rPr>
        <w:t>Our primary measure of leverage is our tangible net book value "at risk" leverage ratio, which is measured as the sum of our repurchase agreements and other debt used to fund our investment securities and net TBA and forward settling securities position (at cost) (together referred to as "mortgage borrowings") and our net receivable/payable for unsettled investment securities, divided by our total stockholders' equity adjusted to exclude goodwill.</w:t>
      </w:r>
    </w:p>
    <w:p>
      <w:pPr>
        <w:spacing w:after="0" w:line="95" w:lineRule="exact"/>
        <w:rPr>
          <w:sz w:val="20"/>
          <w:szCs w:val="20"/>
          <w:color w:val="auto"/>
        </w:rPr>
      </w:pPr>
    </w:p>
    <w:p>
      <w:pPr>
        <w:jc w:val="both"/>
        <w:ind w:firstLine="445"/>
        <w:spacing w:after="0" w:line="293" w:lineRule="auto"/>
        <w:rPr>
          <w:sz w:val="20"/>
          <w:szCs w:val="20"/>
          <w:color w:val="auto"/>
        </w:rPr>
      </w:pPr>
      <w:r>
        <w:rPr>
          <w:rFonts w:ascii="Arial" w:cs="Arial" w:eastAsia="Arial" w:hAnsi="Arial"/>
          <w:sz w:val="16"/>
          <w:szCs w:val="16"/>
          <w:color w:val="auto"/>
        </w:rPr>
        <w:t xml:space="preserve">We include our net TBA position in our measure of leverage because a forward contract to acquire Agency RMBS in the TBA market carries similar risks to Agency RMBS purchased in the cash market and funded with on-balance sheet liabilities. Similarly, a TBA contract for the forward sale of Agency securities has substantially the same effect as selling the underlying Agency RMBS and reducing our on-balance sheet funding commitments. (Refer to </w:t>
      </w:r>
      <w:r>
        <w:rPr>
          <w:rFonts w:ascii="Arial" w:cs="Arial" w:eastAsia="Arial" w:hAnsi="Arial"/>
          <w:sz w:val="16"/>
          <w:szCs w:val="16"/>
          <w:i w:val="1"/>
          <w:iCs w:val="1"/>
          <w:color w:val="auto"/>
        </w:rPr>
        <w:t xml:space="preserve">Liquidity and Capital Resources </w:t>
      </w:r>
      <w:r>
        <w:rPr>
          <w:rFonts w:ascii="Arial" w:cs="Arial" w:eastAsia="Arial" w:hAnsi="Arial"/>
          <w:sz w:val="16"/>
          <w:szCs w:val="16"/>
          <w:color w:val="auto"/>
        </w:rPr>
        <w:t>for further discussion of TBA securities and dollar roll transactions). Repurchase agreements used to fund short-term</w:t>
      </w:r>
      <w:r>
        <w:rPr>
          <w:rFonts w:ascii="Arial" w:cs="Arial" w:eastAsia="Arial" w:hAnsi="Arial"/>
          <w:sz w:val="16"/>
          <w:szCs w:val="16"/>
          <w:i w:val="1"/>
          <w:iCs w:val="1"/>
          <w:color w:val="auto"/>
        </w:rPr>
        <w:t xml:space="preserve"> </w:t>
      </w:r>
      <w:r>
        <w:rPr>
          <w:rFonts w:ascii="Arial" w:cs="Arial" w:eastAsia="Arial" w:hAnsi="Arial"/>
          <w:sz w:val="16"/>
          <w:szCs w:val="16"/>
          <w:color w:val="auto"/>
        </w:rPr>
        <w:t>investments in U.S. Treasury securities ("U.S. Treasury repo") are excluded from our measure of leverage due to the temporary and highly liquid nature of these investments. The following table presents a summary of our leverage ratios for the periods listed (dollars in millions):</w:t>
      </w:r>
    </w:p>
    <w:p>
      <w:pPr>
        <w:spacing w:after="0" w:line="83" w:lineRule="exact"/>
        <w:rPr>
          <w:sz w:val="20"/>
          <w:szCs w:val="20"/>
          <w:color w:val="auto"/>
        </w:rPr>
      </w:pPr>
    </w:p>
    <w:tbl>
      <w:tblPr>
        <w:tblLayout w:type="fixed"/>
        <w:tblInd w:w="60" w:type="dxa"/>
        <w:tblCellMar>
          <w:top w:w="0" w:type="dxa"/>
          <w:left w:w="0" w:type="dxa"/>
          <w:bottom w:w="0" w:type="dxa"/>
          <w:right w:w="0" w:type="dxa"/>
        </w:tblCellMar>
      </w:tblPr>
      <w:tr>
        <w:trPr>
          <w:trHeight w:val="149"/>
        </w:trPr>
        <w:tc>
          <w:tcPr>
            <w:tcW w:w="34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960" w:type="dxa"/>
            <w:vAlign w:val="bottom"/>
            <w:gridSpan w:val="6"/>
          </w:tcPr>
          <w:p>
            <w:pPr>
              <w:jc w:val="center"/>
              <w:ind w:left="470"/>
              <w:spacing w:after="0"/>
              <w:rPr>
                <w:sz w:val="20"/>
                <w:szCs w:val="20"/>
                <w:color w:val="auto"/>
              </w:rPr>
            </w:pPr>
            <w:r>
              <w:rPr>
                <w:rFonts w:ascii="Arial" w:cs="Arial" w:eastAsia="Arial" w:hAnsi="Arial"/>
                <w:sz w:val="13"/>
                <w:szCs w:val="13"/>
                <w:b w:val="1"/>
                <w:bCs w:val="1"/>
                <w:color w:val="auto"/>
                <w:w w:val="84"/>
              </w:rPr>
              <w:t>Repurchase Agreements</w:t>
            </w: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700" w:type="dxa"/>
            <w:vAlign w:val="bottom"/>
            <w:gridSpan w:val="4"/>
          </w:tcPr>
          <w:p>
            <w:pPr>
              <w:jc w:val="right"/>
              <w:ind w:right="390"/>
              <w:spacing w:after="0"/>
              <w:rPr>
                <w:sz w:val="20"/>
                <w:szCs w:val="20"/>
                <w:color w:val="auto"/>
              </w:rPr>
            </w:pPr>
            <w:r>
              <w:rPr>
                <w:rFonts w:ascii="Arial" w:cs="Arial" w:eastAsia="Arial" w:hAnsi="Arial"/>
                <w:sz w:val="13"/>
                <w:szCs w:val="13"/>
                <w:b w:val="1"/>
                <w:bCs w:val="1"/>
                <w:color w:val="auto"/>
              </w:rPr>
              <w:t>Net TBA Position</w:t>
            </w:r>
          </w:p>
        </w:tc>
        <w:tc>
          <w:tcPr>
            <w:tcW w:w="10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00" w:type="dxa"/>
            <w:vAlign w:val="bottom"/>
            <w:vMerge w:val="restart"/>
          </w:tcPr>
          <w:p>
            <w:pPr>
              <w:jc w:val="center"/>
              <w:spacing w:after="0"/>
              <w:rPr>
                <w:sz w:val="20"/>
                <w:szCs w:val="20"/>
                <w:color w:val="auto"/>
              </w:rPr>
            </w:pPr>
            <w:r>
              <w:rPr>
                <w:rFonts w:ascii="Arial" w:cs="Arial" w:eastAsia="Arial" w:hAnsi="Arial"/>
                <w:sz w:val="13"/>
                <w:szCs w:val="13"/>
                <w:b w:val="1"/>
                <w:bCs w:val="1"/>
                <w:color w:val="auto"/>
                <w:w w:val="87"/>
              </w:rPr>
              <w:t>Tangible Net Book</w:t>
            </w:r>
          </w:p>
        </w:tc>
        <w:tc>
          <w:tcPr>
            <w:tcW w:w="0" w:type="dxa"/>
            <w:vAlign w:val="bottom"/>
          </w:tcPr>
          <w:p>
            <w:pPr>
              <w:spacing w:after="0"/>
              <w:rPr>
                <w:sz w:val="1"/>
                <w:szCs w:val="1"/>
                <w:color w:val="auto"/>
              </w:rPr>
            </w:pPr>
          </w:p>
        </w:tc>
      </w:tr>
      <w:tr>
        <w:trPr>
          <w:trHeight w:val="121"/>
        </w:trPr>
        <w:tc>
          <w:tcPr>
            <w:tcW w:w="34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100" w:type="dxa"/>
            <w:vAlign w:val="bottom"/>
            <w:gridSpan w:val="4"/>
          </w:tcPr>
          <w:p>
            <w:pPr>
              <w:jc w:val="center"/>
              <w:spacing w:after="0" w:line="122" w:lineRule="exact"/>
              <w:rPr>
                <w:sz w:val="20"/>
                <w:szCs w:val="20"/>
                <w:color w:val="auto"/>
              </w:rPr>
            </w:pPr>
            <w:r>
              <w:rPr>
                <w:rFonts w:ascii="Arial" w:cs="Arial" w:eastAsia="Arial" w:hAnsi="Arial"/>
                <w:sz w:val="11"/>
                <w:szCs w:val="11"/>
                <w:b w:val="1"/>
                <w:bCs w:val="1"/>
                <w:color w:val="auto"/>
              </w:rPr>
              <w:t xml:space="preserve">and Other Debt </w:t>
            </w:r>
            <w:r>
              <w:rPr>
                <w:rFonts w:ascii="Arial" w:cs="Arial" w:eastAsia="Arial" w:hAnsi="Arial"/>
                <w:sz w:val="14"/>
                <w:szCs w:val="14"/>
                <w:b w:val="1"/>
                <w:bCs w:val="1"/>
                <w:color w:val="auto"/>
                <w:vertAlign w:val="superscript"/>
              </w:rPr>
              <w:t>1</w:t>
            </w:r>
          </w:p>
        </w:tc>
        <w:tc>
          <w:tcPr>
            <w:tcW w:w="1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700" w:type="dxa"/>
            <w:vAlign w:val="bottom"/>
            <w:gridSpan w:val="4"/>
          </w:tcPr>
          <w:p>
            <w:pPr>
              <w:jc w:val="right"/>
              <w:ind w:right="470"/>
              <w:spacing w:after="0" w:line="122" w:lineRule="exact"/>
              <w:rPr>
                <w:sz w:val="20"/>
                <w:szCs w:val="20"/>
                <w:color w:val="auto"/>
              </w:rPr>
            </w:pPr>
            <w:r>
              <w:rPr>
                <w:rFonts w:ascii="Arial" w:cs="Arial" w:eastAsia="Arial" w:hAnsi="Arial"/>
                <w:sz w:val="11"/>
                <w:szCs w:val="11"/>
                <w:b w:val="1"/>
                <w:bCs w:val="1"/>
                <w:color w:val="auto"/>
              </w:rPr>
              <w:t xml:space="preserve">Long/(Short) </w:t>
            </w:r>
            <w:r>
              <w:rPr>
                <w:rFonts w:ascii="Arial" w:cs="Arial" w:eastAsia="Arial" w:hAnsi="Arial"/>
                <w:sz w:val="14"/>
                <w:szCs w:val="14"/>
                <w:b w:val="1"/>
                <w:bCs w:val="1"/>
                <w:color w:val="auto"/>
                <w:vertAlign w:val="superscript"/>
              </w:rPr>
              <w:t>2</w:t>
            </w:r>
          </w:p>
        </w:tc>
        <w:tc>
          <w:tcPr>
            <w:tcW w:w="100" w:type="dxa"/>
            <w:vAlign w:val="bottom"/>
          </w:tcPr>
          <w:p>
            <w:pPr>
              <w:spacing w:after="0"/>
              <w:rPr>
                <w:sz w:val="10"/>
                <w:szCs w:val="10"/>
                <w:color w:val="auto"/>
              </w:rPr>
            </w:pPr>
          </w:p>
        </w:tc>
        <w:tc>
          <w:tcPr>
            <w:tcW w:w="13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4"/>
        </w:trPr>
        <w:tc>
          <w:tcPr>
            <w:tcW w:w="34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1400" w:type="dxa"/>
            <w:vAlign w:val="bottom"/>
            <w:gridSpan w:val="2"/>
            <w:vMerge w:val="restart"/>
          </w:tcPr>
          <w:p>
            <w:pPr>
              <w:jc w:val="center"/>
              <w:ind w:right="120"/>
              <w:spacing w:after="0" w:line="108" w:lineRule="exact"/>
              <w:rPr>
                <w:sz w:val="20"/>
                <w:szCs w:val="20"/>
                <w:color w:val="auto"/>
              </w:rPr>
            </w:pPr>
            <w:r>
              <w:rPr>
                <w:rFonts w:ascii="Arial" w:cs="Arial" w:eastAsia="Arial" w:hAnsi="Arial"/>
                <w:sz w:val="12"/>
                <w:szCs w:val="12"/>
                <w:b w:val="1"/>
                <w:bCs w:val="1"/>
                <w:color w:val="auto"/>
                <w:w w:val="94"/>
              </w:rPr>
              <w:t>Average Tangible Net</w:t>
            </w:r>
          </w:p>
        </w:tc>
        <w:tc>
          <w:tcPr>
            <w:tcW w:w="1300" w:type="dxa"/>
            <w:vAlign w:val="bottom"/>
            <w:vMerge w:val="restart"/>
          </w:tcPr>
          <w:p>
            <w:pPr>
              <w:jc w:val="center"/>
              <w:spacing w:after="0" w:line="108" w:lineRule="exact"/>
              <w:rPr>
                <w:sz w:val="20"/>
                <w:szCs w:val="20"/>
                <w:color w:val="auto"/>
              </w:rPr>
            </w:pPr>
            <w:r>
              <w:rPr>
                <w:rFonts w:ascii="Arial" w:cs="Arial" w:eastAsia="Arial" w:hAnsi="Arial"/>
                <w:sz w:val="12"/>
                <w:szCs w:val="12"/>
                <w:b w:val="1"/>
                <w:bCs w:val="1"/>
                <w:color w:val="auto"/>
                <w:w w:val="99"/>
              </w:rPr>
              <w:t>Value "At Risk"</w:t>
            </w:r>
          </w:p>
        </w:tc>
        <w:tc>
          <w:tcPr>
            <w:tcW w:w="0" w:type="dxa"/>
            <w:vAlign w:val="bottom"/>
          </w:tcPr>
          <w:p>
            <w:pPr>
              <w:spacing w:after="0"/>
              <w:rPr>
                <w:sz w:val="1"/>
                <w:szCs w:val="1"/>
                <w:color w:val="auto"/>
              </w:rPr>
            </w:pPr>
          </w:p>
        </w:tc>
      </w:tr>
      <w:tr>
        <w:trPr>
          <w:trHeight w:val="34"/>
        </w:trPr>
        <w:tc>
          <w:tcPr>
            <w:tcW w:w="3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0" w:type="dxa"/>
            <w:vAlign w:val="bottom"/>
            <w:gridSpan w:val="2"/>
            <w:vMerge w:val="continue"/>
          </w:tcPr>
          <w:p>
            <w:pPr>
              <w:spacing w:after="0"/>
              <w:rPr>
                <w:sz w:val="2"/>
                <w:szCs w:val="2"/>
                <w:color w:val="auto"/>
              </w:rPr>
            </w:pPr>
          </w:p>
        </w:tc>
        <w:tc>
          <w:tcPr>
            <w:tcW w:w="130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2"/>
        </w:trPr>
        <w:tc>
          <w:tcPr>
            <w:tcW w:w="34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gridSpan w:val="2"/>
            <w:vMerge w:val="restart"/>
          </w:tcPr>
          <w:p>
            <w:pPr>
              <w:jc w:val="right"/>
              <w:spacing w:after="0"/>
              <w:rPr>
                <w:sz w:val="20"/>
                <w:szCs w:val="20"/>
                <w:color w:val="auto"/>
              </w:rPr>
            </w:pPr>
            <w:r>
              <w:rPr>
                <w:rFonts w:ascii="Arial" w:cs="Arial" w:eastAsia="Arial" w:hAnsi="Arial"/>
                <w:sz w:val="13"/>
                <w:szCs w:val="13"/>
                <w:b w:val="1"/>
                <w:bCs w:val="1"/>
                <w:color w:val="auto"/>
                <w:w w:val="90"/>
              </w:rPr>
              <w:t>Average Daily</w:t>
            </w: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60" w:type="dxa"/>
            <w:vAlign w:val="bottom"/>
            <w:gridSpan w:val="2"/>
            <w:vMerge w:val="restart"/>
          </w:tcPr>
          <w:p>
            <w:pPr>
              <w:jc w:val="center"/>
              <w:ind w:right="220"/>
              <w:spacing w:after="0"/>
              <w:rPr>
                <w:sz w:val="20"/>
                <w:szCs w:val="20"/>
                <w:color w:val="auto"/>
              </w:rPr>
            </w:pPr>
            <w:r>
              <w:rPr>
                <w:rFonts w:ascii="Arial" w:cs="Arial" w:eastAsia="Arial" w:hAnsi="Arial"/>
                <w:sz w:val="13"/>
                <w:szCs w:val="13"/>
                <w:b w:val="1"/>
                <w:bCs w:val="1"/>
                <w:color w:val="auto"/>
                <w:w w:val="93"/>
              </w:rPr>
              <w:t>Maximum</w:t>
            </w:r>
          </w:p>
        </w:tc>
        <w:tc>
          <w:tcPr>
            <w:tcW w:w="160" w:type="dxa"/>
            <w:vAlign w:val="bottom"/>
          </w:tcPr>
          <w:p>
            <w:pPr>
              <w:spacing w:after="0"/>
              <w:rPr>
                <w:sz w:val="10"/>
                <w:szCs w:val="10"/>
                <w:color w:val="auto"/>
              </w:rPr>
            </w:pPr>
          </w:p>
        </w:tc>
        <w:tc>
          <w:tcPr>
            <w:tcW w:w="820" w:type="dxa"/>
            <w:vAlign w:val="bottom"/>
            <w:gridSpan w:val="2"/>
            <w:vMerge w:val="restart"/>
          </w:tcPr>
          <w:p>
            <w:pPr>
              <w:jc w:val="center"/>
              <w:ind w:right="280"/>
              <w:spacing w:after="0"/>
              <w:rPr>
                <w:sz w:val="20"/>
                <w:szCs w:val="20"/>
                <w:color w:val="auto"/>
              </w:rPr>
            </w:pPr>
            <w:r>
              <w:rPr>
                <w:rFonts w:ascii="Arial" w:cs="Arial" w:eastAsia="Arial" w:hAnsi="Arial"/>
                <w:sz w:val="13"/>
                <w:szCs w:val="13"/>
                <w:b w:val="1"/>
                <w:bCs w:val="1"/>
                <w:color w:val="auto"/>
                <w:w w:val="86"/>
              </w:rPr>
              <w:t>Ending</w:t>
            </w:r>
          </w:p>
        </w:tc>
        <w:tc>
          <w:tcPr>
            <w:tcW w:w="960" w:type="dxa"/>
            <w:vAlign w:val="bottom"/>
            <w:gridSpan w:val="3"/>
            <w:vMerge w:val="restart"/>
          </w:tcPr>
          <w:p>
            <w:pPr>
              <w:jc w:val="center"/>
              <w:ind w:right="120"/>
              <w:spacing w:after="0"/>
              <w:rPr>
                <w:sz w:val="20"/>
                <w:szCs w:val="20"/>
                <w:color w:val="auto"/>
              </w:rPr>
            </w:pPr>
            <w:r>
              <w:rPr>
                <w:rFonts w:ascii="Arial" w:cs="Arial" w:eastAsia="Arial" w:hAnsi="Arial"/>
                <w:sz w:val="13"/>
                <w:szCs w:val="13"/>
                <w:b w:val="1"/>
                <w:bCs w:val="1"/>
                <w:color w:val="auto"/>
                <w:w w:val="88"/>
              </w:rPr>
              <w:t>Average Daily</w:t>
            </w:r>
          </w:p>
        </w:tc>
        <w:tc>
          <w:tcPr>
            <w:tcW w:w="160" w:type="dxa"/>
            <w:vAlign w:val="bottom"/>
          </w:tcPr>
          <w:p>
            <w:pPr>
              <w:spacing w:after="0"/>
              <w:rPr>
                <w:sz w:val="10"/>
                <w:szCs w:val="10"/>
                <w:color w:val="auto"/>
              </w:rPr>
            </w:pPr>
          </w:p>
        </w:tc>
        <w:tc>
          <w:tcPr>
            <w:tcW w:w="720" w:type="dxa"/>
            <w:vAlign w:val="bottom"/>
            <w:vMerge w:val="restart"/>
          </w:tcPr>
          <w:p>
            <w:pPr>
              <w:jc w:val="right"/>
              <w:ind w:right="190"/>
              <w:spacing w:after="0"/>
              <w:rPr>
                <w:sz w:val="20"/>
                <w:szCs w:val="20"/>
                <w:color w:val="auto"/>
              </w:rPr>
            </w:pPr>
            <w:r>
              <w:rPr>
                <w:rFonts w:ascii="Arial" w:cs="Arial" w:eastAsia="Arial" w:hAnsi="Arial"/>
                <w:sz w:val="13"/>
                <w:szCs w:val="13"/>
                <w:b w:val="1"/>
                <w:bCs w:val="1"/>
                <w:color w:val="auto"/>
                <w:w w:val="99"/>
              </w:rPr>
              <w:t>Ending</w:t>
            </w:r>
          </w:p>
        </w:tc>
        <w:tc>
          <w:tcPr>
            <w:tcW w:w="100" w:type="dxa"/>
            <w:vAlign w:val="bottom"/>
          </w:tcPr>
          <w:p>
            <w:pPr>
              <w:spacing w:after="0"/>
              <w:rPr>
                <w:sz w:val="10"/>
                <w:szCs w:val="10"/>
                <w:color w:val="auto"/>
              </w:rPr>
            </w:pPr>
          </w:p>
        </w:tc>
        <w:tc>
          <w:tcPr>
            <w:tcW w:w="1400" w:type="dxa"/>
            <w:vAlign w:val="bottom"/>
            <w:gridSpan w:val="2"/>
          </w:tcPr>
          <w:p>
            <w:pPr>
              <w:jc w:val="center"/>
              <w:ind w:right="120"/>
              <w:spacing w:after="0" w:line="122" w:lineRule="exact"/>
              <w:rPr>
                <w:sz w:val="20"/>
                <w:szCs w:val="20"/>
                <w:color w:val="auto"/>
              </w:rPr>
            </w:pPr>
            <w:r>
              <w:rPr>
                <w:rFonts w:ascii="Arial" w:cs="Arial" w:eastAsia="Arial" w:hAnsi="Arial"/>
                <w:sz w:val="13"/>
                <w:szCs w:val="13"/>
                <w:b w:val="1"/>
                <w:bCs w:val="1"/>
                <w:color w:val="auto"/>
                <w:w w:val="84"/>
              </w:rPr>
              <w:t>Book Value</w:t>
            </w:r>
          </w:p>
        </w:tc>
        <w:tc>
          <w:tcPr>
            <w:tcW w:w="130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87"/>
              </w:rPr>
              <w:t>Leverage</w:t>
            </w:r>
          </w:p>
        </w:tc>
        <w:tc>
          <w:tcPr>
            <w:tcW w:w="0" w:type="dxa"/>
            <w:vAlign w:val="bottom"/>
          </w:tcPr>
          <w:p>
            <w:pPr>
              <w:spacing w:after="0"/>
              <w:rPr>
                <w:sz w:val="1"/>
                <w:szCs w:val="1"/>
                <w:color w:val="auto"/>
              </w:rPr>
            </w:pPr>
          </w:p>
        </w:tc>
      </w:tr>
      <w:tr>
        <w:trPr>
          <w:trHeight w:val="121"/>
        </w:trPr>
        <w:tc>
          <w:tcPr>
            <w:tcW w:w="3560" w:type="dxa"/>
            <w:vAlign w:val="bottom"/>
            <w:gridSpan w:val="2"/>
            <w:vMerge w:val="restart"/>
          </w:tcPr>
          <w:p>
            <w:pPr>
              <w:ind w:left="20"/>
              <w:spacing w:after="0"/>
              <w:rPr>
                <w:sz w:val="20"/>
                <w:szCs w:val="20"/>
                <w:color w:val="auto"/>
              </w:rPr>
            </w:pPr>
            <w:r>
              <w:rPr>
                <w:rFonts w:ascii="Arial" w:cs="Arial" w:eastAsia="Arial" w:hAnsi="Arial"/>
                <w:sz w:val="13"/>
                <w:szCs w:val="13"/>
                <w:b w:val="1"/>
                <w:bCs w:val="1"/>
                <w:color w:val="auto"/>
              </w:rPr>
              <w:t>Quarter Ended</w:t>
            </w:r>
          </w:p>
        </w:tc>
        <w:tc>
          <w:tcPr>
            <w:tcW w:w="860" w:type="dxa"/>
            <w:vAlign w:val="bottom"/>
            <w:gridSpan w:val="2"/>
            <w:vMerge w:val="continue"/>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60" w:type="dxa"/>
            <w:vAlign w:val="bottom"/>
            <w:gridSpan w:val="2"/>
            <w:vMerge w:val="continue"/>
          </w:tcPr>
          <w:p>
            <w:pPr>
              <w:spacing w:after="0"/>
              <w:rPr>
                <w:sz w:val="10"/>
                <w:szCs w:val="10"/>
                <w:color w:val="auto"/>
              </w:rPr>
            </w:pPr>
          </w:p>
        </w:tc>
        <w:tc>
          <w:tcPr>
            <w:tcW w:w="160" w:type="dxa"/>
            <w:vAlign w:val="bottom"/>
          </w:tcPr>
          <w:p>
            <w:pPr>
              <w:spacing w:after="0"/>
              <w:rPr>
                <w:sz w:val="10"/>
                <w:szCs w:val="10"/>
                <w:color w:val="auto"/>
              </w:rPr>
            </w:pPr>
          </w:p>
        </w:tc>
        <w:tc>
          <w:tcPr>
            <w:tcW w:w="820" w:type="dxa"/>
            <w:vAlign w:val="bottom"/>
            <w:gridSpan w:val="2"/>
            <w:vMerge w:val="continue"/>
          </w:tcPr>
          <w:p>
            <w:pPr>
              <w:spacing w:after="0"/>
              <w:rPr>
                <w:sz w:val="10"/>
                <w:szCs w:val="10"/>
                <w:color w:val="auto"/>
              </w:rPr>
            </w:pPr>
          </w:p>
        </w:tc>
        <w:tc>
          <w:tcPr>
            <w:tcW w:w="960" w:type="dxa"/>
            <w:vAlign w:val="bottom"/>
            <w:gridSpan w:val="3"/>
            <w:vMerge w:val="continue"/>
          </w:tcPr>
          <w:p>
            <w:pPr>
              <w:spacing w:after="0"/>
              <w:rPr>
                <w:sz w:val="10"/>
                <w:szCs w:val="10"/>
                <w:color w:val="auto"/>
              </w:rPr>
            </w:pPr>
          </w:p>
        </w:tc>
        <w:tc>
          <w:tcPr>
            <w:tcW w:w="160" w:type="dxa"/>
            <w:vAlign w:val="bottom"/>
          </w:tcPr>
          <w:p>
            <w:pPr>
              <w:spacing w:after="0"/>
              <w:rPr>
                <w:sz w:val="10"/>
                <w:szCs w:val="10"/>
                <w:color w:val="auto"/>
              </w:rPr>
            </w:pPr>
          </w:p>
        </w:tc>
        <w:tc>
          <w:tcPr>
            <w:tcW w:w="720" w:type="dxa"/>
            <w:vAlign w:val="bottom"/>
            <w:vMerge w:val="continue"/>
          </w:tcPr>
          <w:p>
            <w:pPr>
              <w:spacing w:after="0"/>
              <w:rPr>
                <w:sz w:val="10"/>
                <w:szCs w:val="10"/>
                <w:color w:val="auto"/>
              </w:rPr>
            </w:pPr>
          </w:p>
        </w:tc>
        <w:tc>
          <w:tcPr>
            <w:tcW w:w="100" w:type="dxa"/>
            <w:vAlign w:val="bottom"/>
          </w:tcPr>
          <w:p>
            <w:pPr>
              <w:spacing w:after="0"/>
              <w:rPr>
                <w:sz w:val="10"/>
                <w:szCs w:val="10"/>
                <w:color w:val="auto"/>
              </w:rPr>
            </w:pPr>
          </w:p>
        </w:tc>
        <w:tc>
          <w:tcPr>
            <w:tcW w:w="1400" w:type="dxa"/>
            <w:vAlign w:val="bottom"/>
            <w:gridSpan w:val="2"/>
          </w:tcPr>
          <w:p>
            <w:pPr>
              <w:jc w:val="center"/>
              <w:ind w:right="120"/>
              <w:spacing w:after="0" w:line="122" w:lineRule="exact"/>
              <w:rPr>
                <w:sz w:val="20"/>
                <w:szCs w:val="20"/>
                <w:color w:val="auto"/>
              </w:rPr>
            </w:pPr>
            <w:r>
              <w:rPr>
                <w:rFonts w:ascii="Arial" w:cs="Arial" w:eastAsia="Arial" w:hAnsi="Arial"/>
                <w:sz w:val="13"/>
                <w:szCs w:val="13"/>
                <w:b w:val="1"/>
                <w:bCs w:val="1"/>
                <w:color w:val="auto"/>
                <w:w w:val="91"/>
              </w:rPr>
              <w:t>"At Risk" Leverage</w:t>
            </w:r>
          </w:p>
        </w:tc>
        <w:tc>
          <w:tcPr>
            <w:tcW w:w="130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78"/>
              </w:rPr>
              <w:t>as of</w:t>
            </w:r>
          </w:p>
        </w:tc>
        <w:tc>
          <w:tcPr>
            <w:tcW w:w="0" w:type="dxa"/>
            <w:vAlign w:val="bottom"/>
          </w:tcPr>
          <w:p>
            <w:pPr>
              <w:spacing w:after="0"/>
              <w:rPr>
                <w:sz w:val="1"/>
                <w:szCs w:val="1"/>
                <w:color w:val="auto"/>
              </w:rPr>
            </w:pPr>
          </w:p>
        </w:tc>
      </w:tr>
      <w:tr>
        <w:trPr>
          <w:trHeight w:val="176"/>
        </w:trPr>
        <w:tc>
          <w:tcPr>
            <w:tcW w:w="3560" w:type="dxa"/>
            <w:vAlign w:val="bottom"/>
            <w:gridSpan w:val="2"/>
            <w:vMerge w:val="continue"/>
          </w:tcPr>
          <w:p>
            <w:pPr>
              <w:spacing w:after="0"/>
              <w:rPr>
                <w:sz w:val="15"/>
                <w:szCs w:val="15"/>
                <w:color w:val="auto"/>
              </w:rPr>
            </w:pPr>
          </w:p>
        </w:tc>
        <w:tc>
          <w:tcPr>
            <w:tcW w:w="160" w:type="dxa"/>
            <w:vAlign w:val="bottom"/>
          </w:tcPr>
          <w:p>
            <w:pPr>
              <w:spacing w:after="0"/>
              <w:rPr>
                <w:sz w:val="15"/>
                <w:szCs w:val="15"/>
                <w:color w:val="auto"/>
              </w:rPr>
            </w:pPr>
          </w:p>
        </w:tc>
        <w:tc>
          <w:tcPr>
            <w:tcW w:w="700" w:type="dxa"/>
            <w:vAlign w:val="bottom"/>
          </w:tcPr>
          <w:p>
            <w:pPr>
              <w:jc w:val="right"/>
              <w:ind w:right="130"/>
              <w:spacing w:after="0"/>
              <w:rPr>
                <w:sz w:val="20"/>
                <w:szCs w:val="20"/>
                <w:color w:val="auto"/>
              </w:rPr>
            </w:pPr>
            <w:r>
              <w:rPr>
                <w:rFonts w:ascii="Arial" w:cs="Arial" w:eastAsia="Arial" w:hAnsi="Arial"/>
                <w:sz w:val="13"/>
                <w:szCs w:val="13"/>
                <w:b w:val="1"/>
                <w:bCs w:val="1"/>
                <w:color w:val="auto"/>
                <w:w w:val="97"/>
              </w:rPr>
              <w:t>Amount</w:t>
            </w:r>
          </w:p>
        </w:tc>
        <w:tc>
          <w:tcPr>
            <w:tcW w:w="120" w:type="dxa"/>
            <w:vAlign w:val="bottom"/>
          </w:tcPr>
          <w:p>
            <w:pPr>
              <w:spacing w:after="0"/>
              <w:rPr>
                <w:sz w:val="15"/>
                <w:szCs w:val="15"/>
                <w:color w:val="auto"/>
              </w:rPr>
            </w:pPr>
          </w:p>
        </w:tc>
        <w:tc>
          <w:tcPr>
            <w:tcW w:w="980" w:type="dxa"/>
            <w:vAlign w:val="bottom"/>
            <w:gridSpan w:val="3"/>
          </w:tcPr>
          <w:p>
            <w:pPr>
              <w:jc w:val="right"/>
              <w:ind w:right="180"/>
              <w:spacing w:after="0"/>
              <w:rPr>
                <w:sz w:val="20"/>
                <w:szCs w:val="20"/>
                <w:color w:val="auto"/>
              </w:rPr>
            </w:pPr>
            <w:r>
              <w:rPr>
                <w:rFonts w:ascii="Arial" w:cs="Arial" w:eastAsia="Arial" w:hAnsi="Arial"/>
                <w:sz w:val="13"/>
                <w:szCs w:val="13"/>
                <w:b w:val="1"/>
                <w:bCs w:val="1"/>
                <w:color w:val="auto"/>
                <w:w w:val="93"/>
              </w:rPr>
              <w:t>Daily Amount</w:t>
            </w:r>
          </w:p>
        </w:tc>
        <w:tc>
          <w:tcPr>
            <w:tcW w:w="160" w:type="dxa"/>
            <w:vAlign w:val="bottom"/>
          </w:tcPr>
          <w:p>
            <w:pPr>
              <w:spacing w:after="0"/>
              <w:rPr>
                <w:sz w:val="15"/>
                <w:szCs w:val="15"/>
                <w:color w:val="auto"/>
              </w:rPr>
            </w:pPr>
          </w:p>
        </w:tc>
        <w:tc>
          <w:tcPr>
            <w:tcW w:w="820" w:type="dxa"/>
            <w:vAlign w:val="bottom"/>
            <w:gridSpan w:val="2"/>
          </w:tcPr>
          <w:p>
            <w:pPr>
              <w:jc w:val="center"/>
              <w:ind w:right="300"/>
              <w:spacing w:after="0"/>
              <w:rPr>
                <w:sz w:val="20"/>
                <w:szCs w:val="20"/>
                <w:color w:val="auto"/>
              </w:rPr>
            </w:pPr>
            <w:r>
              <w:rPr>
                <w:rFonts w:ascii="Arial" w:cs="Arial" w:eastAsia="Arial" w:hAnsi="Arial"/>
                <w:sz w:val="13"/>
                <w:szCs w:val="13"/>
                <w:b w:val="1"/>
                <w:bCs w:val="1"/>
                <w:color w:val="auto"/>
                <w:w w:val="89"/>
              </w:rPr>
              <w:t>Amount</w:t>
            </w:r>
          </w:p>
        </w:tc>
        <w:tc>
          <w:tcPr>
            <w:tcW w:w="140" w:type="dxa"/>
            <w:vAlign w:val="bottom"/>
          </w:tcPr>
          <w:p>
            <w:pPr>
              <w:spacing w:after="0"/>
              <w:rPr>
                <w:sz w:val="15"/>
                <w:szCs w:val="15"/>
                <w:color w:val="auto"/>
              </w:rPr>
            </w:pPr>
          </w:p>
        </w:tc>
        <w:tc>
          <w:tcPr>
            <w:tcW w:w="82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89"/>
              </w:rPr>
              <w:t>Amount</w:t>
            </w:r>
          </w:p>
        </w:tc>
        <w:tc>
          <w:tcPr>
            <w:tcW w:w="160" w:type="dxa"/>
            <w:vAlign w:val="bottom"/>
          </w:tcPr>
          <w:p>
            <w:pPr>
              <w:spacing w:after="0"/>
              <w:rPr>
                <w:sz w:val="15"/>
                <w:szCs w:val="15"/>
                <w:color w:val="auto"/>
              </w:rPr>
            </w:pPr>
          </w:p>
        </w:tc>
        <w:tc>
          <w:tcPr>
            <w:tcW w:w="720" w:type="dxa"/>
            <w:vAlign w:val="bottom"/>
          </w:tcPr>
          <w:p>
            <w:pPr>
              <w:jc w:val="right"/>
              <w:ind w:right="150"/>
              <w:spacing w:after="0"/>
              <w:rPr>
                <w:sz w:val="20"/>
                <w:szCs w:val="20"/>
                <w:color w:val="auto"/>
              </w:rPr>
            </w:pPr>
            <w:r>
              <w:rPr>
                <w:rFonts w:ascii="Arial" w:cs="Arial" w:eastAsia="Arial" w:hAnsi="Arial"/>
                <w:sz w:val="13"/>
                <w:szCs w:val="13"/>
                <w:b w:val="1"/>
                <w:bCs w:val="1"/>
                <w:color w:val="auto"/>
                <w:w w:val="97"/>
              </w:rPr>
              <w:t>Amount</w:t>
            </w:r>
          </w:p>
        </w:tc>
        <w:tc>
          <w:tcPr>
            <w:tcW w:w="100" w:type="dxa"/>
            <w:vAlign w:val="bottom"/>
          </w:tcPr>
          <w:p>
            <w:pPr>
              <w:spacing w:after="0"/>
              <w:rPr>
                <w:sz w:val="15"/>
                <w:szCs w:val="15"/>
                <w:color w:val="auto"/>
              </w:rPr>
            </w:pPr>
          </w:p>
        </w:tc>
        <w:tc>
          <w:tcPr>
            <w:tcW w:w="1400" w:type="dxa"/>
            <w:vAlign w:val="bottom"/>
            <w:gridSpan w:val="2"/>
          </w:tcPr>
          <w:p>
            <w:pPr>
              <w:jc w:val="center"/>
              <w:ind w:right="120"/>
              <w:spacing w:after="0" w:line="175" w:lineRule="exact"/>
              <w:rPr>
                <w:sz w:val="20"/>
                <w:szCs w:val="20"/>
                <w:color w:val="auto"/>
              </w:rPr>
            </w:pPr>
            <w:r>
              <w:rPr>
                <w:rFonts w:ascii="Arial" w:cs="Arial" w:eastAsia="Arial" w:hAnsi="Arial"/>
                <w:sz w:val="13"/>
                <w:szCs w:val="13"/>
                <w:b w:val="1"/>
                <w:bCs w:val="1"/>
                <w:color w:val="auto"/>
                <w:w w:val="88"/>
              </w:rPr>
              <w:t xml:space="preserve">during the Period </w:t>
            </w:r>
            <w:r>
              <w:rPr>
                <w:rFonts w:ascii="Arial" w:cs="Arial" w:eastAsia="Arial" w:hAnsi="Arial"/>
                <w:sz w:val="16"/>
                <w:szCs w:val="16"/>
                <w:b w:val="1"/>
                <w:bCs w:val="1"/>
                <w:color w:val="auto"/>
                <w:w w:val="88"/>
                <w:vertAlign w:val="superscript"/>
              </w:rPr>
              <w:t>3</w:t>
            </w:r>
          </w:p>
        </w:tc>
        <w:tc>
          <w:tcPr>
            <w:tcW w:w="1300" w:type="dxa"/>
            <w:vAlign w:val="bottom"/>
          </w:tcPr>
          <w:p>
            <w:pPr>
              <w:jc w:val="center"/>
              <w:spacing w:after="0" w:line="175" w:lineRule="exact"/>
              <w:rPr>
                <w:sz w:val="20"/>
                <w:szCs w:val="20"/>
                <w:color w:val="auto"/>
              </w:rPr>
            </w:pPr>
            <w:r>
              <w:rPr>
                <w:rFonts w:ascii="Arial" w:cs="Arial" w:eastAsia="Arial" w:hAnsi="Arial"/>
                <w:sz w:val="13"/>
                <w:szCs w:val="13"/>
                <w:b w:val="1"/>
                <w:bCs w:val="1"/>
                <w:color w:val="auto"/>
                <w:w w:val="86"/>
              </w:rPr>
              <w:t xml:space="preserve">Period End </w:t>
            </w:r>
            <w:r>
              <w:rPr>
                <w:rFonts w:ascii="Arial" w:cs="Arial" w:eastAsia="Arial" w:hAnsi="Arial"/>
                <w:sz w:val="16"/>
                <w:szCs w:val="16"/>
                <w:b w:val="1"/>
                <w:bCs w:val="1"/>
                <w:color w:val="auto"/>
                <w:w w:val="86"/>
                <w:vertAlign w:val="superscript"/>
              </w:rPr>
              <w:t>4</w:t>
            </w:r>
          </w:p>
        </w:tc>
        <w:tc>
          <w:tcPr>
            <w:tcW w:w="0" w:type="dxa"/>
            <w:vAlign w:val="bottom"/>
          </w:tcPr>
          <w:p>
            <w:pPr>
              <w:spacing w:after="0"/>
              <w:rPr>
                <w:sz w:val="1"/>
                <w:szCs w:val="1"/>
                <w:color w:val="auto"/>
              </w:rPr>
            </w:pPr>
          </w:p>
        </w:tc>
      </w:tr>
      <w:tr>
        <w:trPr>
          <w:trHeight w:val="183"/>
        </w:trPr>
        <w:tc>
          <w:tcPr>
            <w:tcW w:w="34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June 30, 2022</w:t>
            </w:r>
          </w:p>
        </w:tc>
        <w:tc>
          <w:tcPr>
            <w:tcW w:w="100" w:type="dxa"/>
            <w:vAlign w:val="bottom"/>
            <w:tcBorders>
              <w:top w:val="single" w:sz="8" w:color="CCEEFF"/>
            </w:tcBorders>
            <w:shd w:val="clear" w:color="auto" w:fill="CCEEFF"/>
          </w:tcPr>
          <w:p>
            <w:pPr>
              <w:spacing w:after="0"/>
              <w:rPr>
                <w:sz w:val="15"/>
                <w:szCs w:val="15"/>
                <w:color w:val="auto"/>
              </w:rPr>
            </w:pPr>
          </w:p>
        </w:tc>
        <w:tc>
          <w:tcPr>
            <w:tcW w:w="160" w:type="dxa"/>
            <w:vAlign w:val="bottom"/>
            <w:tcBorders>
              <w:top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w w:val="76"/>
              </w:rPr>
              <w:t>$</w:t>
            </w: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42,997</w:t>
            </w:r>
          </w:p>
        </w:tc>
        <w:tc>
          <w:tcPr>
            <w:tcW w:w="12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60" w:type="dxa"/>
            <w:vAlign w:val="bottom"/>
            <w:tcBorders>
              <w:top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44,243</w:t>
            </w:r>
          </w:p>
        </w:tc>
        <w:tc>
          <w:tcPr>
            <w:tcW w:w="100" w:type="dxa"/>
            <w:vAlign w:val="bottom"/>
            <w:tcBorders>
              <w:top w:val="single" w:sz="8" w:color="CCEEFF"/>
            </w:tcBorders>
            <w:shd w:val="clear" w:color="auto" w:fill="CCEEFF"/>
          </w:tcPr>
          <w:p>
            <w:pPr>
              <w:spacing w:after="0"/>
              <w:rPr>
                <w:sz w:val="15"/>
                <w:szCs w:val="15"/>
                <w:color w:val="auto"/>
              </w:rPr>
            </w:pPr>
          </w:p>
        </w:tc>
        <w:tc>
          <w:tcPr>
            <w:tcW w:w="16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41,406</w:t>
            </w:r>
          </w:p>
        </w:tc>
        <w:tc>
          <w:tcPr>
            <w:tcW w:w="12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tcBorders>
            <w:shd w:val="clear" w:color="auto" w:fill="CCEEFF"/>
          </w:tcPr>
          <w:p>
            <w:pPr>
              <w:jc w:val="right"/>
              <w:ind w:right="12"/>
              <w:spacing w:after="0"/>
              <w:rPr>
                <w:sz w:val="20"/>
                <w:szCs w:val="20"/>
                <w:color w:val="auto"/>
              </w:rPr>
            </w:pPr>
            <w:r>
              <w:rPr>
                <w:rFonts w:ascii="Arial" w:cs="Arial" w:eastAsia="Arial" w:hAnsi="Arial"/>
                <w:sz w:val="14"/>
                <w:szCs w:val="14"/>
                <w:color w:val="auto"/>
              </w:rPr>
              <w:t>19,653</w:t>
            </w:r>
          </w:p>
        </w:tc>
        <w:tc>
          <w:tcPr>
            <w:tcW w:w="100" w:type="dxa"/>
            <w:vAlign w:val="bottom"/>
            <w:tcBorders>
              <w:top w:val="single" w:sz="8" w:color="CCEEFF"/>
            </w:tcBorders>
            <w:shd w:val="clear" w:color="auto" w:fill="CCEEFF"/>
          </w:tcPr>
          <w:p>
            <w:pPr>
              <w:spacing w:after="0"/>
              <w:rPr>
                <w:sz w:val="15"/>
                <w:szCs w:val="15"/>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16,001</w:t>
            </w:r>
          </w:p>
        </w:tc>
        <w:tc>
          <w:tcPr>
            <w:tcW w:w="100" w:type="dxa"/>
            <w:vAlign w:val="bottom"/>
            <w:tcBorders>
              <w:top w:val="single" w:sz="8" w:color="CCEEFF"/>
            </w:tcBorders>
            <w:shd w:val="clear" w:color="auto" w:fill="CCEEFF"/>
          </w:tcPr>
          <w:p>
            <w:pPr>
              <w:spacing w:after="0"/>
              <w:rPr>
                <w:sz w:val="15"/>
                <w:szCs w:val="15"/>
                <w:color w:val="auto"/>
              </w:rPr>
            </w:pPr>
          </w:p>
        </w:tc>
        <w:tc>
          <w:tcPr>
            <w:tcW w:w="13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7.8:1</w:t>
            </w:r>
          </w:p>
        </w:tc>
        <w:tc>
          <w:tcPr>
            <w:tcW w:w="100" w:type="dxa"/>
            <w:vAlign w:val="bottom"/>
            <w:tcBorders>
              <w:top w:val="single" w:sz="8" w:color="CCEEFF"/>
            </w:tcBorders>
            <w:shd w:val="clear" w:color="auto" w:fill="CCEEFF"/>
          </w:tcPr>
          <w:p>
            <w:pPr>
              <w:spacing w:after="0"/>
              <w:rPr>
                <w:sz w:val="15"/>
                <w:szCs w:val="15"/>
                <w:color w:val="auto"/>
              </w:rPr>
            </w:pPr>
          </w:p>
        </w:tc>
        <w:tc>
          <w:tcPr>
            <w:tcW w:w="13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6"/>
              </w:rPr>
              <w:t>7.4:1</w:t>
            </w:r>
          </w:p>
        </w:tc>
        <w:tc>
          <w:tcPr>
            <w:tcW w:w="0" w:type="dxa"/>
            <w:vAlign w:val="bottom"/>
          </w:tcPr>
          <w:p>
            <w:pPr>
              <w:spacing w:after="0"/>
              <w:rPr>
                <w:sz w:val="1"/>
                <w:szCs w:val="1"/>
                <w:color w:val="auto"/>
              </w:rPr>
            </w:pPr>
          </w:p>
        </w:tc>
      </w:tr>
      <w:tr>
        <w:trPr>
          <w:trHeight w:val="186"/>
        </w:trPr>
        <w:tc>
          <w:tcPr>
            <w:tcW w:w="3560" w:type="dxa"/>
            <w:vAlign w:val="bottom"/>
            <w:gridSpan w:val="2"/>
          </w:tcPr>
          <w:p>
            <w:pPr>
              <w:ind w:left="20"/>
              <w:spacing w:after="0"/>
              <w:rPr>
                <w:sz w:val="20"/>
                <w:szCs w:val="20"/>
                <w:color w:val="auto"/>
              </w:rPr>
            </w:pPr>
            <w:r>
              <w:rPr>
                <w:rFonts w:ascii="Arial" w:cs="Arial" w:eastAsia="Arial" w:hAnsi="Arial"/>
                <w:sz w:val="14"/>
                <w:szCs w:val="14"/>
                <w:color w:val="auto"/>
              </w:rPr>
              <w:t>March 31, 2022</w:t>
            </w:r>
          </w:p>
        </w:tc>
        <w:tc>
          <w:tcPr>
            <w:tcW w:w="160" w:type="dxa"/>
            <w:vAlign w:val="bottom"/>
          </w:tcPr>
          <w:p>
            <w:pPr>
              <w:jc w:val="right"/>
              <w:ind w:right="9"/>
              <w:spacing w:after="0"/>
              <w:rPr>
                <w:sz w:val="20"/>
                <w:szCs w:val="20"/>
                <w:color w:val="auto"/>
              </w:rPr>
            </w:pPr>
            <w:r>
              <w:rPr>
                <w:rFonts w:ascii="Arial" w:cs="Arial" w:eastAsia="Arial" w:hAnsi="Arial"/>
                <w:sz w:val="14"/>
                <w:szCs w:val="14"/>
                <w:color w:val="auto"/>
                <w:w w:val="76"/>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46,570</w:t>
            </w:r>
          </w:p>
        </w:tc>
        <w:tc>
          <w:tcPr>
            <w:tcW w:w="2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9"/>
              <w:spacing w:after="0"/>
              <w:rPr>
                <w:sz w:val="20"/>
                <w:szCs w:val="20"/>
                <w:color w:val="auto"/>
              </w:rPr>
            </w:pPr>
            <w:r>
              <w:rPr>
                <w:rFonts w:ascii="Arial" w:cs="Arial" w:eastAsia="Arial" w:hAnsi="Arial"/>
                <w:sz w:val="14"/>
                <w:szCs w:val="14"/>
                <w:color w:val="auto"/>
              </w:rPr>
              <w:t>47,940</w:t>
            </w:r>
          </w:p>
        </w:tc>
        <w:tc>
          <w:tcPr>
            <w:tcW w:w="100" w:type="dxa"/>
            <w:vAlign w:val="bottom"/>
          </w:tcPr>
          <w:p>
            <w:pPr>
              <w:spacing w:after="0"/>
              <w:rPr>
                <w:sz w:val="16"/>
                <w:szCs w:val="16"/>
                <w:color w:val="auto"/>
              </w:rPr>
            </w:pPr>
          </w:p>
        </w:tc>
        <w:tc>
          <w:tcPr>
            <w:tcW w:w="160" w:type="dxa"/>
            <w:vAlign w:val="bottom"/>
          </w:tcPr>
          <w:p>
            <w:pPr>
              <w:jc w:val="right"/>
              <w:ind w:right="8"/>
              <w:spacing w:after="0"/>
              <w:rPr>
                <w:sz w:val="20"/>
                <w:szCs w:val="20"/>
                <w:color w:val="auto"/>
              </w:rPr>
            </w:pPr>
            <w:r>
              <w:rPr>
                <w:rFonts w:ascii="Arial" w:cs="Arial" w:eastAsia="Arial" w:hAnsi="Arial"/>
                <w:sz w:val="14"/>
                <w:szCs w:val="14"/>
                <w:color w:val="auto"/>
                <w:w w:val="76"/>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44,150</w:t>
            </w:r>
          </w:p>
        </w:tc>
        <w:tc>
          <w:tcPr>
            <w:tcW w:w="12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ind w:right="12"/>
              <w:spacing w:after="0"/>
              <w:rPr>
                <w:sz w:val="20"/>
                <w:szCs w:val="20"/>
                <w:color w:val="auto"/>
              </w:rPr>
            </w:pPr>
            <w:r>
              <w:rPr>
                <w:rFonts w:ascii="Arial" w:cs="Arial" w:eastAsia="Arial" w:hAnsi="Arial"/>
                <w:sz w:val="14"/>
                <w:szCs w:val="14"/>
                <w:color w:val="auto"/>
              </w:rPr>
              <w:t>23,605</w:t>
            </w:r>
          </w:p>
        </w:tc>
        <w:tc>
          <w:tcPr>
            <w:tcW w:w="100" w:type="dxa"/>
            <w:vAlign w:val="bottom"/>
          </w:tcPr>
          <w:p>
            <w:pPr>
              <w:spacing w:after="0"/>
              <w:rPr>
                <w:sz w:val="16"/>
                <w:szCs w:val="16"/>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10"/>
              <w:spacing w:after="0"/>
              <w:rPr>
                <w:sz w:val="20"/>
                <w:szCs w:val="20"/>
                <w:color w:val="auto"/>
              </w:rPr>
            </w:pPr>
            <w:r>
              <w:rPr>
                <w:rFonts w:ascii="Arial" w:cs="Arial" w:eastAsia="Arial" w:hAnsi="Arial"/>
                <w:sz w:val="14"/>
                <w:szCs w:val="14"/>
                <w:color w:val="auto"/>
              </w:rPr>
              <w:t>20,152</w:t>
            </w:r>
          </w:p>
        </w:tc>
        <w:tc>
          <w:tcPr>
            <w:tcW w:w="1400" w:type="dxa"/>
            <w:vAlign w:val="bottom"/>
            <w:gridSpan w:val="2"/>
          </w:tcPr>
          <w:p>
            <w:pPr>
              <w:jc w:val="center"/>
              <w:ind w:left="8"/>
              <w:spacing w:after="0"/>
              <w:rPr>
                <w:sz w:val="20"/>
                <w:szCs w:val="20"/>
                <w:color w:val="auto"/>
              </w:rPr>
            </w:pPr>
            <w:r>
              <w:rPr>
                <w:rFonts w:ascii="Arial" w:cs="Arial" w:eastAsia="Arial" w:hAnsi="Arial"/>
                <w:sz w:val="14"/>
                <w:szCs w:val="14"/>
                <w:color w:val="auto"/>
                <w:w w:val="89"/>
              </w:rPr>
              <w:t>7.8:1</w:t>
            </w:r>
          </w:p>
        </w:tc>
        <w:tc>
          <w:tcPr>
            <w:tcW w:w="100" w:type="dxa"/>
            <w:vAlign w:val="bottom"/>
          </w:tcPr>
          <w:p>
            <w:pPr>
              <w:spacing w:after="0"/>
              <w:rPr>
                <w:sz w:val="16"/>
                <w:szCs w:val="16"/>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6"/>
              </w:rPr>
              <w:t>7.5:1</w:t>
            </w:r>
          </w:p>
        </w:tc>
        <w:tc>
          <w:tcPr>
            <w:tcW w:w="0" w:type="dxa"/>
            <w:vAlign w:val="bottom"/>
          </w:tcPr>
          <w:p>
            <w:pPr>
              <w:spacing w:after="0"/>
              <w:rPr>
                <w:sz w:val="1"/>
                <w:szCs w:val="1"/>
                <w:color w:val="auto"/>
              </w:rPr>
            </w:pPr>
          </w:p>
        </w:tc>
      </w:tr>
      <w:tr>
        <w:trPr>
          <w:trHeight w:val="192"/>
        </w:trPr>
        <w:tc>
          <w:tcPr>
            <w:tcW w:w="35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December 31, 2021</w:t>
            </w:r>
          </w:p>
        </w:tc>
        <w:tc>
          <w:tcPr>
            <w:tcW w:w="16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w w:val="76"/>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46,999</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48,524</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47,037</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ind w:right="12"/>
              <w:spacing w:after="0"/>
              <w:rPr>
                <w:sz w:val="20"/>
                <w:szCs w:val="20"/>
                <w:color w:val="auto"/>
              </w:rPr>
            </w:pPr>
            <w:r>
              <w:rPr>
                <w:rFonts w:ascii="Arial" w:cs="Arial" w:eastAsia="Arial" w:hAnsi="Arial"/>
                <w:sz w:val="14"/>
                <w:szCs w:val="14"/>
                <w:color w:val="auto"/>
              </w:rPr>
              <w:t>29,014</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27,622</w:t>
            </w:r>
          </w:p>
        </w:tc>
        <w:tc>
          <w:tcPr>
            <w:tcW w:w="1400" w:type="dxa"/>
            <w:vAlign w:val="bottom"/>
            <w:gridSpan w:val="2"/>
            <w:shd w:val="clear" w:color="auto" w:fill="CCEEFF"/>
          </w:tcPr>
          <w:p>
            <w:pPr>
              <w:jc w:val="center"/>
              <w:ind w:left="8"/>
              <w:spacing w:after="0"/>
              <w:rPr>
                <w:sz w:val="20"/>
                <w:szCs w:val="20"/>
                <w:color w:val="auto"/>
              </w:rPr>
            </w:pPr>
            <w:r>
              <w:rPr>
                <w:rFonts w:ascii="Arial" w:cs="Arial" w:eastAsia="Arial" w:hAnsi="Arial"/>
                <w:sz w:val="14"/>
                <w:szCs w:val="14"/>
                <w:color w:val="auto"/>
                <w:w w:val="89"/>
              </w:rPr>
              <w:t>7.6:1</w:t>
            </w:r>
          </w:p>
        </w:tc>
        <w:tc>
          <w:tcPr>
            <w:tcW w:w="100" w:type="dxa"/>
            <w:vAlign w:val="bottom"/>
            <w:shd w:val="clear" w:color="auto" w:fill="CCEEFF"/>
          </w:tcPr>
          <w:p>
            <w:pPr>
              <w:spacing w:after="0"/>
              <w:rPr>
                <w:sz w:val="16"/>
                <w:szCs w:val="16"/>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7.7:1</w:t>
            </w:r>
          </w:p>
        </w:tc>
        <w:tc>
          <w:tcPr>
            <w:tcW w:w="0" w:type="dxa"/>
            <w:vAlign w:val="bottom"/>
          </w:tcPr>
          <w:p>
            <w:pPr>
              <w:spacing w:after="0"/>
              <w:rPr>
                <w:sz w:val="1"/>
                <w:szCs w:val="1"/>
                <w:color w:val="auto"/>
              </w:rPr>
            </w:pPr>
          </w:p>
        </w:tc>
      </w:tr>
      <w:tr>
        <w:trPr>
          <w:trHeight w:val="186"/>
        </w:trPr>
        <w:tc>
          <w:tcPr>
            <w:tcW w:w="3560" w:type="dxa"/>
            <w:vAlign w:val="bottom"/>
            <w:gridSpan w:val="2"/>
          </w:tcPr>
          <w:p>
            <w:pPr>
              <w:ind w:left="20"/>
              <w:spacing w:after="0"/>
              <w:rPr>
                <w:sz w:val="20"/>
                <w:szCs w:val="20"/>
                <w:color w:val="auto"/>
              </w:rPr>
            </w:pPr>
            <w:r>
              <w:rPr>
                <w:rFonts w:ascii="Arial" w:cs="Arial" w:eastAsia="Arial" w:hAnsi="Arial"/>
                <w:sz w:val="14"/>
                <w:szCs w:val="14"/>
                <w:color w:val="auto"/>
              </w:rPr>
              <w:t>September 30, 2021</w:t>
            </w:r>
          </w:p>
        </w:tc>
        <w:tc>
          <w:tcPr>
            <w:tcW w:w="160" w:type="dxa"/>
            <w:vAlign w:val="bottom"/>
          </w:tcPr>
          <w:p>
            <w:pPr>
              <w:jc w:val="right"/>
              <w:ind w:right="9"/>
              <w:spacing w:after="0"/>
              <w:rPr>
                <w:sz w:val="20"/>
                <w:szCs w:val="20"/>
                <w:color w:val="auto"/>
              </w:rPr>
            </w:pPr>
            <w:r>
              <w:rPr>
                <w:rFonts w:ascii="Arial" w:cs="Arial" w:eastAsia="Arial" w:hAnsi="Arial"/>
                <w:sz w:val="14"/>
                <w:szCs w:val="14"/>
                <w:color w:val="auto"/>
                <w:w w:val="76"/>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45,847</w:t>
            </w:r>
          </w:p>
        </w:tc>
        <w:tc>
          <w:tcPr>
            <w:tcW w:w="2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9"/>
              <w:spacing w:after="0"/>
              <w:rPr>
                <w:sz w:val="20"/>
                <w:szCs w:val="20"/>
                <w:color w:val="auto"/>
              </w:rPr>
            </w:pPr>
            <w:r>
              <w:rPr>
                <w:rFonts w:ascii="Arial" w:cs="Arial" w:eastAsia="Arial" w:hAnsi="Arial"/>
                <w:sz w:val="14"/>
                <w:szCs w:val="14"/>
                <w:color w:val="auto"/>
              </w:rPr>
              <w:t>49,021</w:t>
            </w:r>
          </w:p>
        </w:tc>
        <w:tc>
          <w:tcPr>
            <w:tcW w:w="100" w:type="dxa"/>
            <w:vAlign w:val="bottom"/>
          </w:tcPr>
          <w:p>
            <w:pPr>
              <w:spacing w:after="0"/>
              <w:rPr>
                <w:sz w:val="16"/>
                <w:szCs w:val="16"/>
                <w:color w:val="auto"/>
              </w:rPr>
            </w:pPr>
          </w:p>
        </w:tc>
        <w:tc>
          <w:tcPr>
            <w:tcW w:w="160" w:type="dxa"/>
            <w:vAlign w:val="bottom"/>
          </w:tcPr>
          <w:p>
            <w:pPr>
              <w:jc w:val="right"/>
              <w:ind w:right="8"/>
              <w:spacing w:after="0"/>
              <w:rPr>
                <w:sz w:val="20"/>
                <w:szCs w:val="20"/>
                <w:color w:val="auto"/>
              </w:rPr>
            </w:pPr>
            <w:r>
              <w:rPr>
                <w:rFonts w:ascii="Arial" w:cs="Arial" w:eastAsia="Arial" w:hAnsi="Arial"/>
                <w:sz w:val="14"/>
                <w:szCs w:val="14"/>
                <w:color w:val="auto"/>
                <w:w w:val="76"/>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45,723</w:t>
            </w:r>
          </w:p>
        </w:tc>
        <w:tc>
          <w:tcPr>
            <w:tcW w:w="12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ind w:right="12"/>
              <w:spacing w:after="0"/>
              <w:rPr>
                <w:sz w:val="20"/>
                <w:szCs w:val="20"/>
                <w:color w:val="auto"/>
              </w:rPr>
            </w:pPr>
            <w:r>
              <w:rPr>
                <w:rFonts w:ascii="Arial" w:cs="Arial" w:eastAsia="Arial" w:hAnsi="Arial"/>
                <w:sz w:val="14"/>
                <w:szCs w:val="14"/>
                <w:color w:val="auto"/>
              </w:rPr>
              <w:t>30,312</w:t>
            </w:r>
          </w:p>
        </w:tc>
        <w:tc>
          <w:tcPr>
            <w:tcW w:w="100" w:type="dxa"/>
            <w:vAlign w:val="bottom"/>
          </w:tcPr>
          <w:p>
            <w:pPr>
              <w:spacing w:after="0"/>
              <w:rPr>
                <w:sz w:val="16"/>
                <w:szCs w:val="16"/>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10"/>
              <w:spacing w:after="0"/>
              <w:rPr>
                <w:sz w:val="20"/>
                <w:szCs w:val="20"/>
                <w:color w:val="auto"/>
              </w:rPr>
            </w:pPr>
            <w:r>
              <w:rPr>
                <w:rFonts w:ascii="Arial" w:cs="Arial" w:eastAsia="Arial" w:hAnsi="Arial"/>
                <w:sz w:val="14"/>
                <w:szCs w:val="14"/>
                <w:color w:val="auto"/>
              </w:rPr>
              <w:t>28,912</w:t>
            </w:r>
          </w:p>
        </w:tc>
        <w:tc>
          <w:tcPr>
            <w:tcW w:w="1400" w:type="dxa"/>
            <w:vAlign w:val="bottom"/>
            <w:gridSpan w:val="2"/>
          </w:tcPr>
          <w:p>
            <w:pPr>
              <w:jc w:val="center"/>
              <w:ind w:left="8"/>
              <w:spacing w:after="0"/>
              <w:rPr>
                <w:sz w:val="20"/>
                <w:szCs w:val="20"/>
                <w:color w:val="auto"/>
              </w:rPr>
            </w:pPr>
            <w:r>
              <w:rPr>
                <w:rFonts w:ascii="Arial" w:cs="Arial" w:eastAsia="Arial" w:hAnsi="Arial"/>
                <w:sz w:val="14"/>
                <w:szCs w:val="14"/>
                <w:color w:val="auto"/>
                <w:w w:val="89"/>
              </w:rPr>
              <w:t>7.5:1</w:t>
            </w:r>
          </w:p>
        </w:tc>
        <w:tc>
          <w:tcPr>
            <w:tcW w:w="100" w:type="dxa"/>
            <w:vAlign w:val="bottom"/>
          </w:tcPr>
          <w:p>
            <w:pPr>
              <w:spacing w:after="0"/>
              <w:rPr>
                <w:sz w:val="16"/>
                <w:szCs w:val="16"/>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6"/>
              </w:rPr>
              <w:t>7.5:1</w:t>
            </w:r>
          </w:p>
        </w:tc>
        <w:tc>
          <w:tcPr>
            <w:tcW w:w="0" w:type="dxa"/>
            <w:vAlign w:val="bottom"/>
          </w:tcPr>
          <w:p>
            <w:pPr>
              <w:spacing w:after="0"/>
              <w:rPr>
                <w:sz w:val="1"/>
                <w:szCs w:val="1"/>
                <w:color w:val="auto"/>
              </w:rPr>
            </w:pPr>
          </w:p>
        </w:tc>
      </w:tr>
      <w:tr>
        <w:trPr>
          <w:trHeight w:val="192"/>
        </w:trPr>
        <w:tc>
          <w:tcPr>
            <w:tcW w:w="35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June 30, 2021</w:t>
            </w:r>
          </w:p>
        </w:tc>
        <w:tc>
          <w:tcPr>
            <w:tcW w:w="16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w w:val="76"/>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52,374</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60,186</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48,488</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ind w:right="12"/>
              <w:spacing w:after="0"/>
              <w:rPr>
                <w:sz w:val="20"/>
                <w:szCs w:val="20"/>
                <w:color w:val="auto"/>
              </w:rPr>
            </w:pPr>
            <w:r>
              <w:rPr>
                <w:rFonts w:ascii="Arial" w:cs="Arial" w:eastAsia="Arial" w:hAnsi="Arial"/>
                <w:sz w:val="14"/>
                <w:szCs w:val="14"/>
                <w:color w:val="auto"/>
              </w:rPr>
              <w:t>28,082</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27,611</w:t>
            </w:r>
          </w:p>
        </w:tc>
        <w:tc>
          <w:tcPr>
            <w:tcW w:w="1400" w:type="dxa"/>
            <w:vAlign w:val="bottom"/>
            <w:gridSpan w:val="2"/>
            <w:shd w:val="clear" w:color="auto" w:fill="CCEEFF"/>
          </w:tcPr>
          <w:p>
            <w:pPr>
              <w:jc w:val="center"/>
              <w:ind w:left="8"/>
              <w:spacing w:after="0"/>
              <w:rPr>
                <w:sz w:val="20"/>
                <w:szCs w:val="20"/>
                <w:color w:val="auto"/>
              </w:rPr>
            </w:pPr>
            <w:r>
              <w:rPr>
                <w:rFonts w:ascii="Arial" w:cs="Arial" w:eastAsia="Arial" w:hAnsi="Arial"/>
                <w:sz w:val="14"/>
                <w:szCs w:val="14"/>
                <w:color w:val="auto"/>
                <w:w w:val="89"/>
              </w:rPr>
              <w:t>7.6:1</w:t>
            </w:r>
          </w:p>
        </w:tc>
        <w:tc>
          <w:tcPr>
            <w:tcW w:w="100" w:type="dxa"/>
            <w:vAlign w:val="bottom"/>
            <w:shd w:val="clear" w:color="auto" w:fill="CCEEFF"/>
          </w:tcPr>
          <w:p>
            <w:pPr>
              <w:spacing w:after="0"/>
              <w:rPr>
                <w:sz w:val="16"/>
                <w:szCs w:val="16"/>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7.9:1</w:t>
            </w:r>
          </w:p>
        </w:tc>
        <w:tc>
          <w:tcPr>
            <w:tcW w:w="0" w:type="dxa"/>
            <w:vAlign w:val="bottom"/>
          </w:tcPr>
          <w:p>
            <w:pPr>
              <w:spacing w:after="0"/>
              <w:rPr>
                <w:sz w:val="1"/>
                <w:szCs w:val="1"/>
                <w:color w:val="auto"/>
              </w:rPr>
            </w:pPr>
          </w:p>
        </w:tc>
      </w:tr>
      <w:tr>
        <w:trPr>
          <w:trHeight w:val="182"/>
        </w:trPr>
        <w:tc>
          <w:tcPr>
            <w:tcW w:w="3560" w:type="dxa"/>
            <w:vAlign w:val="bottom"/>
            <w:gridSpan w:val="2"/>
          </w:tcPr>
          <w:p>
            <w:pPr>
              <w:ind w:left="20"/>
              <w:spacing w:after="0"/>
              <w:rPr>
                <w:sz w:val="20"/>
                <w:szCs w:val="20"/>
                <w:color w:val="auto"/>
              </w:rPr>
            </w:pPr>
            <w:r>
              <w:rPr>
                <w:rFonts w:ascii="Arial" w:cs="Arial" w:eastAsia="Arial" w:hAnsi="Arial"/>
                <w:sz w:val="14"/>
                <w:szCs w:val="14"/>
                <w:color w:val="auto"/>
              </w:rPr>
              <w:t>March 31, 2021</w:t>
            </w:r>
          </w:p>
        </w:tc>
        <w:tc>
          <w:tcPr>
            <w:tcW w:w="160" w:type="dxa"/>
            <w:vAlign w:val="bottom"/>
          </w:tcPr>
          <w:p>
            <w:pPr>
              <w:jc w:val="right"/>
              <w:ind w:right="9"/>
              <w:spacing w:after="0"/>
              <w:rPr>
                <w:sz w:val="20"/>
                <w:szCs w:val="20"/>
                <w:color w:val="auto"/>
              </w:rPr>
            </w:pPr>
            <w:r>
              <w:rPr>
                <w:rFonts w:ascii="Arial" w:cs="Arial" w:eastAsia="Arial" w:hAnsi="Arial"/>
                <w:sz w:val="14"/>
                <w:szCs w:val="14"/>
                <w:color w:val="auto"/>
                <w:w w:val="76"/>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54,602</w:t>
            </w:r>
          </w:p>
        </w:tc>
        <w:tc>
          <w:tcPr>
            <w:tcW w:w="2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9"/>
              <w:spacing w:after="0"/>
              <w:rPr>
                <w:sz w:val="20"/>
                <w:szCs w:val="20"/>
                <w:color w:val="auto"/>
              </w:rPr>
            </w:pPr>
            <w:r>
              <w:rPr>
                <w:rFonts w:ascii="Arial" w:cs="Arial" w:eastAsia="Arial" w:hAnsi="Arial"/>
                <w:sz w:val="14"/>
                <w:szCs w:val="14"/>
                <w:color w:val="auto"/>
              </w:rPr>
              <w:t>57,153</w:t>
            </w:r>
          </w:p>
        </w:tc>
        <w:tc>
          <w:tcPr>
            <w:tcW w:w="100" w:type="dxa"/>
            <w:vAlign w:val="bottom"/>
          </w:tcPr>
          <w:p>
            <w:pPr>
              <w:spacing w:after="0"/>
              <w:rPr>
                <w:sz w:val="15"/>
                <w:szCs w:val="15"/>
                <w:color w:val="auto"/>
              </w:rPr>
            </w:pPr>
          </w:p>
        </w:tc>
        <w:tc>
          <w:tcPr>
            <w:tcW w:w="160" w:type="dxa"/>
            <w:vAlign w:val="bottom"/>
          </w:tcPr>
          <w:p>
            <w:pPr>
              <w:jc w:val="right"/>
              <w:ind w:right="8"/>
              <w:spacing w:after="0"/>
              <w:rPr>
                <w:sz w:val="20"/>
                <w:szCs w:val="20"/>
                <w:color w:val="auto"/>
              </w:rPr>
            </w:pPr>
            <w:r>
              <w:rPr>
                <w:rFonts w:ascii="Arial" w:cs="Arial" w:eastAsia="Arial" w:hAnsi="Arial"/>
                <w:sz w:val="14"/>
                <w:szCs w:val="14"/>
                <w:color w:val="auto"/>
                <w:w w:val="76"/>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55,221</w:t>
            </w:r>
          </w:p>
        </w:tc>
        <w:tc>
          <w:tcPr>
            <w:tcW w:w="12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ind w:right="12"/>
              <w:spacing w:after="0"/>
              <w:rPr>
                <w:sz w:val="20"/>
                <w:szCs w:val="20"/>
                <w:color w:val="auto"/>
              </w:rPr>
            </w:pPr>
            <w:r>
              <w:rPr>
                <w:rFonts w:ascii="Arial" w:cs="Arial" w:eastAsia="Arial" w:hAnsi="Arial"/>
                <w:sz w:val="14"/>
                <w:szCs w:val="14"/>
                <w:color w:val="auto"/>
              </w:rPr>
              <w:t>32,022</w:t>
            </w:r>
          </w:p>
        </w:tc>
        <w:tc>
          <w:tcPr>
            <w:tcW w:w="100" w:type="dxa"/>
            <w:vAlign w:val="bottom"/>
          </w:tcPr>
          <w:p>
            <w:pPr>
              <w:spacing w:after="0"/>
              <w:rPr>
                <w:sz w:val="15"/>
                <w:szCs w:val="15"/>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10"/>
              <w:spacing w:after="0"/>
              <w:rPr>
                <w:sz w:val="20"/>
                <w:szCs w:val="20"/>
                <w:color w:val="auto"/>
              </w:rPr>
            </w:pPr>
            <w:r>
              <w:rPr>
                <w:rFonts w:ascii="Arial" w:cs="Arial" w:eastAsia="Arial" w:hAnsi="Arial"/>
                <w:sz w:val="14"/>
                <w:szCs w:val="14"/>
                <w:color w:val="auto"/>
              </w:rPr>
              <w:t>25,355</w:t>
            </w:r>
          </w:p>
        </w:tc>
        <w:tc>
          <w:tcPr>
            <w:tcW w:w="1400" w:type="dxa"/>
            <w:vAlign w:val="bottom"/>
            <w:gridSpan w:val="2"/>
          </w:tcPr>
          <w:p>
            <w:pPr>
              <w:jc w:val="center"/>
              <w:ind w:left="8"/>
              <w:spacing w:after="0"/>
              <w:rPr>
                <w:sz w:val="20"/>
                <w:szCs w:val="20"/>
                <w:color w:val="auto"/>
              </w:rPr>
            </w:pPr>
            <w:r>
              <w:rPr>
                <w:rFonts w:ascii="Arial" w:cs="Arial" w:eastAsia="Arial" w:hAnsi="Arial"/>
                <w:sz w:val="14"/>
                <w:szCs w:val="14"/>
                <w:color w:val="auto"/>
                <w:w w:val="89"/>
              </w:rPr>
              <w:t>8.0:1</w:t>
            </w:r>
          </w:p>
        </w:tc>
        <w:tc>
          <w:tcPr>
            <w:tcW w:w="100" w:type="dxa"/>
            <w:vAlign w:val="bottom"/>
          </w:tcPr>
          <w:p>
            <w:pPr>
              <w:spacing w:after="0"/>
              <w:rPr>
                <w:sz w:val="15"/>
                <w:szCs w:val="15"/>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6"/>
              </w:rPr>
              <w:t>7.7:1</w:t>
            </w:r>
          </w:p>
        </w:tc>
        <w:tc>
          <w:tcPr>
            <w:tcW w:w="0" w:type="dxa"/>
            <w:vAlign w:val="bottom"/>
          </w:tcPr>
          <w:p>
            <w:pPr>
              <w:spacing w:after="0"/>
              <w:rPr>
                <w:sz w:val="1"/>
                <w:szCs w:val="1"/>
                <w:color w:val="auto"/>
              </w:rPr>
            </w:pPr>
          </w:p>
        </w:tc>
      </w:tr>
    </w:tbl>
    <w:p>
      <w:pPr>
        <w:spacing w:after="0" w:line="103"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tabs>
          <w:tab w:leader="none" w:pos="660" w:val="left"/>
        </w:tabs>
        <w:numPr>
          <w:ilvl w:val="0"/>
          <w:numId w:val="27"/>
        </w:numPr>
        <w:rPr>
          <w:rFonts w:ascii="Arial" w:cs="Arial" w:eastAsia="Arial" w:hAnsi="Arial"/>
          <w:sz w:val="14"/>
          <w:szCs w:val="14"/>
          <w:color w:val="auto"/>
        </w:rPr>
      </w:pPr>
      <w:r>
        <w:rPr>
          <w:rFonts w:ascii="Arial" w:cs="Arial" w:eastAsia="Arial" w:hAnsi="Arial"/>
          <w:sz w:val="14"/>
          <w:szCs w:val="14"/>
          <w:color w:val="auto"/>
        </w:rPr>
        <w:t>Other debt includes debt of consolidated VIEs. Amounts exclude U.S. Treasury repo agreements.</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7"/>
        </w:numPr>
        <w:rPr>
          <w:rFonts w:ascii="Arial" w:cs="Arial" w:eastAsia="Arial" w:hAnsi="Arial"/>
          <w:sz w:val="14"/>
          <w:szCs w:val="14"/>
          <w:color w:val="auto"/>
        </w:rPr>
      </w:pPr>
      <w:r>
        <w:rPr>
          <w:rFonts w:ascii="Arial" w:cs="Arial" w:eastAsia="Arial" w:hAnsi="Arial"/>
          <w:sz w:val="14"/>
          <w:szCs w:val="14"/>
          <w:color w:val="auto"/>
        </w:rPr>
        <w:t>Daily average and ending net TBA position outstanding measured at cost. Includes forward settling non-Agency securities.</w:t>
      </w:r>
    </w:p>
    <w:p>
      <w:pPr>
        <w:spacing w:after="0" w:line="1" w:lineRule="exact"/>
        <w:rPr>
          <w:rFonts w:ascii="Arial" w:cs="Arial" w:eastAsia="Arial" w:hAnsi="Arial"/>
          <w:sz w:val="14"/>
          <w:szCs w:val="14"/>
          <w:color w:val="auto"/>
        </w:rPr>
      </w:pPr>
    </w:p>
    <w:p>
      <w:pPr>
        <w:jc w:val="both"/>
        <w:ind w:left="660" w:hanging="328"/>
        <w:spacing w:after="0" w:line="241" w:lineRule="auto"/>
        <w:tabs>
          <w:tab w:leader="none" w:pos="660" w:val="left"/>
        </w:tabs>
        <w:numPr>
          <w:ilvl w:val="0"/>
          <w:numId w:val="27"/>
        </w:numPr>
        <w:rPr>
          <w:rFonts w:ascii="Arial" w:cs="Arial" w:eastAsia="Arial" w:hAnsi="Arial"/>
          <w:sz w:val="14"/>
          <w:szCs w:val="14"/>
          <w:color w:val="auto"/>
        </w:rPr>
      </w:pPr>
      <w:r>
        <w:rPr>
          <w:rFonts w:ascii="Arial" w:cs="Arial" w:eastAsia="Arial" w:hAnsi="Arial"/>
          <w:sz w:val="14"/>
          <w:szCs w:val="14"/>
          <w:color w:val="auto"/>
        </w:rPr>
        <w:t>Average tangible net book value "at risk" leverage during the period represents the sum of our daily weighted average repurchase agreements and other debt used to fund acquisitions of investment securities and net TBA and forward settling securities position outstanding, divided by the sum of our average month-ended stockholders' equity, adjusted to exclude goodwill.</w:t>
      </w:r>
    </w:p>
    <w:p>
      <w:pPr>
        <w:spacing w:after="0" w:line="1" w:lineRule="exact"/>
        <w:rPr>
          <w:rFonts w:ascii="Arial" w:cs="Arial" w:eastAsia="Arial" w:hAnsi="Arial"/>
          <w:sz w:val="14"/>
          <w:szCs w:val="14"/>
          <w:color w:val="auto"/>
        </w:rPr>
      </w:pPr>
    </w:p>
    <w:p>
      <w:pPr>
        <w:jc w:val="both"/>
        <w:ind w:left="660" w:hanging="328"/>
        <w:spacing w:after="0" w:line="248" w:lineRule="auto"/>
        <w:tabs>
          <w:tab w:leader="none" w:pos="660" w:val="left"/>
        </w:tabs>
        <w:numPr>
          <w:ilvl w:val="0"/>
          <w:numId w:val="27"/>
        </w:numPr>
        <w:rPr>
          <w:rFonts w:ascii="Arial" w:cs="Arial" w:eastAsia="Arial" w:hAnsi="Arial"/>
          <w:sz w:val="14"/>
          <w:szCs w:val="14"/>
          <w:color w:val="auto"/>
        </w:rPr>
      </w:pPr>
      <w:r>
        <w:rPr>
          <w:rFonts w:ascii="Arial" w:cs="Arial" w:eastAsia="Arial" w:hAnsi="Arial"/>
          <w:sz w:val="14"/>
          <w:szCs w:val="14"/>
          <w:color w:val="auto"/>
        </w:rPr>
        <w:t>Tangible net book value "at risk" leverage as of period end represents the sum of our repurchase agreements and other debt used to fund acquisitions of investments securities, net TBA and forward settling securities position (at cost), and net receivable/payable for unsettled investment securities outstanding as of period end, divided by total stockholders' equity, adjusted to exclude goodwill as of period end.</w:t>
      </w:r>
    </w:p>
    <w:p>
      <w:pPr>
        <w:spacing w:after="0" w:line="200" w:lineRule="exact"/>
        <w:rPr>
          <w:sz w:val="20"/>
          <w:szCs w:val="20"/>
          <w:color w:val="auto"/>
        </w:rPr>
      </w:pP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89" w:right="339" w:bottom="1440" w:gutter="0" w:footer="0" w:header="0"/>
        </w:sectPr>
      </w:pPr>
    </w:p>
    <w:bookmarkStart w:id="35" w:name="page36"/>
    <w:bookmarkEnd w:id="35"/>
    <w:p>
      <w:pPr>
        <w:spacing w:after="0"/>
        <w:rPr>
          <w:sz w:val="20"/>
          <w:szCs w:val="20"/>
          <w:color w:val="auto"/>
        </w:rPr>
      </w:pPr>
      <w:r>
        <w:rPr>
          <w:rFonts w:ascii="Arial" w:cs="Arial" w:eastAsia="Arial" w:hAnsi="Arial"/>
          <w:sz w:val="18"/>
          <w:szCs w:val="18"/>
          <w:b w:val="1"/>
          <w:bCs w:val="1"/>
          <w:i w:val="1"/>
          <w:iCs w:val="1"/>
          <w:color w:val="auto"/>
        </w:rPr>
        <w:t>Economic Interest Expense and Aggregate Cost of Funds</w:t>
      </w:r>
    </w:p>
    <w:p>
      <w:pPr>
        <w:spacing w:after="0" w:line="171" w:lineRule="exact"/>
        <w:rPr>
          <w:sz w:val="20"/>
          <w:szCs w:val="20"/>
          <w:color w:val="auto"/>
        </w:rPr>
      </w:pPr>
    </w:p>
    <w:p>
      <w:pPr>
        <w:jc w:val="both"/>
        <w:ind w:firstLine="405"/>
        <w:spacing w:after="0" w:line="278" w:lineRule="auto"/>
        <w:rPr>
          <w:sz w:val="20"/>
          <w:szCs w:val="20"/>
          <w:color w:val="auto"/>
        </w:rPr>
      </w:pPr>
      <w:r>
        <w:rPr>
          <w:rFonts w:ascii="Arial" w:cs="Arial" w:eastAsia="Arial" w:hAnsi="Arial"/>
          <w:sz w:val="17"/>
          <w:szCs w:val="17"/>
          <w:color w:val="auto"/>
        </w:rPr>
        <w:t>The following table summarizes our economic interest expense and aggregate cost of funds (non-GAAP measures) for the three and six months ended June 30, 2022 and 2021 (dollars in millions), which includes the combination of interest expense on Agency repurchase agreements and other debt (GAAP measure), implied financing cost (benefit) of our TBA securities and interest rate swap periodic cost (benefit):</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9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spacing w:after="0"/>
              <w:rPr>
                <w:sz w:val="16"/>
                <w:szCs w:val="16"/>
                <w:color w:val="auto"/>
              </w:rPr>
            </w:pPr>
          </w:p>
        </w:tc>
        <w:tc>
          <w:tcPr>
            <w:tcW w:w="2080" w:type="dxa"/>
            <w:vAlign w:val="bottom"/>
            <w:tcBorders>
              <w:bottom w:val="single" w:sz="8" w:color="auto"/>
            </w:tcBorders>
            <w:gridSpan w:val="7"/>
          </w:tcPr>
          <w:p>
            <w:pPr>
              <w:jc w:val="right"/>
              <w:ind w:right="160"/>
              <w:spacing w:after="0"/>
              <w:rPr>
                <w:sz w:val="20"/>
                <w:szCs w:val="20"/>
                <w:color w:val="auto"/>
              </w:rPr>
            </w:pPr>
            <w:r>
              <w:rPr>
                <w:rFonts w:ascii="Arial" w:cs="Arial" w:eastAsia="Arial" w:hAnsi="Arial"/>
                <w:sz w:val="14"/>
                <w:szCs w:val="14"/>
                <w:b w:val="1"/>
                <w:bCs w:val="1"/>
                <w:color w:val="auto"/>
                <w:w w:val="95"/>
              </w:rPr>
              <w:t>Three Months Ended June 30,</w:t>
            </w:r>
          </w:p>
        </w:tc>
        <w:tc>
          <w:tcPr>
            <w:tcW w:w="6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20" w:type="dxa"/>
            <w:vAlign w:val="bottom"/>
            <w:tcBorders>
              <w:bottom w:val="single" w:sz="8" w:color="auto"/>
            </w:tcBorders>
            <w:gridSpan w:val="6"/>
          </w:tcPr>
          <w:p>
            <w:pPr>
              <w:jc w:val="right"/>
              <w:ind w:right="260"/>
              <w:spacing w:after="0"/>
              <w:rPr>
                <w:sz w:val="20"/>
                <w:szCs w:val="20"/>
                <w:color w:val="auto"/>
              </w:rPr>
            </w:pPr>
            <w:r>
              <w:rPr>
                <w:rFonts w:ascii="Arial" w:cs="Arial" w:eastAsia="Arial" w:hAnsi="Arial"/>
                <w:sz w:val="14"/>
                <w:szCs w:val="14"/>
                <w:b w:val="1"/>
                <w:bCs w:val="1"/>
                <w:color w:val="auto"/>
                <w:w w:val="95"/>
              </w:rPr>
              <w:t>Six Months Ended June 30,</w:t>
            </w:r>
          </w:p>
        </w:tc>
        <w:tc>
          <w:tcPr>
            <w:tcW w:w="7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39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580" w:type="dxa"/>
            <w:vAlign w:val="bottom"/>
            <w:tcBorders>
              <w:bottom w:val="single" w:sz="8" w:color="auto"/>
            </w:tcBorders>
            <w:gridSpan w:val="3"/>
          </w:tcPr>
          <w:p>
            <w:pPr>
              <w:jc w:val="right"/>
              <w:ind w:right="628"/>
              <w:spacing w:after="0"/>
              <w:rPr>
                <w:sz w:val="20"/>
                <w:szCs w:val="20"/>
                <w:color w:val="auto"/>
              </w:rPr>
            </w:pPr>
            <w:r>
              <w:rPr>
                <w:rFonts w:ascii="Arial" w:cs="Arial" w:eastAsia="Arial" w:hAnsi="Arial"/>
                <w:sz w:val="14"/>
                <w:szCs w:val="14"/>
                <w:b w:val="1"/>
                <w:bCs w:val="1"/>
                <w:color w:val="auto"/>
              </w:rPr>
              <w:t>2022</w:t>
            </w: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gridSpan w:val="3"/>
          </w:tcPr>
          <w:p>
            <w:pPr>
              <w:jc w:val="right"/>
              <w:ind w:right="40"/>
              <w:spacing w:after="0"/>
              <w:rPr>
                <w:sz w:val="20"/>
                <w:szCs w:val="20"/>
                <w:color w:val="auto"/>
              </w:rPr>
            </w:pPr>
            <w:r>
              <w:rPr>
                <w:rFonts w:ascii="Arial" w:cs="Arial" w:eastAsia="Arial" w:hAnsi="Arial"/>
                <w:sz w:val="14"/>
                <w:szCs w:val="14"/>
                <w:b w:val="1"/>
                <w:bCs w:val="1"/>
                <w:color w:val="auto"/>
              </w:rPr>
              <w:t>2021</w:t>
            </w:r>
          </w:p>
        </w:tc>
        <w:tc>
          <w:tcPr>
            <w:tcW w:w="6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gridSpan w:val="3"/>
          </w:tcPr>
          <w:p>
            <w:pPr>
              <w:jc w:val="right"/>
              <w:ind w:right="668"/>
              <w:spacing w:after="0"/>
              <w:rPr>
                <w:sz w:val="20"/>
                <w:szCs w:val="20"/>
                <w:color w:val="auto"/>
              </w:rPr>
            </w:pPr>
            <w:r>
              <w:rPr>
                <w:rFonts w:ascii="Arial" w:cs="Arial" w:eastAsia="Arial" w:hAnsi="Arial"/>
                <w:sz w:val="14"/>
                <w:szCs w:val="14"/>
                <w:b w:val="1"/>
                <w:bCs w:val="1"/>
                <w:color w:val="auto"/>
              </w:rPr>
              <w:t>2022</w:t>
            </w:r>
          </w:p>
        </w:tc>
        <w:tc>
          <w:tcPr>
            <w:tcW w:w="8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gridSpan w:val="3"/>
          </w:tcPr>
          <w:p>
            <w:pPr>
              <w:jc w:val="right"/>
              <w:ind w:right="40"/>
              <w:spacing w:after="0"/>
              <w:rPr>
                <w:sz w:val="20"/>
                <w:szCs w:val="20"/>
                <w:color w:val="auto"/>
              </w:rPr>
            </w:pPr>
            <w:r>
              <w:rPr>
                <w:rFonts w:ascii="Arial" w:cs="Arial" w:eastAsia="Arial" w:hAnsi="Arial"/>
                <w:sz w:val="14"/>
                <w:szCs w:val="14"/>
                <w:b w:val="1"/>
                <w:bCs w:val="1"/>
                <w:color w:val="auto"/>
              </w:rPr>
              <w:t>2021</w:t>
            </w:r>
          </w:p>
        </w:tc>
        <w:tc>
          <w:tcPr>
            <w:tcW w:w="7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0"/>
        </w:trPr>
        <w:tc>
          <w:tcPr>
            <w:tcW w:w="3940" w:type="dxa"/>
            <w:vAlign w:val="bottom"/>
            <w:vMerge w:val="restart"/>
          </w:tcPr>
          <w:p>
            <w:pPr>
              <w:ind w:left="20"/>
              <w:spacing w:after="0"/>
              <w:rPr>
                <w:sz w:val="20"/>
                <w:szCs w:val="20"/>
                <w:color w:val="auto"/>
              </w:rPr>
            </w:pPr>
            <w:r>
              <w:rPr>
                <w:rFonts w:ascii="Arial" w:cs="Arial" w:eastAsia="Arial" w:hAnsi="Arial"/>
                <w:sz w:val="14"/>
                <w:szCs w:val="14"/>
                <w:b w:val="1"/>
                <w:bCs w:val="1"/>
                <w:color w:val="auto"/>
                <w:w w:val="99"/>
              </w:rPr>
              <w:t xml:space="preserve">Economic Interest Expense and Aggregate Cost of Funds </w:t>
            </w:r>
            <w:r>
              <w:rPr>
                <w:rFonts w:ascii="Arial" w:cs="Arial" w:eastAsia="Arial" w:hAnsi="Arial"/>
                <w:sz w:val="18"/>
                <w:szCs w:val="18"/>
                <w:b w:val="1"/>
                <w:bCs w:val="1"/>
                <w:color w:val="auto"/>
                <w:w w:val="99"/>
                <w:vertAlign w:val="superscript"/>
              </w:rPr>
              <w:t>1</w:t>
            </w:r>
          </w:p>
        </w:tc>
        <w:tc>
          <w:tcPr>
            <w:tcW w:w="120" w:type="dxa"/>
            <w:vAlign w:val="bottom"/>
            <w:vMerge w:val="restart"/>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vMerge w:val="restart"/>
          </w:tcPr>
          <w:p>
            <w:pPr>
              <w:jc w:val="right"/>
              <w:ind w:right="48"/>
              <w:spacing w:after="0"/>
              <w:rPr>
                <w:sz w:val="20"/>
                <w:szCs w:val="20"/>
                <w:color w:val="auto"/>
              </w:rPr>
            </w:pPr>
            <w:r>
              <w:rPr>
                <w:rFonts w:ascii="Arial" w:cs="Arial" w:eastAsia="Arial" w:hAnsi="Arial"/>
                <w:sz w:val="14"/>
                <w:szCs w:val="14"/>
                <w:b w:val="1"/>
                <w:bCs w:val="1"/>
                <w:color w:val="auto"/>
                <w:w w:val="94"/>
              </w:rPr>
              <w:t>Amount</w:t>
            </w:r>
          </w:p>
        </w:tc>
        <w:tc>
          <w:tcPr>
            <w:tcW w:w="100" w:type="dxa"/>
            <w:vAlign w:val="bottom"/>
          </w:tcPr>
          <w:p>
            <w:pPr>
              <w:spacing w:after="0"/>
              <w:rPr>
                <w:sz w:val="11"/>
                <w:szCs w:val="11"/>
                <w:color w:val="auto"/>
              </w:rPr>
            </w:pPr>
          </w:p>
        </w:tc>
        <w:tc>
          <w:tcPr>
            <w:tcW w:w="840" w:type="dxa"/>
            <w:vAlign w:val="bottom"/>
          </w:tcPr>
          <w:p>
            <w:pPr>
              <w:jc w:val="right"/>
              <w:ind w:right="128"/>
              <w:spacing w:after="0" w:line="130" w:lineRule="exact"/>
              <w:rPr>
                <w:sz w:val="20"/>
                <w:szCs w:val="20"/>
                <w:color w:val="auto"/>
              </w:rPr>
            </w:pPr>
            <w:r>
              <w:rPr>
                <w:rFonts w:ascii="Arial" w:cs="Arial" w:eastAsia="Arial" w:hAnsi="Arial"/>
                <w:sz w:val="14"/>
                <w:szCs w:val="14"/>
                <w:b w:val="1"/>
                <w:bCs w:val="1"/>
                <w:color w:val="auto"/>
              </w:rPr>
              <w:t>Cost of</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vMerge w:val="restart"/>
          </w:tcPr>
          <w:p>
            <w:pPr>
              <w:jc w:val="right"/>
              <w:ind w:right="48"/>
              <w:spacing w:after="0"/>
              <w:rPr>
                <w:sz w:val="20"/>
                <w:szCs w:val="20"/>
                <w:color w:val="auto"/>
              </w:rPr>
            </w:pPr>
            <w:r>
              <w:rPr>
                <w:rFonts w:ascii="Arial" w:cs="Arial" w:eastAsia="Arial" w:hAnsi="Arial"/>
                <w:sz w:val="14"/>
                <w:szCs w:val="14"/>
                <w:b w:val="1"/>
                <w:bCs w:val="1"/>
                <w:color w:val="auto"/>
                <w:w w:val="94"/>
              </w:rPr>
              <w:t>Amount</w:t>
            </w:r>
          </w:p>
        </w:tc>
        <w:tc>
          <w:tcPr>
            <w:tcW w:w="100" w:type="dxa"/>
            <w:vAlign w:val="bottom"/>
            <w:vMerge w:val="restart"/>
          </w:tcPr>
          <w:p>
            <w:pPr>
              <w:spacing w:after="0"/>
              <w:rPr>
                <w:sz w:val="11"/>
                <w:szCs w:val="11"/>
                <w:color w:val="auto"/>
              </w:rPr>
            </w:pPr>
          </w:p>
        </w:tc>
        <w:tc>
          <w:tcPr>
            <w:tcW w:w="180" w:type="dxa"/>
            <w:vAlign w:val="bottom"/>
            <w:vMerge w:val="restart"/>
          </w:tcPr>
          <w:p>
            <w:pPr>
              <w:spacing w:after="0"/>
              <w:rPr>
                <w:sz w:val="11"/>
                <w:szCs w:val="11"/>
                <w:color w:val="auto"/>
              </w:rPr>
            </w:pPr>
          </w:p>
        </w:tc>
        <w:tc>
          <w:tcPr>
            <w:tcW w:w="660" w:type="dxa"/>
            <w:vAlign w:val="bottom"/>
          </w:tcPr>
          <w:p>
            <w:pPr>
              <w:jc w:val="right"/>
              <w:ind w:right="128"/>
              <w:spacing w:after="0" w:line="130" w:lineRule="exact"/>
              <w:rPr>
                <w:sz w:val="20"/>
                <w:szCs w:val="20"/>
                <w:color w:val="auto"/>
              </w:rPr>
            </w:pPr>
            <w:r>
              <w:rPr>
                <w:rFonts w:ascii="Arial" w:cs="Arial" w:eastAsia="Arial" w:hAnsi="Arial"/>
                <w:sz w:val="14"/>
                <w:szCs w:val="14"/>
                <w:b w:val="1"/>
                <w:bCs w:val="1"/>
                <w:color w:val="auto"/>
                <w:w w:val="91"/>
              </w:rPr>
              <w:t>Cost of</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vMerge w:val="restart"/>
          </w:tcPr>
          <w:p>
            <w:pPr>
              <w:jc w:val="right"/>
              <w:ind w:right="68"/>
              <w:spacing w:after="0"/>
              <w:rPr>
                <w:sz w:val="20"/>
                <w:szCs w:val="20"/>
                <w:color w:val="auto"/>
              </w:rPr>
            </w:pPr>
            <w:r>
              <w:rPr>
                <w:rFonts w:ascii="Arial" w:cs="Arial" w:eastAsia="Arial" w:hAnsi="Arial"/>
                <w:sz w:val="14"/>
                <w:szCs w:val="14"/>
                <w:b w:val="1"/>
                <w:bCs w:val="1"/>
                <w:color w:val="auto"/>
                <w:w w:val="94"/>
              </w:rPr>
              <w:t>Amount</w:t>
            </w:r>
          </w:p>
        </w:tc>
        <w:tc>
          <w:tcPr>
            <w:tcW w:w="100" w:type="dxa"/>
            <w:vAlign w:val="bottom"/>
            <w:vMerge w:val="restart"/>
          </w:tcPr>
          <w:p>
            <w:pPr>
              <w:spacing w:after="0"/>
              <w:rPr>
                <w:sz w:val="11"/>
                <w:szCs w:val="11"/>
                <w:color w:val="auto"/>
              </w:rPr>
            </w:pPr>
          </w:p>
        </w:tc>
        <w:tc>
          <w:tcPr>
            <w:tcW w:w="880" w:type="dxa"/>
            <w:vAlign w:val="bottom"/>
          </w:tcPr>
          <w:p>
            <w:pPr>
              <w:jc w:val="right"/>
              <w:ind w:right="148"/>
              <w:spacing w:after="0" w:line="130" w:lineRule="exact"/>
              <w:rPr>
                <w:sz w:val="20"/>
                <w:szCs w:val="20"/>
                <w:color w:val="auto"/>
              </w:rPr>
            </w:pPr>
            <w:r>
              <w:rPr>
                <w:rFonts w:ascii="Arial" w:cs="Arial" w:eastAsia="Arial" w:hAnsi="Arial"/>
                <w:sz w:val="14"/>
                <w:szCs w:val="14"/>
                <w:b w:val="1"/>
                <w:bCs w:val="1"/>
                <w:color w:val="auto"/>
              </w:rPr>
              <w:t>Cost of</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Amount</w:t>
            </w:r>
          </w:p>
        </w:tc>
        <w:tc>
          <w:tcPr>
            <w:tcW w:w="100" w:type="dxa"/>
            <w:vAlign w:val="bottom"/>
            <w:vMerge w:val="restart"/>
          </w:tcPr>
          <w:p>
            <w:pPr>
              <w:spacing w:after="0"/>
              <w:rPr>
                <w:sz w:val="11"/>
                <w:szCs w:val="11"/>
                <w:color w:val="auto"/>
              </w:rPr>
            </w:pPr>
          </w:p>
        </w:tc>
        <w:tc>
          <w:tcPr>
            <w:tcW w:w="180" w:type="dxa"/>
            <w:vAlign w:val="bottom"/>
            <w:vMerge w:val="restart"/>
          </w:tcPr>
          <w:p>
            <w:pPr>
              <w:spacing w:after="0"/>
              <w:rPr>
                <w:sz w:val="11"/>
                <w:szCs w:val="11"/>
                <w:color w:val="auto"/>
              </w:rPr>
            </w:pPr>
          </w:p>
        </w:tc>
        <w:tc>
          <w:tcPr>
            <w:tcW w:w="700" w:type="dxa"/>
            <w:vAlign w:val="bottom"/>
          </w:tcPr>
          <w:p>
            <w:pPr>
              <w:jc w:val="right"/>
              <w:ind w:right="148"/>
              <w:spacing w:after="0" w:line="130" w:lineRule="exact"/>
              <w:rPr>
                <w:sz w:val="20"/>
                <w:szCs w:val="20"/>
                <w:color w:val="auto"/>
              </w:rPr>
            </w:pPr>
            <w:r>
              <w:rPr>
                <w:rFonts w:ascii="Arial" w:cs="Arial" w:eastAsia="Arial" w:hAnsi="Arial"/>
                <w:sz w:val="14"/>
                <w:szCs w:val="14"/>
                <w:b w:val="1"/>
                <w:bCs w:val="1"/>
                <w:color w:val="auto"/>
                <w:w w:val="95"/>
              </w:rPr>
              <w:t>Cost of</w:t>
            </w:r>
          </w:p>
        </w:tc>
        <w:tc>
          <w:tcPr>
            <w:tcW w:w="0" w:type="dxa"/>
            <w:vAlign w:val="bottom"/>
          </w:tcPr>
          <w:p>
            <w:pPr>
              <w:spacing w:after="0"/>
              <w:rPr>
                <w:sz w:val="1"/>
                <w:szCs w:val="1"/>
                <w:color w:val="auto"/>
              </w:rPr>
            </w:pPr>
          </w:p>
        </w:tc>
      </w:tr>
      <w:tr>
        <w:trPr>
          <w:trHeight w:val="189"/>
        </w:trPr>
        <w:tc>
          <w:tcPr>
            <w:tcW w:w="394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84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Funds</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80" w:type="dxa"/>
            <w:vAlign w:val="bottom"/>
            <w:tcBorders>
              <w:bottom w:val="single" w:sz="8" w:color="auto"/>
            </w:tcBorders>
            <w:vMerge w:val="continue"/>
          </w:tcPr>
          <w:p>
            <w:pPr>
              <w:spacing w:after="0"/>
              <w:rPr>
                <w:sz w:val="16"/>
                <w:szCs w:val="16"/>
                <w:color w:val="auto"/>
              </w:rPr>
            </w:pPr>
          </w:p>
        </w:tc>
        <w:tc>
          <w:tcPr>
            <w:tcW w:w="66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w w:val="99"/>
              </w:rPr>
              <w:t>Funds</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88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Funds</w:t>
            </w:r>
          </w:p>
        </w:tc>
        <w:tc>
          <w:tcPr>
            <w:tcW w:w="8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80" w:type="dxa"/>
            <w:vAlign w:val="bottom"/>
            <w:tcBorders>
              <w:bottom w:val="single" w:sz="8" w:color="auto"/>
            </w:tcBorders>
            <w:vMerge w:val="continue"/>
          </w:tcPr>
          <w:p>
            <w:pPr>
              <w:spacing w:after="0"/>
              <w:rPr>
                <w:sz w:val="16"/>
                <w:szCs w:val="16"/>
                <w:color w:val="auto"/>
              </w:rPr>
            </w:pPr>
          </w:p>
        </w:tc>
        <w:tc>
          <w:tcPr>
            <w:tcW w:w="70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Funds</w:t>
            </w:r>
          </w:p>
        </w:tc>
        <w:tc>
          <w:tcPr>
            <w:tcW w:w="0" w:type="dxa"/>
            <w:vAlign w:val="bottom"/>
          </w:tcPr>
          <w:p>
            <w:pPr>
              <w:spacing w:after="0"/>
              <w:rPr>
                <w:sz w:val="1"/>
                <w:szCs w:val="1"/>
                <w:color w:val="auto"/>
              </w:rPr>
            </w:pPr>
          </w:p>
        </w:tc>
      </w:tr>
      <w:tr>
        <w:trPr>
          <w:trHeight w:val="128"/>
        </w:trPr>
        <w:tc>
          <w:tcPr>
            <w:tcW w:w="3940" w:type="dxa"/>
            <w:vAlign w:val="bottom"/>
            <w:shd w:val="clear" w:color="auto" w:fill="CCEEFF"/>
          </w:tcPr>
          <w:p>
            <w:pPr>
              <w:ind w:left="20"/>
              <w:spacing w:after="0" w:line="129" w:lineRule="exact"/>
              <w:rPr>
                <w:sz w:val="20"/>
                <w:szCs w:val="20"/>
                <w:color w:val="auto"/>
              </w:rPr>
            </w:pPr>
            <w:r>
              <w:rPr>
                <w:rFonts w:ascii="Arial" w:cs="Arial" w:eastAsia="Arial" w:hAnsi="Arial"/>
                <w:sz w:val="14"/>
                <w:szCs w:val="14"/>
                <w:color w:val="auto"/>
                <w:w w:val="96"/>
              </w:rPr>
              <w:t>Repurchase agreement and other debt - interest expense (GAAP</w:t>
            </w:r>
          </w:p>
        </w:tc>
        <w:tc>
          <w:tcPr>
            <w:tcW w:w="120" w:type="dxa"/>
            <w:vAlign w:val="bottom"/>
            <w:shd w:val="clear" w:color="auto" w:fill="CCEEFF"/>
          </w:tcPr>
          <w:p>
            <w:pPr>
              <w:spacing w:after="0"/>
              <w:rPr>
                <w:sz w:val="11"/>
                <w:szCs w:val="11"/>
                <w:color w:val="auto"/>
              </w:rPr>
            </w:pPr>
          </w:p>
        </w:tc>
        <w:tc>
          <w:tcPr>
            <w:tcW w:w="1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80</w:t>
            </w:r>
          </w:p>
        </w:tc>
        <w:tc>
          <w:tcPr>
            <w:tcW w:w="94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color w:val="auto"/>
              </w:rPr>
              <w:t>0.74 %</w:t>
            </w:r>
          </w:p>
        </w:tc>
        <w:tc>
          <w:tcPr>
            <w:tcW w:w="120" w:type="dxa"/>
            <w:vAlign w:val="bottom"/>
            <w:shd w:val="clear" w:color="auto" w:fill="CCEEFF"/>
          </w:tcPr>
          <w:p>
            <w:pPr>
              <w:spacing w:after="0"/>
              <w:rPr>
                <w:sz w:val="11"/>
                <w:szCs w:val="11"/>
                <w:color w:val="auto"/>
              </w:rPr>
            </w:pPr>
          </w:p>
        </w:tc>
        <w:tc>
          <w:tcPr>
            <w:tcW w:w="1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17</w:t>
            </w: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0.13 %</w:t>
            </w:r>
          </w:p>
        </w:tc>
        <w:tc>
          <w:tcPr>
            <w:tcW w:w="100" w:type="dxa"/>
            <w:vAlign w:val="bottom"/>
            <w:shd w:val="clear" w:color="auto" w:fill="CCEEFF"/>
          </w:tcPr>
          <w:p>
            <w:pPr>
              <w:spacing w:after="0"/>
              <w:rPr>
                <w:sz w:val="11"/>
                <w:szCs w:val="11"/>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107</w:t>
            </w:r>
          </w:p>
        </w:tc>
        <w:tc>
          <w:tcPr>
            <w:tcW w:w="100" w:type="dxa"/>
            <w:vAlign w:val="bottom"/>
            <w:shd w:val="clear" w:color="auto" w:fill="CCEEFF"/>
          </w:tcPr>
          <w:p>
            <w:pPr>
              <w:spacing w:after="0"/>
              <w:rPr>
                <w:sz w:val="11"/>
                <w:szCs w:val="11"/>
                <w:color w:val="auto"/>
              </w:rPr>
            </w:pPr>
          </w:p>
        </w:tc>
        <w:tc>
          <w:tcPr>
            <w:tcW w:w="8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0.48 %</w:t>
            </w:r>
          </w:p>
        </w:tc>
        <w:tc>
          <w:tcPr>
            <w:tcW w:w="80" w:type="dxa"/>
            <w:vAlign w:val="bottom"/>
            <w:shd w:val="clear" w:color="auto" w:fill="CCEEFF"/>
          </w:tcPr>
          <w:p>
            <w:pPr>
              <w:spacing w:after="0"/>
              <w:rPr>
                <w:sz w:val="11"/>
                <w:szCs w:val="11"/>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vMerge w:val="restart"/>
            <w:shd w:val="clear" w:color="auto" w:fill="CCEEFF"/>
          </w:tcPr>
          <w:p>
            <w:pPr>
              <w:jc w:val="center"/>
              <w:ind w:left="308"/>
              <w:spacing w:after="0"/>
              <w:rPr>
                <w:sz w:val="20"/>
                <w:szCs w:val="20"/>
                <w:color w:val="auto"/>
              </w:rPr>
            </w:pPr>
            <w:r>
              <w:rPr>
                <w:rFonts w:ascii="Arial" w:cs="Arial" w:eastAsia="Arial" w:hAnsi="Arial"/>
                <w:sz w:val="14"/>
                <w:szCs w:val="14"/>
                <w:color w:val="auto"/>
              </w:rPr>
              <w:t>46</w:t>
            </w: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0.17 %</w:t>
            </w:r>
          </w:p>
        </w:tc>
        <w:tc>
          <w:tcPr>
            <w:tcW w:w="0" w:type="dxa"/>
            <w:vAlign w:val="bottom"/>
          </w:tcPr>
          <w:p>
            <w:pPr>
              <w:spacing w:after="0"/>
              <w:rPr>
                <w:sz w:val="1"/>
                <w:szCs w:val="1"/>
                <w:color w:val="auto"/>
              </w:rPr>
            </w:pPr>
          </w:p>
        </w:tc>
      </w:tr>
      <w:tr>
        <w:trPr>
          <w:trHeight w:val="189"/>
        </w:trPr>
        <w:tc>
          <w:tcPr>
            <w:tcW w:w="40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measure)</w:t>
            </w:r>
          </w:p>
        </w:tc>
        <w:tc>
          <w:tcPr>
            <w:tcW w:w="100" w:type="dxa"/>
            <w:vAlign w:val="bottom"/>
            <w:vMerge w:val="continue"/>
            <w:shd w:val="clear" w:color="auto" w:fill="CCEEFF"/>
          </w:tcPr>
          <w:p>
            <w:pPr>
              <w:spacing w:after="0"/>
              <w:rPr>
                <w:sz w:val="16"/>
                <w:szCs w:val="16"/>
                <w:color w:val="auto"/>
              </w:rPr>
            </w:pPr>
          </w:p>
        </w:tc>
        <w:tc>
          <w:tcPr>
            <w:tcW w:w="640" w:type="dxa"/>
            <w:vAlign w:val="bottom"/>
            <w:vMerge w:val="continue"/>
            <w:shd w:val="clear" w:color="auto" w:fill="CCEEFF"/>
          </w:tcPr>
          <w:p>
            <w:pPr>
              <w:spacing w:after="0"/>
              <w:rPr>
                <w:sz w:val="16"/>
                <w:szCs w:val="16"/>
                <w:color w:val="auto"/>
              </w:rPr>
            </w:pPr>
          </w:p>
        </w:tc>
        <w:tc>
          <w:tcPr>
            <w:tcW w:w="940" w:type="dxa"/>
            <w:vAlign w:val="bottom"/>
            <w:gridSpan w:val="2"/>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vMerge w:val="continue"/>
            <w:shd w:val="clear" w:color="auto" w:fill="CCEEFF"/>
          </w:tcPr>
          <w:p>
            <w:pPr>
              <w:spacing w:after="0"/>
              <w:rPr>
                <w:sz w:val="16"/>
                <w:szCs w:val="16"/>
                <w:color w:val="auto"/>
              </w:rPr>
            </w:pPr>
          </w:p>
        </w:tc>
        <w:tc>
          <w:tcPr>
            <w:tcW w:w="64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6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vMerge w:val="continue"/>
            <w:shd w:val="clear" w:color="auto" w:fill="CCEEFF"/>
          </w:tcPr>
          <w:p>
            <w:pPr>
              <w:spacing w:after="0"/>
              <w:rPr>
                <w:sz w:val="16"/>
                <w:szCs w:val="16"/>
                <w:color w:val="auto"/>
              </w:rPr>
            </w:pPr>
          </w:p>
        </w:tc>
        <w:tc>
          <w:tcPr>
            <w:tcW w:w="66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80" w:type="dxa"/>
            <w:vAlign w:val="bottom"/>
            <w:vMerge w:val="continue"/>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vMerge w:val="continue"/>
            <w:shd w:val="clear" w:color="auto" w:fill="CCEEFF"/>
          </w:tcPr>
          <w:p>
            <w:pPr>
              <w:spacing w:after="0"/>
              <w:rPr>
                <w:sz w:val="16"/>
                <w:szCs w:val="16"/>
                <w:color w:val="auto"/>
              </w:rPr>
            </w:pPr>
          </w:p>
        </w:tc>
        <w:tc>
          <w:tcPr>
            <w:tcW w:w="66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70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4060" w:type="dxa"/>
            <w:vAlign w:val="bottom"/>
            <w:tcBorders>
              <w:bottom w:val="single" w:sz="8" w:color="CCEEFF"/>
            </w:tcBorders>
            <w:gridSpan w:val="2"/>
          </w:tcPr>
          <w:p>
            <w:pPr>
              <w:ind w:left="20"/>
              <w:spacing w:after="0" w:line="189" w:lineRule="exact"/>
              <w:rPr>
                <w:sz w:val="20"/>
                <w:szCs w:val="20"/>
                <w:color w:val="auto"/>
              </w:rPr>
            </w:pPr>
            <w:r>
              <w:rPr>
                <w:rFonts w:ascii="Arial" w:cs="Arial" w:eastAsia="Arial" w:hAnsi="Arial"/>
                <w:sz w:val="14"/>
                <w:szCs w:val="14"/>
                <w:color w:val="auto"/>
              </w:rPr>
              <w:t xml:space="preserve">TBA dollar roll income - implied interest expense (benefit) </w:t>
            </w:r>
            <w:r>
              <w:rPr>
                <w:rFonts w:ascii="Arial" w:cs="Arial" w:eastAsia="Arial" w:hAnsi="Arial"/>
                <w:sz w:val="18"/>
                <w:szCs w:val="18"/>
                <w:color w:val="auto"/>
                <w:vertAlign w:val="superscript"/>
              </w:rPr>
              <w:t>2,3</w:t>
            </w:r>
          </w:p>
        </w:tc>
        <w:tc>
          <w:tcPr>
            <w:tcW w:w="10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w:t>
            </w:r>
          </w:p>
        </w:tc>
        <w:tc>
          <w:tcPr>
            <w:tcW w:w="100" w:type="dxa"/>
            <w:vAlign w:val="bottom"/>
            <w:tcBorders>
              <w:bottom w:val="single" w:sz="8" w:color="CCEEFF"/>
            </w:tcBorders>
          </w:tcPr>
          <w:p>
            <w:pPr>
              <w:spacing w:after="0"/>
              <w:rPr>
                <w:sz w:val="16"/>
                <w:szCs w:val="16"/>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(0.04)%</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(23)</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(0.33)%</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(31)</w:t>
            </w:r>
          </w:p>
        </w:tc>
        <w:tc>
          <w:tcPr>
            <w:tcW w:w="100" w:type="dxa"/>
            <w:vAlign w:val="bottom"/>
            <w:tcBorders>
              <w:bottom w:val="single" w:sz="8" w:color="CCEEFF"/>
            </w:tcBorders>
          </w:tcPr>
          <w:p>
            <w:pPr>
              <w:spacing w:after="0"/>
              <w:rPr>
                <w:sz w:val="16"/>
                <w:szCs w:val="16"/>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(0.29)%</w:t>
            </w:r>
          </w:p>
        </w:tc>
        <w:tc>
          <w:tcPr>
            <w:tcW w:w="8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center"/>
              <w:ind w:left="268"/>
              <w:spacing w:after="0"/>
              <w:rPr>
                <w:sz w:val="20"/>
                <w:szCs w:val="20"/>
                <w:color w:val="auto"/>
              </w:rPr>
            </w:pPr>
            <w:r>
              <w:rPr>
                <w:rFonts w:ascii="Arial" w:cs="Arial" w:eastAsia="Arial" w:hAnsi="Arial"/>
                <w:sz w:val="14"/>
                <w:szCs w:val="14"/>
                <w:color w:val="auto"/>
                <w:w w:val="96"/>
              </w:rPr>
              <w:t>(61)</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(0.41)%</w:t>
            </w:r>
          </w:p>
        </w:tc>
        <w:tc>
          <w:tcPr>
            <w:tcW w:w="0" w:type="dxa"/>
            <w:vAlign w:val="bottom"/>
          </w:tcPr>
          <w:p>
            <w:pPr>
              <w:spacing w:after="0"/>
              <w:rPr>
                <w:sz w:val="1"/>
                <w:szCs w:val="1"/>
                <w:color w:val="auto"/>
              </w:rPr>
            </w:pPr>
          </w:p>
        </w:tc>
      </w:tr>
      <w:tr>
        <w:trPr>
          <w:trHeight w:val="115"/>
        </w:trPr>
        <w:tc>
          <w:tcPr>
            <w:tcW w:w="4060" w:type="dxa"/>
            <w:vAlign w:val="bottom"/>
            <w:gridSpan w:val="2"/>
            <w:shd w:val="clear" w:color="auto" w:fill="CCEEFF"/>
          </w:tcPr>
          <w:p>
            <w:pPr>
              <w:ind w:left="180"/>
              <w:spacing w:after="0" w:line="115" w:lineRule="exact"/>
              <w:rPr>
                <w:sz w:val="20"/>
                <w:szCs w:val="20"/>
                <w:color w:val="auto"/>
              </w:rPr>
            </w:pPr>
            <w:r>
              <w:rPr>
                <w:rFonts w:ascii="Arial" w:cs="Arial" w:eastAsia="Arial" w:hAnsi="Arial"/>
                <w:sz w:val="13"/>
                <w:szCs w:val="13"/>
                <w:color w:val="auto"/>
              </w:rPr>
              <w:t>Economic interest expense - before interest rate swap periodic</w:t>
            </w:r>
          </w:p>
        </w:tc>
        <w:tc>
          <w:tcPr>
            <w:tcW w:w="100" w:type="dxa"/>
            <w:vAlign w:val="bottom"/>
            <w:shd w:val="clear" w:color="auto" w:fill="CCEEFF"/>
          </w:tcPr>
          <w:p>
            <w:pPr>
              <w:spacing w:after="0"/>
              <w:rPr>
                <w:sz w:val="10"/>
                <w:szCs w:val="10"/>
                <w:color w:val="auto"/>
              </w:rPr>
            </w:pPr>
          </w:p>
        </w:tc>
        <w:tc>
          <w:tcPr>
            <w:tcW w:w="6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78</w:t>
            </w:r>
          </w:p>
        </w:tc>
        <w:tc>
          <w:tcPr>
            <w:tcW w:w="94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color w:val="auto"/>
              </w:rPr>
              <w:t>0.49 %</w:t>
            </w:r>
          </w:p>
        </w:tc>
        <w:tc>
          <w:tcPr>
            <w:tcW w:w="1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(6)</w:t>
            </w:r>
          </w:p>
        </w:tc>
        <w:tc>
          <w:tcPr>
            <w:tcW w:w="10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(0.03)%</w:t>
            </w:r>
          </w:p>
        </w:tc>
        <w:tc>
          <w:tcPr>
            <w:tcW w:w="10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76</w:t>
            </w:r>
          </w:p>
        </w:tc>
        <w:tc>
          <w:tcPr>
            <w:tcW w:w="100" w:type="dxa"/>
            <w:vAlign w:val="bottom"/>
            <w:shd w:val="clear" w:color="auto" w:fill="CCEEFF"/>
          </w:tcPr>
          <w:p>
            <w:pPr>
              <w:spacing w:after="0"/>
              <w:rPr>
                <w:sz w:val="10"/>
                <w:szCs w:val="10"/>
                <w:color w:val="auto"/>
              </w:rPr>
            </w:pPr>
          </w:p>
        </w:tc>
        <w:tc>
          <w:tcPr>
            <w:tcW w:w="8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0.23 %</w:t>
            </w:r>
          </w:p>
        </w:tc>
        <w:tc>
          <w:tcPr>
            <w:tcW w:w="8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660" w:type="dxa"/>
            <w:vAlign w:val="bottom"/>
            <w:vMerge w:val="restart"/>
            <w:shd w:val="clear" w:color="auto" w:fill="CCEEFF"/>
          </w:tcPr>
          <w:p>
            <w:pPr>
              <w:jc w:val="center"/>
              <w:ind w:left="268"/>
              <w:spacing w:after="0"/>
              <w:rPr>
                <w:sz w:val="20"/>
                <w:szCs w:val="20"/>
                <w:color w:val="auto"/>
              </w:rPr>
            </w:pPr>
            <w:r>
              <w:rPr>
                <w:rFonts w:ascii="Arial" w:cs="Arial" w:eastAsia="Arial" w:hAnsi="Arial"/>
                <w:sz w:val="14"/>
                <w:szCs w:val="14"/>
                <w:color w:val="auto"/>
                <w:w w:val="96"/>
              </w:rPr>
              <w:t>(15)</w:t>
            </w:r>
          </w:p>
        </w:tc>
        <w:tc>
          <w:tcPr>
            <w:tcW w:w="10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(0.04)%</w:t>
            </w:r>
          </w:p>
        </w:tc>
        <w:tc>
          <w:tcPr>
            <w:tcW w:w="0" w:type="dxa"/>
            <w:vAlign w:val="bottom"/>
          </w:tcPr>
          <w:p>
            <w:pPr>
              <w:spacing w:after="0"/>
              <w:rPr>
                <w:sz w:val="1"/>
                <w:szCs w:val="1"/>
                <w:color w:val="auto"/>
              </w:rPr>
            </w:pPr>
          </w:p>
        </w:tc>
      </w:tr>
      <w:tr>
        <w:trPr>
          <w:trHeight w:val="189"/>
        </w:trPr>
        <w:tc>
          <w:tcPr>
            <w:tcW w:w="4060" w:type="dxa"/>
            <w:vAlign w:val="bottom"/>
            <w:gridSpan w:val="2"/>
            <w:shd w:val="clear" w:color="auto" w:fill="CCEEFF"/>
          </w:tcPr>
          <w:p>
            <w:pPr>
              <w:ind w:left="180"/>
              <w:spacing w:after="0" w:line="189" w:lineRule="exact"/>
              <w:rPr>
                <w:sz w:val="20"/>
                <w:szCs w:val="20"/>
                <w:color w:val="auto"/>
              </w:rPr>
            </w:pPr>
            <w:r>
              <w:rPr>
                <w:rFonts w:ascii="Arial" w:cs="Arial" w:eastAsia="Arial" w:hAnsi="Arial"/>
                <w:sz w:val="14"/>
                <w:szCs w:val="14"/>
                <w:color w:val="auto"/>
              </w:rPr>
              <w:t xml:space="preserve">cost (income), net </w:t>
            </w:r>
            <w:r>
              <w:rPr>
                <w:rFonts w:ascii="Arial" w:cs="Arial" w:eastAsia="Arial" w:hAnsi="Arial"/>
                <w:sz w:val="18"/>
                <w:szCs w:val="18"/>
                <w:color w:val="auto"/>
                <w:vertAlign w:val="superscript"/>
              </w:rPr>
              <w:t>4</w:t>
            </w:r>
          </w:p>
        </w:tc>
        <w:tc>
          <w:tcPr>
            <w:tcW w:w="100" w:type="dxa"/>
            <w:vAlign w:val="bottom"/>
            <w:shd w:val="clear" w:color="auto" w:fill="CCEEFF"/>
          </w:tcPr>
          <w:p>
            <w:pPr>
              <w:spacing w:after="0"/>
              <w:rPr>
                <w:sz w:val="16"/>
                <w:szCs w:val="16"/>
                <w:color w:val="auto"/>
              </w:rPr>
            </w:pPr>
          </w:p>
        </w:tc>
        <w:tc>
          <w:tcPr>
            <w:tcW w:w="640" w:type="dxa"/>
            <w:vAlign w:val="bottom"/>
            <w:vMerge w:val="continue"/>
            <w:shd w:val="clear" w:color="auto" w:fill="CCEEFF"/>
          </w:tcPr>
          <w:p>
            <w:pPr>
              <w:spacing w:after="0"/>
              <w:rPr>
                <w:sz w:val="16"/>
                <w:szCs w:val="16"/>
                <w:color w:val="auto"/>
              </w:rPr>
            </w:pPr>
          </w:p>
        </w:tc>
        <w:tc>
          <w:tcPr>
            <w:tcW w:w="940" w:type="dxa"/>
            <w:vAlign w:val="bottom"/>
            <w:gridSpan w:val="2"/>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4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6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66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80" w:type="dxa"/>
            <w:vAlign w:val="bottom"/>
            <w:vMerge w:val="continue"/>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66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70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4060" w:type="dxa"/>
            <w:vAlign w:val="bottom"/>
            <w:gridSpan w:val="2"/>
          </w:tcPr>
          <w:p>
            <w:pPr>
              <w:ind w:left="20"/>
              <w:spacing w:after="0" w:line="189" w:lineRule="exact"/>
              <w:rPr>
                <w:sz w:val="20"/>
                <w:szCs w:val="20"/>
                <w:color w:val="auto"/>
              </w:rPr>
            </w:pPr>
            <w:r>
              <w:rPr>
                <w:rFonts w:ascii="Arial" w:cs="Arial" w:eastAsia="Arial" w:hAnsi="Arial"/>
                <w:sz w:val="14"/>
                <w:szCs w:val="14"/>
                <w:color w:val="auto"/>
              </w:rPr>
              <w:t xml:space="preserve">Interest rate swap periodic cost (income), net </w:t>
            </w:r>
            <w:r>
              <w:rPr>
                <w:rFonts w:ascii="Arial" w:cs="Arial" w:eastAsia="Arial" w:hAnsi="Arial"/>
                <w:sz w:val="18"/>
                <w:szCs w:val="18"/>
                <w:color w:val="auto"/>
                <w:vertAlign w:val="superscript"/>
              </w:rPr>
              <w:t>2,5</w:t>
            </w:r>
          </w:p>
        </w:tc>
        <w:tc>
          <w:tcPr>
            <w:tcW w:w="10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(49)</w:t>
            </w:r>
          </w:p>
        </w:tc>
        <w:tc>
          <w:tcPr>
            <w:tcW w:w="940" w:type="dxa"/>
            <w:vAlign w:val="bottom"/>
            <w:gridSpan w:val="2"/>
          </w:tcPr>
          <w:p>
            <w:pPr>
              <w:jc w:val="right"/>
              <w:spacing w:after="0"/>
              <w:rPr>
                <w:sz w:val="20"/>
                <w:szCs w:val="20"/>
                <w:color w:val="auto"/>
              </w:rPr>
            </w:pPr>
            <w:r>
              <w:rPr>
                <w:rFonts w:ascii="Arial" w:cs="Arial" w:eastAsia="Arial" w:hAnsi="Arial"/>
                <w:sz w:val="14"/>
                <w:szCs w:val="14"/>
                <w:color w:val="auto"/>
              </w:rPr>
              <w:t>(0.31)%</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19</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0.09 %</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(31)</w:t>
            </w:r>
          </w:p>
        </w:tc>
        <w:tc>
          <w:tcPr>
            <w:tcW w:w="1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(0.09)%</w:t>
            </w: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60" w:type="dxa"/>
            <w:vAlign w:val="bottom"/>
          </w:tcPr>
          <w:p>
            <w:pPr>
              <w:jc w:val="center"/>
              <w:ind w:left="308"/>
              <w:spacing w:after="0"/>
              <w:rPr>
                <w:sz w:val="20"/>
                <w:szCs w:val="20"/>
                <w:color w:val="auto"/>
              </w:rPr>
            </w:pPr>
            <w:r>
              <w:rPr>
                <w:rFonts w:ascii="Arial" w:cs="Arial" w:eastAsia="Arial" w:hAnsi="Arial"/>
                <w:sz w:val="14"/>
                <w:szCs w:val="14"/>
                <w:color w:val="auto"/>
              </w:rPr>
              <w:t>31</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0.07 %</w:t>
            </w:r>
          </w:p>
        </w:tc>
        <w:tc>
          <w:tcPr>
            <w:tcW w:w="0" w:type="dxa"/>
            <w:vAlign w:val="bottom"/>
          </w:tcPr>
          <w:p>
            <w:pPr>
              <w:spacing w:after="0"/>
              <w:rPr>
                <w:sz w:val="1"/>
                <w:szCs w:val="1"/>
                <w:color w:val="auto"/>
              </w:rPr>
            </w:pPr>
          </w:p>
        </w:tc>
      </w:tr>
      <w:tr>
        <w:trPr>
          <w:trHeight w:val="208"/>
        </w:trPr>
        <w:tc>
          <w:tcPr>
            <w:tcW w:w="4060" w:type="dxa"/>
            <w:vAlign w:val="bottom"/>
            <w:tcBorders>
              <w:top w:val="single" w:sz="8" w:color="CCEEFF"/>
              <w:bottom w:val="single" w:sz="8" w:color="CCEEFF"/>
            </w:tcBorders>
            <w:gridSpan w:val="2"/>
            <w:shd w:val="clear" w:color="auto" w:fill="CCEEFF"/>
          </w:tcPr>
          <w:p>
            <w:pPr>
              <w:ind w:left="180"/>
              <w:spacing w:after="0"/>
              <w:rPr>
                <w:sz w:val="20"/>
                <w:szCs w:val="20"/>
                <w:color w:val="auto"/>
              </w:rPr>
            </w:pPr>
            <w:r>
              <w:rPr>
                <w:rFonts w:ascii="Arial" w:cs="Arial" w:eastAsia="Arial" w:hAnsi="Arial"/>
                <w:sz w:val="14"/>
                <w:szCs w:val="14"/>
                <w:color w:val="auto"/>
              </w:rPr>
              <w:t>Total economic interest expense (non-GAAP measure)</w:t>
            </w: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29</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0.18 %</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80" w:type="dxa"/>
            <w:vAlign w:val="bottom"/>
            <w:tcBorders>
              <w:top w:val="single" w:sz="8" w:color="auto"/>
              <w:bottom w:val="single" w:sz="8" w:color="auto"/>
            </w:tcBorders>
            <w:shd w:val="clear" w:color="auto" w:fill="CCEEFF"/>
          </w:tcPr>
          <w:p>
            <w:pPr>
              <w:spacing w:after="0"/>
              <w:rPr>
                <w:sz w:val="17"/>
                <w:szCs w:val="17"/>
                <w:color w:val="auto"/>
              </w:rPr>
            </w:pP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0.06 %</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45</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0.14 %</w:t>
            </w: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tcBorders>
              <w:top w:val="single" w:sz="8" w:color="auto"/>
              <w:bottom w:val="single" w:sz="8" w:color="auto"/>
            </w:tcBorders>
            <w:shd w:val="clear" w:color="auto" w:fill="CCEEFF"/>
          </w:tcPr>
          <w:p>
            <w:pPr>
              <w:jc w:val="center"/>
              <w:ind w:left="308"/>
              <w:spacing w:after="0"/>
              <w:rPr>
                <w:sz w:val="20"/>
                <w:szCs w:val="20"/>
                <w:color w:val="auto"/>
              </w:rPr>
            </w:pPr>
            <w:r>
              <w:rPr>
                <w:rFonts w:ascii="Arial" w:cs="Arial" w:eastAsia="Arial" w:hAnsi="Arial"/>
                <w:sz w:val="14"/>
                <w:szCs w:val="14"/>
                <w:color w:val="auto"/>
              </w:rPr>
              <w:t>16</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80" w:type="dxa"/>
            <w:vAlign w:val="bottom"/>
            <w:tcBorders>
              <w:top w:val="single" w:sz="8" w:color="auto"/>
              <w:bottom w:val="single" w:sz="8" w:color="auto"/>
            </w:tcBorders>
            <w:shd w:val="clear" w:color="auto" w:fill="CCEEFF"/>
          </w:tcPr>
          <w:p>
            <w:pPr>
              <w:spacing w:after="0"/>
              <w:rPr>
                <w:sz w:val="17"/>
                <w:szCs w:val="17"/>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0.03 %</w:t>
            </w:r>
          </w:p>
        </w:tc>
        <w:tc>
          <w:tcPr>
            <w:tcW w:w="0" w:type="dxa"/>
            <w:vAlign w:val="bottom"/>
          </w:tcPr>
          <w:p>
            <w:pPr>
              <w:spacing w:after="0"/>
              <w:rPr>
                <w:sz w:val="1"/>
                <w:szCs w:val="1"/>
                <w:color w:val="auto"/>
              </w:rPr>
            </w:pPr>
          </w:p>
        </w:tc>
      </w:tr>
      <w:tr>
        <w:trPr>
          <w:trHeight w:val="20"/>
        </w:trPr>
        <w:tc>
          <w:tcPr>
            <w:tcW w:w="39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6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6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41" w:lineRule="auto"/>
        <w:tabs>
          <w:tab w:leader="none" w:pos="660" w:val="left"/>
        </w:tabs>
        <w:numPr>
          <w:ilvl w:val="0"/>
          <w:numId w:val="28"/>
        </w:numPr>
        <w:rPr>
          <w:rFonts w:ascii="Arial" w:cs="Arial" w:eastAsia="Arial" w:hAnsi="Arial"/>
          <w:sz w:val="14"/>
          <w:szCs w:val="14"/>
          <w:color w:val="auto"/>
        </w:rPr>
      </w:pPr>
      <w:r>
        <w:rPr>
          <w:rFonts w:ascii="Arial" w:cs="Arial" w:eastAsia="Arial" w:hAnsi="Arial"/>
          <w:sz w:val="14"/>
          <w:szCs w:val="14"/>
          <w:color w:val="auto"/>
        </w:rPr>
        <w:t>Amounts exclude interest rate swap termination fees and variation margin settlements paid or received, forward starting swaps and the impact of other supplemental hedges, such as swaptions and U.S. Treasury positions.</w:t>
      </w:r>
    </w:p>
    <w:p>
      <w:pPr>
        <w:ind w:left="660" w:hanging="328"/>
        <w:spacing w:after="0"/>
        <w:tabs>
          <w:tab w:leader="none" w:pos="660" w:val="left"/>
        </w:tabs>
        <w:numPr>
          <w:ilvl w:val="0"/>
          <w:numId w:val="28"/>
        </w:numPr>
        <w:rPr>
          <w:rFonts w:ascii="Arial" w:cs="Arial" w:eastAsia="Arial" w:hAnsi="Arial"/>
          <w:sz w:val="14"/>
          <w:szCs w:val="14"/>
          <w:color w:val="auto"/>
        </w:rPr>
      </w:pPr>
      <w:r>
        <w:rPr>
          <w:rFonts w:ascii="Arial" w:cs="Arial" w:eastAsia="Arial" w:hAnsi="Arial"/>
          <w:sz w:val="14"/>
          <w:szCs w:val="14"/>
          <w:color w:val="auto"/>
        </w:rPr>
        <w:t>Reported in gain (loss) on derivative instruments and other securities, net in our consolidated statements of comprehensive income.</w:t>
      </w:r>
    </w:p>
    <w:p>
      <w:pPr>
        <w:spacing w:after="0" w:line="1" w:lineRule="exact"/>
        <w:rPr>
          <w:rFonts w:ascii="Arial" w:cs="Arial" w:eastAsia="Arial" w:hAnsi="Arial"/>
          <w:sz w:val="14"/>
          <w:szCs w:val="14"/>
          <w:color w:val="auto"/>
        </w:rPr>
      </w:pPr>
    </w:p>
    <w:p>
      <w:pPr>
        <w:jc w:val="both"/>
        <w:ind w:left="660" w:hanging="328"/>
        <w:spacing w:after="0" w:line="241" w:lineRule="auto"/>
        <w:tabs>
          <w:tab w:leader="none" w:pos="660" w:val="left"/>
        </w:tabs>
        <w:numPr>
          <w:ilvl w:val="0"/>
          <w:numId w:val="28"/>
        </w:numPr>
        <w:rPr>
          <w:rFonts w:ascii="Arial" w:cs="Arial" w:eastAsia="Arial" w:hAnsi="Arial"/>
          <w:sz w:val="14"/>
          <w:szCs w:val="14"/>
          <w:color w:val="auto"/>
        </w:rPr>
      </w:pPr>
      <w:r>
        <w:rPr>
          <w:rFonts w:ascii="Arial" w:cs="Arial" w:eastAsia="Arial" w:hAnsi="Arial"/>
          <w:sz w:val="14"/>
          <w:szCs w:val="14"/>
          <w:color w:val="auto"/>
        </w:rPr>
        <w:t>The implied funding cost (benefit) of TBA dollar roll transactions is determined using the price differential, or "price drop," between the TBA price for current month settlement versus the TBA price for forward month settlement and market based assumptions regarding the "cheapest-to-deliver" collateral that can be delivered to satisfy the TBA contract, such as the anticipated collateral’s weighted average coupon, weighted average maturity and projected 1-month CPR. The average implied funding cost (benefit) for all TBA transactions is weighted based on our daily average TBA balance outstanding for the period.</w:t>
      </w:r>
    </w:p>
    <w:p>
      <w:pPr>
        <w:spacing w:after="0" w:line="1" w:lineRule="exact"/>
        <w:rPr>
          <w:rFonts w:ascii="Arial" w:cs="Arial" w:eastAsia="Arial" w:hAnsi="Arial"/>
          <w:sz w:val="14"/>
          <w:szCs w:val="14"/>
          <w:color w:val="auto"/>
        </w:rPr>
      </w:pPr>
    </w:p>
    <w:p>
      <w:pPr>
        <w:ind w:left="660" w:hanging="328"/>
        <w:spacing w:after="0" w:line="241" w:lineRule="auto"/>
        <w:tabs>
          <w:tab w:leader="none" w:pos="660" w:val="left"/>
        </w:tabs>
        <w:numPr>
          <w:ilvl w:val="0"/>
          <w:numId w:val="28"/>
        </w:numPr>
        <w:rPr>
          <w:rFonts w:ascii="Arial" w:cs="Arial" w:eastAsia="Arial" w:hAnsi="Arial"/>
          <w:sz w:val="14"/>
          <w:szCs w:val="14"/>
          <w:color w:val="auto"/>
        </w:rPr>
      </w:pPr>
      <w:r>
        <w:rPr>
          <w:rFonts w:ascii="Arial" w:cs="Arial" w:eastAsia="Arial" w:hAnsi="Arial"/>
          <w:sz w:val="14"/>
          <w:szCs w:val="14"/>
          <w:color w:val="auto"/>
        </w:rPr>
        <w:t>The combined cost of funds for total mortgage borrowings outstanding, before interest rate swap costs, is calculated on a weighted average basis based on average repo, other debt and TBA balances outstanding during the period and their respective cost of funds.</w:t>
      </w:r>
    </w:p>
    <w:p>
      <w:pPr>
        <w:ind w:left="660" w:hanging="328"/>
        <w:spacing w:after="0"/>
        <w:tabs>
          <w:tab w:leader="none" w:pos="660" w:val="left"/>
        </w:tabs>
        <w:numPr>
          <w:ilvl w:val="0"/>
          <w:numId w:val="28"/>
        </w:numPr>
        <w:rPr>
          <w:rFonts w:ascii="Arial" w:cs="Arial" w:eastAsia="Arial" w:hAnsi="Arial"/>
          <w:sz w:val="14"/>
          <w:szCs w:val="14"/>
          <w:color w:val="auto"/>
        </w:rPr>
      </w:pPr>
      <w:r>
        <w:rPr>
          <w:rFonts w:ascii="Arial" w:cs="Arial" w:eastAsia="Arial" w:hAnsi="Arial"/>
          <w:sz w:val="14"/>
          <w:szCs w:val="14"/>
          <w:color w:val="auto"/>
        </w:rPr>
        <w:t>Interest rate swap periodic income/cost is measured as a percent of average mortgage borrowings outstanding for the period.</w:t>
      </w:r>
    </w:p>
    <w:p>
      <w:pPr>
        <w:spacing w:after="0" w:line="236" w:lineRule="exact"/>
        <w:rPr>
          <w:sz w:val="20"/>
          <w:szCs w:val="20"/>
          <w:color w:val="auto"/>
        </w:rPr>
      </w:pPr>
    </w:p>
    <w:p>
      <w:pPr>
        <w:jc w:val="both"/>
        <w:ind w:right="20" w:firstLine="445"/>
        <w:spacing w:after="0" w:line="259" w:lineRule="auto"/>
        <w:rPr>
          <w:sz w:val="20"/>
          <w:szCs w:val="20"/>
          <w:color w:val="auto"/>
        </w:rPr>
      </w:pPr>
      <w:r>
        <w:rPr>
          <w:rFonts w:ascii="Arial" w:cs="Arial" w:eastAsia="Arial" w:hAnsi="Arial"/>
          <w:sz w:val="18"/>
          <w:szCs w:val="18"/>
          <w:color w:val="auto"/>
        </w:rPr>
        <w:t>The principal elements impacting our economic interest expense are (i) the size of our average mortgage borrowings and interest rate swap portfolio outstanding during the period, (ii) the average interest rate on our mortgage borrowings and (iii) the average net interest rate paid/received on our interest rate swaps. The following table includes a summary of the estimated impact of these elements on our economic interest expense for the three and six months ended June 30, 2022 compared to the prior year period (in millions):</w:t>
      </w:r>
    </w:p>
    <w:p>
      <w:pPr>
        <w:spacing w:after="0" w:line="16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Impact of Changes in the Principal Elements of Economic Interest Expense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219075</wp:posOffset>
            </wp:positionH>
            <wp:positionV relativeFrom="paragraph">
              <wp:posOffset>23495</wp:posOffset>
            </wp:positionV>
            <wp:extent cx="6703695" cy="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6703695" cy="8255"/>
                    </a:xfrm>
                    <a:prstGeom prst="rect">
                      <a:avLst/>
                    </a:prstGeom>
                    <a:noFill/>
                  </pic:spPr>
                </pic:pic>
              </a:graphicData>
            </a:graphic>
          </wp:anchor>
        </w:drawing>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Periods ended June 30, 2022 vs. June 30, 2021</w:t>
      </w:r>
    </w:p>
    <w:p>
      <w:pPr>
        <w:spacing w:after="0" w:line="25" w:lineRule="exact"/>
        <w:rPr>
          <w:sz w:val="20"/>
          <w:szCs w:val="20"/>
          <w:color w:val="auto"/>
        </w:rPr>
      </w:pPr>
    </w:p>
    <w:tbl>
      <w:tblPr>
        <w:tblLayout w:type="fixed"/>
        <w:tblInd w:w="340" w:type="dxa"/>
        <w:tblCellMar>
          <w:top w:w="0" w:type="dxa"/>
          <w:left w:w="0" w:type="dxa"/>
          <w:bottom w:w="0" w:type="dxa"/>
          <w:right w:w="0" w:type="dxa"/>
        </w:tblCellMar>
      </w:tblPr>
      <w:tr>
        <w:trPr>
          <w:trHeight w:val="192"/>
        </w:trPr>
        <w:tc>
          <w:tcPr>
            <w:tcW w:w="6100" w:type="dxa"/>
            <w:vAlign w:val="bottom"/>
            <w:tcBorders>
              <w:top w:val="single" w:sz="8" w:color="auto"/>
            </w:tcBorders>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240" w:type="dxa"/>
            <w:vAlign w:val="bottom"/>
            <w:tcBorders>
              <w:top w:val="single" w:sz="8" w:color="auto"/>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120" w:type="dxa"/>
            <w:vAlign w:val="bottom"/>
            <w:tcBorders>
              <w:top w:val="single" w:sz="8" w:color="auto"/>
              <w:bottom w:val="single" w:sz="8" w:color="auto"/>
            </w:tcBorders>
          </w:tcPr>
          <w:p>
            <w:pPr>
              <w:spacing w:after="0"/>
              <w:rPr>
                <w:sz w:val="16"/>
                <w:szCs w:val="16"/>
                <w:color w:val="auto"/>
              </w:rPr>
            </w:pPr>
          </w:p>
        </w:tc>
        <w:tc>
          <w:tcPr>
            <w:tcW w:w="2740" w:type="dxa"/>
            <w:vAlign w:val="bottom"/>
            <w:tcBorders>
              <w:top w:val="single" w:sz="8" w:color="auto"/>
              <w:bottom w:val="single" w:sz="8" w:color="auto"/>
            </w:tcBorders>
            <w:gridSpan w:val="4"/>
          </w:tcPr>
          <w:p>
            <w:pPr>
              <w:ind w:left="500"/>
              <w:spacing w:after="0"/>
              <w:rPr>
                <w:sz w:val="20"/>
                <w:szCs w:val="20"/>
                <w:color w:val="auto"/>
              </w:rPr>
            </w:pPr>
            <w:r>
              <w:rPr>
                <w:rFonts w:ascii="Arial" w:cs="Arial" w:eastAsia="Arial" w:hAnsi="Arial"/>
                <w:sz w:val="14"/>
                <w:szCs w:val="14"/>
                <w:b w:val="1"/>
                <w:bCs w:val="1"/>
                <w:color w:val="auto"/>
              </w:rPr>
              <w:t>Due to Change in Average</w:t>
            </w:r>
          </w:p>
        </w:tc>
        <w:tc>
          <w:tcPr>
            <w:tcW w:w="0" w:type="dxa"/>
            <w:vAlign w:val="bottom"/>
          </w:tcPr>
          <w:p>
            <w:pPr>
              <w:spacing w:after="0"/>
              <w:rPr>
                <w:sz w:val="1"/>
                <w:szCs w:val="1"/>
                <w:color w:val="auto"/>
              </w:rPr>
            </w:pPr>
          </w:p>
        </w:tc>
      </w:tr>
      <w:tr>
        <w:trPr>
          <w:trHeight w:val="131"/>
        </w:trPr>
        <w:tc>
          <w:tcPr>
            <w:tcW w:w="622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Three months ended:</w:t>
            </w:r>
          </w:p>
        </w:tc>
        <w:tc>
          <w:tcPr>
            <w:tcW w:w="140" w:type="dxa"/>
            <w:vAlign w:val="bottom"/>
          </w:tcPr>
          <w:p>
            <w:pPr>
              <w:spacing w:after="0"/>
              <w:rPr>
                <w:sz w:val="11"/>
                <w:szCs w:val="11"/>
                <w:color w:val="auto"/>
              </w:rPr>
            </w:pPr>
          </w:p>
        </w:tc>
        <w:tc>
          <w:tcPr>
            <w:tcW w:w="1340" w:type="dxa"/>
            <w:vAlign w:val="bottom"/>
            <w:gridSpan w:val="2"/>
          </w:tcPr>
          <w:p>
            <w:pPr>
              <w:jc w:val="center"/>
              <w:ind w:right="240"/>
              <w:spacing w:after="0" w:line="131" w:lineRule="exact"/>
              <w:rPr>
                <w:sz w:val="20"/>
                <w:szCs w:val="20"/>
                <w:color w:val="auto"/>
              </w:rPr>
            </w:pPr>
            <w:r>
              <w:rPr>
                <w:rFonts w:ascii="Arial" w:cs="Arial" w:eastAsia="Arial" w:hAnsi="Arial"/>
                <w:sz w:val="14"/>
                <w:szCs w:val="14"/>
                <w:b w:val="1"/>
                <w:bCs w:val="1"/>
                <w:color w:val="auto"/>
                <w:w w:val="92"/>
              </w:rPr>
              <w:t>Total Increase /</w:t>
            </w:r>
          </w:p>
        </w:tc>
        <w:tc>
          <w:tcPr>
            <w:tcW w:w="120" w:type="dxa"/>
            <w:vAlign w:val="bottom"/>
          </w:tcPr>
          <w:p>
            <w:pPr>
              <w:spacing w:after="0"/>
              <w:rPr>
                <w:sz w:val="11"/>
                <w:szCs w:val="11"/>
                <w:color w:val="auto"/>
              </w:rPr>
            </w:pPr>
          </w:p>
        </w:tc>
        <w:tc>
          <w:tcPr>
            <w:tcW w:w="1360" w:type="dxa"/>
            <w:vAlign w:val="bottom"/>
            <w:gridSpan w:val="2"/>
          </w:tcPr>
          <w:p>
            <w:pPr>
              <w:jc w:val="center"/>
              <w:ind w:right="220"/>
              <w:spacing w:after="0" w:line="131" w:lineRule="exact"/>
              <w:rPr>
                <w:sz w:val="20"/>
                <w:szCs w:val="20"/>
                <w:color w:val="auto"/>
              </w:rPr>
            </w:pPr>
            <w:r>
              <w:rPr>
                <w:rFonts w:ascii="Arial" w:cs="Arial" w:eastAsia="Arial" w:hAnsi="Arial"/>
                <w:sz w:val="14"/>
                <w:szCs w:val="14"/>
                <w:b w:val="1"/>
                <w:bCs w:val="1"/>
                <w:color w:val="auto"/>
                <w:w w:val="92"/>
              </w:rPr>
              <w:t>Borrowing / Swap</w:t>
            </w:r>
          </w:p>
        </w:tc>
        <w:tc>
          <w:tcPr>
            <w:tcW w:w="120" w:type="dxa"/>
            <w:vAlign w:val="bottom"/>
          </w:tcPr>
          <w:p>
            <w:pPr>
              <w:spacing w:after="0"/>
              <w:rPr>
                <w:sz w:val="11"/>
                <w:szCs w:val="11"/>
                <w:color w:val="auto"/>
              </w:rPr>
            </w:pPr>
          </w:p>
        </w:tc>
        <w:tc>
          <w:tcPr>
            <w:tcW w:w="1260" w:type="dxa"/>
            <w:vAlign w:val="bottom"/>
          </w:tcPr>
          <w:p>
            <w:pPr>
              <w:jc w:val="center"/>
              <w:ind w:right="48"/>
              <w:spacing w:after="0" w:line="131" w:lineRule="exact"/>
              <w:rPr>
                <w:sz w:val="20"/>
                <w:szCs w:val="20"/>
                <w:color w:val="auto"/>
              </w:rPr>
            </w:pPr>
            <w:r>
              <w:rPr>
                <w:rFonts w:ascii="Arial" w:cs="Arial" w:eastAsia="Arial" w:hAnsi="Arial"/>
                <w:sz w:val="14"/>
                <w:szCs w:val="14"/>
                <w:b w:val="1"/>
                <w:bCs w:val="1"/>
                <w:color w:val="auto"/>
                <w:w w:val="92"/>
              </w:rPr>
              <w:t>Borrowing / Swap</w:t>
            </w:r>
          </w:p>
        </w:tc>
        <w:tc>
          <w:tcPr>
            <w:tcW w:w="0" w:type="dxa"/>
            <w:vAlign w:val="bottom"/>
          </w:tcPr>
          <w:p>
            <w:pPr>
              <w:spacing w:after="0"/>
              <w:rPr>
                <w:sz w:val="1"/>
                <w:szCs w:val="1"/>
                <w:color w:val="auto"/>
              </w:rPr>
            </w:pPr>
          </w:p>
        </w:tc>
      </w:tr>
      <w:tr>
        <w:trPr>
          <w:trHeight w:val="188"/>
        </w:trPr>
        <w:tc>
          <w:tcPr>
            <w:tcW w:w="622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13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9"/>
              </w:rPr>
              <w:t>(Decrease)</w:t>
            </w:r>
          </w:p>
        </w:tc>
        <w:tc>
          <w:tcPr>
            <w:tcW w:w="120" w:type="dxa"/>
            <w:vAlign w:val="bottom"/>
          </w:tcPr>
          <w:p>
            <w:pPr>
              <w:spacing w:after="0"/>
              <w:rPr>
                <w:sz w:val="16"/>
                <w:szCs w:val="16"/>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3"/>
              </w:rPr>
              <w:t>Balance</w:t>
            </w:r>
          </w:p>
        </w:tc>
        <w:tc>
          <w:tcPr>
            <w:tcW w:w="120" w:type="dxa"/>
            <w:vAlign w:val="bottom"/>
          </w:tcPr>
          <w:p>
            <w:pPr>
              <w:spacing w:after="0"/>
              <w:rPr>
                <w:sz w:val="16"/>
                <w:szCs w:val="16"/>
                <w:color w:val="auto"/>
              </w:rPr>
            </w:pPr>
          </w:p>
        </w:tc>
        <w:tc>
          <w:tcPr>
            <w:tcW w:w="1260" w:type="dxa"/>
            <w:vAlign w:val="bottom"/>
          </w:tcPr>
          <w:p>
            <w:pPr>
              <w:jc w:val="center"/>
              <w:ind w:right="28"/>
              <w:spacing w:after="0"/>
              <w:rPr>
                <w:sz w:val="20"/>
                <w:szCs w:val="20"/>
                <w:color w:val="auto"/>
              </w:rPr>
            </w:pPr>
            <w:r>
              <w:rPr>
                <w:rFonts w:ascii="Arial" w:cs="Arial" w:eastAsia="Arial" w:hAnsi="Arial"/>
                <w:sz w:val="14"/>
                <w:szCs w:val="14"/>
                <w:b w:val="1"/>
                <w:bCs w:val="1"/>
                <w:color w:val="auto"/>
                <w:w w:val="92"/>
              </w:rPr>
              <w:t>Rate</w:t>
            </w:r>
          </w:p>
        </w:tc>
        <w:tc>
          <w:tcPr>
            <w:tcW w:w="0" w:type="dxa"/>
            <w:vAlign w:val="bottom"/>
          </w:tcPr>
          <w:p>
            <w:pPr>
              <w:spacing w:after="0"/>
              <w:rPr>
                <w:sz w:val="1"/>
                <w:szCs w:val="1"/>
                <w:color w:val="auto"/>
              </w:rPr>
            </w:pPr>
          </w:p>
        </w:tc>
      </w:tr>
      <w:tr>
        <w:trPr>
          <w:trHeight w:val="184"/>
        </w:trPr>
        <w:tc>
          <w:tcPr>
            <w:tcW w:w="61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Repurchase agreements and other debt interest expense</w:t>
            </w:r>
          </w:p>
        </w:tc>
        <w:tc>
          <w:tcPr>
            <w:tcW w:w="12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240" w:type="dxa"/>
            <w:vAlign w:val="bottom"/>
            <w:tcBorders>
              <w:top w:val="single" w:sz="8" w:color="auto"/>
            </w:tcBorders>
            <w:shd w:val="clear" w:color="auto" w:fill="CCEEFF"/>
          </w:tcPr>
          <w:p>
            <w:pPr>
              <w:jc w:val="center"/>
              <w:ind w:left="868"/>
              <w:spacing w:after="0"/>
              <w:rPr>
                <w:sz w:val="20"/>
                <w:szCs w:val="20"/>
                <w:color w:val="auto"/>
              </w:rPr>
            </w:pPr>
            <w:r>
              <w:rPr>
                <w:rFonts w:ascii="Arial" w:cs="Arial" w:eastAsia="Arial" w:hAnsi="Arial"/>
                <w:sz w:val="14"/>
                <w:szCs w:val="14"/>
                <w:color w:val="auto"/>
                <w:w w:val="89"/>
              </w:rPr>
              <w:t>63</w:t>
            </w:r>
          </w:p>
        </w:tc>
        <w:tc>
          <w:tcPr>
            <w:tcW w:w="10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w:t>
            </w:r>
          </w:p>
        </w:tc>
        <w:tc>
          <w:tcPr>
            <w:tcW w:w="10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60" w:type="dxa"/>
            <w:vAlign w:val="bottom"/>
            <w:tcBorders>
              <w:top w:val="single" w:sz="8" w:color="auto"/>
            </w:tcBorders>
            <w:shd w:val="clear" w:color="auto" w:fill="CCEEFF"/>
          </w:tcPr>
          <w:p>
            <w:pPr>
              <w:jc w:val="center"/>
              <w:ind w:left="928"/>
              <w:spacing w:after="0"/>
              <w:rPr>
                <w:sz w:val="20"/>
                <w:szCs w:val="20"/>
                <w:color w:val="auto"/>
              </w:rPr>
            </w:pPr>
            <w:r>
              <w:rPr>
                <w:rFonts w:ascii="Arial" w:cs="Arial" w:eastAsia="Arial" w:hAnsi="Arial"/>
                <w:sz w:val="14"/>
                <w:szCs w:val="14"/>
                <w:color w:val="auto"/>
                <w:w w:val="89"/>
              </w:rPr>
              <w:t>66</w:t>
            </w:r>
          </w:p>
        </w:tc>
        <w:tc>
          <w:tcPr>
            <w:tcW w:w="0" w:type="dxa"/>
            <w:vAlign w:val="bottom"/>
          </w:tcPr>
          <w:p>
            <w:pPr>
              <w:spacing w:after="0"/>
              <w:rPr>
                <w:sz w:val="1"/>
                <w:szCs w:val="1"/>
                <w:color w:val="auto"/>
              </w:rPr>
            </w:pPr>
          </w:p>
        </w:tc>
      </w:tr>
      <w:tr>
        <w:trPr>
          <w:trHeight w:val="186"/>
        </w:trPr>
        <w:tc>
          <w:tcPr>
            <w:tcW w:w="6220" w:type="dxa"/>
            <w:vAlign w:val="bottom"/>
            <w:gridSpan w:val="2"/>
          </w:tcPr>
          <w:p>
            <w:pPr>
              <w:ind w:left="20"/>
              <w:spacing w:after="0"/>
              <w:rPr>
                <w:sz w:val="20"/>
                <w:szCs w:val="20"/>
                <w:color w:val="auto"/>
              </w:rPr>
            </w:pPr>
            <w:r>
              <w:rPr>
                <w:rFonts w:ascii="Arial" w:cs="Arial" w:eastAsia="Arial" w:hAnsi="Arial"/>
                <w:sz w:val="14"/>
                <w:szCs w:val="14"/>
                <w:color w:val="auto"/>
              </w:rPr>
              <w:t>TBA dollar roll income - implied interest benefit/expense</w:t>
            </w:r>
          </w:p>
        </w:tc>
        <w:tc>
          <w:tcPr>
            <w:tcW w:w="140" w:type="dxa"/>
            <w:vAlign w:val="bottom"/>
          </w:tcPr>
          <w:p>
            <w:pPr>
              <w:spacing w:after="0"/>
              <w:rPr>
                <w:sz w:val="16"/>
                <w:szCs w:val="16"/>
                <w:color w:val="auto"/>
              </w:rPr>
            </w:pPr>
          </w:p>
        </w:tc>
        <w:tc>
          <w:tcPr>
            <w:tcW w:w="1240" w:type="dxa"/>
            <w:vAlign w:val="bottom"/>
          </w:tcPr>
          <w:p>
            <w:pPr>
              <w:jc w:val="center"/>
              <w:ind w:left="868"/>
              <w:spacing w:after="0"/>
              <w:rPr>
                <w:sz w:val="20"/>
                <w:szCs w:val="20"/>
                <w:color w:val="auto"/>
              </w:rPr>
            </w:pPr>
            <w:r>
              <w:rPr>
                <w:rFonts w:ascii="Arial" w:cs="Arial" w:eastAsia="Arial" w:hAnsi="Arial"/>
                <w:sz w:val="14"/>
                <w:szCs w:val="14"/>
                <w:color w:val="auto"/>
                <w:w w:val="89"/>
              </w:rPr>
              <w:t>21</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60" w:type="dxa"/>
            <w:vAlign w:val="bottom"/>
          </w:tcPr>
          <w:p>
            <w:pPr>
              <w:jc w:val="right"/>
              <w:spacing w:after="0"/>
              <w:rPr>
                <w:sz w:val="20"/>
                <w:szCs w:val="20"/>
                <w:color w:val="auto"/>
              </w:rPr>
            </w:pPr>
            <w:r>
              <w:rPr>
                <w:rFonts w:ascii="Arial" w:cs="Arial" w:eastAsia="Arial" w:hAnsi="Arial"/>
                <w:sz w:val="14"/>
                <w:szCs w:val="14"/>
                <w:color w:val="auto"/>
              </w:rPr>
              <w:t>7</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60" w:type="dxa"/>
            <w:vAlign w:val="bottom"/>
          </w:tcPr>
          <w:p>
            <w:pPr>
              <w:jc w:val="center"/>
              <w:ind w:left="928"/>
              <w:spacing w:after="0"/>
              <w:rPr>
                <w:sz w:val="20"/>
                <w:szCs w:val="20"/>
                <w:color w:val="auto"/>
              </w:rPr>
            </w:pPr>
            <w:r>
              <w:rPr>
                <w:rFonts w:ascii="Arial" w:cs="Arial" w:eastAsia="Arial" w:hAnsi="Arial"/>
                <w:sz w:val="14"/>
                <w:szCs w:val="14"/>
                <w:color w:val="auto"/>
                <w:w w:val="89"/>
              </w:rPr>
              <w:t>14</w:t>
            </w:r>
          </w:p>
        </w:tc>
        <w:tc>
          <w:tcPr>
            <w:tcW w:w="0" w:type="dxa"/>
            <w:vAlign w:val="bottom"/>
          </w:tcPr>
          <w:p>
            <w:pPr>
              <w:spacing w:after="0"/>
              <w:rPr>
                <w:sz w:val="1"/>
                <w:szCs w:val="1"/>
                <w:color w:val="auto"/>
              </w:rPr>
            </w:pPr>
          </w:p>
        </w:tc>
      </w:tr>
      <w:tr>
        <w:trPr>
          <w:trHeight w:val="189"/>
        </w:trPr>
        <w:tc>
          <w:tcPr>
            <w:tcW w:w="62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Interest rate swap periodic income/cost</w:t>
            </w:r>
          </w:p>
        </w:tc>
        <w:tc>
          <w:tcPr>
            <w:tcW w:w="140" w:type="dxa"/>
            <w:vAlign w:val="bottom"/>
            <w:shd w:val="clear" w:color="auto" w:fill="CCEEFF"/>
          </w:tcPr>
          <w:p>
            <w:pPr>
              <w:spacing w:after="0"/>
              <w:rPr>
                <w:sz w:val="16"/>
                <w:szCs w:val="16"/>
                <w:color w:val="auto"/>
              </w:rPr>
            </w:pPr>
          </w:p>
        </w:tc>
        <w:tc>
          <w:tcPr>
            <w:tcW w:w="1240" w:type="dxa"/>
            <w:vAlign w:val="bottom"/>
            <w:shd w:val="clear" w:color="auto" w:fill="CCEEFF"/>
          </w:tcPr>
          <w:p>
            <w:pPr>
              <w:jc w:val="center"/>
              <w:ind w:left="848"/>
              <w:spacing w:after="0"/>
              <w:rPr>
                <w:sz w:val="20"/>
                <w:szCs w:val="20"/>
                <w:color w:val="auto"/>
              </w:rPr>
            </w:pPr>
            <w:r>
              <w:rPr>
                <w:rFonts w:ascii="Arial" w:cs="Arial" w:eastAsia="Arial" w:hAnsi="Arial"/>
                <w:sz w:val="14"/>
                <w:szCs w:val="14"/>
                <w:color w:val="auto"/>
                <w:w w:val="96"/>
              </w:rPr>
              <w:t>(68)</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3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1260" w:type="dxa"/>
            <w:vAlign w:val="bottom"/>
            <w:shd w:val="clear" w:color="auto" w:fill="CCEEFF"/>
          </w:tcPr>
          <w:p>
            <w:pPr>
              <w:jc w:val="center"/>
              <w:ind w:left="908"/>
              <w:spacing w:after="0"/>
              <w:rPr>
                <w:sz w:val="20"/>
                <w:szCs w:val="20"/>
                <w:color w:val="auto"/>
              </w:rPr>
            </w:pPr>
            <w:r>
              <w:rPr>
                <w:rFonts w:ascii="Arial" w:cs="Arial" w:eastAsia="Arial" w:hAnsi="Arial"/>
                <w:sz w:val="14"/>
                <w:szCs w:val="14"/>
                <w:color w:val="auto"/>
                <w:w w:val="96"/>
              </w:rPr>
              <w:t>(68)</w:t>
            </w:r>
          </w:p>
        </w:tc>
        <w:tc>
          <w:tcPr>
            <w:tcW w:w="0" w:type="dxa"/>
            <w:vAlign w:val="bottom"/>
          </w:tcPr>
          <w:p>
            <w:pPr>
              <w:spacing w:after="0"/>
              <w:rPr>
                <w:sz w:val="1"/>
                <w:szCs w:val="1"/>
                <w:color w:val="auto"/>
              </w:rPr>
            </w:pPr>
          </w:p>
        </w:tc>
      </w:tr>
      <w:tr>
        <w:trPr>
          <w:trHeight w:val="186"/>
        </w:trPr>
        <w:tc>
          <w:tcPr>
            <w:tcW w:w="6220" w:type="dxa"/>
            <w:vAlign w:val="bottom"/>
            <w:gridSpan w:val="2"/>
          </w:tcPr>
          <w:p>
            <w:pPr>
              <w:ind w:left="20"/>
              <w:spacing w:after="0"/>
              <w:rPr>
                <w:sz w:val="20"/>
                <w:szCs w:val="20"/>
                <w:color w:val="auto"/>
              </w:rPr>
            </w:pPr>
            <w:r>
              <w:rPr>
                <w:rFonts w:ascii="Arial" w:cs="Arial" w:eastAsia="Arial" w:hAnsi="Arial"/>
                <w:sz w:val="14"/>
                <w:szCs w:val="14"/>
                <w:color w:val="auto"/>
              </w:rPr>
              <w:t>Total change in economic interest benefit/expense</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240" w:type="dxa"/>
            <w:vAlign w:val="bottom"/>
            <w:tcBorders>
              <w:top w:val="single" w:sz="8" w:color="auto"/>
              <w:bottom w:val="single" w:sz="8" w:color="auto"/>
            </w:tcBorders>
          </w:tcPr>
          <w:p>
            <w:pPr>
              <w:jc w:val="center"/>
              <w:ind w:left="868"/>
              <w:spacing w:after="0"/>
              <w:rPr>
                <w:sz w:val="20"/>
                <w:szCs w:val="20"/>
                <w:color w:val="auto"/>
              </w:rPr>
            </w:pPr>
            <w:r>
              <w:rPr>
                <w:rFonts w:ascii="Arial" w:cs="Arial" w:eastAsia="Arial" w:hAnsi="Arial"/>
                <w:sz w:val="14"/>
                <w:szCs w:val="14"/>
                <w:color w:val="auto"/>
                <w:w w:val="89"/>
              </w:rPr>
              <w:t>16</w:t>
            </w:r>
          </w:p>
        </w:tc>
        <w:tc>
          <w:tcPr>
            <w:tcW w:w="100" w:type="dxa"/>
            <w:vAlign w:val="bottom"/>
          </w:tcPr>
          <w:p>
            <w:pPr>
              <w:spacing w:after="0"/>
              <w:rPr>
                <w:sz w:val="16"/>
                <w:szCs w:val="16"/>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2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4</w:t>
            </w:r>
          </w:p>
        </w:tc>
        <w:tc>
          <w:tcPr>
            <w:tcW w:w="100" w:type="dxa"/>
            <w:vAlign w:val="bottom"/>
          </w:tcPr>
          <w:p>
            <w:pPr>
              <w:spacing w:after="0"/>
              <w:rPr>
                <w:sz w:val="16"/>
                <w:szCs w:val="16"/>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260" w:type="dxa"/>
            <w:vAlign w:val="bottom"/>
            <w:tcBorders>
              <w:top w:val="single" w:sz="8" w:color="auto"/>
              <w:bottom w:val="single" w:sz="8" w:color="auto"/>
            </w:tcBorders>
          </w:tcPr>
          <w:p>
            <w:pPr>
              <w:jc w:val="center"/>
              <w:ind w:left="928"/>
              <w:spacing w:after="0"/>
              <w:rPr>
                <w:sz w:val="20"/>
                <w:szCs w:val="20"/>
                <w:color w:val="auto"/>
              </w:rPr>
            </w:pPr>
            <w:r>
              <w:rPr>
                <w:rFonts w:ascii="Arial" w:cs="Arial" w:eastAsia="Arial" w:hAnsi="Arial"/>
                <w:sz w:val="14"/>
                <w:szCs w:val="14"/>
                <w:color w:val="auto"/>
                <w:w w:val="89"/>
              </w:rPr>
              <w:t>12</w:t>
            </w:r>
          </w:p>
        </w:tc>
        <w:tc>
          <w:tcPr>
            <w:tcW w:w="0" w:type="dxa"/>
            <w:vAlign w:val="bottom"/>
          </w:tcPr>
          <w:p>
            <w:pPr>
              <w:spacing w:after="0"/>
              <w:rPr>
                <w:sz w:val="1"/>
                <w:szCs w:val="1"/>
                <w:color w:val="auto"/>
              </w:rPr>
            </w:pPr>
          </w:p>
        </w:tc>
      </w:tr>
      <w:tr>
        <w:trPr>
          <w:trHeight w:val="20"/>
        </w:trPr>
        <w:tc>
          <w:tcPr>
            <w:tcW w:w="61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6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2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2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2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bl>
    <w:p>
      <w:pPr>
        <w:ind w:left="8660"/>
        <w:spacing w:after="0"/>
        <w:rPr>
          <w:sz w:val="20"/>
          <w:szCs w:val="20"/>
          <w:color w:val="auto"/>
        </w:rPr>
      </w:pPr>
      <w:r>
        <w:rPr>
          <w:rFonts w:ascii="Arial" w:cs="Arial" w:eastAsia="Arial" w:hAnsi="Arial"/>
          <w:sz w:val="14"/>
          <w:szCs w:val="14"/>
          <w:b w:val="1"/>
          <w:bCs w:val="1"/>
          <w:color w:val="auto"/>
        </w:rPr>
        <w:t>Due to Change in Average</w:t>
      </w:r>
    </w:p>
    <w:p>
      <w:pPr>
        <w:spacing w:after="0" w:line="16" w:lineRule="exact"/>
        <w:rPr>
          <w:sz w:val="20"/>
          <w:szCs w:val="20"/>
          <w:color w:val="auto"/>
        </w:rPr>
      </w:pPr>
    </w:p>
    <w:tbl>
      <w:tblPr>
        <w:tblLayout w:type="fixed"/>
        <w:tblInd w:w="340" w:type="dxa"/>
        <w:tblCellMar>
          <w:top w:w="0" w:type="dxa"/>
          <w:left w:w="0" w:type="dxa"/>
          <w:bottom w:w="0" w:type="dxa"/>
          <w:right w:w="0" w:type="dxa"/>
        </w:tblCellMar>
      </w:tblPr>
      <w:tr>
        <w:trPr>
          <w:trHeight w:val="140"/>
        </w:trPr>
        <w:tc>
          <w:tcPr>
            <w:tcW w:w="6220" w:type="dxa"/>
            <w:vAlign w:val="bottom"/>
            <w:tcBorders>
              <w:top w:val="single" w:sz="8" w:color="CCEEFF"/>
            </w:tcBorders>
            <w:gridSpan w:val="2"/>
            <w:vMerge w:val="restart"/>
            <w:shd w:val="clear" w:color="auto" w:fill="CCEEFF"/>
          </w:tcPr>
          <w:p>
            <w:pPr>
              <w:ind w:left="20"/>
              <w:spacing w:after="0"/>
              <w:rPr>
                <w:sz w:val="20"/>
                <w:szCs w:val="20"/>
                <w:color w:val="auto"/>
              </w:rPr>
            </w:pPr>
            <w:r>
              <w:rPr>
                <w:rFonts w:ascii="Arial" w:cs="Arial" w:eastAsia="Arial" w:hAnsi="Arial"/>
                <w:sz w:val="14"/>
                <w:szCs w:val="14"/>
                <w:b w:val="1"/>
                <w:bCs w:val="1"/>
                <w:color w:val="auto"/>
              </w:rPr>
              <w:t>Six months ended:</w:t>
            </w:r>
          </w:p>
        </w:tc>
        <w:tc>
          <w:tcPr>
            <w:tcW w:w="140" w:type="dxa"/>
            <w:vAlign w:val="bottom"/>
            <w:tcBorders>
              <w:top w:val="single" w:sz="8" w:color="CCEEFF"/>
            </w:tcBorders>
            <w:shd w:val="clear" w:color="auto" w:fill="CCEEFF"/>
          </w:tcPr>
          <w:p>
            <w:pPr>
              <w:spacing w:after="0"/>
              <w:rPr>
                <w:sz w:val="12"/>
                <w:szCs w:val="12"/>
                <w:color w:val="auto"/>
              </w:rPr>
            </w:pPr>
          </w:p>
        </w:tc>
        <w:tc>
          <w:tcPr>
            <w:tcW w:w="1340" w:type="dxa"/>
            <w:vAlign w:val="bottom"/>
            <w:tcBorders>
              <w:top w:val="single" w:sz="8" w:color="CCEEFF"/>
            </w:tcBorders>
            <w:gridSpan w:val="2"/>
            <w:shd w:val="clear" w:color="auto" w:fill="CCEEFF"/>
          </w:tcPr>
          <w:p>
            <w:pPr>
              <w:jc w:val="center"/>
              <w:ind w:right="240"/>
              <w:spacing w:after="0" w:line="141" w:lineRule="exact"/>
              <w:rPr>
                <w:sz w:val="20"/>
                <w:szCs w:val="20"/>
                <w:color w:val="auto"/>
              </w:rPr>
            </w:pPr>
            <w:r>
              <w:rPr>
                <w:rFonts w:ascii="Arial" w:cs="Arial" w:eastAsia="Arial" w:hAnsi="Arial"/>
                <w:sz w:val="14"/>
                <w:szCs w:val="14"/>
                <w:b w:val="1"/>
                <w:bCs w:val="1"/>
                <w:color w:val="auto"/>
                <w:w w:val="92"/>
              </w:rPr>
              <w:t>Total Increase /</w:t>
            </w:r>
          </w:p>
        </w:tc>
        <w:tc>
          <w:tcPr>
            <w:tcW w:w="120" w:type="dxa"/>
            <w:vAlign w:val="bottom"/>
            <w:tcBorders>
              <w:top w:val="single" w:sz="8" w:color="auto"/>
            </w:tcBorders>
            <w:shd w:val="clear" w:color="auto" w:fill="CCEEFF"/>
          </w:tcPr>
          <w:p>
            <w:pPr>
              <w:spacing w:after="0"/>
              <w:rPr>
                <w:sz w:val="12"/>
                <w:szCs w:val="12"/>
                <w:color w:val="auto"/>
              </w:rPr>
            </w:pPr>
          </w:p>
        </w:tc>
        <w:tc>
          <w:tcPr>
            <w:tcW w:w="1360" w:type="dxa"/>
            <w:vAlign w:val="bottom"/>
            <w:tcBorders>
              <w:top w:val="single" w:sz="8" w:color="auto"/>
            </w:tcBorders>
            <w:gridSpan w:val="2"/>
            <w:shd w:val="clear" w:color="auto" w:fill="CCEEFF"/>
          </w:tcPr>
          <w:p>
            <w:pPr>
              <w:jc w:val="center"/>
              <w:ind w:right="220"/>
              <w:spacing w:after="0" w:line="141" w:lineRule="exact"/>
              <w:rPr>
                <w:sz w:val="20"/>
                <w:szCs w:val="20"/>
                <w:color w:val="auto"/>
              </w:rPr>
            </w:pPr>
            <w:r>
              <w:rPr>
                <w:rFonts w:ascii="Arial" w:cs="Arial" w:eastAsia="Arial" w:hAnsi="Arial"/>
                <w:sz w:val="14"/>
                <w:szCs w:val="14"/>
                <w:b w:val="1"/>
                <w:bCs w:val="1"/>
                <w:color w:val="auto"/>
                <w:w w:val="92"/>
              </w:rPr>
              <w:t>Borrowing / Swap</w:t>
            </w:r>
          </w:p>
        </w:tc>
        <w:tc>
          <w:tcPr>
            <w:tcW w:w="120" w:type="dxa"/>
            <w:vAlign w:val="bottom"/>
            <w:tcBorders>
              <w:top w:val="single" w:sz="8" w:color="auto"/>
            </w:tcBorders>
            <w:shd w:val="clear" w:color="auto" w:fill="CCEEFF"/>
          </w:tcPr>
          <w:p>
            <w:pPr>
              <w:spacing w:after="0"/>
              <w:rPr>
                <w:sz w:val="12"/>
                <w:szCs w:val="12"/>
                <w:color w:val="auto"/>
              </w:rPr>
            </w:pPr>
          </w:p>
        </w:tc>
        <w:tc>
          <w:tcPr>
            <w:tcW w:w="1260" w:type="dxa"/>
            <w:vAlign w:val="bottom"/>
            <w:tcBorders>
              <w:top w:val="single" w:sz="8" w:color="auto"/>
            </w:tcBorders>
            <w:shd w:val="clear" w:color="auto" w:fill="CCEEFF"/>
          </w:tcPr>
          <w:p>
            <w:pPr>
              <w:jc w:val="center"/>
              <w:ind w:right="48"/>
              <w:spacing w:after="0" w:line="141" w:lineRule="exact"/>
              <w:rPr>
                <w:sz w:val="20"/>
                <w:szCs w:val="20"/>
                <w:color w:val="auto"/>
              </w:rPr>
            </w:pPr>
            <w:r>
              <w:rPr>
                <w:rFonts w:ascii="Arial" w:cs="Arial" w:eastAsia="Arial" w:hAnsi="Arial"/>
                <w:sz w:val="14"/>
                <w:szCs w:val="14"/>
                <w:b w:val="1"/>
                <w:bCs w:val="1"/>
                <w:color w:val="auto"/>
                <w:w w:val="92"/>
              </w:rPr>
              <w:t>Borrowing / Swap</w:t>
            </w:r>
          </w:p>
        </w:tc>
        <w:tc>
          <w:tcPr>
            <w:tcW w:w="0" w:type="dxa"/>
            <w:vAlign w:val="bottom"/>
          </w:tcPr>
          <w:p>
            <w:pPr>
              <w:spacing w:after="0"/>
              <w:rPr>
                <w:sz w:val="1"/>
                <w:szCs w:val="1"/>
                <w:color w:val="auto"/>
              </w:rPr>
            </w:pPr>
          </w:p>
        </w:tc>
      </w:tr>
      <w:tr>
        <w:trPr>
          <w:trHeight w:val="189"/>
        </w:trPr>
        <w:tc>
          <w:tcPr>
            <w:tcW w:w="6220" w:type="dxa"/>
            <w:vAlign w:val="bottom"/>
            <w:gridSpan w:val="2"/>
            <w:vMerge w:val="continue"/>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340" w:type="dxa"/>
            <w:vAlign w:val="bottom"/>
            <w:gridSpan w:val="2"/>
            <w:shd w:val="clear" w:color="auto" w:fill="CCEEFF"/>
          </w:tcPr>
          <w:p>
            <w:pPr>
              <w:jc w:val="center"/>
              <w:ind w:right="260"/>
              <w:spacing w:after="0"/>
              <w:rPr>
                <w:sz w:val="20"/>
                <w:szCs w:val="20"/>
                <w:color w:val="auto"/>
              </w:rPr>
            </w:pPr>
            <w:r>
              <w:rPr>
                <w:rFonts w:ascii="Arial" w:cs="Arial" w:eastAsia="Arial" w:hAnsi="Arial"/>
                <w:sz w:val="14"/>
                <w:szCs w:val="14"/>
                <w:b w:val="1"/>
                <w:bCs w:val="1"/>
                <w:color w:val="auto"/>
                <w:w w:val="89"/>
              </w:rPr>
              <w:t>(Decrease)</w:t>
            </w:r>
          </w:p>
        </w:tc>
        <w:tc>
          <w:tcPr>
            <w:tcW w:w="120" w:type="dxa"/>
            <w:vAlign w:val="bottom"/>
            <w:shd w:val="clear" w:color="auto" w:fill="CCEEFF"/>
          </w:tcPr>
          <w:p>
            <w:pPr>
              <w:spacing w:after="0"/>
              <w:rPr>
                <w:sz w:val="16"/>
                <w:szCs w:val="16"/>
                <w:color w:val="auto"/>
              </w:rPr>
            </w:pPr>
          </w:p>
        </w:tc>
        <w:tc>
          <w:tcPr>
            <w:tcW w:w="1360" w:type="dxa"/>
            <w:vAlign w:val="bottom"/>
            <w:gridSpan w:val="2"/>
            <w:shd w:val="clear" w:color="auto" w:fill="CCEEFF"/>
          </w:tcPr>
          <w:p>
            <w:pPr>
              <w:jc w:val="center"/>
              <w:ind w:right="220"/>
              <w:spacing w:after="0"/>
              <w:rPr>
                <w:sz w:val="20"/>
                <w:szCs w:val="20"/>
                <w:color w:val="auto"/>
              </w:rPr>
            </w:pPr>
            <w:r>
              <w:rPr>
                <w:rFonts w:ascii="Arial" w:cs="Arial" w:eastAsia="Arial" w:hAnsi="Arial"/>
                <w:sz w:val="14"/>
                <w:szCs w:val="14"/>
                <w:b w:val="1"/>
                <w:bCs w:val="1"/>
                <w:color w:val="auto"/>
                <w:w w:val="93"/>
              </w:rPr>
              <w:t>Balance</w:t>
            </w:r>
          </w:p>
        </w:tc>
        <w:tc>
          <w:tcPr>
            <w:tcW w:w="120" w:type="dxa"/>
            <w:vAlign w:val="bottom"/>
            <w:shd w:val="clear" w:color="auto" w:fill="CCEEFF"/>
          </w:tcPr>
          <w:p>
            <w:pPr>
              <w:spacing w:after="0"/>
              <w:rPr>
                <w:sz w:val="16"/>
                <w:szCs w:val="16"/>
                <w:color w:val="auto"/>
              </w:rPr>
            </w:pPr>
          </w:p>
        </w:tc>
        <w:tc>
          <w:tcPr>
            <w:tcW w:w="1260" w:type="dxa"/>
            <w:vAlign w:val="bottom"/>
            <w:shd w:val="clear" w:color="auto" w:fill="CCEEFF"/>
          </w:tcPr>
          <w:p>
            <w:pPr>
              <w:jc w:val="center"/>
              <w:ind w:right="28"/>
              <w:spacing w:after="0"/>
              <w:rPr>
                <w:sz w:val="20"/>
                <w:szCs w:val="20"/>
                <w:color w:val="auto"/>
              </w:rPr>
            </w:pPr>
            <w:r>
              <w:rPr>
                <w:rFonts w:ascii="Arial" w:cs="Arial" w:eastAsia="Arial" w:hAnsi="Arial"/>
                <w:sz w:val="14"/>
                <w:szCs w:val="14"/>
                <w:b w:val="1"/>
                <w:bCs w:val="1"/>
                <w:color w:val="auto"/>
                <w:w w:val="92"/>
              </w:rPr>
              <w:t>Rate</w:t>
            </w:r>
          </w:p>
        </w:tc>
        <w:tc>
          <w:tcPr>
            <w:tcW w:w="0" w:type="dxa"/>
            <w:vAlign w:val="bottom"/>
          </w:tcPr>
          <w:p>
            <w:pPr>
              <w:spacing w:after="0"/>
              <w:rPr>
                <w:sz w:val="1"/>
                <w:szCs w:val="1"/>
                <w:color w:val="auto"/>
              </w:rPr>
            </w:pPr>
          </w:p>
        </w:tc>
      </w:tr>
      <w:tr>
        <w:trPr>
          <w:trHeight w:val="179"/>
        </w:trPr>
        <w:tc>
          <w:tcPr>
            <w:tcW w:w="6100" w:type="dxa"/>
            <w:vAlign w:val="bottom"/>
            <w:tcBorders>
              <w:top w:val="single" w:sz="8" w:color="auto"/>
            </w:tcBorders>
          </w:tcPr>
          <w:p>
            <w:pPr>
              <w:ind w:left="20"/>
              <w:spacing w:after="0"/>
              <w:rPr>
                <w:sz w:val="20"/>
                <w:szCs w:val="20"/>
                <w:color w:val="auto"/>
              </w:rPr>
            </w:pPr>
            <w:r>
              <w:rPr>
                <w:rFonts w:ascii="Arial" w:cs="Arial" w:eastAsia="Arial" w:hAnsi="Arial"/>
                <w:sz w:val="14"/>
                <w:szCs w:val="14"/>
                <w:color w:val="auto"/>
              </w:rPr>
              <w:t>Repurchase agreements and other debt interest expense</w:t>
            </w:r>
          </w:p>
        </w:tc>
        <w:tc>
          <w:tcPr>
            <w:tcW w:w="120" w:type="dxa"/>
            <w:vAlign w:val="bottom"/>
          </w:tcPr>
          <w:p>
            <w:pPr>
              <w:spacing w:after="0"/>
              <w:rPr>
                <w:sz w:val="15"/>
                <w:szCs w:val="15"/>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240" w:type="dxa"/>
            <w:vAlign w:val="bottom"/>
            <w:tcBorders>
              <w:top w:val="single" w:sz="8" w:color="auto"/>
            </w:tcBorders>
          </w:tcPr>
          <w:p>
            <w:pPr>
              <w:jc w:val="center"/>
              <w:ind w:left="868"/>
              <w:spacing w:after="0"/>
              <w:rPr>
                <w:sz w:val="20"/>
                <w:szCs w:val="20"/>
                <w:color w:val="auto"/>
              </w:rPr>
            </w:pPr>
            <w:r>
              <w:rPr>
                <w:rFonts w:ascii="Arial" w:cs="Arial" w:eastAsia="Arial" w:hAnsi="Arial"/>
                <w:sz w:val="14"/>
                <w:szCs w:val="14"/>
                <w:color w:val="auto"/>
                <w:w w:val="89"/>
              </w:rPr>
              <w:t>61</w:t>
            </w:r>
          </w:p>
        </w:tc>
        <w:tc>
          <w:tcPr>
            <w:tcW w:w="100" w:type="dxa"/>
            <w:vAlign w:val="bottom"/>
          </w:tcPr>
          <w:p>
            <w:pPr>
              <w:spacing w:after="0"/>
              <w:rPr>
                <w:sz w:val="15"/>
                <w:szCs w:val="15"/>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(7)</w:t>
            </w:r>
          </w:p>
        </w:tc>
        <w:tc>
          <w:tcPr>
            <w:tcW w:w="100" w:type="dxa"/>
            <w:vAlign w:val="bottom"/>
          </w:tcPr>
          <w:p>
            <w:pPr>
              <w:spacing w:after="0"/>
              <w:rPr>
                <w:sz w:val="15"/>
                <w:szCs w:val="15"/>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260" w:type="dxa"/>
            <w:vAlign w:val="bottom"/>
            <w:tcBorders>
              <w:top w:val="single" w:sz="8" w:color="auto"/>
            </w:tcBorders>
          </w:tcPr>
          <w:p>
            <w:pPr>
              <w:jc w:val="center"/>
              <w:ind w:left="928"/>
              <w:spacing w:after="0"/>
              <w:rPr>
                <w:sz w:val="20"/>
                <w:szCs w:val="20"/>
                <w:color w:val="auto"/>
              </w:rPr>
            </w:pPr>
            <w:r>
              <w:rPr>
                <w:rFonts w:ascii="Arial" w:cs="Arial" w:eastAsia="Arial" w:hAnsi="Arial"/>
                <w:sz w:val="14"/>
                <w:szCs w:val="14"/>
                <w:color w:val="auto"/>
                <w:w w:val="89"/>
              </w:rPr>
              <w:t>68</w:t>
            </w:r>
          </w:p>
        </w:tc>
        <w:tc>
          <w:tcPr>
            <w:tcW w:w="0" w:type="dxa"/>
            <w:vAlign w:val="bottom"/>
          </w:tcPr>
          <w:p>
            <w:pPr>
              <w:spacing w:after="0"/>
              <w:rPr>
                <w:sz w:val="1"/>
                <w:szCs w:val="1"/>
                <w:color w:val="auto"/>
              </w:rPr>
            </w:pPr>
          </w:p>
        </w:tc>
      </w:tr>
      <w:tr>
        <w:trPr>
          <w:trHeight w:val="192"/>
        </w:trPr>
        <w:tc>
          <w:tcPr>
            <w:tcW w:w="62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TBA dollar roll income - implied interest benefit/expense</w:t>
            </w:r>
          </w:p>
        </w:tc>
        <w:tc>
          <w:tcPr>
            <w:tcW w:w="140" w:type="dxa"/>
            <w:vAlign w:val="bottom"/>
            <w:shd w:val="clear" w:color="auto" w:fill="CCEEFF"/>
          </w:tcPr>
          <w:p>
            <w:pPr>
              <w:spacing w:after="0"/>
              <w:rPr>
                <w:sz w:val="16"/>
                <w:szCs w:val="16"/>
                <w:color w:val="auto"/>
              </w:rPr>
            </w:pPr>
          </w:p>
        </w:tc>
        <w:tc>
          <w:tcPr>
            <w:tcW w:w="1240" w:type="dxa"/>
            <w:vAlign w:val="bottom"/>
            <w:shd w:val="clear" w:color="auto" w:fill="CCEEFF"/>
          </w:tcPr>
          <w:p>
            <w:pPr>
              <w:jc w:val="center"/>
              <w:ind w:left="868"/>
              <w:spacing w:after="0"/>
              <w:rPr>
                <w:sz w:val="20"/>
                <w:szCs w:val="20"/>
                <w:color w:val="auto"/>
              </w:rPr>
            </w:pPr>
            <w:r>
              <w:rPr>
                <w:rFonts w:ascii="Arial" w:cs="Arial" w:eastAsia="Arial" w:hAnsi="Arial"/>
                <w:sz w:val="14"/>
                <w:szCs w:val="14"/>
                <w:color w:val="auto"/>
                <w:w w:val="89"/>
              </w:rPr>
              <w:t>30</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60" w:type="dxa"/>
            <w:vAlign w:val="bottom"/>
            <w:shd w:val="clear" w:color="auto" w:fill="CCEEFF"/>
          </w:tcPr>
          <w:p>
            <w:pPr>
              <w:jc w:val="center"/>
              <w:ind w:left="928"/>
              <w:spacing w:after="0"/>
              <w:rPr>
                <w:sz w:val="20"/>
                <w:szCs w:val="20"/>
                <w:color w:val="auto"/>
              </w:rPr>
            </w:pPr>
            <w:r>
              <w:rPr>
                <w:rFonts w:ascii="Arial" w:cs="Arial" w:eastAsia="Arial" w:hAnsi="Arial"/>
                <w:sz w:val="14"/>
                <w:szCs w:val="14"/>
                <w:color w:val="auto"/>
                <w:w w:val="89"/>
              </w:rPr>
              <w:t>13</w:t>
            </w:r>
          </w:p>
        </w:tc>
        <w:tc>
          <w:tcPr>
            <w:tcW w:w="0" w:type="dxa"/>
            <w:vAlign w:val="bottom"/>
          </w:tcPr>
          <w:p>
            <w:pPr>
              <w:spacing w:after="0"/>
              <w:rPr>
                <w:sz w:val="1"/>
                <w:szCs w:val="1"/>
                <w:color w:val="auto"/>
              </w:rPr>
            </w:pPr>
          </w:p>
        </w:tc>
      </w:tr>
      <w:tr>
        <w:trPr>
          <w:trHeight w:val="186"/>
        </w:trPr>
        <w:tc>
          <w:tcPr>
            <w:tcW w:w="622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Interest rate swap periodic income/cost</w:t>
            </w:r>
          </w:p>
        </w:tc>
        <w:tc>
          <w:tcPr>
            <w:tcW w:w="14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tcPr>
          <w:p>
            <w:pPr>
              <w:jc w:val="center"/>
              <w:ind w:left="848"/>
              <w:spacing w:after="0"/>
              <w:rPr>
                <w:sz w:val="20"/>
                <w:szCs w:val="20"/>
                <w:color w:val="auto"/>
              </w:rPr>
            </w:pPr>
            <w:r>
              <w:rPr>
                <w:rFonts w:ascii="Arial" w:cs="Arial" w:eastAsia="Arial" w:hAnsi="Arial"/>
                <w:sz w:val="14"/>
                <w:szCs w:val="14"/>
                <w:color w:val="auto"/>
                <w:w w:val="96"/>
              </w:rPr>
              <w:t>(62)</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center"/>
              <w:ind w:left="908"/>
              <w:spacing w:after="0"/>
              <w:rPr>
                <w:sz w:val="20"/>
                <w:szCs w:val="20"/>
                <w:color w:val="auto"/>
              </w:rPr>
            </w:pPr>
            <w:r>
              <w:rPr>
                <w:rFonts w:ascii="Arial" w:cs="Arial" w:eastAsia="Arial" w:hAnsi="Arial"/>
                <w:sz w:val="14"/>
                <w:szCs w:val="14"/>
                <w:color w:val="auto"/>
                <w:w w:val="96"/>
              </w:rPr>
              <w:t>(64)</w:t>
            </w:r>
          </w:p>
        </w:tc>
        <w:tc>
          <w:tcPr>
            <w:tcW w:w="0" w:type="dxa"/>
            <w:vAlign w:val="bottom"/>
          </w:tcPr>
          <w:p>
            <w:pPr>
              <w:spacing w:after="0"/>
              <w:rPr>
                <w:sz w:val="1"/>
                <w:szCs w:val="1"/>
                <w:color w:val="auto"/>
              </w:rPr>
            </w:pPr>
          </w:p>
        </w:tc>
      </w:tr>
      <w:tr>
        <w:trPr>
          <w:trHeight w:val="211"/>
        </w:trPr>
        <w:tc>
          <w:tcPr>
            <w:tcW w:w="62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Total change in economic interest benefit/expense</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240" w:type="dxa"/>
            <w:vAlign w:val="bottom"/>
            <w:tcBorders>
              <w:bottom w:val="single" w:sz="8" w:color="auto"/>
            </w:tcBorders>
            <w:shd w:val="clear" w:color="auto" w:fill="CCEEFF"/>
          </w:tcPr>
          <w:p>
            <w:pPr>
              <w:jc w:val="center"/>
              <w:ind w:left="868"/>
              <w:spacing w:after="0"/>
              <w:rPr>
                <w:sz w:val="20"/>
                <w:szCs w:val="20"/>
                <w:color w:val="auto"/>
              </w:rPr>
            </w:pPr>
            <w:r>
              <w:rPr>
                <w:rFonts w:ascii="Arial" w:cs="Arial" w:eastAsia="Arial" w:hAnsi="Arial"/>
                <w:sz w:val="14"/>
                <w:szCs w:val="14"/>
                <w:color w:val="auto"/>
                <w:w w:val="89"/>
              </w:rPr>
              <w:t>29</w:t>
            </w:r>
          </w:p>
        </w:tc>
        <w:tc>
          <w:tcPr>
            <w:tcW w:w="10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10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60" w:type="dxa"/>
            <w:vAlign w:val="bottom"/>
            <w:tcBorders>
              <w:bottom w:val="single" w:sz="8" w:color="auto"/>
            </w:tcBorders>
            <w:shd w:val="clear" w:color="auto" w:fill="CCEEFF"/>
          </w:tcPr>
          <w:p>
            <w:pPr>
              <w:jc w:val="center"/>
              <w:ind w:left="928"/>
              <w:spacing w:after="0"/>
              <w:rPr>
                <w:sz w:val="20"/>
                <w:szCs w:val="20"/>
                <w:color w:val="auto"/>
              </w:rPr>
            </w:pPr>
            <w:r>
              <w:rPr>
                <w:rFonts w:ascii="Arial" w:cs="Arial" w:eastAsia="Arial" w:hAnsi="Arial"/>
                <w:sz w:val="14"/>
                <w:szCs w:val="14"/>
                <w:color w:val="auto"/>
                <w:w w:val="89"/>
              </w:rPr>
              <w:t>17</w:t>
            </w:r>
          </w:p>
        </w:tc>
        <w:tc>
          <w:tcPr>
            <w:tcW w:w="0" w:type="dxa"/>
            <w:vAlign w:val="bottom"/>
          </w:tcPr>
          <w:p>
            <w:pPr>
              <w:spacing w:after="0"/>
              <w:rPr>
                <w:sz w:val="1"/>
                <w:szCs w:val="1"/>
                <w:color w:val="auto"/>
              </w:rPr>
            </w:pPr>
          </w:p>
        </w:tc>
      </w:tr>
      <w:tr>
        <w:trPr>
          <w:trHeight w:val="20"/>
        </w:trPr>
        <w:tc>
          <w:tcPr>
            <w:tcW w:w="6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56" w:lineRule="exact"/>
        <w:rPr>
          <w:sz w:val="20"/>
          <w:szCs w:val="20"/>
          <w:color w:val="auto"/>
        </w:rPr>
      </w:pPr>
    </w:p>
    <w:p>
      <w:pPr>
        <w:jc w:val="both"/>
        <w:ind w:firstLine="445"/>
        <w:spacing w:after="0" w:line="273" w:lineRule="auto"/>
        <w:rPr>
          <w:sz w:val="20"/>
          <w:szCs w:val="20"/>
          <w:color w:val="auto"/>
        </w:rPr>
      </w:pPr>
      <w:r>
        <w:rPr>
          <w:rFonts w:ascii="Arial" w:cs="Arial" w:eastAsia="Arial" w:hAnsi="Arial"/>
          <w:sz w:val="17"/>
          <w:szCs w:val="17"/>
          <w:color w:val="auto"/>
        </w:rPr>
        <w:t>Our average mortgage borrowings, inclusive of TBAs, decreased 22% and 21% for the three and six months ended June 30, 2022, respectively, compared to the prior year period, due to a decline in stockholders' equity and smaller asset base. The average interest rate on our mortgage borrowings for the three and six months ended June 30, 2022 increased 52 and 27 basis points, respectively, due to higher short-term rates. The decrease in our interest rate swap periodic cost for the three and six months ended June 30, 2022 was primarily a function of higher receive rates. The following is a summary of our average interest rate swaps outstanding and the related average swap pay and receive rates for the three and six months ended June 30, 2022 and 2021 (dollars in millions). Amounts exclude forward starting swaps not yet in effect.</w:t>
      </w:r>
    </w:p>
    <w:p>
      <w:pPr>
        <w:spacing w:after="0" w:line="200" w:lineRule="exact"/>
        <w:rPr>
          <w:sz w:val="20"/>
          <w:szCs w:val="20"/>
          <w:color w:val="auto"/>
        </w:rPr>
      </w:pPr>
    </w:p>
    <w:p>
      <w:pPr>
        <w:spacing w:after="0" w:line="3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36" w:name="page37"/>
    <w:bookmarkEnd w:id="36"/>
    <w:tbl>
      <w:tblPr>
        <w:tblLayout w:type="fixed"/>
        <w:tblInd w:w="0" w:type="dxa"/>
        <w:tblCellMar>
          <w:top w:w="0" w:type="dxa"/>
          <w:left w:w="0" w:type="dxa"/>
          <w:bottom w:w="0" w:type="dxa"/>
          <w:right w:w="0" w:type="dxa"/>
        </w:tblCellMar>
      </w:tblPr>
      <w:tr>
        <w:trPr>
          <w:trHeight w:val="161"/>
        </w:trPr>
        <w:tc>
          <w:tcPr>
            <w:tcW w:w="64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140" w:type="dxa"/>
            <w:vAlign w:val="bottom"/>
            <w:gridSpan w:val="5"/>
          </w:tcPr>
          <w:p>
            <w:pPr>
              <w:ind w:left="240"/>
              <w:spacing w:after="0"/>
              <w:rPr>
                <w:sz w:val="20"/>
                <w:szCs w:val="20"/>
                <w:color w:val="auto"/>
              </w:rPr>
            </w:pPr>
            <w:r>
              <w:rPr>
                <w:rFonts w:ascii="Arial" w:cs="Arial" w:eastAsia="Arial" w:hAnsi="Arial"/>
                <w:sz w:val="14"/>
                <w:szCs w:val="14"/>
                <w:b w:val="1"/>
                <w:bCs w:val="1"/>
                <w:color w:val="auto"/>
              </w:rPr>
              <w:t>Three Months Ended</w:t>
            </w:r>
          </w:p>
        </w:tc>
        <w:tc>
          <w:tcPr>
            <w:tcW w:w="260" w:type="dxa"/>
            <w:vAlign w:val="bottom"/>
          </w:tcPr>
          <w:p>
            <w:pPr>
              <w:spacing w:after="0"/>
              <w:rPr>
                <w:sz w:val="14"/>
                <w:szCs w:val="14"/>
                <w:color w:val="auto"/>
              </w:rPr>
            </w:pPr>
          </w:p>
        </w:tc>
        <w:tc>
          <w:tcPr>
            <w:tcW w:w="2040" w:type="dxa"/>
            <w:vAlign w:val="bottom"/>
            <w:gridSpan w:val="4"/>
          </w:tcPr>
          <w:p>
            <w:pPr>
              <w:jc w:val="right"/>
              <w:ind w:right="508"/>
              <w:spacing w:after="0"/>
              <w:rPr>
                <w:sz w:val="20"/>
                <w:szCs w:val="20"/>
                <w:color w:val="auto"/>
              </w:rPr>
            </w:pPr>
            <w:r>
              <w:rPr>
                <w:rFonts w:ascii="Arial" w:cs="Arial" w:eastAsia="Arial" w:hAnsi="Arial"/>
                <w:sz w:val="14"/>
                <w:szCs w:val="14"/>
                <w:b w:val="1"/>
                <w:bCs w:val="1"/>
                <w:color w:val="auto"/>
              </w:rPr>
              <w:t>Six Months Ended</w:t>
            </w:r>
          </w:p>
        </w:tc>
        <w:tc>
          <w:tcPr>
            <w:tcW w:w="0" w:type="dxa"/>
            <w:vAlign w:val="bottom"/>
          </w:tcPr>
          <w:p>
            <w:pPr>
              <w:spacing w:after="0"/>
              <w:rPr>
                <w:sz w:val="1"/>
                <w:szCs w:val="1"/>
                <w:color w:val="auto"/>
              </w:rPr>
            </w:pPr>
          </w:p>
        </w:tc>
      </w:tr>
      <w:tr>
        <w:trPr>
          <w:trHeight w:val="186"/>
        </w:trPr>
        <w:tc>
          <w:tcPr>
            <w:tcW w:w="64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3"/>
          </w:tcPr>
          <w:p>
            <w:pPr>
              <w:jc w:val="right"/>
              <w:ind w:right="8"/>
              <w:spacing w:after="0"/>
              <w:rPr>
                <w:sz w:val="20"/>
                <w:szCs w:val="20"/>
                <w:color w:val="auto"/>
              </w:rPr>
            </w:pPr>
            <w:r>
              <w:rPr>
                <w:rFonts w:ascii="Arial" w:cs="Arial" w:eastAsia="Arial" w:hAnsi="Arial"/>
                <w:sz w:val="14"/>
                <w:szCs w:val="14"/>
                <w:b w:val="1"/>
                <w:bCs w:val="1"/>
                <w:color w:val="auto"/>
              </w:rPr>
              <w:t>June 30,</w:t>
            </w:r>
          </w:p>
        </w:tc>
        <w:tc>
          <w:tcPr>
            <w:tcW w:w="8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3"/>
          </w:tcPr>
          <w:p>
            <w:pPr>
              <w:jc w:val="right"/>
              <w:ind w:right="28"/>
              <w:spacing w:after="0"/>
              <w:rPr>
                <w:sz w:val="20"/>
                <w:szCs w:val="20"/>
                <w:color w:val="auto"/>
              </w:rPr>
            </w:pPr>
            <w:r>
              <w:rPr>
                <w:rFonts w:ascii="Arial" w:cs="Arial" w:eastAsia="Arial" w:hAnsi="Arial"/>
                <w:sz w:val="14"/>
                <w:szCs w:val="14"/>
                <w:b w:val="1"/>
                <w:bCs w:val="1"/>
                <w:color w:val="auto"/>
              </w:rPr>
              <w:t>June 30,</w:t>
            </w:r>
          </w:p>
        </w:tc>
        <w:tc>
          <w:tcPr>
            <w:tcW w:w="8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18"/>
        </w:trPr>
        <w:tc>
          <w:tcPr>
            <w:tcW w:w="6560" w:type="dxa"/>
            <w:vAlign w:val="bottom"/>
            <w:gridSpan w:val="2"/>
          </w:tcPr>
          <w:p>
            <w:pPr>
              <w:ind w:left="20"/>
              <w:spacing w:after="0" w:line="118" w:lineRule="exact"/>
              <w:rPr>
                <w:sz w:val="20"/>
                <w:szCs w:val="20"/>
                <w:color w:val="auto"/>
              </w:rPr>
            </w:pPr>
            <w:r>
              <w:rPr>
                <w:rFonts w:ascii="Arial" w:cs="Arial" w:eastAsia="Arial" w:hAnsi="Arial"/>
                <w:sz w:val="13"/>
                <w:szCs w:val="13"/>
                <w:b w:val="1"/>
                <w:bCs w:val="1"/>
                <w:color w:val="auto"/>
              </w:rPr>
              <w:t>Average Ratio of Interest Rate Swaps (Excluding Forward Starting Swaps) to Mortgage Borrowings</w:t>
            </w:r>
          </w:p>
        </w:tc>
        <w:tc>
          <w:tcPr>
            <w:tcW w:w="240" w:type="dxa"/>
            <w:vAlign w:val="bottom"/>
          </w:tcPr>
          <w:p>
            <w:pPr>
              <w:spacing w:after="0"/>
              <w:rPr>
                <w:sz w:val="10"/>
                <w:szCs w:val="10"/>
                <w:color w:val="auto"/>
              </w:rPr>
            </w:pPr>
          </w:p>
        </w:tc>
        <w:tc>
          <w:tcPr>
            <w:tcW w:w="840" w:type="dxa"/>
            <w:vAlign w:val="bottom"/>
            <w:vMerge w:val="restart"/>
          </w:tcPr>
          <w:p>
            <w:pPr>
              <w:jc w:val="right"/>
              <w:ind w:right="328"/>
              <w:spacing w:after="0"/>
              <w:rPr>
                <w:sz w:val="20"/>
                <w:szCs w:val="20"/>
                <w:color w:val="auto"/>
              </w:rPr>
            </w:pPr>
            <w:r>
              <w:rPr>
                <w:rFonts w:ascii="Arial" w:cs="Arial" w:eastAsia="Arial" w:hAnsi="Arial"/>
                <w:sz w:val="14"/>
                <w:szCs w:val="14"/>
                <w:b w:val="1"/>
                <w:bCs w:val="1"/>
                <w:color w:val="auto"/>
              </w:rPr>
              <w:t>2022</w:t>
            </w:r>
          </w:p>
        </w:tc>
        <w:tc>
          <w:tcPr>
            <w:tcW w:w="1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800" w:type="dxa"/>
            <w:vAlign w:val="bottom"/>
            <w:vMerge w:val="restart"/>
          </w:tcPr>
          <w:p>
            <w:pPr>
              <w:jc w:val="right"/>
              <w:ind w:right="328"/>
              <w:spacing w:after="0"/>
              <w:rPr>
                <w:sz w:val="20"/>
                <w:szCs w:val="20"/>
                <w:color w:val="auto"/>
              </w:rPr>
            </w:pPr>
            <w:r>
              <w:rPr>
                <w:rFonts w:ascii="Arial" w:cs="Arial" w:eastAsia="Arial" w:hAnsi="Arial"/>
                <w:sz w:val="14"/>
                <w:szCs w:val="14"/>
                <w:b w:val="1"/>
                <w:bCs w:val="1"/>
                <w:color w:val="auto"/>
              </w:rPr>
              <w:t>2021</w:t>
            </w:r>
          </w:p>
        </w:tc>
        <w:tc>
          <w:tcPr>
            <w:tcW w:w="1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840" w:type="dxa"/>
            <w:vAlign w:val="bottom"/>
            <w:vMerge w:val="restart"/>
          </w:tcPr>
          <w:p>
            <w:pPr>
              <w:jc w:val="right"/>
              <w:ind w:right="328"/>
              <w:spacing w:after="0"/>
              <w:rPr>
                <w:sz w:val="20"/>
                <w:szCs w:val="20"/>
                <w:color w:val="auto"/>
              </w:rPr>
            </w:pPr>
            <w:r>
              <w:rPr>
                <w:rFonts w:ascii="Arial" w:cs="Arial" w:eastAsia="Arial" w:hAnsi="Arial"/>
                <w:sz w:val="14"/>
                <w:szCs w:val="14"/>
                <w:b w:val="1"/>
                <w:bCs w:val="1"/>
                <w:color w:val="auto"/>
              </w:rPr>
              <w:t>2022</w:t>
            </w:r>
          </w:p>
        </w:tc>
        <w:tc>
          <w:tcPr>
            <w:tcW w:w="1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800" w:type="dxa"/>
            <w:vAlign w:val="bottom"/>
            <w:vMerge w:val="restart"/>
          </w:tcPr>
          <w:p>
            <w:pPr>
              <w:jc w:val="right"/>
              <w:ind w:right="328"/>
              <w:spacing w:after="0"/>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188"/>
        </w:trPr>
        <w:tc>
          <w:tcPr>
            <w:tcW w:w="6560" w:type="dxa"/>
            <w:vAlign w:val="bottom"/>
            <w:gridSpan w:val="2"/>
          </w:tcPr>
          <w:p>
            <w:pPr>
              <w:ind w:left="20"/>
              <w:spacing w:after="0"/>
              <w:rPr>
                <w:sz w:val="20"/>
                <w:szCs w:val="20"/>
                <w:color w:val="auto"/>
              </w:rPr>
            </w:pPr>
            <w:r>
              <w:rPr>
                <w:rFonts w:ascii="Arial" w:cs="Arial" w:eastAsia="Arial" w:hAnsi="Arial"/>
                <w:sz w:val="14"/>
                <w:szCs w:val="14"/>
                <w:b w:val="1"/>
                <w:bCs w:val="1"/>
                <w:color w:val="auto"/>
              </w:rPr>
              <w:t>Outstanding</w:t>
            </w:r>
          </w:p>
        </w:tc>
        <w:tc>
          <w:tcPr>
            <w:tcW w:w="240" w:type="dxa"/>
            <w:vAlign w:val="bottom"/>
          </w:tcPr>
          <w:p>
            <w:pPr>
              <w:spacing w:after="0"/>
              <w:rPr>
                <w:sz w:val="16"/>
                <w:szCs w:val="16"/>
                <w:color w:val="auto"/>
              </w:rPr>
            </w:pPr>
          </w:p>
        </w:tc>
        <w:tc>
          <w:tcPr>
            <w:tcW w:w="84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80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4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8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84"/>
        </w:trPr>
        <w:tc>
          <w:tcPr>
            <w:tcW w:w="64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Average Agency repo and other debt outstanding</w:t>
            </w:r>
          </w:p>
        </w:tc>
        <w:tc>
          <w:tcPr>
            <w:tcW w:w="100" w:type="dxa"/>
            <w:vAlign w:val="bottom"/>
            <w:tcBorders>
              <w:top w:val="single" w:sz="8" w:color="CCEEFF"/>
            </w:tcBorders>
            <w:shd w:val="clear" w:color="auto" w:fill="CCEEFF"/>
          </w:tcPr>
          <w:p>
            <w:pPr>
              <w:spacing w:after="0"/>
              <w:rPr>
                <w:sz w:val="15"/>
                <w:szCs w:val="15"/>
                <w:color w:val="auto"/>
              </w:rPr>
            </w:pPr>
          </w:p>
        </w:tc>
        <w:tc>
          <w:tcPr>
            <w:tcW w:w="240" w:type="dxa"/>
            <w:vAlign w:val="bottom"/>
            <w:tcBorders>
              <w:top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w w:val="76"/>
              </w:rPr>
              <w:t>$</w:t>
            </w:r>
          </w:p>
        </w:tc>
        <w:tc>
          <w:tcPr>
            <w:tcW w:w="840" w:type="dxa"/>
            <w:vAlign w:val="bottom"/>
            <w:tcBorders>
              <w:top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42,997</w:t>
            </w:r>
          </w:p>
        </w:tc>
        <w:tc>
          <w:tcPr>
            <w:tcW w:w="100" w:type="dxa"/>
            <w:vAlign w:val="bottom"/>
            <w:tcBorders>
              <w:top w:val="single" w:sz="8" w:color="CCEEFF"/>
            </w:tcBorders>
            <w:shd w:val="clear" w:color="auto" w:fill="CCEEFF"/>
          </w:tcPr>
          <w:p>
            <w:pPr>
              <w:spacing w:after="0"/>
              <w:rPr>
                <w:sz w:val="15"/>
                <w:szCs w:val="15"/>
                <w:color w:val="auto"/>
              </w:rPr>
            </w:pPr>
          </w:p>
        </w:tc>
        <w:tc>
          <w:tcPr>
            <w:tcW w:w="300" w:type="dxa"/>
            <w:vAlign w:val="bottom"/>
            <w:tcBorders>
              <w:top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52,374</w:t>
            </w:r>
          </w:p>
        </w:tc>
        <w:tc>
          <w:tcPr>
            <w:tcW w:w="100" w:type="dxa"/>
            <w:vAlign w:val="bottom"/>
            <w:tcBorders>
              <w:top w:val="single" w:sz="8" w:color="CCEEFF"/>
            </w:tcBorders>
            <w:shd w:val="clear" w:color="auto" w:fill="CCEEFF"/>
          </w:tcPr>
          <w:p>
            <w:pPr>
              <w:spacing w:after="0"/>
              <w:rPr>
                <w:sz w:val="15"/>
                <w:szCs w:val="15"/>
                <w:color w:val="auto"/>
              </w:rPr>
            </w:pPr>
          </w:p>
        </w:tc>
        <w:tc>
          <w:tcPr>
            <w:tcW w:w="260" w:type="dxa"/>
            <w:vAlign w:val="bottom"/>
            <w:tcBorders>
              <w:top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40" w:type="dxa"/>
            <w:vAlign w:val="bottom"/>
            <w:tcBorders>
              <w:top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44,774</w:t>
            </w:r>
          </w:p>
        </w:tc>
        <w:tc>
          <w:tcPr>
            <w:tcW w:w="100" w:type="dxa"/>
            <w:vAlign w:val="bottom"/>
            <w:tcBorders>
              <w:top w:val="single" w:sz="8" w:color="CCEEFF"/>
            </w:tcBorders>
            <w:shd w:val="clear" w:color="auto" w:fill="CCEEFF"/>
          </w:tcPr>
          <w:p>
            <w:pPr>
              <w:spacing w:after="0"/>
              <w:rPr>
                <w:sz w:val="15"/>
                <w:szCs w:val="15"/>
                <w:color w:val="auto"/>
              </w:rPr>
            </w:pPr>
          </w:p>
        </w:tc>
        <w:tc>
          <w:tcPr>
            <w:tcW w:w="300" w:type="dxa"/>
            <w:vAlign w:val="bottom"/>
            <w:tcBorders>
              <w:top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53,482</w:t>
            </w:r>
          </w:p>
        </w:tc>
        <w:tc>
          <w:tcPr>
            <w:tcW w:w="0" w:type="dxa"/>
            <w:vAlign w:val="bottom"/>
          </w:tcPr>
          <w:p>
            <w:pPr>
              <w:spacing w:after="0"/>
              <w:rPr>
                <w:sz w:val="1"/>
                <w:szCs w:val="1"/>
                <w:color w:val="auto"/>
              </w:rPr>
            </w:pPr>
          </w:p>
        </w:tc>
      </w:tr>
      <w:tr>
        <w:trPr>
          <w:trHeight w:val="186"/>
        </w:trPr>
        <w:tc>
          <w:tcPr>
            <w:tcW w:w="656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Average net TBA dollar roll position outstanding - at cost</w:t>
            </w:r>
          </w:p>
        </w:tc>
        <w:tc>
          <w:tcPr>
            <w:tcW w:w="24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w w:val="76"/>
              </w:rPr>
              <w:t>$</w:t>
            </w:r>
          </w:p>
        </w:tc>
        <w:tc>
          <w:tcPr>
            <w:tcW w:w="84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19,653</w:t>
            </w:r>
          </w:p>
        </w:tc>
        <w:tc>
          <w:tcPr>
            <w:tcW w:w="1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28,082</w:t>
            </w: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21,618</w:t>
            </w:r>
          </w:p>
        </w:tc>
        <w:tc>
          <w:tcPr>
            <w:tcW w:w="1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30,041</w:t>
            </w:r>
          </w:p>
        </w:tc>
        <w:tc>
          <w:tcPr>
            <w:tcW w:w="0" w:type="dxa"/>
            <w:vAlign w:val="bottom"/>
          </w:tcPr>
          <w:p>
            <w:pPr>
              <w:spacing w:after="0"/>
              <w:rPr>
                <w:sz w:val="1"/>
                <w:szCs w:val="1"/>
                <w:color w:val="auto"/>
              </w:rPr>
            </w:pPr>
          </w:p>
        </w:tc>
      </w:tr>
      <w:tr>
        <w:trPr>
          <w:trHeight w:val="186"/>
        </w:trPr>
        <w:tc>
          <w:tcPr>
            <w:tcW w:w="65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Average mortgage borrowings outstanding</w:t>
            </w:r>
          </w:p>
        </w:tc>
        <w:tc>
          <w:tcPr>
            <w:tcW w:w="2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w w:val="76"/>
              </w:rPr>
              <w:t>$</w:t>
            </w:r>
          </w:p>
        </w:tc>
        <w:tc>
          <w:tcPr>
            <w:tcW w:w="84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62,650</w:t>
            </w:r>
          </w:p>
        </w:tc>
        <w:tc>
          <w:tcPr>
            <w:tcW w:w="100" w:type="dxa"/>
            <w:vAlign w:val="bottom"/>
            <w:shd w:val="clear" w:color="auto" w:fill="CCEEFF"/>
          </w:tcPr>
          <w:p>
            <w:pPr>
              <w:spacing w:after="0"/>
              <w:rPr>
                <w:sz w:val="16"/>
                <w:szCs w:val="16"/>
                <w:color w:val="auto"/>
              </w:rPr>
            </w:pP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80,456</w:t>
            </w:r>
          </w:p>
        </w:tc>
        <w:tc>
          <w:tcPr>
            <w:tcW w:w="100" w:type="dxa"/>
            <w:vAlign w:val="bottom"/>
            <w:shd w:val="clear" w:color="auto" w:fill="CCEEFF"/>
          </w:tcPr>
          <w:p>
            <w:pPr>
              <w:spacing w:after="0"/>
              <w:rPr>
                <w:sz w:val="16"/>
                <w:szCs w:val="16"/>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66,392</w:t>
            </w:r>
          </w:p>
        </w:tc>
        <w:tc>
          <w:tcPr>
            <w:tcW w:w="100" w:type="dxa"/>
            <w:vAlign w:val="bottom"/>
            <w:shd w:val="clear" w:color="auto" w:fill="CCEEFF"/>
          </w:tcPr>
          <w:p>
            <w:pPr>
              <w:spacing w:after="0"/>
              <w:rPr>
                <w:sz w:val="16"/>
                <w:szCs w:val="16"/>
                <w:color w:val="auto"/>
              </w:rPr>
            </w:pP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83,523</w:t>
            </w:r>
          </w:p>
        </w:tc>
        <w:tc>
          <w:tcPr>
            <w:tcW w:w="0" w:type="dxa"/>
            <w:vAlign w:val="bottom"/>
          </w:tcPr>
          <w:p>
            <w:pPr>
              <w:spacing w:after="0"/>
              <w:rPr>
                <w:sz w:val="1"/>
                <w:szCs w:val="1"/>
                <w:color w:val="auto"/>
              </w:rPr>
            </w:pPr>
          </w:p>
        </w:tc>
      </w:tr>
      <w:tr>
        <w:trPr>
          <w:trHeight w:val="182"/>
        </w:trPr>
        <w:tc>
          <w:tcPr>
            <w:tcW w:w="6560" w:type="dxa"/>
            <w:vAlign w:val="bottom"/>
            <w:gridSpan w:val="2"/>
          </w:tcPr>
          <w:p>
            <w:pPr>
              <w:ind w:left="20"/>
              <w:spacing w:after="0"/>
              <w:rPr>
                <w:sz w:val="20"/>
                <w:szCs w:val="20"/>
                <w:color w:val="auto"/>
              </w:rPr>
            </w:pPr>
            <w:r>
              <w:rPr>
                <w:rFonts w:ascii="Arial" w:cs="Arial" w:eastAsia="Arial" w:hAnsi="Arial"/>
                <w:sz w:val="14"/>
                <w:szCs w:val="14"/>
                <w:color w:val="auto"/>
              </w:rPr>
              <w:t>Average notional amount of interest rate swaps outstanding (excluding forward starting swaps)</w:t>
            </w:r>
          </w:p>
        </w:tc>
        <w:tc>
          <w:tcPr>
            <w:tcW w:w="240" w:type="dxa"/>
            <w:vAlign w:val="bottom"/>
          </w:tcPr>
          <w:p>
            <w:pPr>
              <w:jc w:val="right"/>
              <w:ind w:right="88"/>
              <w:spacing w:after="0"/>
              <w:rPr>
                <w:sz w:val="20"/>
                <w:szCs w:val="20"/>
                <w:color w:val="auto"/>
              </w:rPr>
            </w:pPr>
            <w:r>
              <w:rPr>
                <w:rFonts w:ascii="Arial" w:cs="Arial" w:eastAsia="Arial" w:hAnsi="Arial"/>
                <w:sz w:val="14"/>
                <w:szCs w:val="14"/>
                <w:color w:val="auto"/>
                <w:w w:val="76"/>
              </w:rPr>
              <w:t>$</w:t>
            </w:r>
          </w:p>
        </w:tc>
        <w:tc>
          <w:tcPr>
            <w:tcW w:w="840" w:type="dxa"/>
            <w:vAlign w:val="bottom"/>
          </w:tcPr>
          <w:p>
            <w:pPr>
              <w:jc w:val="right"/>
              <w:ind w:right="108"/>
              <w:spacing w:after="0"/>
              <w:rPr>
                <w:sz w:val="20"/>
                <w:szCs w:val="20"/>
                <w:color w:val="auto"/>
              </w:rPr>
            </w:pPr>
            <w:r>
              <w:rPr>
                <w:rFonts w:ascii="Arial" w:cs="Arial" w:eastAsia="Arial" w:hAnsi="Arial"/>
                <w:sz w:val="14"/>
                <w:szCs w:val="14"/>
                <w:color w:val="auto"/>
              </w:rPr>
              <w:t>49,800</w:t>
            </w:r>
          </w:p>
        </w:tc>
        <w:tc>
          <w:tcPr>
            <w:tcW w:w="100" w:type="dxa"/>
            <w:vAlign w:val="bottom"/>
          </w:tcPr>
          <w:p>
            <w:pPr>
              <w:spacing w:after="0"/>
              <w:rPr>
                <w:sz w:val="15"/>
                <w:szCs w:val="15"/>
                <w:color w:val="auto"/>
              </w:rPr>
            </w:pPr>
          </w:p>
        </w:tc>
        <w:tc>
          <w:tcPr>
            <w:tcW w:w="3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108"/>
              <w:spacing w:after="0"/>
              <w:rPr>
                <w:sz w:val="20"/>
                <w:szCs w:val="20"/>
                <w:color w:val="auto"/>
              </w:rPr>
            </w:pPr>
            <w:r>
              <w:rPr>
                <w:rFonts w:ascii="Arial" w:cs="Arial" w:eastAsia="Arial" w:hAnsi="Arial"/>
                <w:sz w:val="14"/>
                <w:szCs w:val="14"/>
                <w:color w:val="auto"/>
              </w:rPr>
              <w:t>49,725</w:t>
            </w:r>
          </w:p>
        </w:tc>
        <w:tc>
          <w:tcPr>
            <w:tcW w:w="100" w:type="dxa"/>
            <w:vAlign w:val="bottom"/>
          </w:tcPr>
          <w:p>
            <w:pPr>
              <w:spacing w:after="0"/>
              <w:rPr>
                <w:sz w:val="15"/>
                <w:szCs w:val="15"/>
                <w:color w:val="auto"/>
              </w:rPr>
            </w:pP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40" w:type="dxa"/>
            <w:vAlign w:val="bottom"/>
          </w:tcPr>
          <w:p>
            <w:pPr>
              <w:jc w:val="right"/>
              <w:ind w:right="108"/>
              <w:spacing w:after="0"/>
              <w:rPr>
                <w:sz w:val="20"/>
                <w:szCs w:val="20"/>
                <w:color w:val="auto"/>
              </w:rPr>
            </w:pPr>
            <w:r>
              <w:rPr>
                <w:rFonts w:ascii="Arial" w:cs="Arial" w:eastAsia="Arial" w:hAnsi="Arial"/>
                <w:sz w:val="14"/>
                <w:szCs w:val="14"/>
                <w:color w:val="auto"/>
              </w:rPr>
              <w:t>51,164</w:t>
            </w:r>
          </w:p>
        </w:tc>
        <w:tc>
          <w:tcPr>
            <w:tcW w:w="100" w:type="dxa"/>
            <w:vAlign w:val="bottom"/>
          </w:tcPr>
          <w:p>
            <w:pPr>
              <w:spacing w:after="0"/>
              <w:rPr>
                <w:sz w:val="15"/>
                <w:szCs w:val="15"/>
                <w:color w:val="auto"/>
              </w:rPr>
            </w:pPr>
          </w:p>
        </w:tc>
        <w:tc>
          <w:tcPr>
            <w:tcW w:w="3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108"/>
              <w:spacing w:after="0"/>
              <w:rPr>
                <w:sz w:val="20"/>
                <w:szCs w:val="20"/>
                <w:color w:val="auto"/>
              </w:rPr>
            </w:pPr>
            <w:r>
              <w:rPr>
                <w:rFonts w:ascii="Arial" w:cs="Arial" w:eastAsia="Arial" w:hAnsi="Arial"/>
                <w:sz w:val="14"/>
                <w:szCs w:val="14"/>
                <w:color w:val="auto"/>
              </w:rPr>
              <w:t>47,480</w:t>
            </w:r>
          </w:p>
        </w:tc>
        <w:tc>
          <w:tcPr>
            <w:tcW w:w="0" w:type="dxa"/>
            <w:vAlign w:val="bottom"/>
          </w:tcPr>
          <w:p>
            <w:pPr>
              <w:spacing w:after="0"/>
              <w:rPr>
                <w:sz w:val="1"/>
                <w:szCs w:val="1"/>
                <w:color w:val="auto"/>
              </w:rPr>
            </w:pPr>
          </w:p>
        </w:tc>
      </w:tr>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4"/>
        </w:trPr>
        <w:tc>
          <w:tcPr>
            <w:tcW w:w="656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Ratio of average interest rate swaps to mortgage borrowings outstanding</w:t>
            </w: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79 %</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62 %</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77 %</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57 %</w:t>
            </w:r>
          </w:p>
        </w:tc>
      </w:tr>
      <w:tr>
        <w:trPr>
          <w:trHeight w:val="20"/>
        </w:trPr>
        <w:tc>
          <w:tcPr>
            <w:tcW w:w="656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r>
      <w:tr>
        <w:trPr>
          <w:trHeight w:val="203"/>
        </w:trPr>
        <w:tc>
          <w:tcPr>
            <w:tcW w:w="65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189"/>
        </w:trPr>
        <w:tc>
          <w:tcPr>
            <w:tcW w:w="6560" w:type="dxa"/>
            <w:vAlign w:val="bottom"/>
            <w:shd w:val="clear" w:color="auto" w:fill="CCEEFF"/>
          </w:tcPr>
          <w:p>
            <w:pPr>
              <w:ind w:left="20"/>
              <w:spacing w:after="0"/>
              <w:rPr>
                <w:sz w:val="20"/>
                <w:szCs w:val="20"/>
                <w:color w:val="auto"/>
              </w:rPr>
            </w:pPr>
            <w:r>
              <w:rPr>
                <w:rFonts w:ascii="Arial" w:cs="Arial" w:eastAsia="Arial" w:hAnsi="Arial"/>
                <w:sz w:val="14"/>
                <w:szCs w:val="14"/>
                <w:color w:val="auto"/>
              </w:rPr>
              <w:t>Average interest rate swap pay-fixed rate (excluding forward starting swaps)</w:t>
            </w: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0.27 %</w:t>
            </w:r>
          </w:p>
        </w:tc>
        <w:tc>
          <w:tcPr>
            <w:tcW w:w="100" w:type="dxa"/>
            <w:vAlign w:val="bottom"/>
            <w:shd w:val="clear" w:color="auto" w:fill="CCEEFF"/>
          </w:tcPr>
          <w:p>
            <w:pPr>
              <w:spacing w:after="0"/>
              <w:rPr>
                <w:sz w:val="16"/>
                <w:szCs w:val="16"/>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0.18 %</w:t>
            </w:r>
          </w:p>
        </w:tc>
        <w:tc>
          <w:tcPr>
            <w:tcW w:w="100" w:type="dxa"/>
            <w:vAlign w:val="bottom"/>
            <w:shd w:val="clear" w:color="auto" w:fill="CCEEFF"/>
          </w:tcPr>
          <w:p>
            <w:pPr>
              <w:spacing w:after="0"/>
              <w:rPr>
                <w:sz w:val="16"/>
                <w:szCs w:val="16"/>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0.25 %</w:t>
            </w:r>
          </w:p>
        </w:tc>
        <w:tc>
          <w:tcPr>
            <w:tcW w:w="100" w:type="dxa"/>
            <w:vAlign w:val="bottom"/>
            <w:shd w:val="clear" w:color="auto" w:fill="CCEEFF"/>
          </w:tcPr>
          <w:p>
            <w:pPr>
              <w:spacing w:after="0"/>
              <w:rPr>
                <w:sz w:val="16"/>
                <w:szCs w:val="16"/>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0.17 %</w:t>
            </w:r>
          </w:p>
        </w:tc>
      </w:tr>
      <w:tr>
        <w:trPr>
          <w:trHeight w:val="186"/>
        </w:trPr>
        <w:tc>
          <w:tcPr>
            <w:tcW w:w="656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Average interest rate swap receive-floating rate</w:t>
            </w: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(0.66)%</w:t>
            </w:r>
          </w:p>
        </w:tc>
        <w:tc>
          <w:tcPr>
            <w:tcW w:w="100" w:type="dxa"/>
            <w:vAlign w:val="bottom"/>
            <w:tcBorders>
              <w:bottom w:val="single" w:sz="8" w:color="CCEEFF"/>
            </w:tcBorders>
          </w:tcPr>
          <w:p>
            <w:pPr>
              <w:spacing w:after="0"/>
              <w:rPr>
                <w:sz w:val="16"/>
                <w:szCs w:val="16"/>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(0.03)%</w:t>
            </w:r>
          </w:p>
        </w:tc>
        <w:tc>
          <w:tcPr>
            <w:tcW w:w="100" w:type="dxa"/>
            <w:vAlign w:val="bottom"/>
            <w:tcBorders>
              <w:bottom w:val="single" w:sz="8" w:color="CCEEFF"/>
            </w:tcBorders>
          </w:tcPr>
          <w:p>
            <w:pPr>
              <w:spacing w:after="0"/>
              <w:rPr>
                <w:sz w:val="16"/>
                <w:szCs w:val="16"/>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(0.37)%</w:t>
            </w:r>
          </w:p>
        </w:tc>
        <w:tc>
          <w:tcPr>
            <w:tcW w:w="100" w:type="dxa"/>
            <w:vAlign w:val="bottom"/>
            <w:tcBorders>
              <w:bottom w:val="single" w:sz="8" w:color="CCEEFF"/>
            </w:tcBorders>
          </w:tcPr>
          <w:p>
            <w:pPr>
              <w:spacing w:after="0"/>
              <w:rPr>
                <w:sz w:val="16"/>
                <w:szCs w:val="16"/>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(0.04)%</w:t>
            </w:r>
          </w:p>
        </w:tc>
      </w:tr>
      <w:tr>
        <w:trPr>
          <w:trHeight w:val="211"/>
        </w:trPr>
        <w:tc>
          <w:tcPr>
            <w:tcW w:w="65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Average interest rate swap net pay/(receive) rate</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(0.39)%</w:t>
            </w:r>
          </w:p>
        </w:tc>
        <w:tc>
          <w:tcPr>
            <w:tcW w:w="100" w:type="dxa"/>
            <w:vAlign w:val="bottom"/>
            <w:tcBorders>
              <w:bottom w:val="single" w:sz="8" w:color="CCEEFF"/>
            </w:tcBorders>
            <w:shd w:val="clear" w:color="auto" w:fill="CCEEFF"/>
          </w:tcPr>
          <w:p>
            <w:pPr>
              <w:spacing w:after="0"/>
              <w:rPr>
                <w:sz w:val="17"/>
                <w:szCs w:val="17"/>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0.15 %</w:t>
            </w:r>
          </w:p>
        </w:tc>
        <w:tc>
          <w:tcPr>
            <w:tcW w:w="100" w:type="dxa"/>
            <w:vAlign w:val="bottom"/>
            <w:tcBorders>
              <w:bottom w:val="single" w:sz="8" w:color="CCEEFF"/>
            </w:tcBorders>
            <w:shd w:val="clear" w:color="auto" w:fill="CCEEFF"/>
          </w:tcPr>
          <w:p>
            <w:pPr>
              <w:spacing w:after="0"/>
              <w:rPr>
                <w:sz w:val="17"/>
                <w:szCs w:val="17"/>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(0.12)%</w:t>
            </w:r>
          </w:p>
        </w:tc>
        <w:tc>
          <w:tcPr>
            <w:tcW w:w="100" w:type="dxa"/>
            <w:vAlign w:val="bottom"/>
            <w:tcBorders>
              <w:bottom w:val="single" w:sz="8" w:color="CCEEFF"/>
            </w:tcBorders>
            <w:shd w:val="clear" w:color="auto" w:fill="CCEEFF"/>
          </w:tcPr>
          <w:p>
            <w:pPr>
              <w:spacing w:after="0"/>
              <w:rPr>
                <w:sz w:val="17"/>
                <w:szCs w:val="17"/>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0.13 %</w:t>
            </w:r>
          </w:p>
        </w:tc>
      </w:tr>
      <w:tr>
        <w:trPr>
          <w:trHeight w:val="20"/>
        </w:trPr>
        <w:tc>
          <w:tcPr>
            <w:tcW w:w="656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r>
    </w:tbl>
    <w:p>
      <w:pPr>
        <w:spacing w:after="0" w:line="256" w:lineRule="exact"/>
        <w:rPr>
          <w:sz w:val="20"/>
          <w:szCs w:val="20"/>
          <w:color w:val="auto"/>
        </w:rPr>
      </w:pPr>
    </w:p>
    <w:p>
      <w:pPr>
        <w:jc w:val="both"/>
        <w:ind w:firstLine="445"/>
        <w:spacing w:after="0" w:line="259" w:lineRule="auto"/>
        <w:rPr>
          <w:sz w:val="20"/>
          <w:szCs w:val="20"/>
          <w:color w:val="auto"/>
        </w:rPr>
      </w:pPr>
      <w:r>
        <w:rPr>
          <w:rFonts w:ascii="Arial" w:cs="Arial" w:eastAsia="Arial" w:hAnsi="Arial"/>
          <w:sz w:val="18"/>
          <w:szCs w:val="18"/>
          <w:color w:val="auto"/>
        </w:rPr>
        <w:t>For the three and six months ended June 30, 2022, we had an average forward starting swap balance of $34 million and $46 million, respectively, and for the three and six months ended June 30, 2021, an average forward starting swap balance of zero and $141 million, respectively. Forward starting interest rate swaps do not impact our economic interest expense and aggregate cost of funds until they commence accruing net interest settlements on their forward start dates.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Interest Spread</w:t>
      </w:r>
    </w:p>
    <w:p>
      <w:pPr>
        <w:spacing w:after="0" w:line="171"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The following table presents a summary of our net interest spread (including the impact of TBA dollar roll income, interest rate swaps and excluding "catch-up" premium amortization) for the three and six months ended June 30, 2022 and 2021:</w:t>
      </w:r>
    </w:p>
    <w:p>
      <w:pPr>
        <w:spacing w:after="0" w:line="132" w:lineRule="exact"/>
        <w:rPr>
          <w:sz w:val="20"/>
          <w:szCs w:val="20"/>
          <w:color w:val="auto"/>
        </w:rPr>
      </w:pPr>
    </w:p>
    <w:tbl>
      <w:tblPr>
        <w:tblLayout w:type="fixed"/>
        <w:tblInd w:w="80" w:type="dxa"/>
        <w:tblCellMar>
          <w:top w:w="0" w:type="dxa"/>
          <w:left w:w="0" w:type="dxa"/>
          <w:bottom w:w="0" w:type="dxa"/>
          <w:right w:w="0" w:type="dxa"/>
        </w:tblCellMar>
      </w:tblPr>
      <w:tr>
        <w:trPr>
          <w:trHeight w:val="161"/>
        </w:trPr>
        <w:tc>
          <w:tcPr>
            <w:tcW w:w="64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60" w:type="dxa"/>
            <w:vAlign w:val="bottom"/>
            <w:gridSpan w:val="4"/>
            <w:vMerge w:val="restart"/>
          </w:tcPr>
          <w:p>
            <w:pPr>
              <w:ind w:left="140"/>
              <w:spacing w:after="0"/>
              <w:rPr>
                <w:sz w:val="20"/>
                <w:szCs w:val="20"/>
                <w:color w:val="auto"/>
              </w:rPr>
            </w:pPr>
            <w:r>
              <w:rPr>
                <w:rFonts w:ascii="Arial" w:cs="Arial" w:eastAsia="Arial" w:hAnsi="Arial"/>
                <w:sz w:val="14"/>
                <w:szCs w:val="14"/>
                <w:b w:val="1"/>
                <w:bCs w:val="1"/>
                <w:color w:val="auto"/>
              </w:rPr>
              <w:t>Three Months Ended June 30,</w:t>
            </w:r>
          </w:p>
        </w:tc>
        <w:tc>
          <w:tcPr>
            <w:tcW w:w="2300" w:type="dxa"/>
            <w:vAlign w:val="bottom"/>
            <w:gridSpan w:val="4"/>
          </w:tcPr>
          <w:p>
            <w:pPr>
              <w:jc w:val="center"/>
              <w:spacing w:after="0"/>
              <w:rPr>
                <w:sz w:val="20"/>
                <w:szCs w:val="20"/>
                <w:color w:val="auto"/>
              </w:rPr>
            </w:pPr>
            <w:r>
              <w:rPr>
                <w:rFonts w:ascii="Arial" w:cs="Arial" w:eastAsia="Arial" w:hAnsi="Arial"/>
                <w:sz w:val="14"/>
                <w:szCs w:val="14"/>
                <w:b w:val="1"/>
                <w:bCs w:val="1"/>
                <w:color w:val="auto"/>
                <w:w w:val="92"/>
              </w:rPr>
              <w:t>Six Months Ended</w:t>
            </w:r>
          </w:p>
        </w:tc>
        <w:tc>
          <w:tcPr>
            <w:tcW w:w="0" w:type="dxa"/>
            <w:vAlign w:val="bottom"/>
          </w:tcPr>
          <w:p>
            <w:pPr>
              <w:spacing w:after="0"/>
              <w:rPr>
                <w:sz w:val="1"/>
                <w:szCs w:val="1"/>
                <w:color w:val="auto"/>
              </w:rPr>
            </w:pPr>
          </w:p>
        </w:tc>
      </w:tr>
      <w:tr>
        <w:trPr>
          <w:trHeight w:val="186"/>
        </w:trPr>
        <w:tc>
          <w:tcPr>
            <w:tcW w:w="64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260" w:type="dxa"/>
            <w:vAlign w:val="bottom"/>
            <w:gridSpan w:val="4"/>
            <w:vMerge w:val="continue"/>
          </w:tcPr>
          <w:p>
            <w:pPr>
              <w:spacing w:after="0"/>
              <w:rPr>
                <w:sz w:val="16"/>
                <w:szCs w:val="16"/>
                <w:color w:val="auto"/>
              </w:rPr>
            </w:pPr>
          </w:p>
        </w:tc>
        <w:tc>
          <w:tcPr>
            <w:tcW w:w="1500" w:type="dxa"/>
            <w:vAlign w:val="bottom"/>
            <w:gridSpan w:val="3"/>
          </w:tcPr>
          <w:p>
            <w:pPr>
              <w:jc w:val="center"/>
              <w:ind w:left="708"/>
              <w:spacing w:after="0"/>
              <w:rPr>
                <w:sz w:val="20"/>
                <w:szCs w:val="20"/>
                <w:color w:val="auto"/>
              </w:rPr>
            </w:pPr>
            <w:r>
              <w:rPr>
                <w:rFonts w:ascii="Arial" w:cs="Arial" w:eastAsia="Arial" w:hAnsi="Arial"/>
                <w:sz w:val="14"/>
                <w:szCs w:val="14"/>
                <w:b w:val="1"/>
                <w:bCs w:val="1"/>
                <w:color w:val="auto"/>
                <w:w w:val="92"/>
              </w:rPr>
              <w:t>June 30,</w:t>
            </w:r>
          </w:p>
        </w:tc>
        <w:tc>
          <w:tcPr>
            <w:tcW w:w="8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4"/>
        </w:trPr>
        <w:tc>
          <w:tcPr>
            <w:tcW w:w="6540" w:type="dxa"/>
            <w:vAlign w:val="bottom"/>
            <w:gridSpan w:val="2"/>
          </w:tcPr>
          <w:p>
            <w:pPr>
              <w:ind w:left="20"/>
              <w:spacing w:after="0"/>
              <w:rPr>
                <w:sz w:val="20"/>
                <w:szCs w:val="20"/>
                <w:color w:val="auto"/>
              </w:rPr>
            </w:pPr>
            <w:r>
              <w:rPr>
                <w:rFonts w:ascii="Arial" w:cs="Arial" w:eastAsia="Arial" w:hAnsi="Arial"/>
                <w:sz w:val="14"/>
                <w:szCs w:val="14"/>
                <w:b w:val="1"/>
                <w:bCs w:val="1"/>
                <w:color w:val="auto"/>
              </w:rPr>
              <w:t>Investment and TBA Securities - Net Interest Spread</w:t>
            </w:r>
          </w:p>
        </w:tc>
        <w:tc>
          <w:tcPr>
            <w:tcW w:w="1020" w:type="dxa"/>
            <w:vAlign w:val="bottom"/>
            <w:tcBorders>
              <w:top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2022</w:t>
            </w:r>
          </w:p>
        </w:tc>
        <w:tc>
          <w:tcPr>
            <w:tcW w:w="100" w:type="dxa"/>
            <w:vAlign w:val="bottom"/>
            <w:tcBorders>
              <w:top w:val="single" w:sz="8" w:color="auto"/>
            </w:tcBorders>
          </w:tcPr>
          <w:p>
            <w:pPr>
              <w:spacing w:after="0"/>
              <w:rPr>
                <w:sz w:val="15"/>
                <w:szCs w:val="15"/>
                <w:color w:val="auto"/>
              </w:rPr>
            </w:pPr>
          </w:p>
        </w:tc>
        <w:tc>
          <w:tcPr>
            <w:tcW w:w="1020" w:type="dxa"/>
            <w:vAlign w:val="bottom"/>
            <w:tcBorders>
              <w:top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2021</w:t>
            </w:r>
          </w:p>
        </w:tc>
        <w:tc>
          <w:tcPr>
            <w:tcW w:w="120" w:type="dxa"/>
            <w:vAlign w:val="bottom"/>
          </w:tcPr>
          <w:p>
            <w:pPr>
              <w:spacing w:after="0"/>
              <w:rPr>
                <w:sz w:val="15"/>
                <w:szCs w:val="15"/>
                <w:color w:val="auto"/>
              </w:rPr>
            </w:pPr>
          </w:p>
        </w:tc>
        <w:tc>
          <w:tcPr>
            <w:tcW w:w="1100" w:type="dxa"/>
            <w:vAlign w:val="bottom"/>
            <w:tcBorders>
              <w:top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2022</w:t>
            </w:r>
          </w:p>
        </w:tc>
        <w:tc>
          <w:tcPr>
            <w:tcW w:w="100" w:type="dxa"/>
            <w:vAlign w:val="bottom"/>
            <w:tcBorders>
              <w:top w:val="single" w:sz="8" w:color="auto"/>
            </w:tcBorders>
          </w:tcPr>
          <w:p>
            <w:pPr>
              <w:spacing w:after="0"/>
              <w:rPr>
                <w:sz w:val="15"/>
                <w:szCs w:val="15"/>
                <w:color w:val="auto"/>
              </w:rPr>
            </w:pPr>
          </w:p>
        </w:tc>
        <w:tc>
          <w:tcPr>
            <w:tcW w:w="300" w:type="dxa"/>
            <w:vAlign w:val="bottom"/>
            <w:tcBorders>
              <w:top w:val="single" w:sz="8" w:color="auto"/>
            </w:tcBorders>
          </w:tcPr>
          <w:p>
            <w:pPr>
              <w:spacing w:after="0"/>
              <w:rPr>
                <w:sz w:val="15"/>
                <w:szCs w:val="15"/>
                <w:color w:val="auto"/>
              </w:rPr>
            </w:pPr>
          </w:p>
        </w:tc>
        <w:tc>
          <w:tcPr>
            <w:tcW w:w="800" w:type="dxa"/>
            <w:vAlign w:val="bottom"/>
            <w:tcBorders>
              <w:top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184"/>
        </w:trPr>
        <w:tc>
          <w:tcPr>
            <w:tcW w:w="64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Average asset yield, excluding "catch-up" premium amortization</w:t>
            </w:r>
          </w:p>
        </w:tc>
        <w:tc>
          <w:tcPr>
            <w:tcW w:w="100" w:type="dxa"/>
            <w:vAlign w:val="bottom"/>
            <w:tcBorders>
              <w:top w:val="single" w:sz="8" w:color="CCEEFF"/>
            </w:tcBorders>
            <w:shd w:val="clear" w:color="auto" w:fill="CCEEFF"/>
          </w:tcPr>
          <w:p>
            <w:pPr>
              <w:spacing w:after="0"/>
              <w:rPr>
                <w:sz w:val="15"/>
                <w:szCs w:val="15"/>
                <w:color w:val="auto"/>
              </w:rPr>
            </w:pPr>
          </w:p>
        </w:tc>
        <w:tc>
          <w:tcPr>
            <w:tcW w:w="10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2.88 %</w:t>
            </w:r>
          </w:p>
        </w:tc>
        <w:tc>
          <w:tcPr>
            <w:tcW w:w="100" w:type="dxa"/>
            <w:vAlign w:val="bottom"/>
            <w:tcBorders>
              <w:top w:val="single" w:sz="8" w:color="CCEEFF"/>
            </w:tcBorders>
            <w:shd w:val="clear" w:color="auto" w:fill="CCEEFF"/>
          </w:tcPr>
          <w:p>
            <w:pPr>
              <w:spacing w:after="0"/>
              <w:rPr>
                <w:sz w:val="15"/>
                <w:szCs w:val="15"/>
                <w:color w:val="auto"/>
              </w:rPr>
            </w:pPr>
          </w:p>
        </w:tc>
        <w:tc>
          <w:tcPr>
            <w:tcW w:w="10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2.15 %</w:t>
            </w:r>
          </w:p>
        </w:tc>
        <w:tc>
          <w:tcPr>
            <w:tcW w:w="120" w:type="dxa"/>
            <w:vAlign w:val="bottom"/>
            <w:tcBorders>
              <w:top w:val="single" w:sz="8" w:color="CCEEFF"/>
            </w:tcBorders>
            <w:shd w:val="clear" w:color="auto" w:fill="CCEEFF"/>
          </w:tcPr>
          <w:p>
            <w:pPr>
              <w:spacing w:after="0"/>
              <w:rPr>
                <w:sz w:val="15"/>
                <w:szCs w:val="15"/>
                <w:color w:val="auto"/>
              </w:rPr>
            </w:pP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2.57 %</w:t>
            </w:r>
          </w:p>
        </w:tc>
        <w:tc>
          <w:tcPr>
            <w:tcW w:w="100" w:type="dxa"/>
            <w:vAlign w:val="bottom"/>
            <w:tcBorders>
              <w:top w:val="single" w:sz="8" w:color="CCEEFF"/>
            </w:tcBorders>
            <w:shd w:val="clear" w:color="auto" w:fill="CCEEFF"/>
          </w:tcPr>
          <w:p>
            <w:pPr>
              <w:spacing w:after="0"/>
              <w:rPr>
                <w:sz w:val="15"/>
                <w:szCs w:val="15"/>
                <w:color w:val="auto"/>
              </w:rPr>
            </w:pPr>
          </w:p>
        </w:tc>
        <w:tc>
          <w:tcPr>
            <w:tcW w:w="300" w:type="dxa"/>
            <w:vAlign w:val="bottom"/>
            <w:tcBorders>
              <w:top w:val="single" w:sz="8" w:color="auto"/>
            </w:tcBorders>
            <w:shd w:val="clear" w:color="auto" w:fill="CCEEFF"/>
          </w:tcPr>
          <w:p>
            <w:pPr>
              <w:spacing w:after="0"/>
              <w:rPr>
                <w:sz w:val="15"/>
                <w:szCs w:val="15"/>
                <w:color w:val="auto"/>
              </w:rPr>
            </w:pP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2.08 %</w:t>
            </w:r>
          </w:p>
        </w:tc>
        <w:tc>
          <w:tcPr>
            <w:tcW w:w="0" w:type="dxa"/>
            <w:vAlign w:val="bottom"/>
          </w:tcPr>
          <w:p>
            <w:pPr>
              <w:spacing w:after="0"/>
              <w:rPr>
                <w:sz w:val="1"/>
                <w:szCs w:val="1"/>
                <w:color w:val="auto"/>
              </w:rPr>
            </w:pPr>
          </w:p>
        </w:tc>
      </w:tr>
      <w:tr>
        <w:trPr>
          <w:trHeight w:val="186"/>
        </w:trPr>
        <w:tc>
          <w:tcPr>
            <w:tcW w:w="654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Average aggregate cost of funds</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(0.18)%</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(0.06)%</w:t>
            </w:r>
          </w:p>
        </w:tc>
        <w:tc>
          <w:tcPr>
            <w:tcW w:w="120" w:type="dxa"/>
            <w:vAlign w:val="bottom"/>
            <w:tcBorders>
              <w:bottom w:val="single" w:sz="8" w:color="CCEEFF"/>
            </w:tcBorders>
          </w:tcPr>
          <w:p>
            <w:pPr>
              <w:spacing w:after="0"/>
              <w:rPr>
                <w:sz w:val="16"/>
                <w:szCs w:val="16"/>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(0.14)%</w:t>
            </w:r>
          </w:p>
        </w:tc>
        <w:tc>
          <w:tcPr>
            <w:tcW w:w="1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(0.03)%</w:t>
            </w:r>
          </w:p>
        </w:tc>
        <w:tc>
          <w:tcPr>
            <w:tcW w:w="0" w:type="dxa"/>
            <w:vAlign w:val="bottom"/>
          </w:tcPr>
          <w:p>
            <w:pPr>
              <w:spacing w:after="0"/>
              <w:rPr>
                <w:sz w:val="1"/>
                <w:szCs w:val="1"/>
                <w:color w:val="auto"/>
              </w:rPr>
            </w:pPr>
          </w:p>
        </w:tc>
      </w:tr>
      <w:tr>
        <w:trPr>
          <w:trHeight w:val="211"/>
        </w:trPr>
        <w:tc>
          <w:tcPr>
            <w:tcW w:w="65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Average net interest spread, excluding "catch-up" premium amortization</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2.70 %</w:t>
            </w:r>
          </w:p>
        </w:tc>
        <w:tc>
          <w:tcPr>
            <w:tcW w:w="100" w:type="dxa"/>
            <w:vAlign w:val="bottom"/>
            <w:tcBorders>
              <w:bottom w:val="single" w:sz="8" w:color="CCEEFF"/>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2.09 %</w:t>
            </w:r>
          </w:p>
        </w:tc>
        <w:tc>
          <w:tcPr>
            <w:tcW w:w="120" w:type="dxa"/>
            <w:vAlign w:val="bottom"/>
            <w:tcBorders>
              <w:bottom w:val="single" w:sz="8" w:color="CCEEFF"/>
            </w:tcBorders>
            <w:shd w:val="clear" w:color="auto" w:fill="CCEEFF"/>
          </w:tcPr>
          <w:p>
            <w:pPr>
              <w:spacing w:after="0"/>
              <w:rPr>
                <w:sz w:val="17"/>
                <w:szCs w:val="17"/>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2.43 %</w:t>
            </w:r>
          </w:p>
        </w:tc>
        <w:tc>
          <w:tcPr>
            <w:tcW w:w="100" w:type="dxa"/>
            <w:vAlign w:val="bottom"/>
            <w:tcBorders>
              <w:bottom w:val="single" w:sz="8" w:color="CCEEFF"/>
            </w:tcBorders>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2.05 %</w:t>
            </w:r>
          </w:p>
        </w:tc>
        <w:tc>
          <w:tcPr>
            <w:tcW w:w="0" w:type="dxa"/>
            <w:vAlign w:val="bottom"/>
          </w:tcPr>
          <w:p>
            <w:pPr>
              <w:spacing w:after="0"/>
              <w:rPr>
                <w:sz w:val="1"/>
                <w:szCs w:val="1"/>
                <w:color w:val="auto"/>
              </w:rPr>
            </w:pPr>
          </w:p>
        </w:tc>
      </w:tr>
      <w:tr>
        <w:trPr>
          <w:trHeight w:val="20"/>
        </w:trPr>
        <w:tc>
          <w:tcPr>
            <w:tcW w:w="64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0" w:right="339" w:bottom="1440" w:gutter="0" w:footer="0" w:header="0"/>
        </w:sectPr>
      </w:pPr>
    </w:p>
    <w:bookmarkStart w:id="37" w:name="page38"/>
    <w:bookmarkEnd w:id="37"/>
    <w:p>
      <w:pPr>
        <w:spacing w:after="0"/>
        <w:rPr>
          <w:sz w:val="20"/>
          <w:szCs w:val="20"/>
          <w:color w:val="auto"/>
        </w:rPr>
      </w:pPr>
      <w:r>
        <w:rPr>
          <w:rFonts w:ascii="Arial" w:cs="Arial" w:eastAsia="Arial" w:hAnsi="Arial"/>
          <w:sz w:val="18"/>
          <w:szCs w:val="18"/>
          <w:b w:val="1"/>
          <w:bCs w:val="1"/>
          <w:i w:val="1"/>
          <w:iCs w:val="1"/>
          <w:color w:val="auto"/>
        </w:rPr>
        <w:t>Net Spread and Dollar Roll Income</w:t>
      </w:r>
    </w:p>
    <w:p>
      <w:pPr>
        <w:spacing w:after="0" w:line="171" w:lineRule="exact"/>
        <w:rPr>
          <w:sz w:val="20"/>
          <w:szCs w:val="20"/>
          <w:color w:val="auto"/>
        </w:rPr>
      </w:pPr>
    </w:p>
    <w:p>
      <w:pPr>
        <w:jc w:val="both"/>
        <w:ind w:firstLine="405"/>
        <w:spacing w:after="0" w:line="263" w:lineRule="auto"/>
        <w:rPr>
          <w:sz w:val="20"/>
          <w:szCs w:val="20"/>
          <w:color w:val="auto"/>
        </w:rPr>
      </w:pPr>
      <w:r>
        <w:rPr>
          <w:rFonts w:ascii="Arial" w:cs="Arial" w:eastAsia="Arial" w:hAnsi="Arial"/>
          <w:sz w:val="18"/>
          <w:szCs w:val="18"/>
          <w:color w:val="auto"/>
        </w:rPr>
        <w:t>The following table presents a summary of our net spread and dollar roll income, excluding estimated "catch-up" premium amortization, per diluted common share (a non-GAAP financial measure) and a reconciliation to our net interest income (the most comparable GAAP financial measure) for the three and six months ended June 30, 2022 and 2021 (dollars in millions):</w:t>
      </w:r>
    </w:p>
    <w:p>
      <w:pPr>
        <w:spacing w:after="0" w:line="77" w:lineRule="exact"/>
        <w:rPr>
          <w:sz w:val="20"/>
          <w:szCs w:val="20"/>
          <w:color w:val="auto"/>
        </w:rPr>
      </w:pPr>
    </w:p>
    <w:tbl>
      <w:tblPr>
        <w:tblLayout w:type="fixed"/>
        <w:tblInd w:w="80" w:type="dxa"/>
        <w:tblCellMar>
          <w:top w:w="0" w:type="dxa"/>
          <w:left w:w="0" w:type="dxa"/>
          <w:bottom w:w="0" w:type="dxa"/>
          <w:right w:w="0" w:type="dxa"/>
        </w:tblCellMar>
      </w:tblPr>
      <w:tr>
        <w:trPr>
          <w:trHeight w:val="161"/>
        </w:trPr>
        <w:tc>
          <w:tcPr>
            <w:tcW w:w="6980" w:type="dxa"/>
            <w:vAlign w:val="bottom"/>
          </w:tcPr>
          <w:p>
            <w:pPr>
              <w:spacing w:after="0"/>
              <w:rPr>
                <w:sz w:val="14"/>
                <w:szCs w:val="14"/>
                <w:color w:val="auto"/>
              </w:rPr>
            </w:pPr>
          </w:p>
        </w:tc>
        <w:tc>
          <w:tcPr>
            <w:tcW w:w="2040" w:type="dxa"/>
            <w:vAlign w:val="bottom"/>
            <w:gridSpan w:val="6"/>
            <w:vMerge w:val="restart"/>
          </w:tcPr>
          <w:p>
            <w:pPr>
              <w:ind w:left="40"/>
              <w:spacing w:after="0"/>
              <w:rPr>
                <w:sz w:val="20"/>
                <w:szCs w:val="20"/>
                <w:color w:val="auto"/>
              </w:rPr>
            </w:pPr>
            <w:r>
              <w:rPr>
                <w:rFonts w:ascii="Arial" w:cs="Arial" w:eastAsia="Arial" w:hAnsi="Arial"/>
                <w:sz w:val="14"/>
                <w:szCs w:val="14"/>
                <w:b w:val="1"/>
                <w:bCs w:val="1"/>
                <w:color w:val="auto"/>
                <w:w w:val="99"/>
              </w:rPr>
              <w:t>Three Months Ended June 30,</w:t>
            </w:r>
          </w:p>
        </w:tc>
        <w:tc>
          <w:tcPr>
            <w:tcW w:w="200" w:type="dxa"/>
            <w:vAlign w:val="bottom"/>
          </w:tcPr>
          <w:p>
            <w:pPr>
              <w:spacing w:after="0"/>
              <w:rPr>
                <w:sz w:val="14"/>
                <w:szCs w:val="14"/>
                <w:color w:val="auto"/>
              </w:rPr>
            </w:pPr>
          </w:p>
        </w:tc>
        <w:tc>
          <w:tcPr>
            <w:tcW w:w="1880" w:type="dxa"/>
            <w:vAlign w:val="bottom"/>
            <w:gridSpan w:val="4"/>
          </w:tcPr>
          <w:p>
            <w:pPr>
              <w:jc w:val="right"/>
              <w:ind w:right="408"/>
              <w:spacing w:after="0"/>
              <w:rPr>
                <w:sz w:val="20"/>
                <w:szCs w:val="20"/>
                <w:color w:val="auto"/>
              </w:rPr>
            </w:pPr>
            <w:r>
              <w:rPr>
                <w:rFonts w:ascii="Arial" w:cs="Arial" w:eastAsia="Arial" w:hAnsi="Arial"/>
                <w:sz w:val="14"/>
                <w:szCs w:val="14"/>
                <w:b w:val="1"/>
                <w:bCs w:val="1"/>
                <w:color w:val="auto"/>
              </w:rPr>
              <w:t>Six Months Ended</w:t>
            </w:r>
          </w:p>
        </w:tc>
        <w:tc>
          <w:tcPr>
            <w:tcW w:w="0" w:type="dxa"/>
            <w:vAlign w:val="bottom"/>
          </w:tcPr>
          <w:p>
            <w:pPr>
              <w:spacing w:after="0"/>
              <w:rPr>
                <w:sz w:val="1"/>
                <w:szCs w:val="1"/>
                <w:color w:val="auto"/>
              </w:rPr>
            </w:pPr>
          </w:p>
        </w:tc>
      </w:tr>
      <w:tr>
        <w:trPr>
          <w:trHeight w:val="188"/>
        </w:trPr>
        <w:tc>
          <w:tcPr>
            <w:tcW w:w="6980" w:type="dxa"/>
            <w:vAlign w:val="bottom"/>
          </w:tcPr>
          <w:p>
            <w:pPr>
              <w:spacing w:after="0"/>
              <w:rPr>
                <w:sz w:val="16"/>
                <w:szCs w:val="16"/>
                <w:color w:val="auto"/>
              </w:rPr>
            </w:pPr>
          </w:p>
        </w:tc>
        <w:tc>
          <w:tcPr>
            <w:tcW w:w="2040" w:type="dxa"/>
            <w:vAlign w:val="bottom"/>
            <w:gridSpan w:val="6"/>
            <w:vMerge w:val="continue"/>
          </w:tcPr>
          <w:p>
            <w:pPr>
              <w:spacing w:after="0"/>
              <w:rPr>
                <w:sz w:val="16"/>
                <w:szCs w:val="16"/>
                <w:color w:val="auto"/>
              </w:rPr>
            </w:pPr>
          </w:p>
        </w:tc>
        <w:tc>
          <w:tcPr>
            <w:tcW w:w="200" w:type="dxa"/>
            <w:vAlign w:val="bottom"/>
          </w:tcPr>
          <w:p>
            <w:pPr>
              <w:spacing w:after="0"/>
              <w:rPr>
                <w:sz w:val="16"/>
                <w:szCs w:val="16"/>
                <w:color w:val="auto"/>
              </w:rPr>
            </w:pPr>
          </w:p>
        </w:tc>
        <w:tc>
          <w:tcPr>
            <w:tcW w:w="1160" w:type="dxa"/>
            <w:vAlign w:val="bottom"/>
            <w:gridSpan w:val="3"/>
          </w:tcPr>
          <w:p>
            <w:pPr>
              <w:jc w:val="right"/>
              <w:ind w:right="8"/>
              <w:spacing w:after="0"/>
              <w:rPr>
                <w:sz w:val="20"/>
                <w:szCs w:val="20"/>
                <w:color w:val="auto"/>
              </w:rPr>
            </w:pPr>
            <w:r>
              <w:rPr>
                <w:rFonts w:ascii="Arial" w:cs="Arial" w:eastAsia="Arial" w:hAnsi="Arial"/>
                <w:sz w:val="14"/>
                <w:szCs w:val="14"/>
                <w:b w:val="1"/>
                <w:bCs w:val="1"/>
                <w:color w:val="auto"/>
              </w:rPr>
              <w:t>June 30,</w:t>
            </w:r>
          </w:p>
        </w:tc>
        <w:tc>
          <w:tcPr>
            <w:tcW w:w="7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3"/>
        </w:trPr>
        <w:tc>
          <w:tcPr>
            <w:tcW w:w="6980" w:type="dxa"/>
            <w:vAlign w:val="bottom"/>
            <w:tcBorders>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2022</w:t>
            </w:r>
          </w:p>
        </w:tc>
        <w:tc>
          <w:tcPr>
            <w:tcW w:w="100" w:type="dxa"/>
            <w:vAlign w:val="bottom"/>
            <w:tcBorders>
              <w:top w:val="single" w:sz="8" w:color="auto"/>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700" w:type="dxa"/>
            <w:vAlign w:val="bottom"/>
            <w:tcBorders>
              <w:top w:val="single" w:sz="8" w:color="auto"/>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760" w:type="dxa"/>
            <w:vAlign w:val="bottom"/>
            <w:tcBorders>
              <w:top w:val="single" w:sz="8" w:color="auto"/>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2022</w:t>
            </w:r>
          </w:p>
        </w:tc>
        <w:tc>
          <w:tcPr>
            <w:tcW w:w="140" w:type="dxa"/>
            <w:vAlign w:val="bottom"/>
            <w:tcBorders>
              <w:top w:val="single" w:sz="8" w:color="auto"/>
              <w:bottom w:val="single" w:sz="8" w:color="CCEEFF"/>
            </w:tcBorders>
          </w:tcPr>
          <w:p>
            <w:pPr>
              <w:spacing w:after="0"/>
              <w:rPr>
                <w:sz w:val="15"/>
                <w:szCs w:val="15"/>
                <w:color w:val="auto"/>
              </w:rPr>
            </w:pPr>
          </w:p>
        </w:tc>
        <w:tc>
          <w:tcPr>
            <w:tcW w:w="260" w:type="dxa"/>
            <w:vAlign w:val="bottom"/>
            <w:tcBorders>
              <w:top w:val="single" w:sz="8" w:color="auto"/>
              <w:bottom w:val="single" w:sz="8" w:color="auto"/>
            </w:tcBorders>
          </w:tcPr>
          <w:p>
            <w:pPr>
              <w:spacing w:after="0"/>
              <w:rPr>
                <w:sz w:val="15"/>
                <w:szCs w:val="15"/>
                <w:color w:val="auto"/>
              </w:rPr>
            </w:pPr>
          </w:p>
        </w:tc>
        <w:tc>
          <w:tcPr>
            <w:tcW w:w="720" w:type="dxa"/>
            <w:vAlign w:val="bottom"/>
            <w:tcBorders>
              <w:top w:val="single" w:sz="8" w:color="auto"/>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184"/>
        </w:trPr>
        <w:tc>
          <w:tcPr>
            <w:tcW w:w="698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interest income (GAAP measure)</w:t>
            </w:r>
          </w:p>
        </w:tc>
        <w:tc>
          <w:tcPr>
            <w:tcW w:w="20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315</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232</w:t>
            </w:r>
          </w:p>
        </w:tc>
        <w:tc>
          <w:tcPr>
            <w:tcW w:w="120" w:type="dxa"/>
            <w:vAlign w:val="bottom"/>
            <w:shd w:val="clear" w:color="auto" w:fill="CCEEFF"/>
          </w:tcPr>
          <w:p>
            <w:pPr>
              <w:spacing w:after="0"/>
              <w:rPr>
                <w:sz w:val="15"/>
                <w:szCs w:val="15"/>
                <w:color w:val="auto"/>
              </w:rPr>
            </w:pP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763</w:t>
            </w:r>
          </w:p>
        </w:tc>
        <w:tc>
          <w:tcPr>
            <w:tcW w:w="140" w:type="dxa"/>
            <w:vAlign w:val="bottom"/>
            <w:shd w:val="clear" w:color="auto" w:fill="CCEEFF"/>
          </w:tcPr>
          <w:p>
            <w:pPr>
              <w:spacing w:after="0"/>
              <w:rPr>
                <w:sz w:val="15"/>
                <w:szCs w:val="15"/>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760</w:t>
            </w:r>
          </w:p>
        </w:tc>
        <w:tc>
          <w:tcPr>
            <w:tcW w:w="0" w:type="dxa"/>
            <w:vAlign w:val="bottom"/>
          </w:tcPr>
          <w:p>
            <w:pPr>
              <w:spacing w:after="0"/>
              <w:rPr>
                <w:sz w:val="1"/>
                <w:szCs w:val="1"/>
                <w:color w:val="auto"/>
              </w:rPr>
            </w:pPr>
          </w:p>
        </w:tc>
      </w:tr>
      <w:tr>
        <w:trPr>
          <w:trHeight w:val="189"/>
        </w:trPr>
        <w:tc>
          <w:tcPr>
            <w:tcW w:w="6980" w:type="dxa"/>
            <w:vAlign w:val="bottom"/>
          </w:tcPr>
          <w:p>
            <w:pPr>
              <w:ind w:left="140"/>
              <w:spacing w:after="0" w:line="189" w:lineRule="exact"/>
              <w:rPr>
                <w:sz w:val="20"/>
                <w:szCs w:val="20"/>
                <w:color w:val="auto"/>
              </w:rPr>
            </w:pPr>
            <w:r>
              <w:rPr>
                <w:rFonts w:ascii="Arial" w:cs="Arial" w:eastAsia="Arial" w:hAnsi="Arial"/>
                <w:sz w:val="14"/>
                <w:szCs w:val="14"/>
                <w:color w:val="auto"/>
              </w:rPr>
              <w:t xml:space="preserve">TBA dollar roll income, net </w:t>
            </w:r>
            <w:r>
              <w:rPr>
                <w:rFonts w:ascii="Arial" w:cs="Arial" w:eastAsia="Arial" w:hAnsi="Arial"/>
                <w:sz w:val="18"/>
                <w:szCs w:val="18"/>
                <w:color w:val="auto"/>
                <w:vertAlign w:val="superscript"/>
              </w:rPr>
              <w:t>1</w:t>
            </w: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182</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162</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334</w:t>
            </w:r>
          </w:p>
        </w:tc>
        <w:tc>
          <w:tcPr>
            <w:tcW w:w="1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316</w:t>
            </w:r>
          </w:p>
        </w:tc>
        <w:tc>
          <w:tcPr>
            <w:tcW w:w="0" w:type="dxa"/>
            <w:vAlign w:val="bottom"/>
          </w:tcPr>
          <w:p>
            <w:pPr>
              <w:spacing w:after="0"/>
              <w:rPr>
                <w:sz w:val="1"/>
                <w:szCs w:val="1"/>
                <w:color w:val="auto"/>
              </w:rPr>
            </w:pPr>
          </w:p>
        </w:tc>
      </w:tr>
      <w:tr>
        <w:trPr>
          <w:trHeight w:val="189"/>
        </w:trPr>
        <w:tc>
          <w:tcPr>
            <w:tcW w:w="6980" w:type="dxa"/>
            <w:vAlign w:val="bottom"/>
            <w:shd w:val="clear" w:color="auto" w:fill="CCEEFF"/>
          </w:tcPr>
          <w:p>
            <w:pPr>
              <w:ind w:left="140"/>
              <w:spacing w:after="0" w:line="189" w:lineRule="exact"/>
              <w:rPr>
                <w:sz w:val="20"/>
                <w:szCs w:val="20"/>
                <w:color w:val="auto"/>
              </w:rPr>
            </w:pPr>
            <w:r>
              <w:rPr>
                <w:rFonts w:ascii="Arial" w:cs="Arial" w:eastAsia="Arial" w:hAnsi="Arial"/>
                <w:sz w:val="14"/>
                <w:szCs w:val="14"/>
                <w:color w:val="auto"/>
              </w:rPr>
              <w:t xml:space="preserve">Interest rate swap periodic cost (income), net </w:t>
            </w:r>
            <w:r>
              <w:rPr>
                <w:rFonts w:ascii="Arial" w:cs="Arial" w:eastAsia="Arial" w:hAnsi="Arial"/>
                <w:sz w:val="18"/>
                <w:szCs w:val="18"/>
                <w:color w:val="auto"/>
                <w:vertAlign w:val="superscript"/>
              </w:rPr>
              <w:t>1</w:t>
            </w:r>
          </w:p>
        </w:tc>
        <w:tc>
          <w:tcPr>
            <w:tcW w:w="200" w:type="dxa"/>
            <w:vAlign w:val="bottom"/>
            <w:tcBorders>
              <w:bottom w:val="single" w:sz="8" w:color="auto"/>
            </w:tcBorders>
            <w:shd w:val="clear" w:color="auto" w:fill="CCEEFF"/>
          </w:tcPr>
          <w:p>
            <w:pPr>
              <w:spacing w:after="0"/>
              <w:rPr>
                <w:sz w:val="16"/>
                <w:szCs w:val="16"/>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49</w:t>
            </w:r>
          </w:p>
        </w:tc>
        <w:tc>
          <w:tcPr>
            <w:tcW w:w="100" w:type="dxa"/>
            <w:vAlign w:val="bottom"/>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spacing w:after="0"/>
              <w:rPr>
                <w:sz w:val="16"/>
                <w:szCs w:val="16"/>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w:t>
            </w:r>
          </w:p>
        </w:tc>
        <w:tc>
          <w:tcPr>
            <w:tcW w:w="120" w:type="dxa"/>
            <w:vAlign w:val="bottom"/>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spacing w:after="0"/>
              <w:rPr>
                <w:sz w:val="16"/>
                <w:szCs w:val="16"/>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31</w:t>
            </w:r>
          </w:p>
        </w:tc>
        <w:tc>
          <w:tcPr>
            <w:tcW w:w="140" w:type="dxa"/>
            <w:vAlign w:val="bottom"/>
            <w:shd w:val="clear" w:color="auto" w:fill="CCEEFF"/>
          </w:tcPr>
          <w:p>
            <w:pPr>
              <w:spacing w:after="0"/>
              <w:rPr>
                <w:sz w:val="16"/>
                <w:szCs w:val="16"/>
                <w:color w:val="auto"/>
              </w:rPr>
            </w:pPr>
          </w:p>
        </w:tc>
        <w:tc>
          <w:tcPr>
            <w:tcW w:w="260" w:type="dxa"/>
            <w:vAlign w:val="bottom"/>
            <w:tcBorders>
              <w:bottom w:val="single" w:sz="8" w:color="auto"/>
            </w:tcBorders>
            <w:shd w:val="clear" w:color="auto" w:fill="CCEEFF"/>
          </w:tcPr>
          <w:p>
            <w:pPr>
              <w:spacing w:after="0"/>
              <w:rPr>
                <w:sz w:val="16"/>
                <w:szCs w:val="16"/>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(31)</w:t>
            </w:r>
          </w:p>
        </w:tc>
        <w:tc>
          <w:tcPr>
            <w:tcW w:w="0" w:type="dxa"/>
            <w:vAlign w:val="bottom"/>
          </w:tcPr>
          <w:p>
            <w:pPr>
              <w:spacing w:after="0"/>
              <w:rPr>
                <w:sz w:val="1"/>
                <w:szCs w:val="1"/>
                <w:color w:val="auto"/>
              </w:rPr>
            </w:pPr>
          </w:p>
        </w:tc>
      </w:tr>
      <w:tr>
        <w:trPr>
          <w:trHeight w:val="179"/>
        </w:trPr>
        <w:tc>
          <w:tcPr>
            <w:tcW w:w="6980" w:type="dxa"/>
            <w:vAlign w:val="bottom"/>
          </w:tcPr>
          <w:p>
            <w:pPr>
              <w:ind w:left="20"/>
              <w:spacing w:after="0"/>
              <w:rPr>
                <w:sz w:val="20"/>
                <w:szCs w:val="20"/>
                <w:color w:val="auto"/>
              </w:rPr>
            </w:pPr>
            <w:r>
              <w:rPr>
                <w:rFonts w:ascii="Arial" w:cs="Arial" w:eastAsia="Arial" w:hAnsi="Arial"/>
                <w:sz w:val="14"/>
                <w:szCs w:val="14"/>
                <w:color w:val="auto"/>
              </w:rPr>
              <w:t>Adjusted net interest and dollar roll income</w:t>
            </w:r>
          </w:p>
        </w:tc>
        <w:tc>
          <w:tcPr>
            <w:tcW w:w="20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546</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375</w:t>
            </w: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1,128</w:t>
            </w: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1,045</w:t>
            </w:r>
          </w:p>
        </w:tc>
        <w:tc>
          <w:tcPr>
            <w:tcW w:w="0" w:type="dxa"/>
            <w:vAlign w:val="bottom"/>
          </w:tcPr>
          <w:p>
            <w:pPr>
              <w:spacing w:after="0"/>
              <w:rPr>
                <w:sz w:val="1"/>
                <w:szCs w:val="1"/>
                <w:color w:val="auto"/>
              </w:rPr>
            </w:pPr>
          </w:p>
        </w:tc>
      </w:tr>
      <w:tr>
        <w:trPr>
          <w:trHeight w:val="192"/>
        </w:trPr>
        <w:tc>
          <w:tcPr>
            <w:tcW w:w="6980" w:type="dxa"/>
            <w:vAlign w:val="bottom"/>
            <w:shd w:val="clear" w:color="auto" w:fill="CCEEFF"/>
          </w:tcPr>
          <w:p>
            <w:pPr>
              <w:ind w:left="140"/>
              <w:spacing w:after="0"/>
              <w:rPr>
                <w:sz w:val="20"/>
                <w:szCs w:val="20"/>
                <w:color w:val="auto"/>
              </w:rPr>
            </w:pPr>
            <w:r>
              <w:rPr>
                <w:rFonts w:ascii="Arial" w:cs="Arial" w:eastAsia="Arial" w:hAnsi="Arial"/>
                <w:sz w:val="14"/>
                <w:szCs w:val="14"/>
                <w:color w:val="auto"/>
              </w:rPr>
              <w:t>Operating expense</w:t>
            </w:r>
          </w:p>
        </w:tc>
        <w:tc>
          <w:tcPr>
            <w:tcW w:w="200" w:type="dxa"/>
            <w:vAlign w:val="bottom"/>
            <w:tcBorders>
              <w:bottom w:val="single" w:sz="8" w:color="auto"/>
            </w:tcBorders>
            <w:shd w:val="clear" w:color="auto" w:fill="CCEEFF"/>
          </w:tcPr>
          <w:p>
            <w:pPr>
              <w:spacing w:after="0"/>
              <w:rPr>
                <w:sz w:val="16"/>
                <w:szCs w:val="16"/>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w:t>
            </w:r>
          </w:p>
        </w:tc>
        <w:tc>
          <w:tcPr>
            <w:tcW w:w="100" w:type="dxa"/>
            <w:vAlign w:val="bottom"/>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spacing w:after="0"/>
              <w:rPr>
                <w:sz w:val="16"/>
                <w:szCs w:val="16"/>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w:t>
            </w:r>
          </w:p>
        </w:tc>
        <w:tc>
          <w:tcPr>
            <w:tcW w:w="120" w:type="dxa"/>
            <w:vAlign w:val="bottom"/>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spacing w:after="0"/>
              <w:rPr>
                <w:sz w:val="16"/>
                <w:szCs w:val="16"/>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(41)</w:t>
            </w:r>
          </w:p>
        </w:tc>
        <w:tc>
          <w:tcPr>
            <w:tcW w:w="140" w:type="dxa"/>
            <w:vAlign w:val="bottom"/>
            <w:shd w:val="clear" w:color="auto" w:fill="CCEEFF"/>
          </w:tcPr>
          <w:p>
            <w:pPr>
              <w:spacing w:after="0"/>
              <w:rPr>
                <w:sz w:val="16"/>
                <w:szCs w:val="16"/>
                <w:color w:val="auto"/>
              </w:rPr>
            </w:pPr>
          </w:p>
        </w:tc>
        <w:tc>
          <w:tcPr>
            <w:tcW w:w="260" w:type="dxa"/>
            <w:vAlign w:val="bottom"/>
            <w:tcBorders>
              <w:bottom w:val="single" w:sz="8" w:color="auto"/>
            </w:tcBorders>
            <w:shd w:val="clear" w:color="auto" w:fill="CCEEFF"/>
          </w:tcPr>
          <w:p>
            <w:pPr>
              <w:spacing w:after="0"/>
              <w:rPr>
                <w:sz w:val="16"/>
                <w:szCs w:val="16"/>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(46)</w:t>
            </w:r>
          </w:p>
        </w:tc>
        <w:tc>
          <w:tcPr>
            <w:tcW w:w="0" w:type="dxa"/>
            <w:vAlign w:val="bottom"/>
          </w:tcPr>
          <w:p>
            <w:pPr>
              <w:spacing w:after="0"/>
              <w:rPr>
                <w:sz w:val="1"/>
                <w:szCs w:val="1"/>
                <w:color w:val="auto"/>
              </w:rPr>
            </w:pPr>
          </w:p>
        </w:tc>
      </w:tr>
      <w:tr>
        <w:trPr>
          <w:trHeight w:val="179"/>
        </w:trPr>
        <w:tc>
          <w:tcPr>
            <w:tcW w:w="6980" w:type="dxa"/>
            <w:vAlign w:val="bottom"/>
          </w:tcPr>
          <w:p>
            <w:pPr>
              <w:ind w:left="20"/>
              <w:spacing w:after="0"/>
              <w:rPr>
                <w:sz w:val="20"/>
                <w:szCs w:val="20"/>
                <w:color w:val="auto"/>
              </w:rPr>
            </w:pPr>
            <w:r>
              <w:rPr>
                <w:rFonts w:ascii="Arial" w:cs="Arial" w:eastAsia="Arial" w:hAnsi="Arial"/>
                <w:sz w:val="14"/>
                <w:szCs w:val="14"/>
                <w:color w:val="auto"/>
              </w:rPr>
              <w:t>Net spread and dollar roll income</w:t>
            </w:r>
          </w:p>
        </w:tc>
        <w:tc>
          <w:tcPr>
            <w:tcW w:w="20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526</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353</w:t>
            </w: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1,087</w:t>
            </w: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999</w:t>
            </w:r>
          </w:p>
        </w:tc>
        <w:tc>
          <w:tcPr>
            <w:tcW w:w="0" w:type="dxa"/>
            <w:vAlign w:val="bottom"/>
          </w:tcPr>
          <w:p>
            <w:pPr>
              <w:spacing w:after="0"/>
              <w:rPr>
                <w:sz w:val="1"/>
                <w:szCs w:val="1"/>
                <w:color w:val="auto"/>
              </w:rPr>
            </w:pPr>
          </w:p>
        </w:tc>
      </w:tr>
      <w:tr>
        <w:trPr>
          <w:trHeight w:val="192"/>
        </w:trPr>
        <w:tc>
          <w:tcPr>
            <w:tcW w:w="6980" w:type="dxa"/>
            <w:vAlign w:val="bottom"/>
            <w:shd w:val="clear" w:color="auto" w:fill="CCEEFF"/>
          </w:tcPr>
          <w:p>
            <w:pPr>
              <w:ind w:left="140"/>
              <w:spacing w:after="0"/>
              <w:rPr>
                <w:sz w:val="20"/>
                <w:szCs w:val="20"/>
                <w:color w:val="auto"/>
              </w:rPr>
            </w:pPr>
            <w:r>
              <w:rPr>
                <w:rFonts w:ascii="Arial" w:cs="Arial" w:eastAsia="Arial" w:hAnsi="Arial"/>
                <w:sz w:val="14"/>
                <w:szCs w:val="14"/>
                <w:color w:val="auto"/>
              </w:rPr>
              <w:t>Dividend on preferred stock</w:t>
            </w:r>
          </w:p>
        </w:tc>
        <w:tc>
          <w:tcPr>
            <w:tcW w:w="200" w:type="dxa"/>
            <w:vAlign w:val="bottom"/>
            <w:tcBorders>
              <w:bottom w:val="single" w:sz="8" w:color="auto"/>
            </w:tcBorders>
            <w:shd w:val="clear" w:color="auto" w:fill="CCEEFF"/>
          </w:tcPr>
          <w:p>
            <w:pPr>
              <w:spacing w:after="0"/>
              <w:rPr>
                <w:sz w:val="16"/>
                <w:szCs w:val="16"/>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spacing w:after="0"/>
              <w:rPr>
                <w:sz w:val="16"/>
                <w:szCs w:val="16"/>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120" w:type="dxa"/>
            <w:vAlign w:val="bottom"/>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spacing w:after="0"/>
              <w:rPr>
                <w:sz w:val="16"/>
                <w:szCs w:val="16"/>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50</w:t>
            </w:r>
          </w:p>
        </w:tc>
        <w:tc>
          <w:tcPr>
            <w:tcW w:w="140" w:type="dxa"/>
            <w:vAlign w:val="bottom"/>
            <w:shd w:val="clear" w:color="auto" w:fill="CCEEFF"/>
          </w:tcPr>
          <w:p>
            <w:pPr>
              <w:spacing w:after="0"/>
              <w:rPr>
                <w:sz w:val="16"/>
                <w:szCs w:val="16"/>
                <w:color w:val="auto"/>
              </w:rPr>
            </w:pPr>
          </w:p>
        </w:tc>
        <w:tc>
          <w:tcPr>
            <w:tcW w:w="260" w:type="dxa"/>
            <w:vAlign w:val="bottom"/>
            <w:tcBorders>
              <w:bottom w:val="single" w:sz="8" w:color="auto"/>
            </w:tcBorders>
            <w:shd w:val="clear" w:color="auto" w:fill="CCEEFF"/>
          </w:tcPr>
          <w:p>
            <w:pPr>
              <w:spacing w:after="0"/>
              <w:rPr>
                <w:sz w:val="16"/>
                <w:szCs w:val="16"/>
                <w:color w:val="auto"/>
              </w:rPr>
            </w:pPr>
          </w:p>
        </w:tc>
        <w:tc>
          <w:tcPr>
            <w:tcW w:w="7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50</w:t>
            </w:r>
          </w:p>
        </w:tc>
        <w:tc>
          <w:tcPr>
            <w:tcW w:w="0" w:type="dxa"/>
            <w:vAlign w:val="bottom"/>
          </w:tcPr>
          <w:p>
            <w:pPr>
              <w:spacing w:after="0"/>
              <w:rPr>
                <w:sz w:val="1"/>
                <w:szCs w:val="1"/>
                <w:color w:val="auto"/>
              </w:rPr>
            </w:pPr>
          </w:p>
        </w:tc>
      </w:tr>
      <w:tr>
        <w:trPr>
          <w:trHeight w:val="179"/>
        </w:trPr>
        <w:tc>
          <w:tcPr>
            <w:tcW w:w="6980" w:type="dxa"/>
            <w:vAlign w:val="bottom"/>
          </w:tcPr>
          <w:p>
            <w:pPr>
              <w:ind w:left="20"/>
              <w:spacing w:after="0"/>
              <w:rPr>
                <w:sz w:val="20"/>
                <w:szCs w:val="20"/>
                <w:color w:val="auto"/>
              </w:rPr>
            </w:pPr>
            <w:r>
              <w:rPr>
                <w:rFonts w:ascii="Arial" w:cs="Arial" w:eastAsia="Arial" w:hAnsi="Arial"/>
                <w:sz w:val="14"/>
                <w:szCs w:val="14"/>
                <w:color w:val="auto"/>
              </w:rPr>
              <w:t>Net spread and dollar roll income available to common stockholders (non-GAAP measure)</w:t>
            </w:r>
          </w:p>
        </w:tc>
        <w:tc>
          <w:tcPr>
            <w:tcW w:w="20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501</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328</w:t>
            </w: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1,037</w:t>
            </w: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949</w:t>
            </w:r>
          </w:p>
        </w:tc>
        <w:tc>
          <w:tcPr>
            <w:tcW w:w="0" w:type="dxa"/>
            <w:vAlign w:val="bottom"/>
          </w:tcPr>
          <w:p>
            <w:pPr>
              <w:spacing w:after="0"/>
              <w:rPr>
                <w:sz w:val="1"/>
                <w:szCs w:val="1"/>
                <w:color w:val="auto"/>
              </w:rPr>
            </w:pPr>
          </w:p>
        </w:tc>
      </w:tr>
      <w:tr>
        <w:trPr>
          <w:trHeight w:val="192"/>
        </w:trPr>
        <w:tc>
          <w:tcPr>
            <w:tcW w:w="6980" w:type="dxa"/>
            <w:vAlign w:val="bottom"/>
            <w:shd w:val="clear" w:color="auto" w:fill="CCEEFF"/>
          </w:tcPr>
          <w:p>
            <w:pPr>
              <w:ind w:left="140"/>
              <w:spacing w:after="0"/>
              <w:rPr>
                <w:sz w:val="20"/>
                <w:szCs w:val="20"/>
                <w:color w:val="auto"/>
              </w:rPr>
            </w:pPr>
            <w:r>
              <w:rPr>
                <w:rFonts w:ascii="Arial" w:cs="Arial" w:eastAsia="Arial" w:hAnsi="Arial"/>
                <w:sz w:val="14"/>
                <w:szCs w:val="14"/>
                <w:color w:val="auto"/>
              </w:rPr>
              <w:t>Estimated "catch-up" premium amortization cost (benefit) due to change in CPR forecast</w:t>
            </w:r>
          </w:p>
        </w:tc>
        <w:tc>
          <w:tcPr>
            <w:tcW w:w="200" w:type="dxa"/>
            <w:vAlign w:val="bottom"/>
            <w:tcBorders>
              <w:bottom w:val="single" w:sz="8" w:color="auto"/>
            </w:tcBorders>
            <w:shd w:val="clear" w:color="auto" w:fill="CCEEFF"/>
          </w:tcPr>
          <w:p>
            <w:pPr>
              <w:spacing w:after="0"/>
              <w:rPr>
                <w:sz w:val="16"/>
                <w:szCs w:val="16"/>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(66)</w:t>
            </w:r>
          </w:p>
        </w:tc>
        <w:tc>
          <w:tcPr>
            <w:tcW w:w="100" w:type="dxa"/>
            <w:vAlign w:val="bottom"/>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spacing w:after="0"/>
              <w:rPr>
                <w:sz w:val="16"/>
                <w:szCs w:val="16"/>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71</w:t>
            </w:r>
          </w:p>
        </w:tc>
        <w:tc>
          <w:tcPr>
            <w:tcW w:w="120" w:type="dxa"/>
            <w:vAlign w:val="bottom"/>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spacing w:after="0"/>
              <w:rPr>
                <w:sz w:val="16"/>
                <w:szCs w:val="16"/>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(225)</w:t>
            </w:r>
          </w:p>
        </w:tc>
        <w:tc>
          <w:tcPr>
            <w:tcW w:w="140" w:type="dxa"/>
            <w:vAlign w:val="bottom"/>
            <w:shd w:val="clear" w:color="auto" w:fill="CCEEFF"/>
          </w:tcPr>
          <w:p>
            <w:pPr>
              <w:spacing w:after="0"/>
              <w:rPr>
                <w:sz w:val="16"/>
                <w:szCs w:val="16"/>
                <w:color w:val="auto"/>
              </w:rPr>
            </w:pPr>
          </w:p>
        </w:tc>
        <w:tc>
          <w:tcPr>
            <w:tcW w:w="260" w:type="dxa"/>
            <w:vAlign w:val="bottom"/>
            <w:tcBorders>
              <w:bottom w:val="single" w:sz="8" w:color="auto"/>
            </w:tcBorders>
            <w:shd w:val="clear" w:color="auto" w:fill="CCEEFF"/>
          </w:tcPr>
          <w:p>
            <w:pPr>
              <w:spacing w:after="0"/>
              <w:rPr>
                <w:sz w:val="16"/>
                <w:szCs w:val="16"/>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(142)</w:t>
            </w:r>
          </w:p>
        </w:tc>
        <w:tc>
          <w:tcPr>
            <w:tcW w:w="0" w:type="dxa"/>
            <w:vAlign w:val="bottom"/>
          </w:tcPr>
          <w:p>
            <w:pPr>
              <w:spacing w:after="0"/>
              <w:rPr>
                <w:sz w:val="1"/>
                <w:szCs w:val="1"/>
                <w:color w:val="auto"/>
              </w:rPr>
            </w:pPr>
          </w:p>
        </w:tc>
      </w:tr>
      <w:tr>
        <w:trPr>
          <w:trHeight w:val="115"/>
        </w:trPr>
        <w:tc>
          <w:tcPr>
            <w:tcW w:w="6980" w:type="dxa"/>
            <w:vAlign w:val="bottom"/>
          </w:tcPr>
          <w:p>
            <w:pPr>
              <w:ind w:left="20"/>
              <w:spacing w:after="0" w:line="115" w:lineRule="exact"/>
              <w:rPr>
                <w:sz w:val="20"/>
                <w:szCs w:val="20"/>
                <w:color w:val="auto"/>
              </w:rPr>
            </w:pPr>
            <w:r>
              <w:rPr>
                <w:rFonts w:ascii="Arial" w:cs="Arial" w:eastAsia="Arial" w:hAnsi="Arial"/>
                <w:sz w:val="13"/>
                <w:szCs w:val="13"/>
                <w:color w:val="auto"/>
              </w:rPr>
              <w:t>Net spread and dollar roll income, excluding "catch-up" premium amortization, available to common stockholders</w:t>
            </w:r>
          </w:p>
        </w:tc>
        <w:tc>
          <w:tcPr>
            <w:tcW w:w="200" w:type="dxa"/>
            <w:vAlign w:val="bottom"/>
            <w:vMerge w:val="restart"/>
          </w:tcPr>
          <w:p>
            <w:pPr>
              <w:ind w:left="20"/>
              <w:spacing w:after="0"/>
              <w:rPr>
                <w:sz w:val="20"/>
                <w:szCs w:val="20"/>
                <w:color w:val="auto"/>
              </w:rPr>
            </w:pPr>
            <w:r>
              <w:rPr>
                <w:rFonts w:ascii="Arial" w:cs="Arial" w:eastAsia="Arial" w:hAnsi="Arial"/>
                <w:sz w:val="14"/>
                <w:szCs w:val="14"/>
                <w:color w:val="auto"/>
              </w:rPr>
              <w:t>$</w:t>
            </w:r>
          </w:p>
        </w:tc>
        <w:tc>
          <w:tcPr>
            <w:tcW w:w="720" w:type="dxa"/>
            <w:vAlign w:val="bottom"/>
            <w:vMerge w:val="restart"/>
          </w:tcPr>
          <w:p>
            <w:pPr>
              <w:jc w:val="right"/>
              <w:spacing w:after="0"/>
              <w:rPr>
                <w:sz w:val="20"/>
                <w:szCs w:val="20"/>
                <w:color w:val="auto"/>
              </w:rPr>
            </w:pPr>
            <w:r>
              <w:rPr>
                <w:rFonts w:ascii="Arial" w:cs="Arial" w:eastAsia="Arial" w:hAnsi="Arial"/>
                <w:sz w:val="14"/>
                <w:szCs w:val="14"/>
                <w:color w:val="auto"/>
              </w:rPr>
              <w:t>435</w:t>
            </w:r>
          </w:p>
        </w:tc>
        <w:tc>
          <w:tcPr>
            <w:tcW w:w="100" w:type="dxa"/>
            <w:vAlign w:val="bottom"/>
          </w:tcPr>
          <w:p>
            <w:pPr>
              <w:spacing w:after="0"/>
              <w:rPr>
                <w:sz w:val="10"/>
                <w:szCs w:val="10"/>
                <w:color w:val="auto"/>
              </w:rPr>
            </w:pPr>
          </w:p>
        </w:tc>
        <w:tc>
          <w:tcPr>
            <w:tcW w:w="200" w:type="dxa"/>
            <w:vAlign w:val="bottom"/>
            <w:vMerge w:val="restart"/>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vMerge w:val="restart"/>
          </w:tcPr>
          <w:p>
            <w:pPr>
              <w:jc w:val="right"/>
              <w:spacing w:after="0"/>
              <w:rPr>
                <w:sz w:val="20"/>
                <w:szCs w:val="20"/>
                <w:color w:val="auto"/>
              </w:rPr>
            </w:pPr>
            <w:r>
              <w:rPr>
                <w:rFonts w:ascii="Arial" w:cs="Arial" w:eastAsia="Arial" w:hAnsi="Arial"/>
                <w:sz w:val="14"/>
                <w:szCs w:val="14"/>
                <w:color w:val="auto"/>
              </w:rPr>
              <w:t>399</w:t>
            </w:r>
          </w:p>
        </w:tc>
        <w:tc>
          <w:tcPr>
            <w:tcW w:w="120" w:type="dxa"/>
            <w:vAlign w:val="bottom"/>
          </w:tcPr>
          <w:p>
            <w:pPr>
              <w:spacing w:after="0"/>
              <w:rPr>
                <w:sz w:val="10"/>
                <w:szCs w:val="10"/>
                <w:color w:val="auto"/>
              </w:rPr>
            </w:pPr>
          </w:p>
        </w:tc>
        <w:tc>
          <w:tcPr>
            <w:tcW w:w="200" w:type="dxa"/>
            <w:vAlign w:val="bottom"/>
            <w:vMerge w:val="restart"/>
          </w:tcPr>
          <w:p>
            <w:pPr>
              <w:jc w:val="right"/>
              <w:ind w:right="48"/>
              <w:spacing w:after="0"/>
              <w:rPr>
                <w:sz w:val="20"/>
                <w:szCs w:val="20"/>
                <w:color w:val="auto"/>
              </w:rPr>
            </w:pPr>
            <w:r>
              <w:rPr>
                <w:rFonts w:ascii="Arial" w:cs="Arial" w:eastAsia="Arial" w:hAnsi="Arial"/>
                <w:sz w:val="14"/>
                <w:szCs w:val="14"/>
                <w:color w:val="auto"/>
                <w:w w:val="76"/>
              </w:rPr>
              <w:t>$</w:t>
            </w:r>
          </w:p>
        </w:tc>
        <w:tc>
          <w:tcPr>
            <w:tcW w:w="760" w:type="dxa"/>
            <w:vAlign w:val="bottom"/>
            <w:vMerge w:val="restart"/>
          </w:tcPr>
          <w:p>
            <w:pPr>
              <w:jc w:val="right"/>
              <w:spacing w:after="0"/>
              <w:rPr>
                <w:sz w:val="20"/>
                <w:szCs w:val="20"/>
                <w:color w:val="auto"/>
              </w:rPr>
            </w:pPr>
            <w:r>
              <w:rPr>
                <w:rFonts w:ascii="Arial" w:cs="Arial" w:eastAsia="Arial" w:hAnsi="Arial"/>
                <w:sz w:val="14"/>
                <w:szCs w:val="14"/>
                <w:color w:val="auto"/>
              </w:rPr>
              <w:t>812</w:t>
            </w:r>
          </w:p>
        </w:tc>
        <w:tc>
          <w:tcPr>
            <w:tcW w:w="140" w:type="dxa"/>
            <w:vAlign w:val="bottom"/>
          </w:tcPr>
          <w:p>
            <w:pPr>
              <w:spacing w:after="0"/>
              <w:rPr>
                <w:sz w:val="10"/>
                <w:szCs w:val="10"/>
                <w:color w:val="auto"/>
              </w:rPr>
            </w:pPr>
          </w:p>
        </w:tc>
        <w:tc>
          <w:tcPr>
            <w:tcW w:w="260" w:type="dxa"/>
            <w:vAlign w:val="bottom"/>
            <w:vMerge w:val="restart"/>
          </w:tcPr>
          <w:p>
            <w:pPr>
              <w:jc w:val="right"/>
              <w:ind w:right="88"/>
              <w:spacing w:after="0"/>
              <w:rPr>
                <w:sz w:val="20"/>
                <w:szCs w:val="20"/>
                <w:color w:val="auto"/>
              </w:rPr>
            </w:pPr>
            <w:r>
              <w:rPr>
                <w:rFonts w:ascii="Arial" w:cs="Arial" w:eastAsia="Arial" w:hAnsi="Arial"/>
                <w:sz w:val="14"/>
                <w:szCs w:val="14"/>
                <w:color w:val="auto"/>
              </w:rPr>
              <w:t>$</w:t>
            </w:r>
          </w:p>
        </w:tc>
        <w:tc>
          <w:tcPr>
            <w:tcW w:w="720" w:type="dxa"/>
            <w:vAlign w:val="bottom"/>
            <w:vMerge w:val="restart"/>
          </w:tcPr>
          <w:p>
            <w:pPr>
              <w:jc w:val="right"/>
              <w:ind w:right="8"/>
              <w:spacing w:after="0"/>
              <w:rPr>
                <w:sz w:val="20"/>
                <w:szCs w:val="20"/>
                <w:color w:val="auto"/>
              </w:rPr>
            </w:pPr>
            <w:r>
              <w:rPr>
                <w:rFonts w:ascii="Arial" w:cs="Arial" w:eastAsia="Arial" w:hAnsi="Arial"/>
                <w:sz w:val="14"/>
                <w:szCs w:val="14"/>
                <w:color w:val="auto"/>
              </w:rPr>
              <w:t>807</w:t>
            </w:r>
          </w:p>
        </w:tc>
        <w:tc>
          <w:tcPr>
            <w:tcW w:w="0" w:type="dxa"/>
            <w:vAlign w:val="bottom"/>
          </w:tcPr>
          <w:p>
            <w:pPr>
              <w:spacing w:after="0"/>
              <w:rPr>
                <w:sz w:val="1"/>
                <w:szCs w:val="1"/>
                <w:color w:val="auto"/>
              </w:rPr>
            </w:pPr>
          </w:p>
        </w:tc>
      </w:tr>
      <w:tr>
        <w:trPr>
          <w:trHeight w:val="167"/>
        </w:trPr>
        <w:tc>
          <w:tcPr>
            <w:tcW w:w="6980" w:type="dxa"/>
            <w:vAlign w:val="bottom"/>
          </w:tcPr>
          <w:p>
            <w:pPr>
              <w:ind w:left="20"/>
              <w:spacing w:after="0"/>
              <w:rPr>
                <w:sz w:val="20"/>
                <w:szCs w:val="20"/>
                <w:color w:val="auto"/>
              </w:rPr>
            </w:pPr>
            <w:r>
              <w:rPr>
                <w:rFonts w:ascii="Arial" w:cs="Arial" w:eastAsia="Arial" w:hAnsi="Arial"/>
                <w:sz w:val="14"/>
                <w:szCs w:val="14"/>
                <w:color w:val="auto"/>
              </w:rPr>
              <w:t>(non-GAAP measure)</w:t>
            </w:r>
          </w:p>
        </w:tc>
        <w:tc>
          <w:tcPr>
            <w:tcW w:w="200" w:type="dxa"/>
            <w:vAlign w:val="bottom"/>
            <w:tcBorders>
              <w:bottom w:val="single" w:sz="8" w:color="auto"/>
            </w:tcBorders>
            <w:vMerge w:val="continue"/>
          </w:tcPr>
          <w:p>
            <w:pPr>
              <w:spacing w:after="0"/>
              <w:rPr>
                <w:sz w:val="14"/>
                <w:szCs w:val="14"/>
                <w:color w:val="auto"/>
              </w:rPr>
            </w:pPr>
          </w:p>
        </w:tc>
        <w:tc>
          <w:tcPr>
            <w:tcW w:w="720" w:type="dxa"/>
            <w:vAlign w:val="bottom"/>
            <w:tcBorders>
              <w:bottom w:val="single" w:sz="8" w:color="auto"/>
            </w:tcBorders>
            <w:vMerge w:val="continue"/>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Borders>
              <w:bottom w:val="single" w:sz="8" w:color="auto"/>
            </w:tcBorders>
            <w:vMerge w:val="continue"/>
          </w:tcPr>
          <w:p>
            <w:pPr>
              <w:spacing w:after="0"/>
              <w:rPr>
                <w:sz w:val="14"/>
                <w:szCs w:val="14"/>
                <w:color w:val="auto"/>
              </w:rPr>
            </w:pPr>
          </w:p>
        </w:tc>
        <w:tc>
          <w:tcPr>
            <w:tcW w:w="700" w:type="dxa"/>
            <w:vAlign w:val="bottom"/>
            <w:tcBorders>
              <w:bottom w:val="single" w:sz="8" w:color="auto"/>
            </w:tcBorders>
            <w:vMerge w:val="continue"/>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Borders>
              <w:bottom w:val="single" w:sz="8" w:color="auto"/>
            </w:tcBorders>
            <w:vMerge w:val="continue"/>
          </w:tcPr>
          <w:p>
            <w:pPr>
              <w:spacing w:after="0"/>
              <w:rPr>
                <w:sz w:val="14"/>
                <w:szCs w:val="14"/>
                <w:color w:val="auto"/>
              </w:rPr>
            </w:pPr>
          </w:p>
        </w:tc>
        <w:tc>
          <w:tcPr>
            <w:tcW w:w="760" w:type="dxa"/>
            <w:vAlign w:val="bottom"/>
            <w:tcBorders>
              <w:bottom w:val="single" w:sz="8" w:color="auto"/>
            </w:tcBorders>
            <w:vMerge w:val="continue"/>
          </w:tcPr>
          <w:p>
            <w:pPr>
              <w:spacing w:after="0"/>
              <w:rPr>
                <w:sz w:val="14"/>
                <w:szCs w:val="14"/>
                <w:color w:val="auto"/>
              </w:rPr>
            </w:pPr>
          </w:p>
        </w:tc>
        <w:tc>
          <w:tcPr>
            <w:tcW w:w="140" w:type="dxa"/>
            <w:vAlign w:val="bottom"/>
          </w:tcPr>
          <w:p>
            <w:pPr>
              <w:spacing w:after="0"/>
              <w:rPr>
                <w:sz w:val="14"/>
                <w:szCs w:val="14"/>
                <w:color w:val="auto"/>
              </w:rPr>
            </w:pPr>
          </w:p>
        </w:tc>
        <w:tc>
          <w:tcPr>
            <w:tcW w:w="260" w:type="dxa"/>
            <w:vAlign w:val="bottom"/>
            <w:tcBorders>
              <w:bottom w:val="single" w:sz="8" w:color="auto"/>
            </w:tcBorders>
            <w:vMerge w:val="continue"/>
          </w:tcPr>
          <w:p>
            <w:pPr>
              <w:spacing w:after="0"/>
              <w:rPr>
                <w:sz w:val="14"/>
                <w:szCs w:val="14"/>
                <w:color w:val="auto"/>
              </w:rPr>
            </w:pPr>
          </w:p>
        </w:tc>
        <w:tc>
          <w:tcPr>
            <w:tcW w:w="720" w:type="dxa"/>
            <w:vAlign w:val="bottom"/>
            <w:tcBorders>
              <w:bottom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698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698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9"/>
        </w:trPr>
        <w:tc>
          <w:tcPr>
            <w:tcW w:w="6980" w:type="dxa"/>
            <w:vAlign w:val="bottom"/>
          </w:tcPr>
          <w:p>
            <w:pPr>
              <w:ind w:left="20"/>
              <w:spacing w:after="0"/>
              <w:rPr>
                <w:sz w:val="20"/>
                <w:szCs w:val="20"/>
                <w:color w:val="auto"/>
              </w:rPr>
            </w:pPr>
            <w:r>
              <w:rPr>
                <w:rFonts w:ascii="Arial" w:cs="Arial" w:eastAsia="Arial" w:hAnsi="Arial"/>
                <w:sz w:val="14"/>
                <w:szCs w:val="14"/>
                <w:color w:val="auto"/>
              </w:rPr>
              <w:t>Weighted average number of common shares outstanding - basic</w:t>
            </w: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526.2</w:t>
            </w:r>
          </w:p>
        </w:tc>
        <w:tc>
          <w:tcPr>
            <w:tcW w:w="10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526.6</w:t>
            </w:r>
          </w:p>
        </w:tc>
        <w:tc>
          <w:tcPr>
            <w:tcW w:w="1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525.3</w:t>
            </w:r>
          </w:p>
        </w:tc>
        <w:tc>
          <w:tcPr>
            <w:tcW w:w="14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530.1</w:t>
            </w:r>
          </w:p>
        </w:tc>
        <w:tc>
          <w:tcPr>
            <w:tcW w:w="0" w:type="dxa"/>
            <w:vAlign w:val="bottom"/>
          </w:tcPr>
          <w:p>
            <w:pPr>
              <w:spacing w:after="0"/>
              <w:rPr>
                <w:sz w:val="1"/>
                <w:szCs w:val="1"/>
                <w:color w:val="auto"/>
              </w:rPr>
            </w:pPr>
          </w:p>
        </w:tc>
      </w:tr>
      <w:tr>
        <w:trPr>
          <w:trHeight w:val="20"/>
        </w:trPr>
        <w:tc>
          <w:tcPr>
            <w:tcW w:w="698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6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outstanding - diluted</w:t>
            </w:r>
          </w:p>
        </w:tc>
        <w:tc>
          <w:tcPr>
            <w:tcW w:w="20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527.1</w:t>
            </w:r>
          </w:p>
        </w:tc>
        <w:tc>
          <w:tcPr>
            <w:tcW w:w="1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528.3</w:t>
            </w:r>
          </w:p>
        </w:tc>
        <w:tc>
          <w:tcPr>
            <w:tcW w:w="12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526.4</w:t>
            </w:r>
          </w:p>
        </w:tc>
        <w:tc>
          <w:tcPr>
            <w:tcW w:w="14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531.9</w:t>
            </w:r>
          </w:p>
        </w:tc>
        <w:tc>
          <w:tcPr>
            <w:tcW w:w="0" w:type="dxa"/>
            <w:vAlign w:val="bottom"/>
          </w:tcPr>
          <w:p>
            <w:pPr>
              <w:spacing w:after="0"/>
              <w:rPr>
                <w:sz w:val="1"/>
                <w:szCs w:val="1"/>
                <w:color w:val="auto"/>
              </w:rPr>
            </w:pPr>
          </w:p>
        </w:tc>
      </w:tr>
      <w:tr>
        <w:trPr>
          <w:trHeight w:val="20"/>
        </w:trPr>
        <w:tc>
          <w:tcPr>
            <w:tcW w:w="69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6980" w:type="dxa"/>
            <w:vAlign w:val="bottom"/>
          </w:tcPr>
          <w:p>
            <w:pPr>
              <w:ind w:left="20"/>
              <w:spacing w:after="0"/>
              <w:rPr>
                <w:sz w:val="20"/>
                <w:szCs w:val="20"/>
                <w:color w:val="auto"/>
              </w:rPr>
            </w:pPr>
            <w:r>
              <w:rPr>
                <w:rFonts w:ascii="Arial" w:cs="Arial" w:eastAsia="Arial" w:hAnsi="Arial"/>
                <w:sz w:val="14"/>
                <w:szCs w:val="14"/>
                <w:color w:val="auto"/>
              </w:rPr>
              <w:t>Net spread and dollar roll income per common share - basic</w:t>
            </w:r>
          </w:p>
        </w:tc>
        <w:tc>
          <w:tcPr>
            <w:tcW w:w="20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0.95</w:t>
            </w:r>
          </w:p>
        </w:tc>
        <w:tc>
          <w:tcPr>
            <w:tcW w:w="100" w:type="dxa"/>
            <w:vAlign w:val="bottom"/>
          </w:tcPr>
          <w:p>
            <w:pPr>
              <w:spacing w:after="0"/>
              <w:rPr>
                <w:sz w:val="14"/>
                <w:szCs w:val="14"/>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0.62</w:t>
            </w:r>
          </w:p>
        </w:tc>
        <w:tc>
          <w:tcPr>
            <w:tcW w:w="120" w:type="dxa"/>
            <w:vAlign w:val="bottom"/>
          </w:tcPr>
          <w:p>
            <w:pPr>
              <w:spacing w:after="0"/>
              <w:rPr>
                <w:sz w:val="14"/>
                <w:szCs w:val="14"/>
                <w:color w:val="auto"/>
              </w:rPr>
            </w:pPr>
          </w:p>
        </w:tc>
        <w:tc>
          <w:tcPr>
            <w:tcW w:w="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1.97</w:t>
            </w:r>
          </w:p>
        </w:tc>
        <w:tc>
          <w:tcPr>
            <w:tcW w:w="140" w:type="dxa"/>
            <w:vAlign w:val="bottom"/>
          </w:tcPr>
          <w:p>
            <w:pPr>
              <w:spacing w:after="0"/>
              <w:rPr>
                <w:sz w:val="14"/>
                <w:szCs w:val="14"/>
                <w:color w:val="auto"/>
              </w:rPr>
            </w:pPr>
          </w:p>
        </w:tc>
        <w:tc>
          <w:tcPr>
            <w:tcW w:w="2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1.79</w:t>
            </w:r>
          </w:p>
        </w:tc>
        <w:tc>
          <w:tcPr>
            <w:tcW w:w="0" w:type="dxa"/>
            <w:vAlign w:val="bottom"/>
          </w:tcPr>
          <w:p>
            <w:pPr>
              <w:spacing w:after="0"/>
              <w:rPr>
                <w:sz w:val="1"/>
                <w:szCs w:val="1"/>
                <w:color w:val="auto"/>
              </w:rPr>
            </w:pPr>
          </w:p>
        </w:tc>
      </w:tr>
      <w:tr>
        <w:trPr>
          <w:trHeight w:val="20"/>
        </w:trPr>
        <w:tc>
          <w:tcPr>
            <w:tcW w:w="698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6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Net spread and dollar roll income per common share - diluted</w:t>
            </w:r>
          </w:p>
        </w:tc>
        <w:tc>
          <w:tcPr>
            <w:tcW w:w="2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0.95</w:t>
            </w:r>
          </w:p>
        </w:tc>
        <w:tc>
          <w:tcPr>
            <w:tcW w:w="1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0.62</w:t>
            </w:r>
          </w:p>
        </w:tc>
        <w:tc>
          <w:tcPr>
            <w:tcW w:w="12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1.97</w:t>
            </w:r>
          </w:p>
        </w:tc>
        <w:tc>
          <w:tcPr>
            <w:tcW w:w="14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1.78</w:t>
            </w:r>
          </w:p>
        </w:tc>
        <w:tc>
          <w:tcPr>
            <w:tcW w:w="0" w:type="dxa"/>
            <w:vAlign w:val="bottom"/>
          </w:tcPr>
          <w:p>
            <w:pPr>
              <w:spacing w:after="0"/>
              <w:rPr>
                <w:sz w:val="1"/>
                <w:szCs w:val="1"/>
                <w:color w:val="auto"/>
              </w:rPr>
            </w:pPr>
          </w:p>
        </w:tc>
      </w:tr>
      <w:tr>
        <w:trPr>
          <w:trHeight w:val="20"/>
        </w:trPr>
        <w:tc>
          <w:tcPr>
            <w:tcW w:w="69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6980" w:type="dxa"/>
            <w:vAlign w:val="bottom"/>
          </w:tcPr>
          <w:p>
            <w:pPr>
              <w:ind w:left="20"/>
              <w:spacing w:after="0"/>
              <w:rPr>
                <w:sz w:val="20"/>
                <w:szCs w:val="20"/>
                <w:color w:val="auto"/>
              </w:rPr>
            </w:pPr>
            <w:r>
              <w:rPr>
                <w:rFonts w:ascii="Arial" w:cs="Arial" w:eastAsia="Arial" w:hAnsi="Arial"/>
                <w:sz w:val="14"/>
                <w:szCs w:val="14"/>
                <w:color w:val="auto"/>
              </w:rPr>
              <w:t>Net spread and dollar roll income, excluding "catch-up" premium amortization, per common share - basic</w:t>
            </w:r>
          </w:p>
        </w:tc>
        <w:tc>
          <w:tcPr>
            <w:tcW w:w="20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0.83</w:t>
            </w:r>
          </w:p>
        </w:tc>
        <w:tc>
          <w:tcPr>
            <w:tcW w:w="100" w:type="dxa"/>
            <w:vAlign w:val="bottom"/>
          </w:tcPr>
          <w:p>
            <w:pPr>
              <w:spacing w:after="0"/>
              <w:rPr>
                <w:sz w:val="14"/>
                <w:szCs w:val="14"/>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0.76</w:t>
            </w:r>
          </w:p>
        </w:tc>
        <w:tc>
          <w:tcPr>
            <w:tcW w:w="120" w:type="dxa"/>
            <w:vAlign w:val="bottom"/>
          </w:tcPr>
          <w:p>
            <w:pPr>
              <w:spacing w:after="0"/>
              <w:rPr>
                <w:sz w:val="14"/>
                <w:szCs w:val="14"/>
                <w:color w:val="auto"/>
              </w:rPr>
            </w:pPr>
          </w:p>
        </w:tc>
        <w:tc>
          <w:tcPr>
            <w:tcW w:w="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1.55</w:t>
            </w:r>
          </w:p>
        </w:tc>
        <w:tc>
          <w:tcPr>
            <w:tcW w:w="140" w:type="dxa"/>
            <w:vAlign w:val="bottom"/>
          </w:tcPr>
          <w:p>
            <w:pPr>
              <w:spacing w:after="0"/>
              <w:rPr>
                <w:sz w:val="14"/>
                <w:szCs w:val="14"/>
                <w:color w:val="auto"/>
              </w:rPr>
            </w:pPr>
          </w:p>
        </w:tc>
        <w:tc>
          <w:tcPr>
            <w:tcW w:w="2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1.52</w:t>
            </w:r>
          </w:p>
        </w:tc>
        <w:tc>
          <w:tcPr>
            <w:tcW w:w="0" w:type="dxa"/>
            <w:vAlign w:val="bottom"/>
          </w:tcPr>
          <w:p>
            <w:pPr>
              <w:spacing w:after="0"/>
              <w:rPr>
                <w:sz w:val="1"/>
                <w:szCs w:val="1"/>
                <w:color w:val="auto"/>
              </w:rPr>
            </w:pPr>
          </w:p>
        </w:tc>
      </w:tr>
      <w:tr>
        <w:trPr>
          <w:trHeight w:val="20"/>
        </w:trPr>
        <w:tc>
          <w:tcPr>
            <w:tcW w:w="698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6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Net spread and dollar roll income, excluding "catch-up" premium amortization, per common share - diluted</w:t>
            </w:r>
          </w:p>
        </w:tc>
        <w:tc>
          <w:tcPr>
            <w:tcW w:w="2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0.83</w:t>
            </w:r>
          </w:p>
        </w:tc>
        <w:tc>
          <w:tcPr>
            <w:tcW w:w="1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0.76</w:t>
            </w:r>
          </w:p>
        </w:tc>
        <w:tc>
          <w:tcPr>
            <w:tcW w:w="12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1.54</w:t>
            </w:r>
          </w:p>
        </w:tc>
        <w:tc>
          <w:tcPr>
            <w:tcW w:w="14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1.52</w:t>
            </w:r>
          </w:p>
        </w:tc>
        <w:tc>
          <w:tcPr>
            <w:tcW w:w="0" w:type="dxa"/>
            <w:vAlign w:val="bottom"/>
          </w:tcPr>
          <w:p>
            <w:pPr>
              <w:spacing w:after="0"/>
              <w:rPr>
                <w:sz w:val="1"/>
                <w:szCs w:val="1"/>
                <w:color w:val="auto"/>
              </w:rPr>
            </w:pPr>
          </w:p>
        </w:tc>
      </w:tr>
      <w:tr>
        <w:trPr>
          <w:trHeight w:val="20"/>
        </w:trPr>
        <w:tc>
          <w:tcPr>
            <w:tcW w:w="69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6"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tabs>
          <w:tab w:leader="none" w:pos="660" w:val="left"/>
        </w:tabs>
        <w:numPr>
          <w:ilvl w:val="0"/>
          <w:numId w:val="29"/>
        </w:numPr>
        <w:rPr>
          <w:rFonts w:ascii="Arial" w:cs="Arial" w:eastAsia="Arial" w:hAnsi="Arial"/>
          <w:sz w:val="14"/>
          <w:szCs w:val="14"/>
          <w:color w:val="auto"/>
        </w:rPr>
      </w:pPr>
      <w:r>
        <w:rPr>
          <w:rFonts w:ascii="Arial" w:cs="Arial" w:eastAsia="Arial" w:hAnsi="Arial"/>
          <w:sz w:val="14"/>
          <w:szCs w:val="14"/>
          <w:color w:val="auto"/>
        </w:rPr>
        <w:t>Reported in gain (loss) on derivative instruments and other securities, net in our consolidated statements of comprehensive income</w:t>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(Loss) on Investment Securities, Net</w:t>
      </w:r>
    </w:p>
    <w:p>
      <w:pPr>
        <w:spacing w:after="0" w:line="171" w:lineRule="exact"/>
        <w:rPr>
          <w:sz w:val="20"/>
          <w:szCs w:val="20"/>
          <w:color w:val="auto"/>
        </w:rPr>
      </w:pPr>
    </w:p>
    <w:p>
      <w:pPr>
        <w:ind w:right="20" w:firstLine="486"/>
        <w:spacing w:after="0" w:line="277" w:lineRule="auto"/>
        <w:rPr>
          <w:sz w:val="20"/>
          <w:szCs w:val="20"/>
          <w:color w:val="auto"/>
        </w:rPr>
      </w:pPr>
      <w:r>
        <w:rPr>
          <w:rFonts w:ascii="Arial" w:cs="Arial" w:eastAsia="Arial" w:hAnsi="Arial"/>
          <w:sz w:val="18"/>
          <w:szCs w:val="18"/>
          <w:color w:val="auto"/>
        </w:rPr>
        <w:t>The following table is a summary of our net gain (loss) on investment securities for the three and six months ended June 30, 2022 and 2021 (in millions):</w:t>
      </w:r>
    </w:p>
    <w:p>
      <w:pPr>
        <w:spacing w:after="0" w:line="2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9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40" w:type="dxa"/>
            <w:vAlign w:val="bottom"/>
            <w:gridSpan w:val="6"/>
            <w:vMerge w:val="restart"/>
          </w:tcPr>
          <w:p>
            <w:pPr>
              <w:ind w:left="40"/>
              <w:spacing w:after="0"/>
              <w:rPr>
                <w:sz w:val="20"/>
                <w:szCs w:val="20"/>
                <w:color w:val="auto"/>
              </w:rPr>
            </w:pPr>
            <w:r>
              <w:rPr>
                <w:rFonts w:ascii="Arial" w:cs="Arial" w:eastAsia="Arial" w:hAnsi="Arial"/>
                <w:sz w:val="14"/>
                <w:szCs w:val="14"/>
                <w:b w:val="1"/>
                <w:bCs w:val="1"/>
                <w:color w:val="auto"/>
                <w:w w:val="99"/>
              </w:rPr>
              <w:t>Three Months Ended June 30,</w:t>
            </w:r>
          </w:p>
        </w:tc>
        <w:tc>
          <w:tcPr>
            <w:tcW w:w="220" w:type="dxa"/>
            <w:vAlign w:val="bottom"/>
          </w:tcPr>
          <w:p>
            <w:pPr>
              <w:spacing w:after="0"/>
              <w:rPr>
                <w:sz w:val="14"/>
                <w:szCs w:val="14"/>
                <w:color w:val="auto"/>
              </w:rPr>
            </w:pPr>
          </w:p>
        </w:tc>
        <w:tc>
          <w:tcPr>
            <w:tcW w:w="1960" w:type="dxa"/>
            <w:vAlign w:val="bottom"/>
            <w:gridSpan w:val="4"/>
          </w:tcPr>
          <w:p>
            <w:pPr>
              <w:jc w:val="right"/>
              <w:ind w:right="448"/>
              <w:spacing w:after="0"/>
              <w:rPr>
                <w:sz w:val="20"/>
                <w:szCs w:val="20"/>
                <w:color w:val="auto"/>
              </w:rPr>
            </w:pPr>
            <w:r>
              <w:rPr>
                <w:rFonts w:ascii="Arial" w:cs="Arial" w:eastAsia="Arial" w:hAnsi="Arial"/>
                <w:sz w:val="14"/>
                <w:szCs w:val="14"/>
                <w:b w:val="1"/>
                <w:bCs w:val="1"/>
                <w:color w:val="auto"/>
              </w:rPr>
              <w:t>Six Months Ended</w:t>
            </w:r>
          </w:p>
        </w:tc>
        <w:tc>
          <w:tcPr>
            <w:tcW w:w="0" w:type="dxa"/>
            <w:vAlign w:val="bottom"/>
          </w:tcPr>
          <w:p>
            <w:pPr>
              <w:spacing w:after="0"/>
              <w:rPr>
                <w:sz w:val="1"/>
                <w:szCs w:val="1"/>
                <w:color w:val="auto"/>
              </w:rPr>
            </w:pPr>
          </w:p>
        </w:tc>
      </w:tr>
      <w:tr>
        <w:trPr>
          <w:trHeight w:val="186"/>
        </w:trPr>
        <w:tc>
          <w:tcPr>
            <w:tcW w:w="69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40" w:type="dxa"/>
            <w:vAlign w:val="bottom"/>
            <w:gridSpan w:val="6"/>
            <w:vMerge w:val="continue"/>
          </w:tcPr>
          <w:p>
            <w:pPr>
              <w:spacing w:after="0"/>
              <w:rPr>
                <w:sz w:val="16"/>
                <w:szCs w:val="16"/>
                <w:color w:val="auto"/>
              </w:rPr>
            </w:pPr>
          </w:p>
        </w:tc>
        <w:tc>
          <w:tcPr>
            <w:tcW w:w="220" w:type="dxa"/>
            <w:vAlign w:val="bottom"/>
          </w:tcPr>
          <w:p>
            <w:pPr>
              <w:spacing w:after="0"/>
              <w:rPr>
                <w:sz w:val="16"/>
                <w:szCs w:val="16"/>
                <w:color w:val="auto"/>
              </w:rPr>
            </w:pPr>
          </w:p>
        </w:tc>
        <w:tc>
          <w:tcPr>
            <w:tcW w:w="1200" w:type="dxa"/>
            <w:vAlign w:val="bottom"/>
            <w:gridSpan w:val="3"/>
          </w:tcPr>
          <w:p>
            <w:pPr>
              <w:jc w:val="right"/>
              <w:ind w:right="8"/>
              <w:spacing w:after="0"/>
              <w:rPr>
                <w:sz w:val="20"/>
                <w:szCs w:val="20"/>
                <w:color w:val="auto"/>
              </w:rPr>
            </w:pPr>
            <w:r>
              <w:rPr>
                <w:rFonts w:ascii="Arial" w:cs="Arial" w:eastAsia="Arial" w:hAnsi="Arial"/>
                <w:sz w:val="14"/>
                <w:szCs w:val="14"/>
                <w:b w:val="1"/>
                <w:bCs w:val="1"/>
                <w:color w:val="auto"/>
              </w:rPr>
              <w:t>June 30,</w:t>
            </w:r>
          </w:p>
        </w:tc>
        <w:tc>
          <w:tcPr>
            <w:tcW w:w="7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7020" w:type="dxa"/>
            <w:vAlign w:val="bottom"/>
            <w:gridSpan w:val="2"/>
          </w:tcPr>
          <w:p>
            <w:pPr>
              <w:ind w:left="20"/>
              <w:spacing w:after="0" w:line="185" w:lineRule="exact"/>
              <w:rPr>
                <w:sz w:val="20"/>
                <w:szCs w:val="20"/>
                <w:color w:val="auto"/>
              </w:rPr>
            </w:pPr>
            <w:r>
              <w:rPr>
                <w:rFonts w:ascii="Arial" w:cs="Arial" w:eastAsia="Arial" w:hAnsi="Arial"/>
                <w:sz w:val="14"/>
                <w:szCs w:val="14"/>
                <w:b w:val="1"/>
                <w:bCs w:val="1"/>
                <w:color w:val="auto"/>
              </w:rPr>
              <w:t xml:space="preserve">Gain (Loss) on Investment Securities, Net </w:t>
            </w:r>
            <w:r>
              <w:rPr>
                <w:rFonts w:ascii="Arial" w:cs="Arial" w:eastAsia="Arial" w:hAnsi="Arial"/>
                <w:sz w:val="18"/>
                <w:szCs w:val="18"/>
                <w:b w:val="1"/>
                <w:bCs w:val="1"/>
                <w:color w:val="auto"/>
                <w:vertAlign w:val="superscript"/>
              </w:rPr>
              <w:t>1</w:t>
            </w:r>
          </w:p>
        </w:tc>
        <w:tc>
          <w:tcPr>
            <w:tcW w:w="200" w:type="dxa"/>
            <w:vAlign w:val="bottom"/>
            <w:tcBorders>
              <w:top w:val="single" w:sz="8" w:color="auto"/>
            </w:tcBorders>
          </w:tcPr>
          <w:p>
            <w:pPr>
              <w:spacing w:after="0"/>
              <w:rPr>
                <w:sz w:val="16"/>
                <w:szCs w:val="16"/>
                <w:color w:val="auto"/>
              </w:rPr>
            </w:pPr>
          </w:p>
        </w:tc>
        <w:tc>
          <w:tcPr>
            <w:tcW w:w="720" w:type="dxa"/>
            <w:vAlign w:val="bottom"/>
            <w:tcBorders>
              <w:top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2022</w:t>
            </w:r>
          </w:p>
        </w:tc>
        <w:tc>
          <w:tcPr>
            <w:tcW w:w="80" w:type="dxa"/>
            <w:vAlign w:val="bottom"/>
            <w:tcBorders>
              <w:top w:val="single" w:sz="8" w:color="auto"/>
            </w:tcBorders>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720" w:type="dxa"/>
            <w:vAlign w:val="bottom"/>
            <w:tcBorders>
              <w:top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2021</w:t>
            </w:r>
          </w:p>
        </w:tc>
        <w:tc>
          <w:tcPr>
            <w:tcW w:w="120" w:type="dxa"/>
            <w:vAlign w:val="bottom"/>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820" w:type="dxa"/>
            <w:vAlign w:val="bottom"/>
            <w:tcBorders>
              <w:top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2022</w:t>
            </w:r>
          </w:p>
        </w:tc>
        <w:tc>
          <w:tcPr>
            <w:tcW w:w="100" w:type="dxa"/>
            <w:vAlign w:val="bottom"/>
            <w:tcBorders>
              <w:top w:val="single" w:sz="8" w:color="auto"/>
            </w:tcBorders>
          </w:tcPr>
          <w:p>
            <w:pPr>
              <w:spacing w:after="0"/>
              <w:rPr>
                <w:sz w:val="16"/>
                <w:szCs w:val="16"/>
                <w:color w:val="auto"/>
              </w:rPr>
            </w:pPr>
          </w:p>
        </w:tc>
        <w:tc>
          <w:tcPr>
            <w:tcW w:w="280" w:type="dxa"/>
            <w:vAlign w:val="bottom"/>
            <w:tcBorders>
              <w:top w:val="single" w:sz="8" w:color="auto"/>
            </w:tcBorders>
          </w:tcPr>
          <w:p>
            <w:pPr>
              <w:spacing w:after="0"/>
              <w:rPr>
                <w:sz w:val="16"/>
                <w:szCs w:val="16"/>
                <w:color w:val="auto"/>
              </w:rPr>
            </w:pPr>
          </w:p>
        </w:tc>
        <w:tc>
          <w:tcPr>
            <w:tcW w:w="760" w:type="dxa"/>
            <w:vAlign w:val="bottom"/>
            <w:tcBorders>
              <w:top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183"/>
        </w:trPr>
        <w:tc>
          <w:tcPr>
            <w:tcW w:w="69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Gain (loss) on sale of investment securities, net</w:t>
            </w:r>
          </w:p>
        </w:tc>
        <w:tc>
          <w:tcPr>
            <w:tcW w:w="10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(946)</w:t>
            </w:r>
          </w:p>
        </w:tc>
        <w:tc>
          <w:tcPr>
            <w:tcW w:w="8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top w:val="single" w:sz="8" w:color="auto"/>
            </w:tcBorders>
            <w:shd w:val="clear" w:color="auto" w:fill="CCEEFF"/>
          </w:tcPr>
          <w:p>
            <w:pPr>
              <w:jc w:val="center"/>
              <w:ind w:left="388"/>
              <w:spacing w:after="0"/>
              <w:rPr>
                <w:sz w:val="20"/>
                <w:szCs w:val="20"/>
                <w:color w:val="auto"/>
              </w:rPr>
            </w:pPr>
            <w:r>
              <w:rPr>
                <w:rFonts w:ascii="Arial" w:cs="Arial" w:eastAsia="Arial" w:hAnsi="Arial"/>
                <w:sz w:val="14"/>
                <w:szCs w:val="14"/>
                <w:color w:val="auto"/>
                <w:w w:val="89"/>
              </w:rPr>
              <w:t>25</w:t>
            </w:r>
          </w:p>
        </w:tc>
        <w:tc>
          <w:tcPr>
            <w:tcW w:w="120" w:type="dxa"/>
            <w:vAlign w:val="bottom"/>
            <w:tcBorders>
              <w:top w:val="single" w:sz="8" w:color="CCEEFF"/>
            </w:tcBorders>
            <w:shd w:val="clear" w:color="auto" w:fill="CCEEFF"/>
          </w:tcPr>
          <w:p>
            <w:pPr>
              <w:spacing w:after="0"/>
              <w:rPr>
                <w:sz w:val="15"/>
                <w:szCs w:val="15"/>
                <w:color w:val="auto"/>
              </w:rPr>
            </w:pPr>
          </w:p>
        </w:tc>
        <w:tc>
          <w:tcPr>
            <w:tcW w:w="22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(1,288)</w:t>
            </w:r>
          </w:p>
        </w:tc>
        <w:tc>
          <w:tcPr>
            <w:tcW w:w="100" w:type="dxa"/>
            <w:vAlign w:val="bottom"/>
            <w:tcBorders>
              <w:top w:val="single" w:sz="8" w:color="CCEEFF"/>
            </w:tcBorders>
            <w:shd w:val="clear" w:color="auto" w:fill="CCEEFF"/>
          </w:tcPr>
          <w:p>
            <w:pPr>
              <w:spacing w:after="0"/>
              <w:rPr>
                <w:sz w:val="15"/>
                <w:szCs w:val="15"/>
                <w:color w:val="auto"/>
              </w:rPr>
            </w:pPr>
          </w:p>
        </w:tc>
        <w:tc>
          <w:tcPr>
            <w:tcW w:w="280" w:type="dxa"/>
            <w:vAlign w:val="bottom"/>
            <w:tcBorders>
              <w:top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0" w:type="dxa"/>
            <w:vAlign w:val="bottom"/>
          </w:tcPr>
          <w:p>
            <w:pPr>
              <w:spacing w:after="0"/>
              <w:rPr>
                <w:sz w:val="1"/>
                <w:szCs w:val="1"/>
                <w:color w:val="auto"/>
              </w:rPr>
            </w:pPr>
          </w:p>
        </w:tc>
      </w:tr>
      <w:tr>
        <w:trPr>
          <w:trHeight w:val="189"/>
        </w:trPr>
        <w:tc>
          <w:tcPr>
            <w:tcW w:w="7020" w:type="dxa"/>
            <w:vAlign w:val="bottom"/>
            <w:gridSpan w:val="2"/>
          </w:tcPr>
          <w:p>
            <w:pPr>
              <w:ind w:left="20"/>
              <w:spacing w:after="0" w:line="189" w:lineRule="exact"/>
              <w:rPr>
                <w:sz w:val="20"/>
                <w:szCs w:val="20"/>
                <w:color w:val="auto"/>
              </w:rPr>
            </w:pPr>
            <w:r>
              <w:rPr>
                <w:rFonts w:ascii="Arial" w:cs="Arial" w:eastAsia="Arial" w:hAnsi="Arial"/>
                <w:sz w:val="14"/>
                <w:szCs w:val="14"/>
                <w:color w:val="auto"/>
              </w:rPr>
              <w:t xml:space="preserve">Unrealized loss on investment securities measured at fair value through net income, net </w:t>
            </w:r>
            <w:r>
              <w:rPr>
                <w:rFonts w:ascii="Arial" w:cs="Arial" w:eastAsia="Arial" w:hAnsi="Arial"/>
                <w:sz w:val="18"/>
                <w:szCs w:val="18"/>
                <w:color w:val="auto"/>
                <w:vertAlign w:val="superscript"/>
              </w:rPr>
              <w:t>2</w:t>
            </w: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(987)</w:t>
            </w: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center"/>
              <w:ind w:left="368"/>
              <w:spacing w:after="0"/>
              <w:rPr>
                <w:sz w:val="20"/>
                <w:szCs w:val="20"/>
                <w:color w:val="auto"/>
              </w:rPr>
            </w:pPr>
            <w:r>
              <w:rPr>
                <w:rFonts w:ascii="Arial" w:cs="Arial" w:eastAsia="Arial" w:hAnsi="Arial"/>
                <w:sz w:val="14"/>
                <w:szCs w:val="14"/>
                <w:color w:val="auto"/>
                <w:w w:val="96"/>
              </w:rPr>
              <w:t>(28)</w:t>
            </w: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(3,519)</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(983)</w:t>
            </w:r>
          </w:p>
        </w:tc>
        <w:tc>
          <w:tcPr>
            <w:tcW w:w="0" w:type="dxa"/>
            <w:vAlign w:val="bottom"/>
          </w:tcPr>
          <w:p>
            <w:pPr>
              <w:spacing w:after="0"/>
              <w:rPr>
                <w:sz w:val="1"/>
                <w:szCs w:val="1"/>
                <w:color w:val="auto"/>
              </w:rPr>
            </w:pPr>
          </w:p>
        </w:tc>
      </w:tr>
      <w:tr>
        <w:trPr>
          <w:trHeight w:val="186"/>
        </w:trPr>
        <w:tc>
          <w:tcPr>
            <w:tcW w:w="70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Unrealized loss on investment securities measured at fair value through other comprehensive income, net</w:t>
            </w:r>
          </w:p>
        </w:tc>
        <w:tc>
          <w:tcPr>
            <w:tcW w:w="200" w:type="dxa"/>
            <w:vAlign w:val="bottom"/>
            <w:tcBorders>
              <w:bottom w:val="single" w:sz="8" w:color="auto"/>
            </w:tcBorders>
            <w:shd w:val="clear" w:color="auto" w:fill="CCEEFF"/>
          </w:tcPr>
          <w:p>
            <w:pPr>
              <w:spacing w:after="0"/>
              <w:rPr>
                <w:sz w:val="16"/>
                <w:szCs w:val="16"/>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(245)</w:t>
            </w:r>
          </w:p>
        </w:tc>
        <w:tc>
          <w:tcPr>
            <w:tcW w:w="80" w:type="dxa"/>
            <w:vAlign w:val="bottom"/>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spacing w:after="0"/>
              <w:rPr>
                <w:sz w:val="16"/>
                <w:szCs w:val="16"/>
                <w:color w:val="auto"/>
              </w:rPr>
            </w:pPr>
          </w:p>
        </w:tc>
        <w:tc>
          <w:tcPr>
            <w:tcW w:w="720" w:type="dxa"/>
            <w:vAlign w:val="bottom"/>
            <w:tcBorders>
              <w:bottom w:val="single" w:sz="8" w:color="auto"/>
            </w:tcBorders>
            <w:shd w:val="clear" w:color="auto" w:fill="CCEEFF"/>
          </w:tcPr>
          <w:p>
            <w:pPr>
              <w:jc w:val="center"/>
              <w:ind w:left="368"/>
              <w:spacing w:after="0"/>
              <w:rPr>
                <w:sz w:val="20"/>
                <w:szCs w:val="20"/>
                <w:color w:val="auto"/>
              </w:rPr>
            </w:pPr>
            <w:r>
              <w:rPr>
                <w:rFonts w:ascii="Arial" w:cs="Arial" w:eastAsia="Arial" w:hAnsi="Arial"/>
                <w:sz w:val="14"/>
                <w:szCs w:val="14"/>
                <w:color w:val="auto"/>
                <w:w w:val="96"/>
              </w:rPr>
              <w:t>(77)</w:t>
            </w:r>
          </w:p>
        </w:tc>
        <w:tc>
          <w:tcPr>
            <w:tcW w:w="120" w:type="dxa"/>
            <w:vAlign w:val="bottom"/>
            <w:shd w:val="clear" w:color="auto" w:fill="CCEEFF"/>
          </w:tcPr>
          <w:p>
            <w:pPr>
              <w:spacing w:after="0"/>
              <w:rPr>
                <w:sz w:val="16"/>
                <w:szCs w:val="16"/>
                <w:color w:val="auto"/>
              </w:rPr>
            </w:pPr>
          </w:p>
        </w:tc>
        <w:tc>
          <w:tcPr>
            <w:tcW w:w="220" w:type="dxa"/>
            <w:vAlign w:val="bottom"/>
            <w:tcBorders>
              <w:bottom w:val="single" w:sz="8" w:color="auto"/>
            </w:tcBorders>
            <w:shd w:val="clear" w:color="auto" w:fill="CCEEFF"/>
          </w:tcPr>
          <w:p>
            <w:pPr>
              <w:spacing w:after="0"/>
              <w:rPr>
                <w:sz w:val="16"/>
                <w:szCs w:val="16"/>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(736)</w:t>
            </w:r>
          </w:p>
        </w:tc>
        <w:tc>
          <w:tcPr>
            <w:tcW w:w="100" w:type="dxa"/>
            <w:vAlign w:val="bottom"/>
            <w:shd w:val="clear" w:color="auto" w:fill="CCEEFF"/>
          </w:tcPr>
          <w:p>
            <w:pPr>
              <w:spacing w:after="0"/>
              <w:rPr>
                <w:sz w:val="16"/>
                <w:szCs w:val="16"/>
                <w:color w:val="auto"/>
              </w:rPr>
            </w:pPr>
          </w:p>
        </w:tc>
        <w:tc>
          <w:tcPr>
            <w:tcW w:w="280" w:type="dxa"/>
            <w:vAlign w:val="bottom"/>
            <w:tcBorders>
              <w:bottom w:val="single" w:sz="8" w:color="auto"/>
            </w:tcBorders>
            <w:shd w:val="clear" w:color="auto" w:fill="CCEEFF"/>
          </w:tcPr>
          <w:p>
            <w:pPr>
              <w:spacing w:after="0"/>
              <w:rPr>
                <w:sz w:val="16"/>
                <w:szCs w:val="16"/>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(314)</w:t>
            </w:r>
          </w:p>
        </w:tc>
        <w:tc>
          <w:tcPr>
            <w:tcW w:w="0" w:type="dxa"/>
            <w:vAlign w:val="bottom"/>
          </w:tcPr>
          <w:p>
            <w:pPr>
              <w:spacing w:after="0"/>
              <w:rPr>
                <w:sz w:val="1"/>
                <w:szCs w:val="1"/>
                <w:color w:val="auto"/>
              </w:rPr>
            </w:pPr>
          </w:p>
        </w:tc>
      </w:tr>
      <w:tr>
        <w:trPr>
          <w:trHeight w:val="186"/>
        </w:trPr>
        <w:tc>
          <w:tcPr>
            <w:tcW w:w="7020" w:type="dxa"/>
            <w:vAlign w:val="bottom"/>
            <w:gridSpan w:val="2"/>
          </w:tcPr>
          <w:p>
            <w:pPr>
              <w:ind w:left="20"/>
              <w:spacing w:after="0"/>
              <w:rPr>
                <w:sz w:val="20"/>
                <w:szCs w:val="20"/>
                <w:color w:val="auto"/>
              </w:rPr>
            </w:pPr>
            <w:r>
              <w:rPr>
                <w:rFonts w:ascii="Arial" w:cs="Arial" w:eastAsia="Arial" w:hAnsi="Arial"/>
                <w:sz w:val="14"/>
                <w:szCs w:val="14"/>
                <w:color w:val="auto"/>
              </w:rPr>
              <w:t>Total loss on investment securities, net</w:t>
            </w:r>
          </w:p>
        </w:tc>
        <w:tc>
          <w:tcPr>
            <w:tcW w:w="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(2,178)</w:t>
            </w:r>
          </w:p>
        </w:tc>
        <w:tc>
          <w:tcPr>
            <w:tcW w:w="80" w:type="dxa"/>
            <w:vAlign w:val="bottom"/>
          </w:tcPr>
          <w:p>
            <w:pPr>
              <w:spacing w:after="0"/>
              <w:rPr>
                <w:sz w:val="16"/>
                <w:szCs w:val="16"/>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center"/>
              <w:ind w:left="368"/>
              <w:spacing w:after="0"/>
              <w:rPr>
                <w:sz w:val="20"/>
                <w:szCs w:val="20"/>
                <w:color w:val="auto"/>
              </w:rPr>
            </w:pPr>
            <w:r>
              <w:rPr>
                <w:rFonts w:ascii="Arial" w:cs="Arial" w:eastAsia="Arial" w:hAnsi="Arial"/>
                <w:sz w:val="14"/>
                <w:szCs w:val="14"/>
                <w:color w:val="auto"/>
                <w:w w:val="96"/>
              </w:rPr>
              <w:t>(80)</w:t>
            </w:r>
          </w:p>
        </w:tc>
        <w:tc>
          <w:tcPr>
            <w:tcW w:w="120" w:type="dxa"/>
            <w:vAlign w:val="bottom"/>
          </w:tcPr>
          <w:p>
            <w:pPr>
              <w:spacing w:after="0"/>
              <w:rPr>
                <w:sz w:val="16"/>
                <w:szCs w:val="16"/>
                <w:color w:val="auto"/>
              </w:rPr>
            </w:pPr>
          </w:p>
        </w:tc>
        <w:tc>
          <w:tcPr>
            <w:tcW w:w="2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w w:val="76"/>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(5,543)</w:t>
            </w:r>
          </w:p>
        </w:tc>
        <w:tc>
          <w:tcPr>
            <w:tcW w:w="100" w:type="dxa"/>
            <w:vAlign w:val="bottom"/>
          </w:tcPr>
          <w:p>
            <w:pPr>
              <w:spacing w:after="0"/>
              <w:rPr>
                <w:sz w:val="16"/>
                <w:szCs w:val="16"/>
                <w:color w:val="auto"/>
              </w:rPr>
            </w:pPr>
          </w:p>
        </w:tc>
        <w:tc>
          <w:tcPr>
            <w:tcW w:w="2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(1,285)</w:t>
            </w:r>
          </w:p>
        </w:tc>
        <w:tc>
          <w:tcPr>
            <w:tcW w:w="0" w:type="dxa"/>
            <w:vAlign w:val="bottom"/>
          </w:tcPr>
          <w:p>
            <w:pPr>
              <w:spacing w:after="0"/>
              <w:rPr>
                <w:sz w:val="1"/>
                <w:szCs w:val="1"/>
                <w:color w:val="auto"/>
              </w:rPr>
            </w:pPr>
          </w:p>
        </w:tc>
      </w:tr>
      <w:tr>
        <w:trPr>
          <w:trHeight w:val="20"/>
        </w:trPr>
        <w:tc>
          <w:tcPr>
            <w:tcW w:w="69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41" w:lineRule="auto"/>
        <w:tabs>
          <w:tab w:leader="none" w:pos="660" w:val="left"/>
        </w:tabs>
        <w:numPr>
          <w:ilvl w:val="0"/>
          <w:numId w:val="30"/>
        </w:numPr>
        <w:rPr>
          <w:rFonts w:ascii="Arial" w:cs="Arial" w:eastAsia="Arial" w:hAnsi="Arial"/>
          <w:sz w:val="14"/>
          <w:szCs w:val="14"/>
          <w:color w:val="auto"/>
        </w:rPr>
      </w:pPr>
      <w:r>
        <w:rPr>
          <w:rFonts w:ascii="Arial" w:cs="Arial" w:eastAsia="Arial" w:hAnsi="Arial"/>
          <w:sz w:val="14"/>
          <w:szCs w:val="14"/>
          <w:color w:val="auto"/>
        </w:rPr>
        <w:t>Amounts exclude gain (loss) on TBA securities, which are reported in gain (loss) on derivative instruments and other securities, net in our Consolidated Statements of Comprehensive Income.</w:t>
      </w:r>
    </w:p>
    <w:p>
      <w:pPr>
        <w:ind w:left="660" w:hanging="328"/>
        <w:spacing w:after="0"/>
        <w:tabs>
          <w:tab w:leader="none" w:pos="660" w:val="left"/>
        </w:tabs>
        <w:numPr>
          <w:ilvl w:val="0"/>
          <w:numId w:val="30"/>
        </w:numPr>
        <w:rPr>
          <w:rFonts w:ascii="Arial" w:cs="Arial" w:eastAsia="Arial" w:hAnsi="Arial"/>
          <w:sz w:val="13"/>
          <w:szCs w:val="13"/>
          <w:color w:val="auto"/>
        </w:rPr>
      </w:pPr>
      <w:r>
        <w:rPr>
          <w:rFonts w:ascii="Arial" w:cs="Arial" w:eastAsia="Arial" w:hAnsi="Arial"/>
          <w:sz w:val="13"/>
          <w:szCs w:val="13"/>
          <w:color w:val="auto"/>
        </w:rPr>
        <w:t>Investment securities acquired after fiscal year 2016 are measured at fair value through net income (see Note 2 of our Consolidated Financial Statements in this Form 10-Q).</w:t>
      </w: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11" w:right="339" w:bottom="1440" w:gutter="0" w:footer="0" w:header="0"/>
        </w:sectPr>
      </w:pPr>
    </w:p>
    <w:bookmarkStart w:id="38" w:name="page39"/>
    <w:bookmarkEnd w:id="38"/>
    <w:p>
      <w:pPr>
        <w:spacing w:after="0"/>
        <w:rPr>
          <w:sz w:val="20"/>
          <w:szCs w:val="20"/>
          <w:color w:val="auto"/>
        </w:rPr>
      </w:pPr>
      <w:r>
        <w:rPr>
          <w:rFonts w:ascii="Arial" w:cs="Arial" w:eastAsia="Arial" w:hAnsi="Arial"/>
          <w:sz w:val="18"/>
          <w:szCs w:val="18"/>
          <w:b w:val="1"/>
          <w:bCs w:val="1"/>
          <w:i w:val="1"/>
          <w:iCs w:val="1"/>
          <w:color w:val="auto"/>
        </w:rPr>
        <w:t>Gain (Loss) on Derivative Instruments and Other Securities, Net</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 is a summary of our gain (loss) on derivative instruments and other securities, net for the three and six months ended June 30,</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2022 and 2021 (in millions):</w:t>
      </w:r>
    </w:p>
    <w:p>
      <w:pPr>
        <w:spacing w:after="0" w:line="7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160" w:type="dxa"/>
            <w:vAlign w:val="bottom"/>
          </w:tcPr>
          <w:p>
            <w:pPr>
              <w:spacing w:after="0"/>
              <w:rPr>
                <w:sz w:val="14"/>
                <w:szCs w:val="14"/>
                <w:color w:val="auto"/>
              </w:rPr>
            </w:pPr>
          </w:p>
        </w:tc>
        <w:tc>
          <w:tcPr>
            <w:tcW w:w="2040" w:type="dxa"/>
            <w:vAlign w:val="bottom"/>
            <w:gridSpan w:val="6"/>
            <w:vMerge w:val="restart"/>
          </w:tcPr>
          <w:p>
            <w:pPr>
              <w:ind w:left="40"/>
              <w:spacing w:after="0"/>
              <w:rPr>
                <w:sz w:val="20"/>
                <w:szCs w:val="20"/>
                <w:color w:val="auto"/>
              </w:rPr>
            </w:pPr>
            <w:r>
              <w:rPr>
                <w:rFonts w:ascii="Arial" w:cs="Arial" w:eastAsia="Arial" w:hAnsi="Arial"/>
                <w:sz w:val="14"/>
                <w:szCs w:val="14"/>
                <w:b w:val="1"/>
                <w:bCs w:val="1"/>
                <w:color w:val="auto"/>
                <w:w w:val="99"/>
              </w:rPr>
              <w:t>Three Months Ended June 30,</w:t>
            </w:r>
          </w:p>
        </w:tc>
        <w:tc>
          <w:tcPr>
            <w:tcW w:w="220" w:type="dxa"/>
            <w:vAlign w:val="bottom"/>
          </w:tcPr>
          <w:p>
            <w:pPr>
              <w:spacing w:after="0"/>
              <w:rPr>
                <w:sz w:val="14"/>
                <w:szCs w:val="14"/>
                <w:color w:val="auto"/>
              </w:rPr>
            </w:pPr>
          </w:p>
        </w:tc>
        <w:tc>
          <w:tcPr>
            <w:tcW w:w="1820" w:type="dxa"/>
            <w:vAlign w:val="bottom"/>
            <w:gridSpan w:val="4"/>
          </w:tcPr>
          <w:p>
            <w:pPr>
              <w:jc w:val="right"/>
              <w:ind w:right="388"/>
              <w:spacing w:after="0"/>
              <w:rPr>
                <w:sz w:val="20"/>
                <w:szCs w:val="20"/>
                <w:color w:val="auto"/>
              </w:rPr>
            </w:pPr>
            <w:r>
              <w:rPr>
                <w:rFonts w:ascii="Arial" w:cs="Arial" w:eastAsia="Arial" w:hAnsi="Arial"/>
                <w:sz w:val="14"/>
                <w:szCs w:val="14"/>
                <w:b w:val="1"/>
                <w:bCs w:val="1"/>
                <w:color w:val="auto"/>
              </w:rPr>
              <w:t>Six Months Ended</w:t>
            </w:r>
          </w:p>
        </w:tc>
        <w:tc>
          <w:tcPr>
            <w:tcW w:w="0" w:type="dxa"/>
            <w:vAlign w:val="bottom"/>
          </w:tcPr>
          <w:p>
            <w:pPr>
              <w:spacing w:after="0"/>
              <w:rPr>
                <w:sz w:val="1"/>
                <w:szCs w:val="1"/>
                <w:color w:val="auto"/>
              </w:rPr>
            </w:pPr>
          </w:p>
        </w:tc>
      </w:tr>
      <w:tr>
        <w:trPr>
          <w:trHeight w:val="188"/>
        </w:trPr>
        <w:tc>
          <w:tcPr>
            <w:tcW w:w="7160" w:type="dxa"/>
            <w:vAlign w:val="bottom"/>
          </w:tcPr>
          <w:p>
            <w:pPr>
              <w:spacing w:after="0"/>
              <w:rPr>
                <w:sz w:val="16"/>
                <w:szCs w:val="16"/>
                <w:color w:val="auto"/>
              </w:rPr>
            </w:pPr>
          </w:p>
        </w:tc>
        <w:tc>
          <w:tcPr>
            <w:tcW w:w="2040" w:type="dxa"/>
            <w:vAlign w:val="bottom"/>
            <w:gridSpan w:val="6"/>
            <w:vMerge w:val="continue"/>
          </w:tcPr>
          <w:p>
            <w:pPr>
              <w:spacing w:after="0"/>
              <w:rPr>
                <w:sz w:val="16"/>
                <w:szCs w:val="16"/>
                <w:color w:val="auto"/>
              </w:rPr>
            </w:pPr>
          </w:p>
        </w:tc>
        <w:tc>
          <w:tcPr>
            <w:tcW w:w="220" w:type="dxa"/>
            <w:vAlign w:val="bottom"/>
          </w:tcPr>
          <w:p>
            <w:pPr>
              <w:spacing w:after="0"/>
              <w:rPr>
                <w:sz w:val="16"/>
                <w:szCs w:val="16"/>
                <w:color w:val="auto"/>
              </w:rPr>
            </w:pPr>
          </w:p>
        </w:tc>
        <w:tc>
          <w:tcPr>
            <w:tcW w:w="1120" w:type="dxa"/>
            <w:vAlign w:val="bottom"/>
            <w:gridSpan w:val="3"/>
          </w:tcPr>
          <w:p>
            <w:pPr>
              <w:jc w:val="right"/>
              <w:spacing w:after="0"/>
              <w:rPr>
                <w:sz w:val="20"/>
                <w:szCs w:val="20"/>
                <w:color w:val="auto"/>
              </w:rPr>
            </w:pPr>
            <w:r>
              <w:rPr>
                <w:rFonts w:ascii="Arial" w:cs="Arial" w:eastAsia="Arial" w:hAnsi="Arial"/>
                <w:sz w:val="14"/>
                <w:szCs w:val="14"/>
                <w:b w:val="1"/>
                <w:bCs w:val="1"/>
                <w:color w:val="auto"/>
              </w:rPr>
              <w:t>June 30,</w:t>
            </w:r>
          </w:p>
        </w:tc>
        <w:tc>
          <w:tcPr>
            <w:tcW w:w="7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3"/>
        </w:trPr>
        <w:tc>
          <w:tcPr>
            <w:tcW w:w="7160" w:type="dxa"/>
            <w:vAlign w:val="bottom"/>
            <w:tcBorders>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2022</w:t>
            </w:r>
          </w:p>
        </w:tc>
        <w:tc>
          <w:tcPr>
            <w:tcW w:w="100" w:type="dxa"/>
            <w:vAlign w:val="bottom"/>
            <w:tcBorders>
              <w:top w:val="single" w:sz="8" w:color="auto"/>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5"/>
                <w:szCs w:val="15"/>
                <w:color w:val="auto"/>
              </w:rPr>
            </w:pPr>
          </w:p>
        </w:tc>
        <w:tc>
          <w:tcPr>
            <w:tcW w:w="220" w:type="dxa"/>
            <w:vAlign w:val="bottom"/>
            <w:tcBorders>
              <w:top w:val="single" w:sz="8" w:color="auto"/>
              <w:bottom w:val="single" w:sz="8" w:color="auto"/>
            </w:tcBorders>
          </w:tcPr>
          <w:p>
            <w:pPr>
              <w:spacing w:after="0"/>
              <w:rPr>
                <w:sz w:val="15"/>
                <w:szCs w:val="15"/>
                <w:color w:val="auto"/>
              </w:rPr>
            </w:pPr>
          </w:p>
        </w:tc>
        <w:tc>
          <w:tcPr>
            <w:tcW w:w="760" w:type="dxa"/>
            <w:vAlign w:val="bottom"/>
            <w:tcBorders>
              <w:top w:val="single" w:sz="8" w:color="auto"/>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2022</w:t>
            </w:r>
          </w:p>
        </w:tc>
        <w:tc>
          <w:tcPr>
            <w:tcW w:w="80" w:type="dxa"/>
            <w:vAlign w:val="bottom"/>
            <w:tcBorders>
              <w:top w:val="single" w:sz="8" w:color="auto"/>
              <w:bottom w:val="single" w:sz="8" w:color="CCEEFF"/>
            </w:tcBorders>
          </w:tcPr>
          <w:p>
            <w:pPr>
              <w:spacing w:after="0"/>
              <w:rPr>
                <w:sz w:val="15"/>
                <w:szCs w:val="15"/>
                <w:color w:val="auto"/>
              </w:rPr>
            </w:pPr>
          </w:p>
        </w:tc>
        <w:tc>
          <w:tcPr>
            <w:tcW w:w="280" w:type="dxa"/>
            <w:vAlign w:val="bottom"/>
            <w:tcBorders>
              <w:top w:val="single" w:sz="8" w:color="auto"/>
              <w:bottom w:val="single" w:sz="8" w:color="auto"/>
            </w:tcBorders>
          </w:tcPr>
          <w:p>
            <w:pPr>
              <w:spacing w:after="0"/>
              <w:rPr>
                <w:sz w:val="15"/>
                <w:szCs w:val="15"/>
                <w:color w:val="auto"/>
              </w:rPr>
            </w:pPr>
          </w:p>
        </w:tc>
        <w:tc>
          <w:tcPr>
            <w:tcW w:w="700" w:type="dxa"/>
            <w:vAlign w:val="bottom"/>
            <w:tcBorders>
              <w:top w:val="single" w:sz="8" w:color="auto"/>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184"/>
        </w:trPr>
        <w:tc>
          <w:tcPr>
            <w:tcW w:w="7160" w:type="dxa"/>
            <w:vAlign w:val="bottom"/>
            <w:shd w:val="clear" w:color="auto" w:fill="CCEEFF"/>
          </w:tcPr>
          <w:p>
            <w:pPr>
              <w:ind w:left="20"/>
              <w:spacing w:after="0"/>
              <w:rPr>
                <w:sz w:val="20"/>
                <w:szCs w:val="20"/>
                <w:color w:val="auto"/>
              </w:rPr>
            </w:pPr>
            <w:r>
              <w:rPr>
                <w:rFonts w:ascii="Arial" w:cs="Arial" w:eastAsia="Arial" w:hAnsi="Arial"/>
                <w:sz w:val="14"/>
                <w:szCs w:val="14"/>
                <w:color w:val="auto"/>
              </w:rPr>
              <w:t>TBA securities, dollar roll income</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182</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162</w:t>
            </w: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334</w:t>
            </w:r>
          </w:p>
        </w:tc>
        <w:tc>
          <w:tcPr>
            <w:tcW w:w="80" w:type="dxa"/>
            <w:vAlign w:val="bottom"/>
            <w:shd w:val="clear" w:color="auto" w:fill="CCEEFF"/>
          </w:tcPr>
          <w:p>
            <w:pPr>
              <w:spacing w:after="0"/>
              <w:rPr>
                <w:sz w:val="15"/>
                <w:szCs w:val="15"/>
                <w:color w:val="auto"/>
              </w:rPr>
            </w:pPr>
          </w:p>
        </w:tc>
        <w:tc>
          <w:tcPr>
            <w:tcW w:w="2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316</w:t>
            </w:r>
          </w:p>
        </w:tc>
        <w:tc>
          <w:tcPr>
            <w:tcW w:w="0" w:type="dxa"/>
            <w:vAlign w:val="bottom"/>
          </w:tcPr>
          <w:p>
            <w:pPr>
              <w:spacing w:after="0"/>
              <w:rPr>
                <w:sz w:val="1"/>
                <w:szCs w:val="1"/>
                <w:color w:val="auto"/>
              </w:rPr>
            </w:pPr>
          </w:p>
        </w:tc>
      </w:tr>
      <w:tr>
        <w:trPr>
          <w:trHeight w:val="186"/>
        </w:trPr>
        <w:tc>
          <w:tcPr>
            <w:tcW w:w="7160" w:type="dxa"/>
            <w:vAlign w:val="bottom"/>
          </w:tcPr>
          <w:p>
            <w:pPr>
              <w:ind w:left="20"/>
              <w:spacing w:after="0"/>
              <w:rPr>
                <w:sz w:val="20"/>
                <w:szCs w:val="20"/>
                <w:color w:val="auto"/>
              </w:rPr>
            </w:pPr>
            <w:r>
              <w:rPr>
                <w:rFonts w:ascii="Arial" w:cs="Arial" w:eastAsia="Arial" w:hAnsi="Arial"/>
                <w:sz w:val="14"/>
                <w:szCs w:val="14"/>
                <w:color w:val="auto"/>
              </w:rPr>
              <w:t>TBA securities, mark-to-market loss</w:t>
            </w: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(786)</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234</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(2,172)</w:t>
            </w:r>
          </w:p>
        </w:tc>
        <w:tc>
          <w:tcPr>
            <w:tcW w:w="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(846)</w:t>
            </w:r>
          </w:p>
        </w:tc>
        <w:tc>
          <w:tcPr>
            <w:tcW w:w="0" w:type="dxa"/>
            <w:vAlign w:val="bottom"/>
          </w:tcPr>
          <w:p>
            <w:pPr>
              <w:spacing w:after="0"/>
              <w:rPr>
                <w:sz w:val="1"/>
                <w:szCs w:val="1"/>
                <w:color w:val="auto"/>
              </w:rPr>
            </w:pPr>
          </w:p>
        </w:tc>
      </w:tr>
      <w:tr>
        <w:trPr>
          <w:trHeight w:val="192"/>
        </w:trPr>
        <w:tc>
          <w:tcPr>
            <w:tcW w:w="716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Interest rate swaps, periodic cost</w:t>
            </w: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49</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w:t>
            </w:r>
          </w:p>
        </w:tc>
        <w:tc>
          <w:tcPr>
            <w:tcW w:w="8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w:t>
            </w:r>
          </w:p>
        </w:tc>
        <w:tc>
          <w:tcPr>
            <w:tcW w:w="0" w:type="dxa"/>
            <w:vAlign w:val="bottom"/>
          </w:tcPr>
          <w:p>
            <w:pPr>
              <w:spacing w:after="0"/>
              <w:rPr>
                <w:sz w:val="1"/>
                <w:szCs w:val="1"/>
                <w:color w:val="auto"/>
              </w:rPr>
            </w:pPr>
          </w:p>
        </w:tc>
      </w:tr>
      <w:tr>
        <w:trPr>
          <w:trHeight w:val="186"/>
        </w:trPr>
        <w:tc>
          <w:tcPr>
            <w:tcW w:w="7160" w:type="dxa"/>
            <w:vAlign w:val="bottom"/>
          </w:tcPr>
          <w:p>
            <w:pPr>
              <w:ind w:left="20"/>
              <w:spacing w:after="0"/>
              <w:rPr>
                <w:sz w:val="20"/>
                <w:szCs w:val="20"/>
                <w:color w:val="auto"/>
              </w:rPr>
            </w:pPr>
            <w:r>
              <w:rPr>
                <w:rFonts w:ascii="Arial" w:cs="Arial" w:eastAsia="Arial" w:hAnsi="Arial"/>
                <w:sz w:val="14"/>
                <w:szCs w:val="14"/>
                <w:color w:val="auto"/>
              </w:rPr>
              <w:t>Interest rate swaps, mark-to-market gain</w:t>
            </w: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765</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(381)</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2,740</w:t>
            </w:r>
          </w:p>
        </w:tc>
        <w:tc>
          <w:tcPr>
            <w:tcW w:w="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755</w:t>
            </w:r>
          </w:p>
        </w:tc>
        <w:tc>
          <w:tcPr>
            <w:tcW w:w="0" w:type="dxa"/>
            <w:vAlign w:val="bottom"/>
          </w:tcPr>
          <w:p>
            <w:pPr>
              <w:spacing w:after="0"/>
              <w:rPr>
                <w:sz w:val="1"/>
                <w:szCs w:val="1"/>
                <w:color w:val="auto"/>
              </w:rPr>
            </w:pPr>
          </w:p>
        </w:tc>
      </w:tr>
      <w:tr>
        <w:trPr>
          <w:trHeight w:val="192"/>
        </w:trPr>
        <w:tc>
          <w:tcPr>
            <w:tcW w:w="7160" w:type="dxa"/>
            <w:vAlign w:val="bottom"/>
            <w:shd w:val="clear" w:color="auto" w:fill="CCEEFF"/>
          </w:tcPr>
          <w:p>
            <w:pPr>
              <w:ind w:left="20"/>
              <w:spacing w:after="0"/>
              <w:rPr>
                <w:sz w:val="20"/>
                <w:szCs w:val="20"/>
                <w:color w:val="auto"/>
              </w:rPr>
            </w:pPr>
            <w:r>
              <w:rPr>
                <w:rFonts w:ascii="Arial" w:cs="Arial" w:eastAsia="Arial" w:hAnsi="Arial"/>
                <w:sz w:val="14"/>
                <w:szCs w:val="14"/>
                <w:color w:val="auto"/>
              </w:rPr>
              <w:t>Credit default swaps - CDX IG - buy protection</w:t>
            </w: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w:t>
            </w:r>
          </w:p>
        </w:tc>
        <w:tc>
          <w:tcPr>
            <w:tcW w:w="8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6"/>
        </w:trPr>
        <w:tc>
          <w:tcPr>
            <w:tcW w:w="7160" w:type="dxa"/>
            <w:vAlign w:val="bottom"/>
          </w:tcPr>
          <w:p>
            <w:pPr>
              <w:ind w:left="20"/>
              <w:spacing w:after="0"/>
              <w:rPr>
                <w:sz w:val="20"/>
                <w:szCs w:val="20"/>
                <w:color w:val="auto"/>
              </w:rPr>
            </w:pPr>
            <w:r>
              <w:rPr>
                <w:rFonts w:ascii="Arial" w:cs="Arial" w:eastAsia="Arial" w:hAnsi="Arial"/>
                <w:sz w:val="14"/>
                <w:szCs w:val="14"/>
                <w:color w:val="auto"/>
              </w:rPr>
              <w:t>Payer swaptions</w:t>
            </w: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309</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(313)</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672</w:t>
            </w:r>
          </w:p>
        </w:tc>
        <w:tc>
          <w:tcPr>
            <w:tcW w:w="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74</w:t>
            </w:r>
          </w:p>
        </w:tc>
        <w:tc>
          <w:tcPr>
            <w:tcW w:w="0" w:type="dxa"/>
            <w:vAlign w:val="bottom"/>
          </w:tcPr>
          <w:p>
            <w:pPr>
              <w:spacing w:after="0"/>
              <w:rPr>
                <w:sz w:val="1"/>
                <w:szCs w:val="1"/>
                <w:color w:val="auto"/>
              </w:rPr>
            </w:pPr>
          </w:p>
        </w:tc>
      </w:tr>
      <w:tr>
        <w:trPr>
          <w:trHeight w:val="192"/>
        </w:trPr>
        <w:tc>
          <w:tcPr>
            <w:tcW w:w="7160" w:type="dxa"/>
            <w:vAlign w:val="bottom"/>
            <w:shd w:val="clear" w:color="auto" w:fill="CCEEFF"/>
          </w:tcPr>
          <w:p>
            <w:pPr>
              <w:ind w:left="20"/>
              <w:spacing w:after="0"/>
              <w:rPr>
                <w:sz w:val="20"/>
                <w:szCs w:val="20"/>
                <w:color w:val="auto"/>
              </w:rPr>
            </w:pPr>
            <w:r>
              <w:rPr>
                <w:rFonts w:ascii="Arial" w:cs="Arial" w:eastAsia="Arial" w:hAnsi="Arial"/>
                <w:sz w:val="14"/>
                <w:szCs w:val="14"/>
                <w:color w:val="auto"/>
              </w:rPr>
              <w:t>U.S. Treasury securities - short position</w:t>
            </w: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483</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(333)</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1,088</w:t>
            </w:r>
          </w:p>
        </w:tc>
        <w:tc>
          <w:tcPr>
            <w:tcW w:w="8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474</w:t>
            </w:r>
          </w:p>
        </w:tc>
        <w:tc>
          <w:tcPr>
            <w:tcW w:w="0" w:type="dxa"/>
            <w:vAlign w:val="bottom"/>
          </w:tcPr>
          <w:p>
            <w:pPr>
              <w:spacing w:after="0"/>
              <w:rPr>
                <w:sz w:val="1"/>
                <w:szCs w:val="1"/>
                <w:color w:val="auto"/>
              </w:rPr>
            </w:pPr>
          </w:p>
        </w:tc>
      </w:tr>
      <w:tr>
        <w:trPr>
          <w:trHeight w:val="186"/>
        </w:trPr>
        <w:tc>
          <w:tcPr>
            <w:tcW w:w="7160" w:type="dxa"/>
            <w:vAlign w:val="bottom"/>
          </w:tcPr>
          <w:p>
            <w:pPr>
              <w:ind w:left="20"/>
              <w:spacing w:after="0"/>
              <w:rPr>
                <w:sz w:val="20"/>
                <w:szCs w:val="20"/>
                <w:color w:val="auto"/>
              </w:rPr>
            </w:pPr>
            <w:r>
              <w:rPr>
                <w:rFonts w:ascii="Arial" w:cs="Arial" w:eastAsia="Arial" w:hAnsi="Arial"/>
                <w:sz w:val="14"/>
                <w:szCs w:val="14"/>
                <w:color w:val="auto"/>
              </w:rPr>
              <w:t>U.S. Treasury securities - long position</w:t>
            </w: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25</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(29)</w:t>
            </w:r>
          </w:p>
        </w:tc>
        <w:tc>
          <w:tcPr>
            <w:tcW w:w="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(11)</w:t>
            </w:r>
          </w:p>
        </w:tc>
        <w:tc>
          <w:tcPr>
            <w:tcW w:w="0" w:type="dxa"/>
            <w:vAlign w:val="bottom"/>
          </w:tcPr>
          <w:p>
            <w:pPr>
              <w:spacing w:after="0"/>
              <w:rPr>
                <w:sz w:val="1"/>
                <w:szCs w:val="1"/>
                <w:color w:val="auto"/>
              </w:rPr>
            </w:pPr>
          </w:p>
        </w:tc>
      </w:tr>
      <w:tr>
        <w:trPr>
          <w:trHeight w:val="192"/>
        </w:trPr>
        <w:tc>
          <w:tcPr>
            <w:tcW w:w="7160" w:type="dxa"/>
            <w:vAlign w:val="bottom"/>
            <w:shd w:val="clear" w:color="auto" w:fill="CCEEFF"/>
          </w:tcPr>
          <w:p>
            <w:pPr>
              <w:ind w:left="20"/>
              <w:spacing w:after="0"/>
              <w:rPr>
                <w:sz w:val="20"/>
                <w:szCs w:val="20"/>
                <w:color w:val="auto"/>
              </w:rPr>
            </w:pPr>
            <w:r>
              <w:rPr>
                <w:rFonts w:ascii="Arial" w:cs="Arial" w:eastAsia="Arial" w:hAnsi="Arial"/>
                <w:sz w:val="14"/>
                <w:szCs w:val="14"/>
                <w:color w:val="auto"/>
              </w:rPr>
              <w:t>U.S. Treasury futures contracts - short position</w:t>
            </w: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139</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335</w:t>
            </w:r>
          </w:p>
        </w:tc>
        <w:tc>
          <w:tcPr>
            <w:tcW w:w="8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w:t>
            </w:r>
          </w:p>
        </w:tc>
        <w:tc>
          <w:tcPr>
            <w:tcW w:w="0" w:type="dxa"/>
            <w:vAlign w:val="bottom"/>
          </w:tcPr>
          <w:p>
            <w:pPr>
              <w:spacing w:after="0"/>
              <w:rPr>
                <w:sz w:val="1"/>
                <w:szCs w:val="1"/>
                <w:color w:val="auto"/>
              </w:rPr>
            </w:pPr>
          </w:p>
        </w:tc>
      </w:tr>
      <w:tr>
        <w:trPr>
          <w:trHeight w:val="186"/>
        </w:trPr>
        <w:tc>
          <w:tcPr>
            <w:tcW w:w="716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Other</w:t>
            </w: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62</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w:t>
            </w:r>
          </w:p>
        </w:tc>
        <w:tc>
          <w:tcPr>
            <w:tcW w:w="8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58</w:t>
            </w:r>
          </w:p>
        </w:tc>
        <w:tc>
          <w:tcPr>
            <w:tcW w:w="0" w:type="dxa"/>
            <w:vAlign w:val="bottom"/>
          </w:tcPr>
          <w:p>
            <w:pPr>
              <w:spacing w:after="0"/>
              <w:rPr>
                <w:sz w:val="1"/>
                <w:szCs w:val="1"/>
                <w:color w:val="auto"/>
              </w:rPr>
            </w:pPr>
          </w:p>
        </w:tc>
      </w:tr>
      <w:tr>
        <w:trPr>
          <w:trHeight w:val="211"/>
        </w:trPr>
        <w:tc>
          <w:tcPr>
            <w:tcW w:w="7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Total gain (loss) on derivative instruments and other securities, net</w:t>
            </w: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1,204</w:t>
            </w:r>
          </w:p>
        </w:tc>
        <w:tc>
          <w:tcPr>
            <w:tcW w:w="1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(618)</w:t>
            </w:r>
          </w:p>
        </w:tc>
        <w:tc>
          <w:tcPr>
            <w:tcW w:w="10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3,000</w:t>
            </w:r>
          </w:p>
        </w:tc>
        <w:tc>
          <w:tcPr>
            <w:tcW w:w="80" w:type="dxa"/>
            <w:vAlign w:val="bottom"/>
            <w:tcBorders>
              <w:bottom w:val="single" w:sz="8" w:color="CCEEFF"/>
            </w:tcBorders>
            <w:shd w:val="clear" w:color="auto" w:fill="CCEEFF"/>
          </w:tcPr>
          <w:p>
            <w:pPr>
              <w:spacing w:after="0"/>
              <w:rPr>
                <w:sz w:val="17"/>
                <w:szCs w:val="17"/>
                <w:color w:val="auto"/>
              </w:rPr>
            </w:pPr>
          </w:p>
        </w:tc>
        <w:tc>
          <w:tcPr>
            <w:tcW w:w="280" w:type="dxa"/>
            <w:vAlign w:val="bottom"/>
            <w:tcBorders>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821</w:t>
            </w:r>
          </w:p>
        </w:tc>
        <w:tc>
          <w:tcPr>
            <w:tcW w:w="0" w:type="dxa"/>
            <w:vAlign w:val="bottom"/>
          </w:tcPr>
          <w:p>
            <w:pPr>
              <w:spacing w:after="0"/>
              <w:rPr>
                <w:sz w:val="1"/>
                <w:szCs w:val="1"/>
                <w:color w:val="auto"/>
              </w:rPr>
            </w:pPr>
          </w:p>
        </w:tc>
      </w:tr>
      <w:tr>
        <w:trPr>
          <w:trHeight w:val="20"/>
        </w:trPr>
        <w:tc>
          <w:tcPr>
            <w:tcW w:w="716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ind w:firstLine="445"/>
        <w:spacing w:after="0" w:line="277" w:lineRule="auto"/>
        <w:rPr>
          <w:sz w:val="20"/>
          <w:szCs w:val="20"/>
          <w:color w:val="auto"/>
        </w:rPr>
      </w:pPr>
      <w:r>
        <w:rPr>
          <w:rFonts w:ascii="Arial" w:cs="Arial" w:eastAsia="Arial" w:hAnsi="Arial"/>
          <w:sz w:val="18"/>
          <w:szCs w:val="18"/>
          <w:color w:val="auto"/>
        </w:rPr>
        <w:t>For further details regarding our use of derivative instruments and related activity refer to Notes 2 and 5 of our Consolidated Financial Statements in this Form 10-Q.</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Estimated Taxable Income (Loss)</w:t>
      </w:r>
    </w:p>
    <w:p>
      <w:pPr>
        <w:spacing w:after="0" w:line="171" w:lineRule="exact"/>
        <w:rPr>
          <w:sz w:val="20"/>
          <w:szCs w:val="20"/>
          <w:color w:val="auto"/>
        </w:rPr>
      </w:pPr>
    </w:p>
    <w:p>
      <w:pPr>
        <w:jc w:val="both"/>
        <w:ind w:firstLine="445"/>
        <w:spacing w:after="0" w:line="284" w:lineRule="auto"/>
        <w:rPr>
          <w:sz w:val="20"/>
          <w:szCs w:val="20"/>
          <w:color w:val="auto"/>
        </w:rPr>
      </w:pPr>
      <w:r>
        <w:rPr>
          <w:rFonts w:ascii="Arial" w:cs="Arial" w:eastAsia="Arial" w:hAnsi="Arial"/>
          <w:sz w:val="16"/>
          <w:szCs w:val="16"/>
          <w:color w:val="auto"/>
        </w:rPr>
        <w:t>For the three months ended June 30, 2022 and 2021, we had estimated taxable income (loss) attributed to common stockholders of $22 million and $(158) million, respectively, or $0.04 and $(0.30) per diluted common share, respectively. For the six months ended June 30, 2022 and 2021, we had estimated taxable loss attributable to common stockholders of $(21) million and $(322) million, respectively, or $(0.04) and $(0.61) per diluted common share, respectively. Income determined under GAAP differs from income determined under U.S. federal income tax rules because of both temporary and permanent differences in income and expense recognition. The primary differences are (i) unrealized gains and losses on investment securities and derivative instruments marked-to-market in current income for GAAP purposes, but excluded from taxable income until realized, settled or amortized over the instrument's original term, (ii) timing differences, both temporary and potentially permanent, in the recognition of certain realized gains and losses and</w:t>
      </w:r>
    </w:p>
    <w:p>
      <w:pPr>
        <w:spacing w:after="0" w:line="2" w:lineRule="exact"/>
        <w:rPr>
          <w:sz w:val="20"/>
          <w:szCs w:val="20"/>
          <w:color w:val="auto"/>
        </w:rPr>
      </w:pPr>
    </w:p>
    <w:p>
      <w:pPr>
        <w:ind w:firstLine="8"/>
        <w:spacing w:after="0" w:line="290" w:lineRule="auto"/>
        <w:tabs>
          <w:tab w:leader="none" w:pos="324" w:val="left"/>
        </w:tabs>
        <w:numPr>
          <w:ilvl w:val="0"/>
          <w:numId w:val="31"/>
        </w:numPr>
        <w:rPr>
          <w:rFonts w:ascii="Arial" w:cs="Arial" w:eastAsia="Arial" w:hAnsi="Arial"/>
          <w:sz w:val="17"/>
          <w:szCs w:val="17"/>
          <w:color w:val="auto"/>
        </w:rPr>
      </w:pPr>
      <w:r>
        <w:rPr>
          <w:rFonts w:ascii="Arial" w:cs="Arial" w:eastAsia="Arial" w:hAnsi="Arial"/>
          <w:sz w:val="17"/>
          <w:szCs w:val="17"/>
          <w:color w:val="auto"/>
        </w:rPr>
        <w:t>temporary differences related to the amortization of premiums and discounts on investments. Furthermore, our estimated taxable income is subject to potential adjustments up to the time of filing our appropriate tax returns, which occurs after the end of our fiscal year. The following is a</w:t>
      </w:r>
    </w:p>
    <w:p>
      <w:pPr>
        <w:spacing w:after="0" w:line="200" w:lineRule="exact"/>
        <w:rPr>
          <w:sz w:val="20"/>
          <w:szCs w:val="20"/>
          <w:color w:val="auto"/>
        </w:rPr>
      </w:pPr>
    </w:p>
    <w:p>
      <w:pPr>
        <w:spacing w:after="0" w:line="2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39" w:name="page40"/>
    <w:bookmarkEnd w:id="39"/>
    <w:p>
      <w:pPr>
        <w:spacing w:after="0" w:line="277" w:lineRule="auto"/>
        <w:rPr>
          <w:sz w:val="20"/>
          <w:szCs w:val="20"/>
          <w:color w:val="auto"/>
        </w:rPr>
      </w:pPr>
      <w:r>
        <w:rPr>
          <w:rFonts w:ascii="Arial" w:cs="Arial" w:eastAsia="Arial" w:hAnsi="Arial"/>
          <w:sz w:val="18"/>
          <w:szCs w:val="18"/>
          <w:color w:val="auto"/>
        </w:rPr>
        <w:t>reconciliation of our GAAP net income to our estimated taxable income (loss) for the three and six months ended June 30, 2022 and 2021 (dollars in millions, except per share amounts):</w:t>
      </w:r>
    </w:p>
    <w:p>
      <w:pPr>
        <w:spacing w:after="0" w:line="64" w:lineRule="exact"/>
        <w:rPr>
          <w:sz w:val="20"/>
          <w:szCs w:val="20"/>
          <w:color w:val="auto"/>
        </w:rPr>
      </w:pPr>
    </w:p>
    <w:tbl>
      <w:tblPr>
        <w:tblLayout w:type="fixed"/>
        <w:tblInd w:w="420" w:type="dxa"/>
        <w:tblCellMar>
          <w:top w:w="0" w:type="dxa"/>
          <w:left w:w="0" w:type="dxa"/>
          <w:bottom w:w="0" w:type="dxa"/>
          <w:right w:w="0" w:type="dxa"/>
        </w:tblCellMar>
      </w:tblPr>
      <w:tr>
        <w:trPr>
          <w:trHeight w:val="161"/>
        </w:trPr>
        <w:tc>
          <w:tcPr>
            <w:tcW w:w="6440" w:type="dxa"/>
            <w:vAlign w:val="bottom"/>
          </w:tcPr>
          <w:p>
            <w:pPr>
              <w:spacing w:after="0"/>
              <w:rPr>
                <w:sz w:val="14"/>
                <w:szCs w:val="14"/>
                <w:color w:val="auto"/>
              </w:rPr>
            </w:pPr>
          </w:p>
        </w:tc>
        <w:tc>
          <w:tcPr>
            <w:tcW w:w="2040" w:type="dxa"/>
            <w:vAlign w:val="bottom"/>
            <w:gridSpan w:val="6"/>
            <w:vMerge w:val="restart"/>
          </w:tcPr>
          <w:p>
            <w:pPr>
              <w:ind w:left="20"/>
              <w:spacing w:after="0"/>
              <w:rPr>
                <w:sz w:val="20"/>
                <w:szCs w:val="20"/>
                <w:color w:val="auto"/>
              </w:rPr>
            </w:pPr>
            <w:r>
              <w:rPr>
                <w:rFonts w:ascii="Arial" w:cs="Arial" w:eastAsia="Arial" w:hAnsi="Arial"/>
                <w:sz w:val="14"/>
                <w:szCs w:val="14"/>
                <w:b w:val="1"/>
                <w:bCs w:val="1"/>
                <w:color w:val="auto"/>
              </w:rPr>
              <w:t>Three Months Ended June 30,</w:t>
            </w:r>
          </w:p>
        </w:tc>
        <w:tc>
          <w:tcPr>
            <w:tcW w:w="200" w:type="dxa"/>
            <w:vAlign w:val="bottom"/>
          </w:tcPr>
          <w:p>
            <w:pPr>
              <w:spacing w:after="0"/>
              <w:rPr>
                <w:sz w:val="14"/>
                <w:szCs w:val="14"/>
                <w:color w:val="auto"/>
              </w:rPr>
            </w:pPr>
          </w:p>
        </w:tc>
        <w:tc>
          <w:tcPr>
            <w:tcW w:w="1740" w:type="dxa"/>
            <w:vAlign w:val="bottom"/>
            <w:gridSpan w:val="4"/>
          </w:tcPr>
          <w:p>
            <w:pPr>
              <w:jc w:val="right"/>
              <w:ind w:right="328"/>
              <w:spacing w:after="0"/>
              <w:rPr>
                <w:sz w:val="20"/>
                <w:szCs w:val="20"/>
                <w:color w:val="auto"/>
              </w:rPr>
            </w:pPr>
            <w:r>
              <w:rPr>
                <w:rFonts w:ascii="Arial" w:cs="Arial" w:eastAsia="Arial" w:hAnsi="Arial"/>
                <w:sz w:val="14"/>
                <w:szCs w:val="14"/>
                <w:b w:val="1"/>
                <w:bCs w:val="1"/>
                <w:color w:val="auto"/>
              </w:rPr>
              <w:t>Six Months Ended</w:t>
            </w:r>
          </w:p>
        </w:tc>
        <w:tc>
          <w:tcPr>
            <w:tcW w:w="0" w:type="dxa"/>
            <w:vAlign w:val="bottom"/>
          </w:tcPr>
          <w:p>
            <w:pPr>
              <w:spacing w:after="0"/>
              <w:rPr>
                <w:sz w:val="1"/>
                <w:szCs w:val="1"/>
                <w:color w:val="auto"/>
              </w:rPr>
            </w:pPr>
          </w:p>
        </w:tc>
      </w:tr>
      <w:tr>
        <w:trPr>
          <w:trHeight w:val="188"/>
        </w:trPr>
        <w:tc>
          <w:tcPr>
            <w:tcW w:w="6440" w:type="dxa"/>
            <w:vAlign w:val="bottom"/>
          </w:tcPr>
          <w:p>
            <w:pPr>
              <w:spacing w:after="0"/>
              <w:rPr>
                <w:sz w:val="16"/>
                <w:szCs w:val="16"/>
                <w:color w:val="auto"/>
              </w:rPr>
            </w:pPr>
          </w:p>
        </w:tc>
        <w:tc>
          <w:tcPr>
            <w:tcW w:w="2040" w:type="dxa"/>
            <w:vAlign w:val="bottom"/>
            <w:gridSpan w:val="6"/>
            <w:vMerge w:val="continue"/>
          </w:tcPr>
          <w:p>
            <w:pPr>
              <w:spacing w:after="0"/>
              <w:rPr>
                <w:sz w:val="16"/>
                <w:szCs w:val="16"/>
                <w:color w:val="auto"/>
              </w:rPr>
            </w:pPr>
          </w:p>
        </w:tc>
        <w:tc>
          <w:tcPr>
            <w:tcW w:w="200" w:type="dxa"/>
            <w:vAlign w:val="bottom"/>
          </w:tcPr>
          <w:p>
            <w:pPr>
              <w:spacing w:after="0"/>
              <w:rPr>
                <w:sz w:val="16"/>
                <w:szCs w:val="16"/>
                <w:color w:val="auto"/>
              </w:rPr>
            </w:pPr>
          </w:p>
        </w:tc>
        <w:tc>
          <w:tcPr>
            <w:tcW w:w="1080" w:type="dxa"/>
            <w:vAlign w:val="bottom"/>
            <w:gridSpan w:val="3"/>
          </w:tcPr>
          <w:p>
            <w:pPr>
              <w:jc w:val="right"/>
              <w:spacing w:after="0"/>
              <w:rPr>
                <w:sz w:val="20"/>
                <w:szCs w:val="20"/>
                <w:color w:val="auto"/>
              </w:rPr>
            </w:pPr>
            <w:r>
              <w:rPr>
                <w:rFonts w:ascii="Arial" w:cs="Arial" w:eastAsia="Arial" w:hAnsi="Arial"/>
                <w:sz w:val="14"/>
                <w:szCs w:val="14"/>
                <w:b w:val="1"/>
                <w:bCs w:val="1"/>
                <w:color w:val="auto"/>
              </w:rPr>
              <w:t>June 30,</w:t>
            </w:r>
          </w:p>
        </w:tc>
        <w:tc>
          <w:tcPr>
            <w:tcW w:w="6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3"/>
        </w:trPr>
        <w:tc>
          <w:tcPr>
            <w:tcW w:w="6440" w:type="dxa"/>
            <w:vAlign w:val="bottom"/>
            <w:tcBorders>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2022</w:t>
            </w:r>
          </w:p>
        </w:tc>
        <w:tc>
          <w:tcPr>
            <w:tcW w:w="80" w:type="dxa"/>
            <w:vAlign w:val="bottom"/>
            <w:tcBorders>
              <w:top w:val="single" w:sz="8" w:color="auto"/>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700" w:type="dxa"/>
            <w:vAlign w:val="bottom"/>
            <w:tcBorders>
              <w:top w:val="single" w:sz="8" w:color="auto"/>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2022</w:t>
            </w:r>
          </w:p>
        </w:tc>
        <w:tc>
          <w:tcPr>
            <w:tcW w:w="120" w:type="dxa"/>
            <w:vAlign w:val="bottom"/>
            <w:tcBorders>
              <w:top w:val="single" w:sz="8" w:color="auto"/>
              <w:bottom w:val="single" w:sz="8" w:color="CCEEFF"/>
            </w:tcBorders>
          </w:tcPr>
          <w:p>
            <w:pPr>
              <w:spacing w:after="0"/>
              <w:rPr>
                <w:sz w:val="15"/>
                <w:szCs w:val="15"/>
                <w:color w:val="auto"/>
              </w:rPr>
            </w:pPr>
          </w:p>
        </w:tc>
        <w:tc>
          <w:tcPr>
            <w:tcW w:w="260" w:type="dxa"/>
            <w:vAlign w:val="bottom"/>
            <w:tcBorders>
              <w:top w:val="single" w:sz="8" w:color="auto"/>
              <w:bottom w:val="single" w:sz="8" w:color="auto"/>
            </w:tcBorders>
          </w:tcPr>
          <w:p>
            <w:pPr>
              <w:spacing w:after="0"/>
              <w:rPr>
                <w:sz w:val="15"/>
                <w:szCs w:val="15"/>
                <w:color w:val="auto"/>
              </w:rPr>
            </w:pPr>
          </w:p>
        </w:tc>
        <w:tc>
          <w:tcPr>
            <w:tcW w:w="66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184"/>
        </w:trPr>
        <w:tc>
          <w:tcPr>
            <w:tcW w:w="644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income (loss)</w:t>
            </w: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(434)</w:t>
            </w:r>
          </w:p>
        </w:tc>
        <w:tc>
          <w:tcPr>
            <w:tcW w:w="80" w:type="dxa"/>
            <w:vAlign w:val="bottom"/>
            <w:shd w:val="clear" w:color="auto" w:fill="CCEEFF"/>
          </w:tcPr>
          <w:p>
            <w:pPr>
              <w:spacing w:after="0"/>
              <w:rPr>
                <w:sz w:val="15"/>
                <w:szCs w:val="15"/>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(411)</w:t>
            </w:r>
          </w:p>
        </w:tc>
        <w:tc>
          <w:tcPr>
            <w:tcW w:w="120" w:type="dxa"/>
            <w:vAlign w:val="bottom"/>
            <w:shd w:val="clear" w:color="auto" w:fill="CCEEFF"/>
          </w:tcPr>
          <w:p>
            <w:pPr>
              <w:spacing w:after="0"/>
              <w:rPr>
                <w:sz w:val="15"/>
                <w:szCs w:val="15"/>
                <w:color w:val="auto"/>
              </w:rPr>
            </w:pP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(1,085)</w:t>
            </w:r>
          </w:p>
        </w:tc>
        <w:tc>
          <w:tcPr>
            <w:tcW w:w="120" w:type="dxa"/>
            <w:vAlign w:val="bottom"/>
            <w:shd w:val="clear" w:color="auto" w:fill="CCEEFF"/>
          </w:tcPr>
          <w:p>
            <w:pPr>
              <w:spacing w:after="0"/>
              <w:rPr>
                <w:sz w:val="15"/>
                <w:szCs w:val="15"/>
                <w:color w:val="auto"/>
              </w:rPr>
            </w:pPr>
          </w:p>
        </w:tc>
        <w:tc>
          <w:tcPr>
            <w:tcW w:w="26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w w:val="76"/>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564</w:t>
            </w:r>
          </w:p>
        </w:tc>
        <w:tc>
          <w:tcPr>
            <w:tcW w:w="0" w:type="dxa"/>
            <w:vAlign w:val="bottom"/>
          </w:tcPr>
          <w:p>
            <w:pPr>
              <w:spacing w:after="0"/>
              <w:rPr>
                <w:sz w:val="1"/>
                <w:szCs w:val="1"/>
                <w:color w:val="auto"/>
              </w:rPr>
            </w:pPr>
          </w:p>
        </w:tc>
      </w:tr>
      <w:tr>
        <w:trPr>
          <w:trHeight w:val="186"/>
        </w:trPr>
        <w:tc>
          <w:tcPr>
            <w:tcW w:w="6440" w:type="dxa"/>
            <w:vAlign w:val="bottom"/>
          </w:tcPr>
          <w:p>
            <w:pPr>
              <w:ind w:left="20"/>
              <w:spacing w:after="0"/>
              <w:rPr>
                <w:sz w:val="20"/>
                <w:szCs w:val="20"/>
                <w:color w:val="auto"/>
              </w:rPr>
            </w:pPr>
            <w:r>
              <w:rPr>
                <w:rFonts w:ascii="Arial" w:cs="Arial" w:eastAsia="Arial" w:hAnsi="Arial"/>
                <w:sz w:val="14"/>
                <w:szCs w:val="14"/>
                <w:color w:val="auto"/>
              </w:rPr>
              <w:t>Book to tax differences:</w:t>
            </w:r>
          </w:p>
        </w:tc>
        <w:tc>
          <w:tcPr>
            <w:tcW w:w="2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64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Premium amortization, net</w:t>
            </w: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(78)</w:t>
            </w:r>
          </w:p>
        </w:tc>
        <w:tc>
          <w:tcPr>
            <w:tcW w:w="8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(254)</w:t>
            </w: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(268)</w:t>
            </w:r>
          </w:p>
        </w:tc>
        <w:tc>
          <w:tcPr>
            <w:tcW w:w="0" w:type="dxa"/>
            <w:vAlign w:val="bottom"/>
          </w:tcPr>
          <w:p>
            <w:pPr>
              <w:spacing w:after="0"/>
              <w:rPr>
                <w:sz w:val="1"/>
                <w:szCs w:val="1"/>
                <w:color w:val="auto"/>
              </w:rPr>
            </w:pPr>
          </w:p>
        </w:tc>
      </w:tr>
      <w:tr>
        <w:trPr>
          <w:trHeight w:val="186"/>
        </w:trPr>
        <w:tc>
          <w:tcPr>
            <w:tcW w:w="6440" w:type="dxa"/>
            <w:vAlign w:val="bottom"/>
          </w:tcPr>
          <w:p>
            <w:pPr>
              <w:ind w:left="140"/>
              <w:spacing w:after="0"/>
              <w:rPr>
                <w:sz w:val="20"/>
                <w:szCs w:val="20"/>
                <w:color w:val="auto"/>
              </w:rPr>
            </w:pPr>
            <w:r>
              <w:rPr>
                <w:rFonts w:ascii="Arial" w:cs="Arial" w:eastAsia="Arial" w:hAnsi="Arial"/>
                <w:sz w:val="14"/>
                <w:szCs w:val="14"/>
                <w:color w:val="auto"/>
              </w:rPr>
              <w:t>Realized gain/loss, net</w:t>
            </w: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(1,210)</w:t>
            </w: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43</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(3,575)</w:t>
            </w: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(1,451)</w:t>
            </w:r>
          </w:p>
        </w:tc>
        <w:tc>
          <w:tcPr>
            <w:tcW w:w="0" w:type="dxa"/>
            <w:vAlign w:val="bottom"/>
          </w:tcPr>
          <w:p>
            <w:pPr>
              <w:spacing w:after="0"/>
              <w:rPr>
                <w:sz w:val="1"/>
                <w:szCs w:val="1"/>
                <w:color w:val="auto"/>
              </w:rPr>
            </w:pPr>
          </w:p>
        </w:tc>
      </w:tr>
      <w:tr>
        <w:trPr>
          <w:trHeight w:val="192"/>
        </w:trPr>
        <w:tc>
          <w:tcPr>
            <w:tcW w:w="64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Net capital loss/(utilization of net capital loss carryforward)</w:t>
            </w: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1,666</w:t>
            </w:r>
          </w:p>
        </w:tc>
        <w:tc>
          <w:tcPr>
            <w:tcW w:w="8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2,534</w:t>
            </w: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141</w:t>
            </w:r>
          </w:p>
        </w:tc>
        <w:tc>
          <w:tcPr>
            <w:tcW w:w="0" w:type="dxa"/>
            <w:vAlign w:val="bottom"/>
          </w:tcPr>
          <w:p>
            <w:pPr>
              <w:spacing w:after="0"/>
              <w:rPr>
                <w:sz w:val="1"/>
                <w:szCs w:val="1"/>
                <w:color w:val="auto"/>
              </w:rPr>
            </w:pPr>
          </w:p>
        </w:tc>
      </w:tr>
      <w:tr>
        <w:trPr>
          <w:trHeight w:val="186"/>
        </w:trPr>
        <w:tc>
          <w:tcPr>
            <w:tcW w:w="6440" w:type="dxa"/>
            <w:vAlign w:val="bottom"/>
          </w:tcPr>
          <w:p>
            <w:pPr>
              <w:ind w:left="140"/>
              <w:spacing w:after="0"/>
              <w:rPr>
                <w:sz w:val="20"/>
                <w:szCs w:val="20"/>
                <w:color w:val="auto"/>
              </w:rPr>
            </w:pPr>
            <w:r>
              <w:rPr>
                <w:rFonts w:ascii="Arial" w:cs="Arial" w:eastAsia="Arial" w:hAnsi="Arial"/>
                <w:sz w:val="14"/>
                <w:szCs w:val="14"/>
                <w:color w:val="auto"/>
              </w:rPr>
              <w:t>Unrealized loss, net</w:t>
            </w:r>
          </w:p>
        </w:tc>
        <w:tc>
          <w:tcPr>
            <w:tcW w:w="200" w:type="dxa"/>
            <w:vAlign w:val="bottom"/>
          </w:tcPr>
          <w:p>
            <w:pPr>
              <w:spacing w:after="0"/>
              <w:rPr>
                <w:sz w:val="16"/>
                <w:szCs w:val="16"/>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78</w:t>
            </w: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152</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2,372</w:t>
            </w: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697</w:t>
            </w:r>
          </w:p>
        </w:tc>
        <w:tc>
          <w:tcPr>
            <w:tcW w:w="0" w:type="dxa"/>
            <w:vAlign w:val="bottom"/>
          </w:tcPr>
          <w:p>
            <w:pPr>
              <w:spacing w:after="0"/>
              <w:rPr>
                <w:sz w:val="1"/>
                <w:szCs w:val="1"/>
                <w:color w:val="auto"/>
              </w:rPr>
            </w:pPr>
          </w:p>
        </w:tc>
      </w:tr>
      <w:tr>
        <w:trPr>
          <w:trHeight w:val="192"/>
        </w:trPr>
        <w:tc>
          <w:tcPr>
            <w:tcW w:w="64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Other</w:t>
            </w:r>
          </w:p>
        </w:tc>
        <w:tc>
          <w:tcPr>
            <w:tcW w:w="200" w:type="dxa"/>
            <w:vAlign w:val="bottom"/>
            <w:shd w:val="clear" w:color="auto" w:fill="CCEEFF"/>
          </w:tcPr>
          <w:p>
            <w:pPr>
              <w:spacing w:after="0"/>
              <w:rPr>
                <w:sz w:val="16"/>
                <w:szCs w:val="16"/>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0" w:type="dxa"/>
            <w:vAlign w:val="bottom"/>
          </w:tcPr>
          <w:p>
            <w:pPr>
              <w:spacing w:after="0"/>
              <w:rPr>
                <w:sz w:val="1"/>
                <w:szCs w:val="1"/>
                <w:color w:val="auto"/>
              </w:rPr>
            </w:pPr>
          </w:p>
        </w:tc>
      </w:tr>
      <w:tr>
        <w:trPr>
          <w:trHeight w:val="179"/>
        </w:trPr>
        <w:tc>
          <w:tcPr>
            <w:tcW w:w="6440" w:type="dxa"/>
            <w:vAlign w:val="bottom"/>
            <w:tcBorders>
              <w:bottom w:val="single" w:sz="8" w:color="CCEEFF"/>
            </w:tcBorders>
          </w:tcPr>
          <w:p>
            <w:pPr>
              <w:ind w:left="540"/>
              <w:spacing w:after="0"/>
              <w:rPr>
                <w:sz w:val="20"/>
                <w:szCs w:val="20"/>
                <w:color w:val="auto"/>
              </w:rPr>
            </w:pPr>
            <w:r>
              <w:rPr>
                <w:rFonts w:ascii="Arial" w:cs="Arial" w:eastAsia="Arial" w:hAnsi="Arial"/>
                <w:sz w:val="14"/>
                <w:szCs w:val="14"/>
                <w:color w:val="auto"/>
              </w:rPr>
              <w:t>Total book to tax differences</w:t>
            </w:r>
          </w:p>
        </w:tc>
        <w:tc>
          <w:tcPr>
            <w:tcW w:w="200" w:type="dxa"/>
            <w:vAlign w:val="bottom"/>
            <w:tcBorders>
              <w:top w:val="single" w:sz="8" w:color="auto"/>
              <w:bottom w:val="single" w:sz="8" w:color="auto"/>
            </w:tcBorders>
          </w:tcPr>
          <w:p>
            <w:pPr>
              <w:spacing w:after="0"/>
              <w:rPr>
                <w:sz w:val="15"/>
                <w:szCs w:val="15"/>
                <w:color w:val="auto"/>
              </w:rPr>
            </w:pPr>
          </w:p>
        </w:tc>
        <w:tc>
          <w:tcPr>
            <w:tcW w:w="72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456</w:t>
            </w:r>
          </w:p>
        </w:tc>
        <w:tc>
          <w:tcPr>
            <w:tcW w:w="80" w:type="dxa"/>
            <w:vAlign w:val="bottom"/>
            <w:tcBorders>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253</w:t>
            </w:r>
          </w:p>
        </w:tc>
        <w:tc>
          <w:tcPr>
            <w:tcW w:w="120" w:type="dxa"/>
            <w:vAlign w:val="bottom"/>
            <w:tcBorders>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1,064</w:t>
            </w:r>
          </w:p>
        </w:tc>
        <w:tc>
          <w:tcPr>
            <w:tcW w:w="120" w:type="dxa"/>
            <w:vAlign w:val="bottom"/>
            <w:tcBorders>
              <w:bottom w:val="single" w:sz="8" w:color="CCEEFF"/>
            </w:tcBorders>
          </w:tcPr>
          <w:p>
            <w:pPr>
              <w:spacing w:after="0"/>
              <w:rPr>
                <w:sz w:val="15"/>
                <w:szCs w:val="15"/>
                <w:color w:val="auto"/>
              </w:rPr>
            </w:pPr>
          </w:p>
        </w:tc>
        <w:tc>
          <w:tcPr>
            <w:tcW w:w="260" w:type="dxa"/>
            <w:vAlign w:val="bottom"/>
            <w:tcBorders>
              <w:top w:val="single" w:sz="8" w:color="auto"/>
              <w:bottom w:val="single" w:sz="8" w:color="auto"/>
            </w:tcBorders>
          </w:tcPr>
          <w:p>
            <w:pPr>
              <w:spacing w:after="0"/>
              <w:rPr>
                <w:sz w:val="15"/>
                <w:szCs w:val="15"/>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(886)</w:t>
            </w:r>
          </w:p>
        </w:tc>
        <w:tc>
          <w:tcPr>
            <w:tcW w:w="0" w:type="dxa"/>
            <w:vAlign w:val="bottom"/>
          </w:tcPr>
          <w:p>
            <w:pPr>
              <w:spacing w:after="0"/>
              <w:rPr>
                <w:sz w:val="1"/>
                <w:szCs w:val="1"/>
                <w:color w:val="auto"/>
              </w:rPr>
            </w:pPr>
          </w:p>
        </w:tc>
      </w:tr>
      <w:tr>
        <w:trPr>
          <w:trHeight w:val="186"/>
        </w:trPr>
        <w:tc>
          <w:tcPr>
            <w:tcW w:w="6440" w:type="dxa"/>
            <w:vAlign w:val="bottom"/>
            <w:shd w:val="clear" w:color="auto" w:fill="CCEEFF"/>
          </w:tcPr>
          <w:p>
            <w:pPr>
              <w:ind w:left="20"/>
              <w:spacing w:after="0"/>
              <w:rPr>
                <w:sz w:val="20"/>
                <w:szCs w:val="20"/>
                <w:color w:val="auto"/>
              </w:rPr>
            </w:pPr>
            <w:r>
              <w:rPr>
                <w:rFonts w:ascii="Arial" w:cs="Arial" w:eastAsia="Arial" w:hAnsi="Arial"/>
                <w:sz w:val="14"/>
                <w:szCs w:val="14"/>
                <w:color w:val="auto"/>
              </w:rPr>
              <w:t>REIT taxable income (loss)</w:t>
            </w: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22</w:t>
            </w:r>
          </w:p>
        </w:tc>
        <w:tc>
          <w:tcPr>
            <w:tcW w:w="8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(158)</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w:t>
            </w: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(322)</w:t>
            </w:r>
          </w:p>
        </w:tc>
        <w:tc>
          <w:tcPr>
            <w:tcW w:w="0" w:type="dxa"/>
            <w:vAlign w:val="bottom"/>
          </w:tcPr>
          <w:p>
            <w:pPr>
              <w:spacing w:after="0"/>
              <w:rPr>
                <w:sz w:val="1"/>
                <w:szCs w:val="1"/>
                <w:color w:val="auto"/>
              </w:rPr>
            </w:pPr>
          </w:p>
        </w:tc>
      </w:tr>
      <w:tr>
        <w:trPr>
          <w:trHeight w:val="186"/>
        </w:trPr>
        <w:tc>
          <w:tcPr>
            <w:tcW w:w="6440" w:type="dxa"/>
            <w:vAlign w:val="bottom"/>
          </w:tcPr>
          <w:p>
            <w:pPr>
              <w:ind w:left="140"/>
              <w:spacing w:after="0"/>
              <w:rPr>
                <w:sz w:val="20"/>
                <w:szCs w:val="20"/>
                <w:color w:val="auto"/>
              </w:rPr>
            </w:pPr>
            <w:r>
              <w:rPr>
                <w:rFonts w:ascii="Arial" w:cs="Arial" w:eastAsia="Arial" w:hAnsi="Arial"/>
                <w:sz w:val="14"/>
                <w:szCs w:val="14"/>
                <w:color w:val="auto"/>
              </w:rPr>
              <w:t>REIT taxable income attributed to preferred stock</w:t>
            </w:r>
          </w:p>
        </w:tc>
        <w:tc>
          <w:tcPr>
            <w:tcW w:w="200" w:type="dxa"/>
            <w:vAlign w:val="bottom"/>
          </w:tcPr>
          <w:p>
            <w:pPr>
              <w:spacing w:after="0"/>
              <w:rPr>
                <w:sz w:val="16"/>
                <w:szCs w:val="16"/>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84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8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11"/>
        </w:trPr>
        <w:tc>
          <w:tcPr>
            <w:tcW w:w="644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REIT taxable income (loss) attributed to common stock</w:t>
            </w:r>
          </w:p>
        </w:tc>
        <w:tc>
          <w:tcPr>
            <w:tcW w:w="2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22</w:t>
            </w: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20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(158)</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2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260" w:type="dxa"/>
            <w:vAlign w:val="bottom"/>
            <w:tcBorders>
              <w:top w:val="single" w:sz="8" w:color="auto"/>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w w:val="76"/>
              </w:rPr>
              <w:t>$</w:t>
            </w: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(322)</w:t>
            </w:r>
          </w:p>
        </w:tc>
        <w:tc>
          <w:tcPr>
            <w:tcW w:w="0" w:type="dxa"/>
            <w:vAlign w:val="bottom"/>
          </w:tcPr>
          <w:p>
            <w:pPr>
              <w:spacing w:after="0"/>
              <w:rPr>
                <w:sz w:val="1"/>
                <w:szCs w:val="1"/>
                <w:color w:val="auto"/>
              </w:rPr>
            </w:pPr>
          </w:p>
        </w:tc>
      </w:tr>
      <w:tr>
        <w:trPr>
          <w:trHeight w:val="20"/>
        </w:trPr>
        <w:tc>
          <w:tcPr>
            <w:tcW w:w="64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6440" w:type="dxa"/>
            <w:vAlign w:val="bottom"/>
          </w:tcPr>
          <w:p>
            <w:pPr>
              <w:ind w:left="20"/>
              <w:spacing w:after="0"/>
              <w:rPr>
                <w:sz w:val="20"/>
                <w:szCs w:val="20"/>
                <w:color w:val="auto"/>
              </w:rPr>
            </w:pPr>
            <w:r>
              <w:rPr>
                <w:rFonts w:ascii="Arial" w:cs="Arial" w:eastAsia="Arial" w:hAnsi="Arial"/>
                <w:sz w:val="14"/>
                <w:szCs w:val="14"/>
                <w:color w:val="auto"/>
              </w:rPr>
              <w:t>Weighted average common shares outstanding - basic</w:t>
            </w:r>
          </w:p>
        </w:tc>
        <w:tc>
          <w:tcPr>
            <w:tcW w:w="2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526.2</w:t>
            </w:r>
          </w:p>
        </w:tc>
        <w:tc>
          <w:tcPr>
            <w:tcW w:w="8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526.6</w:t>
            </w:r>
          </w:p>
        </w:tc>
        <w:tc>
          <w:tcPr>
            <w:tcW w:w="12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525.3</w:t>
            </w:r>
          </w:p>
        </w:tc>
        <w:tc>
          <w:tcPr>
            <w:tcW w:w="12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530.1</w:t>
            </w:r>
          </w:p>
        </w:tc>
        <w:tc>
          <w:tcPr>
            <w:tcW w:w="0" w:type="dxa"/>
            <w:vAlign w:val="bottom"/>
          </w:tcPr>
          <w:p>
            <w:pPr>
              <w:spacing w:after="0"/>
              <w:rPr>
                <w:sz w:val="1"/>
                <w:szCs w:val="1"/>
                <w:color w:val="auto"/>
              </w:rPr>
            </w:pPr>
          </w:p>
        </w:tc>
      </w:tr>
      <w:tr>
        <w:trPr>
          <w:trHeight w:val="20"/>
        </w:trPr>
        <w:tc>
          <w:tcPr>
            <w:tcW w:w="644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6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Weighted average common shares outstanding - diluted</w:t>
            </w:r>
          </w:p>
        </w:tc>
        <w:tc>
          <w:tcPr>
            <w:tcW w:w="20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527.1</w:t>
            </w:r>
          </w:p>
        </w:tc>
        <w:tc>
          <w:tcPr>
            <w:tcW w:w="8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526.6</w:t>
            </w:r>
          </w:p>
        </w:tc>
        <w:tc>
          <w:tcPr>
            <w:tcW w:w="12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525.3</w:t>
            </w:r>
          </w:p>
        </w:tc>
        <w:tc>
          <w:tcPr>
            <w:tcW w:w="12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530.1</w:t>
            </w:r>
          </w:p>
        </w:tc>
        <w:tc>
          <w:tcPr>
            <w:tcW w:w="0" w:type="dxa"/>
            <w:vAlign w:val="bottom"/>
          </w:tcPr>
          <w:p>
            <w:pPr>
              <w:spacing w:after="0"/>
              <w:rPr>
                <w:sz w:val="1"/>
                <w:szCs w:val="1"/>
                <w:color w:val="auto"/>
              </w:rPr>
            </w:pPr>
          </w:p>
        </w:tc>
      </w:tr>
      <w:tr>
        <w:trPr>
          <w:trHeight w:val="20"/>
        </w:trPr>
        <w:tc>
          <w:tcPr>
            <w:tcW w:w="64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6440" w:type="dxa"/>
            <w:vAlign w:val="bottom"/>
          </w:tcPr>
          <w:p>
            <w:pPr>
              <w:ind w:left="20"/>
              <w:spacing w:after="0"/>
              <w:rPr>
                <w:sz w:val="20"/>
                <w:szCs w:val="20"/>
                <w:color w:val="auto"/>
              </w:rPr>
            </w:pPr>
            <w:r>
              <w:rPr>
                <w:rFonts w:ascii="Arial" w:cs="Arial" w:eastAsia="Arial" w:hAnsi="Arial"/>
                <w:sz w:val="14"/>
                <w:szCs w:val="14"/>
                <w:color w:val="auto"/>
              </w:rPr>
              <w:t>REIT taxable income (loss) per common share - basic</w:t>
            </w:r>
          </w:p>
        </w:tc>
        <w:tc>
          <w:tcPr>
            <w:tcW w:w="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0.04</w:t>
            </w:r>
          </w:p>
        </w:tc>
        <w:tc>
          <w:tcPr>
            <w:tcW w:w="80" w:type="dxa"/>
            <w:vAlign w:val="bottom"/>
          </w:tcPr>
          <w:p>
            <w:pPr>
              <w:spacing w:after="0"/>
              <w:rPr>
                <w:sz w:val="14"/>
                <w:szCs w:val="14"/>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(0.30)</w:t>
            </w:r>
          </w:p>
        </w:tc>
        <w:tc>
          <w:tcPr>
            <w:tcW w:w="120" w:type="dxa"/>
            <w:vAlign w:val="bottom"/>
          </w:tcPr>
          <w:p>
            <w:pPr>
              <w:spacing w:after="0"/>
              <w:rPr>
                <w:sz w:val="14"/>
                <w:szCs w:val="14"/>
                <w:color w:val="auto"/>
              </w:rPr>
            </w:pPr>
          </w:p>
        </w:tc>
        <w:tc>
          <w:tcPr>
            <w:tcW w:w="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(0.04)</w:t>
            </w:r>
          </w:p>
        </w:tc>
        <w:tc>
          <w:tcPr>
            <w:tcW w:w="120" w:type="dxa"/>
            <w:vAlign w:val="bottom"/>
          </w:tcPr>
          <w:p>
            <w:pPr>
              <w:spacing w:after="0"/>
              <w:rPr>
                <w:sz w:val="14"/>
                <w:szCs w:val="14"/>
                <w:color w:val="auto"/>
              </w:rPr>
            </w:pPr>
          </w:p>
        </w:tc>
        <w:tc>
          <w:tcPr>
            <w:tcW w:w="26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w w:val="76"/>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(0.61)</w:t>
            </w:r>
          </w:p>
        </w:tc>
        <w:tc>
          <w:tcPr>
            <w:tcW w:w="0" w:type="dxa"/>
            <w:vAlign w:val="bottom"/>
          </w:tcPr>
          <w:p>
            <w:pPr>
              <w:spacing w:after="0"/>
              <w:rPr>
                <w:sz w:val="1"/>
                <w:szCs w:val="1"/>
                <w:color w:val="auto"/>
              </w:rPr>
            </w:pPr>
          </w:p>
        </w:tc>
      </w:tr>
      <w:tr>
        <w:trPr>
          <w:trHeight w:val="20"/>
        </w:trPr>
        <w:tc>
          <w:tcPr>
            <w:tcW w:w="644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6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REIT taxable income (loss) per common share - diluted</w:t>
            </w: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0.04</w:t>
            </w:r>
          </w:p>
        </w:tc>
        <w:tc>
          <w:tcPr>
            <w:tcW w:w="8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(0.30)</w:t>
            </w:r>
          </w:p>
        </w:tc>
        <w:tc>
          <w:tcPr>
            <w:tcW w:w="12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(0.04)</w:t>
            </w:r>
          </w:p>
        </w:tc>
        <w:tc>
          <w:tcPr>
            <w:tcW w:w="12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w w:val="76"/>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(0.61)</w:t>
            </w:r>
          </w:p>
        </w:tc>
        <w:tc>
          <w:tcPr>
            <w:tcW w:w="0" w:type="dxa"/>
            <w:vAlign w:val="bottom"/>
          </w:tcPr>
          <w:p>
            <w:pPr>
              <w:spacing w:after="0"/>
              <w:rPr>
                <w:sz w:val="1"/>
                <w:szCs w:val="1"/>
                <w:color w:val="auto"/>
              </w:rPr>
            </w:pPr>
          </w:p>
        </w:tc>
      </w:tr>
      <w:tr>
        <w:trPr>
          <w:trHeight w:val="20"/>
        </w:trPr>
        <w:tc>
          <w:tcPr>
            <w:tcW w:w="64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6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9"/>
        </w:trPr>
        <w:tc>
          <w:tcPr>
            <w:tcW w:w="6440" w:type="dxa"/>
            <w:vAlign w:val="bottom"/>
            <w:shd w:val="clear" w:color="auto" w:fill="CCEEFF"/>
          </w:tcPr>
          <w:p>
            <w:pPr>
              <w:ind w:left="20"/>
              <w:spacing w:after="0"/>
              <w:rPr>
                <w:sz w:val="20"/>
                <w:szCs w:val="20"/>
                <w:color w:val="auto"/>
              </w:rPr>
            </w:pPr>
            <w:r>
              <w:rPr>
                <w:rFonts w:ascii="Arial" w:cs="Arial" w:eastAsia="Arial" w:hAnsi="Arial"/>
                <w:sz w:val="14"/>
                <w:szCs w:val="14"/>
                <w:color w:val="auto"/>
              </w:rPr>
              <w:t>Beginning net capital loss carryforward</w:t>
            </w: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868</w:t>
            </w:r>
          </w:p>
        </w:tc>
        <w:tc>
          <w:tcPr>
            <w:tcW w:w="80" w:type="dxa"/>
            <w:vAlign w:val="bottom"/>
            <w:shd w:val="clear" w:color="auto" w:fill="CCEEFF"/>
          </w:tcPr>
          <w:p>
            <w:pPr>
              <w:spacing w:after="0"/>
              <w:rPr>
                <w:sz w:val="16"/>
                <w:szCs w:val="16"/>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89</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w w:val="76"/>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6"/>
        </w:trPr>
        <w:tc>
          <w:tcPr>
            <w:tcW w:w="644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Increase (decrease) in net capital loss carryforward</w:t>
            </w: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1,666</w:t>
            </w:r>
          </w:p>
        </w:tc>
        <w:tc>
          <w:tcPr>
            <w:tcW w:w="8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52</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2,534</w:t>
            </w:r>
          </w:p>
        </w:tc>
        <w:tc>
          <w:tcPr>
            <w:tcW w:w="12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141</w:t>
            </w:r>
          </w:p>
        </w:tc>
        <w:tc>
          <w:tcPr>
            <w:tcW w:w="0" w:type="dxa"/>
            <w:vAlign w:val="bottom"/>
          </w:tcPr>
          <w:p>
            <w:pPr>
              <w:spacing w:after="0"/>
              <w:rPr>
                <w:sz w:val="1"/>
                <w:szCs w:val="1"/>
                <w:color w:val="auto"/>
              </w:rPr>
            </w:pPr>
          </w:p>
        </w:tc>
      </w:tr>
      <w:tr>
        <w:trPr>
          <w:trHeight w:val="183"/>
        </w:trPr>
        <w:tc>
          <w:tcPr>
            <w:tcW w:w="6440" w:type="dxa"/>
            <w:vAlign w:val="bottom"/>
            <w:shd w:val="clear" w:color="auto" w:fill="CCEEFF"/>
          </w:tcPr>
          <w:p>
            <w:pPr>
              <w:ind w:left="20"/>
              <w:spacing w:after="0"/>
              <w:rPr>
                <w:sz w:val="20"/>
                <w:szCs w:val="20"/>
                <w:color w:val="auto"/>
              </w:rPr>
            </w:pPr>
            <w:r>
              <w:rPr>
                <w:rFonts w:ascii="Arial" w:cs="Arial" w:eastAsia="Arial" w:hAnsi="Arial"/>
                <w:sz w:val="14"/>
                <w:szCs w:val="14"/>
                <w:color w:val="auto"/>
              </w:rPr>
              <w:t>Ending net capital loss carryforward</w:t>
            </w: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2,534</w:t>
            </w:r>
          </w:p>
        </w:tc>
        <w:tc>
          <w:tcPr>
            <w:tcW w:w="80" w:type="dxa"/>
            <w:vAlign w:val="bottom"/>
            <w:shd w:val="clear" w:color="auto" w:fill="CCEEFF"/>
          </w:tcPr>
          <w:p>
            <w:pPr>
              <w:spacing w:after="0"/>
              <w:rPr>
                <w:sz w:val="15"/>
                <w:szCs w:val="15"/>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141</w:t>
            </w:r>
          </w:p>
        </w:tc>
        <w:tc>
          <w:tcPr>
            <w:tcW w:w="120" w:type="dxa"/>
            <w:vAlign w:val="bottom"/>
            <w:shd w:val="clear" w:color="auto" w:fill="CCEEFF"/>
          </w:tcPr>
          <w:p>
            <w:pPr>
              <w:spacing w:after="0"/>
              <w:rPr>
                <w:sz w:val="15"/>
                <w:szCs w:val="15"/>
                <w:color w:val="auto"/>
              </w:rPr>
            </w:pP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2,534</w:t>
            </w:r>
          </w:p>
        </w:tc>
        <w:tc>
          <w:tcPr>
            <w:tcW w:w="120" w:type="dxa"/>
            <w:vAlign w:val="bottom"/>
            <w:shd w:val="clear" w:color="auto" w:fill="CCEEFF"/>
          </w:tcPr>
          <w:p>
            <w:pPr>
              <w:spacing w:after="0"/>
              <w:rPr>
                <w:sz w:val="15"/>
                <w:szCs w:val="15"/>
                <w:color w:val="auto"/>
              </w:rPr>
            </w:pPr>
          </w:p>
        </w:tc>
        <w:tc>
          <w:tcPr>
            <w:tcW w:w="260" w:type="dxa"/>
            <w:vAlign w:val="bottom"/>
            <w:tcBorders>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w w:val="76"/>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141</w:t>
            </w:r>
          </w:p>
        </w:tc>
        <w:tc>
          <w:tcPr>
            <w:tcW w:w="0" w:type="dxa"/>
            <w:vAlign w:val="bottom"/>
          </w:tcPr>
          <w:p>
            <w:pPr>
              <w:spacing w:after="0"/>
              <w:rPr>
                <w:sz w:val="1"/>
                <w:szCs w:val="1"/>
                <w:color w:val="auto"/>
              </w:rPr>
            </w:pPr>
          </w:p>
        </w:tc>
      </w:tr>
      <w:tr>
        <w:trPr>
          <w:trHeight w:val="186"/>
        </w:trPr>
        <w:tc>
          <w:tcPr>
            <w:tcW w:w="6440" w:type="dxa"/>
            <w:vAlign w:val="bottom"/>
          </w:tcPr>
          <w:p>
            <w:pPr>
              <w:ind w:left="20"/>
              <w:spacing w:after="0"/>
              <w:rPr>
                <w:sz w:val="20"/>
                <w:szCs w:val="20"/>
                <w:color w:val="auto"/>
              </w:rPr>
            </w:pPr>
            <w:r>
              <w:rPr>
                <w:rFonts w:ascii="Arial" w:cs="Arial" w:eastAsia="Arial" w:hAnsi="Arial"/>
                <w:sz w:val="14"/>
                <w:szCs w:val="14"/>
                <w:color w:val="auto"/>
              </w:rPr>
              <w:t>Ending net capital loss carryforward per common share</w:t>
            </w:r>
          </w:p>
        </w:tc>
        <w:tc>
          <w:tcPr>
            <w:tcW w:w="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4.85</w:t>
            </w:r>
          </w:p>
        </w:tc>
        <w:tc>
          <w:tcPr>
            <w:tcW w:w="80" w:type="dxa"/>
            <w:vAlign w:val="bottom"/>
          </w:tcPr>
          <w:p>
            <w:pPr>
              <w:spacing w:after="0"/>
              <w:rPr>
                <w:sz w:val="16"/>
                <w:szCs w:val="16"/>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0.27</w:t>
            </w:r>
          </w:p>
        </w:tc>
        <w:tc>
          <w:tcPr>
            <w:tcW w:w="120" w:type="dxa"/>
            <w:vAlign w:val="bottom"/>
          </w:tcPr>
          <w:p>
            <w:pPr>
              <w:spacing w:after="0"/>
              <w:rPr>
                <w:sz w:val="16"/>
                <w:szCs w:val="16"/>
                <w:color w:val="auto"/>
              </w:rPr>
            </w:pPr>
          </w:p>
        </w:tc>
        <w:tc>
          <w:tcPr>
            <w:tcW w:w="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4.85</w:t>
            </w:r>
          </w:p>
        </w:tc>
        <w:tc>
          <w:tcPr>
            <w:tcW w:w="120" w:type="dxa"/>
            <w:vAlign w:val="bottom"/>
          </w:tcPr>
          <w:p>
            <w:pPr>
              <w:spacing w:after="0"/>
              <w:rPr>
                <w:sz w:val="16"/>
                <w:szCs w:val="16"/>
                <w:color w:val="auto"/>
              </w:rPr>
            </w:pPr>
          </w:p>
        </w:tc>
        <w:tc>
          <w:tcPr>
            <w:tcW w:w="26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w w:val="76"/>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0.27</w:t>
            </w:r>
          </w:p>
        </w:tc>
        <w:tc>
          <w:tcPr>
            <w:tcW w:w="0" w:type="dxa"/>
            <w:vAlign w:val="bottom"/>
          </w:tcPr>
          <w:p>
            <w:pPr>
              <w:spacing w:after="0"/>
              <w:rPr>
                <w:sz w:val="1"/>
                <w:szCs w:val="1"/>
                <w:color w:val="auto"/>
              </w:rPr>
            </w:pPr>
          </w:p>
        </w:tc>
      </w:tr>
      <w:tr>
        <w:trPr>
          <w:trHeight w:val="20"/>
        </w:trPr>
        <w:tc>
          <w:tcPr>
            <w:tcW w:w="64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40" w:name="page41"/>
    <w:bookmarkEnd w:id="40"/>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75" w:lineRule="exact"/>
        <w:rPr>
          <w:sz w:val="20"/>
          <w:szCs w:val="20"/>
          <w:color w:val="auto"/>
        </w:rPr>
      </w:pPr>
    </w:p>
    <w:p>
      <w:pPr>
        <w:jc w:val="both"/>
        <w:ind w:firstLine="445"/>
        <w:spacing w:after="0" w:line="284" w:lineRule="auto"/>
        <w:rPr>
          <w:sz w:val="20"/>
          <w:szCs w:val="20"/>
          <w:color w:val="auto"/>
        </w:rPr>
      </w:pPr>
      <w:r>
        <w:rPr>
          <w:rFonts w:ascii="Arial" w:cs="Arial" w:eastAsia="Arial" w:hAnsi="Arial"/>
          <w:sz w:val="16"/>
          <w:szCs w:val="16"/>
          <w:color w:val="auto"/>
        </w:rPr>
        <w:t xml:space="preserve">Our business is dependent on our ability to maintain adequate levels of liquidity and capital resources to fund day-to-day operations, fulfill collateral requirements under our funding and derivative agreements, and to satisfy our dividend distribution requirement of at least 90% of our taxable income to maintain our qualification as a REIT. Our primary sources of liquidity are unencumbered cash and securities, borrowings available under repurchase agreements, TBA dollar roll financing and monthly receipts of principal and interest payments. We may also conduct asset sales, change our asset or funding mix, issue equity or undertake other capital enhancing actions to maintain adequate levels of liquidity and capital resources. There are various risks and uncertainties that can impact our liquidity, such as those described in Item 1A. </w:t>
      </w:r>
      <w:r>
        <w:rPr>
          <w:rFonts w:ascii="Arial" w:cs="Arial" w:eastAsia="Arial" w:hAnsi="Arial"/>
          <w:sz w:val="16"/>
          <w:szCs w:val="16"/>
          <w:i w:val="1"/>
          <w:iCs w:val="1"/>
          <w:color w:val="auto"/>
        </w:rPr>
        <w:t>Risk Factors</w:t>
      </w:r>
      <w:r>
        <w:rPr>
          <w:rFonts w:ascii="Arial" w:cs="Arial" w:eastAsia="Arial" w:hAnsi="Arial"/>
          <w:sz w:val="16"/>
          <w:szCs w:val="16"/>
          <w:color w:val="auto"/>
        </w:rPr>
        <w:t xml:space="preserve"> of our most recent Annual Report on Form 10-K and Item</w:t>
      </w:r>
    </w:p>
    <w:p>
      <w:pPr>
        <w:spacing w:after="0" w:line="4" w:lineRule="exact"/>
        <w:rPr>
          <w:sz w:val="20"/>
          <w:szCs w:val="20"/>
          <w:color w:val="auto"/>
        </w:rPr>
      </w:pPr>
    </w:p>
    <w:p>
      <w:pPr>
        <w:jc w:val="both"/>
        <w:ind w:firstLine="8"/>
        <w:spacing w:after="0" w:line="302" w:lineRule="auto"/>
        <w:tabs>
          <w:tab w:leader="none" w:pos="180" w:val="left"/>
        </w:tabs>
        <w:numPr>
          <w:ilvl w:val="0"/>
          <w:numId w:val="32"/>
        </w:numPr>
        <w:rPr>
          <w:rFonts w:ascii="Arial" w:cs="Arial" w:eastAsia="Arial" w:hAnsi="Arial"/>
          <w:sz w:val="16"/>
          <w:szCs w:val="16"/>
          <w:color w:val="auto"/>
        </w:rPr>
      </w:pPr>
      <w:r>
        <w:rPr>
          <w:rFonts w:ascii="Arial" w:cs="Arial" w:eastAsia="Arial" w:hAnsi="Arial"/>
          <w:sz w:val="16"/>
          <w:szCs w:val="16"/>
          <w:i w:val="1"/>
          <w:iCs w:val="1"/>
          <w:color w:val="auto"/>
        </w:rPr>
        <w:t xml:space="preserve">Quantitative and Qualitative Disclosures of Market Risks </w:t>
      </w:r>
      <w:r>
        <w:rPr>
          <w:rFonts w:ascii="Arial" w:cs="Arial" w:eastAsia="Arial" w:hAnsi="Arial"/>
          <w:sz w:val="16"/>
          <w:szCs w:val="16"/>
          <w:color w:val="auto"/>
        </w:rPr>
        <w:t>in this Form 10-Q. In assessing our liquidity, we consider a number of factors, including our</w:t>
      </w:r>
      <w:r>
        <w:rPr>
          <w:rFonts w:ascii="Arial" w:cs="Arial" w:eastAsia="Arial" w:hAnsi="Arial"/>
          <w:sz w:val="16"/>
          <w:szCs w:val="16"/>
          <w:i w:val="1"/>
          <w:iCs w:val="1"/>
          <w:color w:val="auto"/>
        </w:rPr>
        <w:t xml:space="preserve"> </w:t>
      </w:r>
      <w:r>
        <w:rPr>
          <w:rFonts w:ascii="Arial" w:cs="Arial" w:eastAsia="Arial" w:hAnsi="Arial"/>
          <w:sz w:val="16"/>
          <w:szCs w:val="16"/>
          <w:color w:val="auto"/>
        </w:rPr>
        <w:t>current leverage, collateral levels, access to capital markets, overall market conditions, and the sensitivity of our tangible net book value over a range of scenarios. We believe that we have sufficient liquidity and capital resources available to meet our obligations and execute our business strategy.</w:t>
      </w:r>
    </w:p>
    <w:p>
      <w:pPr>
        <w:spacing w:after="0" w:line="10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Leverage and Financing Sources</w:t>
      </w:r>
    </w:p>
    <w:p>
      <w:pPr>
        <w:spacing w:after="0" w:line="171" w:lineRule="exact"/>
        <w:rPr>
          <w:sz w:val="20"/>
          <w:szCs w:val="20"/>
          <w:color w:val="auto"/>
        </w:rPr>
      </w:pPr>
    </w:p>
    <w:p>
      <w:pPr>
        <w:jc w:val="both"/>
        <w:ind w:firstLine="445"/>
        <w:spacing w:after="0" w:line="273" w:lineRule="auto"/>
        <w:rPr>
          <w:sz w:val="20"/>
          <w:szCs w:val="20"/>
          <w:color w:val="auto"/>
        </w:rPr>
      </w:pPr>
      <w:r>
        <w:rPr>
          <w:rFonts w:ascii="Arial" w:cs="Arial" w:eastAsia="Arial" w:hAnsi="Arial"/>
          <w:sz w:val="17"/>
          <w:szCs w:val="17"/>
          <w:color w:val="auto"/>
        </w:rPr>
        <w:t>Our leverage will vary depending on market conditions and our assessment of relative risks and returns, but we generally expect our leverage to be between six and twelve times the amount of our tangible stockholders' equity, measured as the sum of our total mortgage borrowings and net payable / (receivable) for unsettled investment securities, divided by the sum of our total stockholders' equity adjusted to exclude goodwill. Our tangible net book value "at risk" leverage ratio was 7.4x and 7.7x as of June 30, 2022 and December 31, 2021, respectively. The following table includes a summary of our mortgage borrowings outstanding as of June 30, 2022 and December 31, 2021 (dollars in millions). For additional details of our mortgage borrowings refer to Notes 2, 4 and 5 to our Consolidated Financial Statements in this Form 10-Q.</w:t>
      </w:r>
    </w:p>
    <w:p>
      <w:pPr>
        <w:spacing w:after="0" w:line="89" w:lineRule="exact"/>
        <w:rPr>
          <w:sz w:val="20"/>
          <w:szCs w:val="20"/>
          <w:color w:val="auto"/>
        </w:rPr>
      </w:pPr>
    </w:p>
    <w:tbl>
      <w:tblPr>
        <w:tblLayout w:type="fixed"/>
        <w:tblInd w:w="20" w:type="dxa"/>
        <w:tblCellMar>
          <w:top w:w="0" w:type="dxa"/>
          <w:left w:w="0" w:type="dxa"/>
          <w:bottom w:w="0" w:type="dxa"/>
          <w:right w:w="0" w:type="dxa"/>
        </w:tblCellMar>
      </w:tblPr>
      <w:tr>
        <w:trPr>
          <w:trHeight w:val="192"/>
        </w:trPr>
        <w:tc>
          <w:tcPr>
            <w:tcW w:w="56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580" w:type="dxa"/>
            <w:vAlign w:val="bottom"/>
            <w:tcBorders>
              <w:bottom w:val="single" w:sz="8" w:color="auto"/>
            </w:tcBorders>
            <w:gridSpan w:val="3"/>
          </w:tcPr>
          <w:p>
            <w:pPr>
              <w:ind w:left="660"/>
              <w:spacing w:after="0"/>
              <w:rPr>
                <w:sz w:val="20"/>
                <w:szCs w:val="20"/>
                <w:color w:val="auto"/>
              </w:rPr>
            </w:pPr>
            <w:r>
              <w:rPr>
                <w:rFonts w:ascii="Arial" w:cs="Arial" w:eastAsia="Arial" w:hAnsi="Arial"/>
                <w:sz w:val="14"/>
                <w:szCs w:val="14"/>
                <w:b w:val="1"/>
                <w:bCs w:val="1"/>
                <w:color w:val="auto"/>
                <w:w w:val="98"/>
              </w:rPr>
              <w:t>June 30, 2022</w:t>
            </w:r>
          </w:p>
        </w:tc>
        <w:tc>
          <w:tcPr>
            <w:tcW w:w="320" w:type="dxa"/>
            <w:vAlign w:val="bottom"/>
            <w:tcBorders>
              <w:bottom w:val="single" w:sz="8" w:color="auto"/>
            </w:tcBorders>
          </w:tcPr>
          <w:p>
            <w:pPr>
              <w:spacing w:after="0"/>
              <w:rPr>
                <w:sz w:val="16"/>
                <w:szCs w:val="16"/>
                <w:color w:val="auto"/>
              </w:rPr>
            </w:pPr>
          </w:p>
        </w:tc>
        <w:tc>
          <w:tcPr>
            <w:tcW w:w="500" w:type="dxa"/>
            <w:vAlign w:val="bottom"/>
            <w:tcBorders>
              <w:bottom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660" w:type="dxa"/>
            <w:vAlign w:val="bottom"/>
            <w:tcBorders>
              <w:bottom w:val="single" w:sz="8" w:color="auto"/>
            </w:tcBorders>
            <w:gridSpan w:val="3"/>
          </w:tcPr>
          <w:p>
            <w:pPr>
              <w:ind w:left="500"/>
              <w:spacing w:after="0"/>
              <w:rPr>
                <w:sz w:val="20"/>
                <w:szCs w:val="20"/>
                <w:color w:val="auto"/>
              </w:rPr>
            </w:pPr>
            <w:r>
              <w:rPr>
                <w:rFonts w:ascii="Arial" w:cs="Arial" w:eastAsia="Arial" w:hAnsi="Arial"/>
                <w:sz w:val="14"/>
                <w:szCs w:val="14"/>
                <w:b w:val="1"/>
                <w:bCs w:val="1"/>
                <w:color w:val="auto"/>
                <w:w w:val="90"/>
              </w:rPr>
              <w:t>December 31, 2021</w:t>
            </w:r>
          </w:p>
        </w:tc>
        <w:tc>
          <w:tcPr>
            <w:tcW w:w="720" w:type="dxa"/>
            <w:vAlign w:val="bottom"/>
            <w:tcBorders>
              <w:bottom w:val="single" w:sz="8" w:color="auto"/>
            </w:tcBorders>
          </w:tcPr>
          <w:p>
            <w:pPr>
              <w:spacing w:after="0"/>
              <w:rPr>
                <w:sz w:val="16"/>
                <w:szCs w:val="16"/>
                <w:color w:val="auto"/>
              </w:rPr>
            </w:pPr>
          </w:p>
        </w:tc>
      </w:tr>
      <w:tr>
        <w:trPr>
          <w:trHeight w:val="188"/>
        </w:trPr>
        <w:tc>
          <w:tcPr>
            <w:tcW w:w="5800" w:type="dxa"/>
            <w:vAlign w:val="bottom"/>
            <w:gridSpan w:val="2"/>
          </w:tcPr>
          <w:p>
            <w:pPr>
              <w:ind w:left="20"/>
              <w:spacing w:after="0"/>
              <w:rPr>
                <w:sz w:val="20"/>
                <w:szCs w:val="20"/>
                <w:color w:val="auto"/>
              </w:rPr>
            </w:pPr>
            <w:r>
              <w:rPr>
                <w:rFonts w:ascii="Arial" w:cs="Arial" w:eastAsia="Arial" w:hAnsi="Arial"/>
                <w:sz w:val="14"/>
                <w:szCs w:val="14"/>
                <w:b w:val="1"/>
                <w:bCs w:val="1"/>
                <w:color w:val="auto"/>
              </w:rPr>
              <w:t>Mortgage Borrowings</w:t>
            </w:r>
          </w:p>
        </w:tc>
        <w:tc>
          <w:tcPr>
            <w:tcW w:w="220" w:type="dxa"/>
            <w:vAlign w:val="bottom"/>
          </w:tcPr>
          <w:p>
            <w:pPr>
              <w:spacing w:after="0"/>
              <w:rPr>
                <w:sz w:val="16"/>
                <w:szCs w:val="16"/>
                <w:color w:val="auto"/>
              </w:rPr>
            </w:pPr>
          </w:p>
        </w:tc>
        <w:tc>
          <w:tcPr>
            <w:tcW w:w="1580" w:type="dxa"/>
            <w:vAlign w:val="bottom"/>
            <w:gridSpan w:val="3"/>
          </w:tcPr>
          <w:p>
            <w:pPr>
              <w:ind w:left="120"/>
              <w:spacing w:after="0"/>
              <w:rPr>
                <w:sz w:val="20"/>
                <w:szCs w:val="20"/>
                <w:color w:val="auto"/>
              </w:rPr>
            </w:pPr>
            <w:r>
              <w:rPr>
                <w:rFonts w:ascii="Arial" w:cs="Arial" w:eastAsia="Arial" w:hAnsi="Arial"/>
                <w:sz w:val="14"/>
                <w:szCs w:val="14"/>
                <w:b w:val="1"/>
                <w:bCs w:val="1"/>
                <w:color w:val="auto"/>
              </w:rPr>
              <w:t>Amount</w:t>
            </w:r>
          </w:p>
        </w:tc>
        <w:tc>
          <w:tcPr>
            <w:tcW w:w="320" w:type="dxa"/>
            <w:vAlign w:val="bottom"/>
          </w:tcPr>
          <w:p>
            <w:pPr>
              <w:jc w:val="right"/>
              <w:ind w:right="8"/>
              <w:spacing w:after="0"/>
              <w:rPr>
                <w:sz w:val="20"/>
                <w:szCs w:val="20"/>
                <w:color w:val="auto"/>
              </w:rPr>
            </w:pPr>
            <w:r>
              <w:rPr>
                <w:rFonts w:ascii="Arial" w:cs="Arial" w:eastAsia="Arial" w:hAnsi="Arial"/>
                <w:sz w:val="14"/>
                <w:szCs w:val="14"/>
                <w:b w:val="1"/>
                <w:bCs w:val="1"/>
                <w:color w:val="auto"/>
              </w:rPr>
              <w:t>%</w:t>
            </w:r>
          </w:p>
        </w:tc>
        <w:tc>
          <w:tcPr>
            <w:tcW w:w="5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660" w:type="dxa"/>
            <w:vAlign w:val="bottom"/>
            <w:gridSpan w:val="3"/>
          </w:tcPr>
          <w:p>
            <w:pPr>
              <w:ind w:left="120"/>
              <w:spacing w:after="0"/>
              <w:rPr>
                <w:sz w:val="20"/>
                <w:szCs w:val="20"/>
                <w:color w:val="auto"/>
              </w:rPr>
            </w:pPr>
            <w:r>
              <w:rPr>
                <w:rFonts w:ascii="Arial" w:cs="Arial" w:eastAsia="Arial" w:hAnsi="Arial"/>
                <w:sz w:val="14"/>
                <w:szCs w:val="14"/>
                <w:b w:val="1"/>
                <w:bCs w:val="1"/>
                <w:color w:val="auto"/>
              </w:rPr>
              <w:t>Amount</w:t>
            </w:r>
          </w:p>
        </w:tc>
        <w:tc>
          <w:tcPr>
            <w:tcW w:w="720" w:type="dxa"/>
            <w:vAlign w:val="bottom"/>
          </w:tcPr>
          <w:p>
            <w:pPr>
              <w:jc w:val="right"/>
              <w:ind w:right="488"/>
              <w:spacing w:after="0"/>
              <w:rPr>
                <w:sz w:val="20"/>
                <w:szCs w:val="20"/>
                <w:color w:val="auto"/>
              </w:rPr>
            </w:pPr>
            <w:r>
              <w:rPr>
                <w:rFonts w:ascii="Arial" w:cs="Arial" w:eastAsia="Arial" w:hAnsi="Arial"/>
                <w:sz w:val="14"/>
                <w:szCs w:val="14"/>
                <w:b w:val="1"/>
                <w:bCs w:val="1"/>
                <w:color w:val="auto"/>
              </w:rPr>
              <w:t>%</w:t>
            </w:r>
          </w:p>
        </w:tc>
      </w:tr>
      <w:tr>
        <w:trPr>
          <w:trHeight w:val="184"/>
        </w:trPr>
        <w:tc>
          <w:tcPr>
            <w:tcW w:w="5680" w:type="dxa"/>
            <w:vAlign w:val="bottom"/>
            <w:tcBorders>
              <w:top w:val="single" w:sz="8" w:color="auto"/>
            </w:tcBorders>
            <w:shd w:val="clear" w:color="auto" w:fill="CCEEFF"/>
          </w:tcPr>
          <w:p>
            <w:pPr>
              <w:ind w:left="20"/>
              <w:spacing w:after="0" w:line="184" w:lineRule="exact"/>
              <w:rPr>
                <w:sz w:val="20"/>
                <w:szCs w:val="20"/>
                <w:color w:val="auto"/>
              </w:rPr>
            </w:pPr>
            <w:r>
              <w:rPr>
                <w:rFonts w:ascii="Arial" w:cs="Arial" w:eastAsia="Arial" w:hAnsi="Arial"/>
                <w:sz w:val="14"/>
                <w:szCs w:val="14"/>
                <w:color w:val="auto"/>
              </w:rPr>
              <w:t xml:space="preserve">Repurchase agreements </w:t>
            </w:r>
            <w:r>
              <w:rPr>
                <w:rFonts w:ascii="Arial" w:cs="Arial" w:eastAsia="Arial" w:hAnsi="Arial"/>
                <w:sz w:val="18"/>
                <w:szCs w:val="18"/>
                <w:color w:val="auto"/>
                <w:vertAlign w:val="superscript"/>
              </w:rPr>
              <w:t>1,2</w:t>
            </w:r>
          </w:p>
        </w:tc>
        <w:tc>
          <w:tcPr>
            <w:tcW w:w="120" w:type="dxa"/>
            <w:vAlign w:val="bottom"/>
            <w:tcBorders>
              <w:top w:val="single" w:sz="8" w:color="CCEEFF"/>
            </w:tcBorders>
            <w:shd w:val="clear" w:color="auto" w:fill="CCEEFF"/>
          </w:tcPr>
          <w:p>
            <w:pPr>
              <w:spacing w:after="0"/>
              <w:rPr>
                <w:sz w:val="15"/>
                <w:szCs w:val="15"/>
                <w:color w:val="auto"/>
              </w:rPr>
            </w:pPr>
          </w:p>
        </w:tc>
        <w:tc>
          <w:tcPr>
            <w:tcW w:w="22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41,299</w:t>
            </w:r>
          </w:p>
        </w:tc>
        <w:tc>
          <w:tcPr>
            <w:tcW w:w="120" w:type="dxa"/>
            <w:vAlign w:val="bottom"/>
            <w:tcBorders>
              <w:top w:val="single" w:sz="8" w:color="CCEEFF"/>
            </w:tcBorders>
            <w:shd w:val="clear" w:color="auto" w:fill="CCEEFF"/>
          </w:tcPr>
          <w:p>
            <w:pPr>
              <w:spacing w:after="0"/>
              <w:rPr>
                <w:sz w:val="15"/>
                <w:szCs w:val="15"/>
                <w:color w:val="auto"/>
              </w:rPr>
            </w:pPr>
          </w:p>
        </w:tc>
        <w:tc>
          <w:tcPr>
            <w:tcW w:w="480" w:type="dxa"/>
            <w:vAlign w:val="bottom"/>
            <w:tcBorders>
              <w:top w:val="single" w:sz="8" w:color="auto"/>
            </w:tcBorders>
            <w:shd w:val="clear" w:color="auto" w:fill="CCEEFF"/>
          </w:tcPr>
          <w:p>
            <w:pPr>
              <w:spacing w:after="0"/>
              <w:rPr>
                <w:sz w:val="15"/>
                <w:szCs w:val="15"/>
                <w:color w:val="auto"/>
              </w:rPr>
            </w:pPr>
          </w:p>
        </w:tc>
        <w:tc>
          <w:tcPr>
            <w:tcW w:w="320" w:type="dxa"/>
            <w:vAlign w:val="bottom"/>
            <w:tcBorders>
              <w:top w:val="single" w:sz="8" w:color="auto"/>
            </w:tcBorders>
            <w:shd w:val="clear" w:color="auto" w:fill="CCEEFF"/>
          </w:tcPr>
          <w:p>
            <w:pPr>
              <w:spacing w:after="0"/>
              <w:rPr>
                <w:sz w:val="15"/>
                <w:szCs w:val="15"/>
                <w:color w:val="auto"/>
              </w:rPr>
            </w:pPr>
          </w:p>
        </w:tc>
        <w:tc>
          <w:tcPr>
            <w:tcW w:w="5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72 %</w:t>
            </w:r>
          </w:p>
        </w:tc>
        <w:tc>
          <w:tcPr>
            <w:tcW w:w="160" w:type="dxa"/>
            <w:vAlign w:val="bottom"/>
            <w:tcBorders>
              <w:top w:val="single" w:sz="8" w:color="CCEEFF"/>
            </w:tcBorders>
            <w:shd w:val="clear" w:color="auto" w:fill="CCEEFF"/>
          </w:tcPr>
          <w:p>
            <w:pPr>
              <w:spacing w:after="0"/>
              <w:rPr>
                <w:sz w:val="15"/>
                <w:szCs w:val="15"/>
                <w:color w:val="auto"/>
              </w:rPr>
            </w:pPr>
          </w:p>
        </w:tc>
        <w:tc>
          <w:tcPr>
            <w:tcW w:w="24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46,911</w:t>
            </w:r>
          </w:p>
        </w:tc>
        <w:tc>
          <w:tcPr>
            <w:tcW w:w="120" w:type="dxa"/>
            <w:vAlign w:val="bottom"/>
            <w:tcBorders>
              <w:top w:val="single" w:sz="8" w:color="CCEEFF"/>
            </w:tcBorders>
            <w:shd w:val="clear" w:color="auto" w:fill="CCEEFF"/>
          </w:tcPr>
          <w:p>
            <w:pPr>
              <w:spacing w:after="0"/>
              <w:rPr>
                <w:sz w:val="15"/>
                <w:szCs w:val="15"/>
                <w:color w:val="auto"/>
              </w:rPr>
            </w:pPr>
          </w:p>
        </w:tc>
        <w:tc>
          <w:tcPr>
            <w:tcW w:w="560" w:type="dxa"/>
            <w:vAlign w:val="bottom"/>
            <w:tcBorders>
              <w:top w:val="single" w:sz="8" w:color="auto"/>
            </w:tcBorders>
            <w:shd w:val="clear" w:color="auto" w:fill="CCEEFF"/>
          </w:tcPr>
          <w:p>
            <w:pPr>
              <w:spacing w:after="0"/>
              <w:rPr>
                <w:sz w:val="15"/>
                <w:szCs w:val="15"/>
                <w:color w:val="auto"/>
              </w:rPr>
            </w:pP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63 %</w:t>
            </w:r>
          </w:p>
        </w:tc>
      </w:tr>
      <w:tr>
        <w:trPr>
          <w:trHeight w:val="186"/>
        </w:trPr>
        <w:tc>
          <w:tcPr>
            <w:tcW w:w="5800" w:type="dxa"/>
            <w:vAlign w:val="bottom"/>
            <w:gridSpan w:val="2"/>
          </w:tcPr>
          <w:p>
            <w:pPr>
              <w:ind w:left="20"/>
              <w:spacing w:after="0"/>
              <w:rPr>
                <w:sz w:val="20"/>
                <w:szCs w:val="20"/>
                <w:color w:val="auto"/>
              </w:rPr>
            </w:pPr>
            <w:r>
              <w:rPr>
                <w:rFonts w:ascii="Arial" w:cs="Arial" w:eastAsia="Arial" w:hAnsi="Arial"/>
                <w:sz w:val="14"/>
                <w:szCs w:val="14"/>
                <w:color w:val="auto"/>
              </w:rPr>
              <w:t>Debt of consolidated variable interest entities, at fair value</w:t>
            </w:r>
          </w:p>
        </w:tc>
        <w:tc>
          <w:tcPr>
            <w:tcW w:w="22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107</w:t>
            </w:r>
          </w:p>
        </w:tc>
        <w:tc>
          <w:tcPr>
            <w:tcW w:w="12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4"/>
                <w:szCs w:val="14"/>
                <w:color w:val="auto"/>
              </w:rPr>
              <w:t>— %</w:t>
            </w:r>
          </w:p>
        </w:tc>
        <w:tc>
          <w:tcPr>
            <w:tcW w:w="24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126</w:t>
            </w:r>
          </w:p>
        </w:tc>
        <w:tc>
          <w:tcPr>
            <w:tcW w:w="1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 %</w:t>
            </w:r>
          </w:p>
        </w:tc>
      </w:tr>
      <w:tr>
        <w:trPr>
          <w:trHeight w:val="186"/>
        </w:trPr>
        <w:tc>
          <w:tcPr>
            <w:tcW w:w="5800" w:type="dxa"/>
            <w:vAlign w:val="bottom"/>
            <w:tcBorders>
              <w:top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Total debt</w:t>
            </w:r>
          </w:p>
        </w:tc>
        <w:tc>
          <w:tcPr>
            <w:tcW w:w="220" w:type="dxa"/>
            <w:vAlign w:val="bottom"/>
            <w:tcBorders>
              <w:top w:val="single" w:sz="8" w:color="auto"/>
            </w:tcBorders>
            <w:shd w:val="clear" w:color="auto" w:fill="CCEEFF"/>
          </w:tcPr>
          <w:p>
            <w:pPr>
              <w:spacing w:after="0"/>
              <w:rPr>
                <w:sz w:val="16"/>
                <w:szCs w:val="16"/>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41,406</w:t>
            </w:r>
          </w:p>
        </w:tc>
        <w:tc>
          <w:tcPr>
            <w:tcW w:w="120" w:type="dxa"/>
            <w:vAlign w:val="bottom"/>
            <w:tcBorders>
              <w:top w:val="single" w:sz="8" w:color="CCEEFF"/>
            </w:tcBorders>
            <w:shd w:val="clear" w:color="auto" w:fill="CCEEFF"/>
          </w:tcPr>
          <w:p>
            <w:pPr>
              <w:spacing w:after="0"/>
              <w:rPr>
                <w:sz w:val="16"/>
                <w:szCs w:val="16"/>
                <w:color w:val="auto"/>
              </w:rPr>
            </w:pPr>
          </w:p>
        </w:tc>
        <w:tc>
          <w:tcPr>
            <w:tcW w:w="480" w:type="dxa"/>
            <w:vAlign w:val="bottom"/>
            <w:tcBorders>
              <w:top w:val="single" w:sz="8" w:color="auto"/>
            </w:tcBorders>
            <w:shd w:val="clear" w:color="auto" w:fill="CCEEFF"/>
          </w:tcPr>
          <w:p>
            <w:pPr>
              <w:spacing w:after="0"/>
              <w:rPr>
                <w:sz w:val="16"/>
                <w:szCs w:val="16"/>
                <w:color w:val="auto"/>
              </w:rPr>
            </w:pPr>
          </w:p>
        </w:tc>
        <w:tc>
          <w:tcPr>
            <w:tcW w:w="320" w:type="dxa"/>
            <w:vAlign w:val="bottom"/>
            <w:tcBorders>
              <w:top w:val="single" w:sz="8" w:color="auto"/>
            </w:tcBorders>
            <w:shd w:val="clear" w:color="auto" w:fill="CCEEFF"/>
          </w:tcPr>
          <w:p>
            <w:pPr>
              <w:spacing w:after="0"/>
              <w:rPr>
                <w:sz w:val="16"/>
                <w:szCs w:val="16"/>
                <w:color w:val="auto"/>
              </w:rPr>
            </w:pPr>
          </w:p>
        </w:tc>
        <w:tc>
          <w:tcPr>
            <w:tcW w:w="5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72 %</w:t>
            </w:r>
          </w:p>
        </w:tc>
        <w:tc>
          <w:tcPr>
            <w:tcW w:w="160" w:type="dxa"/>
            <w:vAlign w:val="bottom"/>
            <w:tcBorders>
              <w:top w:val="single" w:sz="8" w:color="CCEEFF"/>
            </w:tcBorders>
            <w:shd w:val="clear" w:color="auto" w:fill="CCEEFF"/>
          </w:tcPr>
          <w:p>
            <w:pPr>
              <w:spacing w:after="0"/>
              <w:rPr>
                <w:sz w:val="16"/>
                <w:szCs w:val="16"/>
                <w:color w:val="auto"/>
              </w:rPr>
            </w:pPr>
          </w:p>
        </w:tc>
        <w:tc>
          <w:tcPr>
            <w:tcW w:w="240" w:type="dxa"/>
            <w:vAlign w:val="bottom"/>
            <w:tcBorders>
              <w:top w:val="single" w:sz="8" w:color="auto"/>
            </w:tcBorders>
            <w:shd w:val="clear" w:color="auto" w:fill="CCEEFF"/>
          </w:tcPr>
          <w:p>
            <w:pPr>
              <w:spacing w:after="0"/>
              <w:rPr>
                <w:sz w:val="16"/>
                <w:szCs w:val="16"/>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47,037</w:t>
            </w:r>
          </w:p>
        </w:tc>
        <w:tc>
          <w:tcPr>
            <w:tcW w:w="120" w:type="dxa"/>
            <w:vAlign w:val="bottom"/>
            <w:tcBorders>
              <w:top w:val="single" w:sz="8" w:color="CCEEFF"/>
            </w:tcBorders>
            <w:shd w:val="clear" w:color="auto" w:fill="CCEEFF"/>
          </w:tcPr>
          <w:p>
            <w:pPr>
              <w:spacing w:after="0"/>
              <w:rPr>
                <w:sz w:val="16"/>
                <w:szCs w:val="16"/>
                <w:color w:val="auto"/>
              </w:rPr>
            </w:pPr>
          </w:p>
        </w:tc>
        <w:tc>
          <w:tcPr>
            <w:tcW w:w="560" w:type="dxa"/>
            <w:vAlign w:val="bottom"/>
            <w:tcBorders>
              <w:top w:val="single" w:sz="8" w:color="auto"/>
            </w:tcBorders>
            <w:shd w:val="clear" w:color="auto" w:fill="CCEEFF"/>
          </w:tcPr>
          <w:p>
            <w:pPr>
              <w:spacing w:after="0"/>
              <w:rPr>
                <w:sz w:val="16"/>
                <w:szCs w:val="16"/>
                <w:color w:val="auto"/>
              </w:rPr>
            </w:pP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63 %</w:t>
            </w:r>
          </w:p>
        </w:tc>
      </w:tr>
      <w:tr>
        <w:trPr>
          <w:trHeight w:val="186"/>
        </w:trPr>
        <w:tc>
          <w:tcPr>
            <w:tcW w:w="580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TBA and forward settling non-Agency securities, at cost</w:t>
            </w:r>
          </w:p>
        </w:tc>
        <w:tc>
          <w:tcPr>
            <w:tcW w:w="22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16,001</w:t>
            </w:r>
          </w:p>
        </w:tc>
        <w:tc>
          <w:tcPr>
            <w:tcW w:w="120" w:type="dxa"/>
            <w:vAlign w:val="bottom"/>
            <w:tcBorders>
              <w:bottom w:val="single" w:sz="8" w:color="CCEEFF"/>
            </w:tcBorders>
          </w:tcPr>
          <w:p>
            <w:pPr>
              <w:spacing w:after="0"/>
              <w:rPr>
                <w:sz w:val="16"/>
                <w:szCs w:val="16"/>
                <w:color w:val="auto"/>
              </w:rPr>
            </w:pPr>
          </w:p>
        </w:tc>
        <w:tc>
          <w:tcPr>
            <w:tcW w:w="48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28 %</w:t>
            </w:r>
          </w:p>
        </w:tc>
        <w:tc>
          <w:tcPr>
            <w:tcW w:w="16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27,622</w:t>
            </w:r>
          </w:p>
        </w:tc>
        <w:tc>
          <w:tcPr>
            <w:tcW w:w="120" w:type="dxa"/>
            <w:vAlign w:val="bottom"/>
            <w:tcBorders>
              <w:bottom w:val="single" w:sz="8" w:color="CCEEFF"/>
            </w:tcBorders>
          </w:tcPr>
          <w:p>
            <w:pPr>
              <w:spacing w:after="0"/>
              <w:rPr>
                <w:sz w:val="16"/>
                <w:szCs w:val="16"/>
                <w:color w:val="auto"/>
              </w:rPr>
            </w:pPr>
          </w:p>
        </w:tc>
        <w:tc>
          <w:tcPr>
            <w:tcW w:w="56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37 %</w:t>
            </w:r>
          </w:p>
        </w:tc>
      </w:tr>
      <w:tr>
        <w:trPr>
          <w:trHeight w:val="211"/>
        </w:trPr>
        <w:tc>
          <w:tcPr>
            <w:tcW w:w="58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Total mortgage borrowings</w:t>
            </w:r>
          </w:p>
        </w:tc>
        <w:tc>
          <w:tcPr>
            <w:tcW w:w="2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57,407</w:t>
            </w:r>
          </w:p>
        </w:tc>
        <w:tc>
          <w:tcPr>
            <w:tcW w:w="120" w:type="dxa"/>
            <w:vAlign w:val="bottom"/>
            <w:tcBorders>
              <w:bottom w:val="single" w:sz="8" w:color="CCEEFF"/>
            </w:tcBorders>
            <w:shd w:val="clear" w:color="auto" w:fill="CCEEFF"/>
          </w:tcPr>
          <w:p>
            <w:pPr>
              <w:spacing w:after="0"/>
              <w:rPr>
                <w:sz w:val="17"/>
                <w:szCs w:val="17"/>
                <w:color w:val="auto"/>
              </w:rPr>
            </w:pPr>
          </w:p>
        </w:tc>
        <w:tc>
          <w:tcPr>
            <w:tcW w:w="480" w:type="dxa"/>
            <w:vAlign w:val="bottom"/>
            <w:tcBorders>
              <w:bottom w:val="single" w:sz="8" w:color="auto"/>
            </w:tcBorders>
            <w:shd w:val="clear" w:color="auto" w:fill="CCEEFF"/>
          </w:tcPr>
          <w:p>
            <w:pPr>
              <w:spacing w:after="0"/>
              <w:rPr>
                <w:sz w:val="17"/>
                <w:szCs w:val="17"/>
                <w:color w:val="auto"/>
              </w:rPr>
            </w:pPr>
          </w:p>
        </w:tc>
        <w:tc>
          <w:tcPr>
            <w:tcW w:w="320" w:type="dxa"/>
            <w:vAlign w:val="bottom"/>
            <w:tcBorders>
              <w:bottom w:val="single" w:sz="8" w:color="auto"/>
            </w:tcBorders>
            <w:shd w:val="clear" w:color="auto" w:fill="CCEEFF"/>
          </w:tcPr>
          <w:p>
            <w:pPr>
              <w:spacing w:after="0"/>
              <w:rPr>
                <w:sz w:val="17"/>
                <w:szCs w:val="17"/>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100 %</w:t>
            </w:r>
          </w:p>
        </w:tc>
        <w:tc>
          <w:tcPr>
            <w:tcW w:w="160" w:type="dxa"/>
            <w:vAlign w:val="bottom"/>
            <w:tcBorders>
              <w:bottom w:val="single" w:sz="8" w:color="CCEEFF"/>
            </w:tcBorders>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74,659</w:t>
            </w:r>
          </w:p>
        </w:tc>
        <w:tc>
          <w:tcPr>
            <w:tcW w:w="120" w:type="dxa"/>
            <w:vAlign w:val="bottom"/>
            <w:tcBorders>
              <w:bottom w:val="single" w:sz="8" w:color="CCEEFF"/>
            </w:tcBorders>
            <w:shd w:val="clear" w:color="auto" w:fill="CCEEFF"/>
          </w:tcPr>
          <w:p>
            <w:pPr>
              <w:spacing w:after="0"/>
              <w:rPr>
                <w:sz w:val="17"/>
                <w:szCs w:val="17"/>
                <w:color w:val="auto"/>
              </w:rPr>
            </w:pPr>
          </w:p>
        </w:tc>
        <w:tc>
          <w:tcPr>
            <w:tcW w:w="56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100 %</w:t>
            </w:r>
          </w:p>
        </w:tc>
      </w:tr>
      <w:tr>
        <w:trPr>
          <w:trHeight w:val="20"/>
        </w:trPr>
        <w:tc>
          <w:tcPr>
            <w:tcW w:w="56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r>
    </w:tbl>
    <w:p>
      <w:pPr>
        <w:spacing w:after="0" w:line="96"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right="20" w:hanging="328"/>
        <w:spacing w:after="0" w:line="241" w:lineRule="auto"/>
        <w:tabs>
          <w:tab w:leader="none" w:pos="660" w:val="left"/>
        </w:tabs>
        <w:numPr>
          <w:ilvl w:val="0"/>
          <w:numId w:val="33"/>
        </w:numPr>
        <w:rPr>
          <w:rFonts w:ascii="Arial" w:cs="Arial" w:eastAsia="Arial" w:hAnsi="Arial"/>
          <w:sz w:val="14"/>
          <w:szCs w:val="14"/>
          <w:color w:val="auto"/>
        </w:rPr>
      </w:pPr>
      <w:r>
        <w:rPr>
          <w:rFonts w:ascii="Arial" w:cs="Arial" w:eastAsia="Arial" w:hAnsi="Arial"/>
          <w:sz w:val="14"/>
          <w:szCs w:val="14"/>
          <w:color w:val="auto"/>
        </w:rPr>
        <w:t>As of June 30, 2022 and December 31, 2021, 41% and 42%, respectively, of our repurchase agreements were funded through the Fixed Income Clearing Corporation's GCF Repo service.</w:t>
      </w:r>
    </w:p>
    <w:p>
      <w:pPr>
        <w:ind w:left="660" w:hanging="328"/>
        <w:spacing w:after="0"/>
        <w:tabs>
          <w:tab w:leader="none" w:pos="660" w:val="left"/>
        </w:tabs>
        <w:numPr>
          <w:ilvl w:val="0"/>
          <w:numId w:val="33"/>
        </w:numPr>
        <w:rPr>
          <w:rFonts w:ascii="Arial" w:cs="Arial" w:eastAsia="Arial" w:hAnsi="Arial"/>
          <w:sz w:val="14"/>
          <w:szCs w:val="14"/>
          <w:color w:val="auto"/>
        </w:rPr>
      </w:pPr>
      <w:r>
        <w:rPr>
          <w:rFonts w:ascii="Arial" w:cs="Arial" w:eastAsia="Arial" w:hAnsi="Arial"/>
          <w:sz w:val="14"/>
          <w:szCs w:val="14"/>
          <w:color w:val="auto"/>
        </w:rPr>
        <w:t>Amounts exclude U.S. Treasury repurchase agreements.</w:t>
      </w:r>
    </w:p>
    <w:p>
      <w:pPr>
        <w:spacing w:after="0" w:line="155" w:lineRule="exact"/>
        <w:rPr>
          <w:sz w:val="20"/>
          <w:szCs w:val="20"/>
          <w:color w:val="auto"/>
        </w:rPr>
      </w:pPr>
    </w:p>
    <w:p>
      <w:pPr>
        <w:jc w:val="both"/>
        <w:ind w:firstLine="445"/>
        <w:spacing w:after="0" w:line="255" w:lineRule="auto"/>
        <w:rPr>
          <w:sz w:val="20"/>
          <w:szCs w:val="20"/>
          <w:color w:val="auto"/>
        </w:rPr>
      </w:pPr>
      <w:r>
        <w:rPr>
          <w:rFonts w:ascii="Arial" w:cs="Arial" w:eastAsia="Arial" w:hAnsi="Arial"/>
          <w:sz w:val="18"/>
          <w:szCs w:val="18"/>
          <w:color w:val="auto"/>
        </w:rPr>
        <w:t>Our primary financing sources are collateralized borrowings structured as repurchase agreements. We enter into repurchase agreements, or "repo," through bi-lateral arrangements with financial institutions and independent dealers. We also enter into third-party repurchase agreements through our wholly-owned registered broker-dealer subsidiary, Bethesda Securities, LLC, such as tri-party repo offered through the FICC's GCF Repo service. We manage our repurchase agreement funding position through a variety of methods, including diversification of counterparties, maintaining a staggered maturity profile and utilization of interest rate hedging strategies. We also use TBA dollar roll transactions as a means of synthetically financing Agency RMBS.</w:t>
      </w:r>
    </w:p>
    <w:p>
      <w:pPr>
        <w:spacing w:after="0" w:line="138" w:lineRule="exact"/>
        <w:rPr>
          <w:sz w:val="20"/>
          <w:szCs w:val="20"/>
          <w:color w:val="auto"/>
        </w:rPr>
      </w:pPr>
    </w:p>
    <w:p>
      <w:pPr>
        <w:jc w:val="both"/>
        <w:ind w:firstLine="445"/>
        <w:spacing w:after="0" w:line="273" w:lineRule="auto"/>
        <w:rPr>
          <w:sz w:val="20"/>
          <w:szCs w:val="20"/>
          <w:color w:val="auto"/>
        </w:rPr>
      </w:pPr>
      <w:r>
        <w:rPr>
          <w:rFonts w:ascii="Arial" w:cs="Arial" w:eastAsia="Arial" w:hAnsi="Arial"/>
          <w:sz w:val="17"/>
          <w:szCs w:val="17"/>
          <w:color w:val="auto"/>
        </w:rPr>
        <w:t>The terms and conditions of our repurchase agreements are determined on a transaction-by-transaction basis when each such borrowing is initiated or renewed and, in the case of GCF Repo, by the variable margin requirements calculated by the FICC, which acts as the central counterparty. The amount borrowed is generally equal to the fair value of the securities pledged, as determined by the lending counterparty, less an agreed-upon discount, referred to as a "haircut," which reflects the underlying risk of the specific collateral and protects the counterparty against a change in its value. Interest rates are generally fixed based on prevailing rates corresponding to the term of the borrowing. None of our repo counterparties are obligated to renew or otherwise enter into new borrowings at the conclusion of our existing borrowings.</w:t>
      </w:r>
    </w:p>
    <w:p>
      <w:pPr>
        <w:spacing w:after="0" w:line="124" w:lineRule="exact"/>
        <w:rPr>
          <w:sz w:val="20"/>
          <w:szCs w:val="20"/>
          <w:color w:val="auto"/>
        </w:rPr>
      </w:pPr>
    </w:p>
    <w:p>
      <w:pPr>
        <w:jc w:val="both"/>
        <w:ind w:firstLine="445"/>
        <w:spacing w:after="0" w:line="275" w:lineRule="auto"/>
        <w:rPr>
          <w:sz w:val="20"/>
          <w:szCs w:val="20"/>
          <w:color w:val="auto"/>
        </w:rPr>
      </w:pPr>
      <w:r>
        <w:rPr>
          <w:rFonts w:ascii="Arial" w:cs="Arial" w:eastAsia="Arial" w:hAnsi="Arial"/>
          <w:sz w:val="17"/>
          <w:szCs w:val="17"/>
          <w:color w:val="auto"/>
        </w:rPr>
        <w:t>The use of TBA dollar roll transactions increases our funding diversification, expands our available pool of assets, and increases our overall liquidity position, as TBA contracts typically have lower implied haircuts relative to Agency RMBS pools funded with repo financing. TBA dollar roll transactions may also have a lower implied cost of funds than comparable repo funded transactions (referred to as "dollar roll specialness") offering incremental return potential. However, if it were to become uneconomical to roll our TBA contracts into future months it may be necessary to take physical delivery of the underlying securities and fund those assets with cash or other financing sources, which could reduce our liquidity position.</w:t>
      </w:r>
    </w:p>
    <w:p>
      <w:pPr>
        <w:spacing w:after="0" w:line="200" w:lineRule="exact"/>
        <w:rPr>
          <w:sz w:val="20"/>
          <w:szCs w:val="20"/>
          <w:color w:val="auto"/>
        </w:rPr>
      </w:pPr>
    </w:p>
    <w:p>
      <w:pPr>
        <w:spacing w:after="0" w:line="3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3" w:right="339" w:bottom="1440" w:gutter="0" w:footer="0" w:header="0"/>
        </w:sectPr>
      </w:pPr>
    </w:p>
    <w:bookmarkStart w:id="41" w:name="page42"/>
    <w:bookmarkEnd w:id="41"/>
    <w:p>
      <w:pPr>
        <w:spacing w:after="0"/>
        <w:rPr>
          <w:sz w:val="20"/>
          <w:szCs w:val="20"/>
          <w:color w:val="auto"/>
        </w:rPr>
      </w:pPr>
      <w:r>
        <w:rPr>
          <w:rFonts w:ascii="Arial" w:cs="Arial" w:eastAsia="Arial" w:hAnsi="Arial"/>
          <w:sz w:val="18"/>
          <w:szCs w:val="18"/>
          <w:b w:val="1"/>
          <w:bCs w:val="1"/>
          <w:i w:val="1"/>
          <w:iCs w:val="1"/>
          <w:color w:val="auto"/>
        </w:rPr>
        <w:t>Collateral Requirements and Unencumbered Assets</w:t>
      </w:r>
    </w:p>
    <w:p>
      <w:pPr>
        <w:spacing w:after="0" w:line="171" w:lineRule="exact"/>
        <w:rPr>
          <w:sz w:val="20"/>
          <w:szCs w:val="20"/>
          <w:color w:val="auto"/>
        </w:rPr>
      </w:pPr>
    </w:p>
    <w:p>
      <w:pPr>
        <w:jc w:val="both"/>
        <w:ind w:firstLine="445"/>
        <w:spacing w:after="0" w:line="275" w:lineRule="auto"/>
        <w:rPr>
          <w:sz w:val="20"/>
          <w:szCs w:val="20"/>
          <w:color w:val="auto"/>
        </w:rPr>
      </w:pPr>
      <w:r>
        <w:rPr>
          <w:rFonts w:ascii="Arial" w:cs="Arial" w:eastAsia="Arial" w:hAnsi="Arial"/>
          <w:sz w:val="17"/>
          <w:szCs w:val="17"/>
          <w:color w:val="auto"/>
        </w:rPr>
        <w:t>Amounts available to be borrowed under our repurchase agreements are dependent upon prevailing interest rates, the lender’s "haircut" requirements and collateral value. Each of these elements may fluctuate with changes in interest rates, credit quality and liquidity conditions within the financial markets. To help manage the adverse impact of interest rate changes on our borrowings, we utilize an interest rate risk management strategy involving the use of derivative financial instruments. In particular, we attempt to mitigate the risk of the cost of our short-term funding liabilities increasing at a faster rate than the earnings of our long-term fixed rate assets during a period of rising interest rates.</w:t>
      </w:r>
    </w:p>
    <w:p>
      <w:pPr>
        <w:spacing w:after="0" w:line="122" w:lineRule="exact"/>
        <w:rPr>
          <w:sz w:val="20"/>
          <w:szCs w:val="20"/>
          <w:color w:val="auto"/>
        </w:rPr>
      </w:pPr>
    </w:p>
    <w:p>
      <w:pPr>
        <w:jc w:val="both"/>
        <w:ind w:firstLine="445"/>
        <w:spacing w:after="0" w:line="254" w:lineRule="auto"/>
        <w:rPr>
          <w:sz w:val="20"/>
          <w:szCs w:val="20"/>
          <w:color w:val="auto"/>
        </w:rPr>
      </w:pPr>
      <w:r>
        <w:rPr>
          <w:rFonts w:ascii="Arial" w:cs="Arial" w:eastAsia="Arial" w:hAnsi="Arial"/>
          <w:sz w:val="18"/>
          <w:szCs w:val="18"/>
          <w:color w:val="auto"/>
        </w:rPr>
        <w:t>The collateral requirements, or haircut levels, under our repo agreements are typically determined on an individual transaction basis or by the prevailing requirements established by the FICC for GCF tri-party repo. Consequently, haircut levels and minimum margin requirements can change over time and may increase during periods of elevated market volatility. If the fair value of our collateral declines, our counterparties will typically require that we post additional collateral to re-establish the agreed-upon collateral levels, referred to as "margin calls." Similarly, if the estimated fair value of our investment securities increases, we may request that counterparties release collateral back to us. Our counterparties typically have the sole discretion to determine the value of pledged collateral but are required to act in good faith in making determinations of value. Our agreements generally provide that in the event of a margin call, collateral must be posted on the same business day, subject to notice requirements. As of June 30, 2022, we had met all our margin requirements.</w:t>
      </w:r>
    </w:p>
    <w:p>
      <w:pPr>
        <w:spacing w:after="0" w:line="138" w:lineRule="exact"/>
        <w:rPr>
          <w:sz w:val="20"/>
          <w:szCs w:val="20"/>
          <w:color w:val="auto"/>
        </w:rPr>
      </w:pPr>
    </w:p>
    <w:p>
      <w:pPr>
        <w:jc w:val="both"/>
        <w:ind w:firstLine="445"/>
        <w:spacing w:after="0" w:line="269" w:lineRule="auto"/>
        <w:rPr>
          <w:sz w:val="20"/>
          <w:szCs w:val="20"/>
          <w:color w:val="auto"/>
        </w:rPr>
      </w:pPr>
      <w:r>
        <w:rPr>
          <w:rFonts w:ascii="Arial" w:cs="Arial" w:eastAsia="Arial" w:hAnsi="Arial"/>
          <w:sz w:val="17"/>
          <w:szCs w:val="17"/>
          <w:color w:val="auto"/>
        </w:rPr>
        <w:t>The value of Agency RMBS collateral is impacted by market factors and is reduced by monthly principal pay-downs on the underlying mortgage pools. Fannie Mae and Freddie Mac publish monthly security pay-down factors for their mortgage pools on the fifth day after month-end, but do not remit payment to security holders until generally the 25th day after month-end. Bi-lateral repo counterparties assess margin to account for the reduction in value of Agency collateral when factors are released. The FICC assesses margin on the last day of each month, prior to the factor release date, based on its internally projected pay-down rates (referred to as the "blackout period exposure adjustment" or "blackout margin"). On the factor release date, the blackout margin is released and collateralization requirements are adjusted to actual factor data. Due to the timing difference between associated margin calls and our receipt of principal pay-downs, our liquidity is temporarily reduced each month for principal repayments. We attempt to manage the liquidity risk associated with principal pay-downs by monitoring conditions impacting prepayment rates and through asset selection. As of June 30, 2022, 28% our portfolio consisted of TBA securities, which are not subject to monthly principal pay-downs. The remainder of our portfolio, primarily consisted of Agency RMBS, which had an average one-year CPR forecast of 5%.</w:t>
      </w:r>
    </w:p>
    <w:p>
      <w:pPr>
        <w:spacing w:after="0" w:line="131" w:lineRule="exact"/>
        <w:rPr>
          <w:sz w:val="20"/>
          <w:szCs w:val="20"/>
          <w:color w:val="auto"/>
        </w:rPr>
      </w:pPr>
    </w:p>
    <w:p>
      <w:pPr>
        <w:jc w:val="both"/>
        <w:ind w:firstLine="445"/>
        <w:spacing w:after="0" w:line="270" w:lineRule="auto"/>
        <w:rPr>
          <w:sz w:val="20"/>
          <w:szCs w:val="20"/>
          <w:color w:val="auto"/>
        </w:rPr>
      </w:pPr>
      <w:r>
        <w:rPr>
          <w:rFonts w:ascii="Arial" w:cs="Arial" w:eastAsia="Arial" w:hAnsi="Arial"/>
          <w:sz w:val="17"/>
          <w:szCs w:val="17"/>
          <w:color w:val="auto"/>
        </w:rPr>
        <w:t>Collateral requirements under our derivative agreements are subject to our counterparties' assessment of their maximum risk of loss associated with the derivative instrument, referred to as the initial or minimum margin requirement, and may be adjusted based on changes in market volatility and other factors. We are also subject to daily variation margin requirements based on changes in the value of the derivative instrument and/or collateral pledged. Daily variation margin requirements also entitle us to receive collateral if the value of amounts owed to us under the derivative agreement exceeds the minimum margin requirement. The collateral requirements under our TBA contracts are governed by the Mortgage-Backed Securities Division ("MBSD") of the FICC and, if applicable, by third-party brokerage agreements, which may establish margin levels in excess of the MBSD. Collateral levels for interest rate derivative agreements are typically governed by the central clearing exchange and the associated futures commission merchants ("FCMs"), which may establish margin levels in excess of the clearing exchange. Collateral levels for interest rate derivative agreements not subject to central clearing are established by the counterparty financial institution.</w:t>
      </w:r>
    </w:p>
    <w:p>
      <w:pPr>
        <w:spacing w:after="0" w:line="127" w:lineRule="exact"/>
        <w:rPr>
          <w:sz w:val="20"/>
          <w:szCs w:val="20"/>
          <w:color w:val="auto"/>
        </w:rPr>
      </w:pPr>
    </w:p>
    <w:p>
      <w:pPr>
        <w:jc w:val="both"/>
        <w:ind w:firstLine="445"/>
        <w:spacing w:after="0" w:line="311" w:lineRule="auto"/>
        <w:rPr>
          <w:sz w:val="20"/>
          <w:szCs w:val="20"/>
          <w:color w:val="auto"/>
        </w:rPr>
      </w:pPr>
      <w:r>
        <w:rPr>
          <w:rFonts w:ascii="Arial" w:cs="Arial" w:eastAsia="Arial" w:hAnsi="Arial"/>
          <w:sz w:val="16"/>
          <w:szCs w:val="16"/>
          <w:color w:val="auto"/>
        </w:rPr>
        <w:t>Haircut levels and minimum margin requirements imposed by our counterparties reduce the amount of our unencumbered assets and limit the amount we can borrow against our investment securities. During the six months ended June 30, 2022, haircuts remained stable. As of June 30, 2022, the weighted average haircut on our repurchase agreements was approximately 4.0% of the value of our collateral, compared to 3.8% as of December 31, 2021.</w:t>
      </w:r>
    </w:p>
    <w:p>
      <w:pPr>
        <w:spacing w:after="0" w:line="95" w:lineRule="exact"/>
        <w:rPr>
          <w:sz w:val="20"/>
          <w:szCs w:val="20"/>
          <w:color w:val="auto"/>
        </w:rPr>
      </w:pPr>
    </w:p>
    <w:p>
      <w:pPr>
        <w:jc w:val="both"/>
        <w:ind w:firstLine="445"/>
        <w:spacing w:after="0" w:line="257" w:lineRule="auto"/>
        <w:rPr>
          <w:sz w:val="20"/>
          <w:szCs w:val="20"/>
          <w:color w:val="auto"/>
        </w:rPr>
      </w:pPr>
      <w:r>
        <w:rPr>
          <w:rFonts w:ascii="Arial" w:cs="Arial" w:eastAsia="Arial" w:hAnsi="Arial"/>
          <w:sz w:val="18"/>
          <w:szCs w:val="18"/>
          <w:color w:val="auto"/>
        </w:rPr>
        <w:t>To mitigate the risk of margins calls, we seek to maintain excess liquidity by holding unencumbered liquid assets that can be used to satisfy collateral requirements, collateralize additional borrowings or sold for cash. As of June 30, 2022, our unencumbered assets totaled $4.4 billion, or 58% of tangible equity, consisting of $3.9 billion of unencumbered cash and Agency RMBS and $0.5 billion of unencumbered credit assets. This compares to $6.5 billion of unencumbered assets, or 67% of tangible equity, as of December 31, 2021, consisting of $5.8 billion of unencumbered cash and Agency RMBS and $0.7 billion of unencumbered credit assets.</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Counterparty Risk</w:t>
      </w:r>
    </w:p>
    <w:p>
      <w:pPr>
        <w:spacing w:after="0" w:line="171" w:lineRule="exact"/>
        <w:rPr>
          <w:sz w:val="20"/>
          <w:szCs w:val="20"/>
          <w:color w:val="auto"/>
        </w:rPr>
      </w:pPr>
    </w:p>
    <w:p>
      <w:pPr>
        <w:jc w:val="both"/>
        <w:ind w:firstLine="445"/>
        <w:spacing w:after="0" w:line="277" w:lineRule="auto"/>
        <w:rPr>
          <w:sz w:val="20"/>
          <w:szCs w:val="20"/>
          <w:color w:val="auto"/>
        </w:rPr>
      </w:pPr>
      <w:r>
        <w:rPr>
          <w:rFonts w:ascii="Arial" w:cs="Arial" w:eastAsia="Arial" w:hAnsi="Arial"/>
          <w:sz w:val="18"/>
          <w:szCs w:val="18"/>
          <w:color w:val="auto"/>
        </w:rPr>
        <w:t>Collateral requirements imposed by counterparties subject us to the risk that the counterparty does not return pledged assets to us as and when required. We attempt to manage this risk by monitoring our collateral positions and limiting our</w:t>
      </w:r>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42" w:name="page43"/>
    <w:bookmarkEnd w:id="42"/>
    <w:p>
      <w:pPr>
        <w:jc w:val="both"/>
        <w:spacing w:after="0" w:line="277" w:lineRule="auto"/>
        <w:rPr>
          <w:sz w:val="20"/>
          <w:szCs w:val="20"/>
          <w:color w:val="auto"/>
        </w:rPr>
      </w:pPr>
      <w:r>
        <w:rPr>
          <w:rFonts w:ascii="Arial" w:cs="Arial" w:eastAsia="Arial" w:hAnsi="Arial"/>
          <w:sz w:val="18"/>
          <w:szCs w:val="18"/>
          <w:color w:val="auto"/>
        </w:rPr>
        <w:t>counterparties to registered clearinghouses and major financial institutions with acceptable credit ratings. We also diversify our funding across multiple counterparties and by region.</w:t>
      </w:r>
    </w:p>
    <w:p>
      <w:pPr>
        <w:spacing w:after="0" w:line="116" w:lineRule="exact"/>
        <w:rPr>
          <w:sz w:val="20"/>
          <w:szCs w:val="20"/>
          <w:color w:val="auto"/>
        </w:rPr>
      </w:pPr>
    </w:p>
    <w:p>
      <w:pPr>
        <w:jc w:val="both"/>
        <w:ind w:firstLine="445"/>
        <w:spacing w:after="0" w:line="296" w:lineRule="auto"/>
        <w:rPr>
          <w:sz w:val="20"/>
          <w:szCs w:val="20"/>
          <w:color w:val="auto"/>
        </w:rPr>
      </w:pPr>
      <w:r>
        <w:rPr>
          <w:rFonts w:ascii="Arial" w:cs="Arial" w:eastAsia="Arial" w:hAnsi="Arial"/>
          <w:sz w:val="16"/>
          <w:szCs w:val="16"/>
          <w:color w:val="auto"/>
        </w:rPr>
        <w:t>As of June 30, 2022, our maximum amount at risk (or the excess/shortfall of the value of collateral pledged/received over our repurchase agreement liabilities/reverse repurchase agreement receivables) with any of our repurchase agreement counterparties, excluding the FICC, was less than 3% of our tangible stockholders' equity, with our top five repo counterparties, excluding the FICC, representing approximately 6% of our tangible stockholders' equity. As of June 30, 2022, approximately 10% of our tangible stockholder's equity was at risk with the FICC. Excluding central clearing exchanges, as of June 30, 2022, our amount at risk with any counterparty to our derivative agreements was less than 1% of our stockholders' equity.</w:t>
      </w:r>
    </w:p>
    <w:p>
      <w:pPr>
        <w:spacing w:after="0" w:line="10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Asset Sales</w:t>
      </w:r>
    </w:p>
    <w:p>
      <w:pPr>
        <w:spacing w:after="0" w:line="171" w:lineRule="exact"/>
        <w:rPr>
          <w:sz w:val="20"/>
          <w:szCs w:val="20"/>
          <w:color w:val="auto"/>
        </w:rPr>
      </w:pPr>
    </w:p>
    <w:p>
      <w:pPr>
        <w:jc w:val="both"/>
        <w:ind w:firstLine="445"/>
        <w:spacing w:after="0" w:line="273" w:lineRule="auto"/>
        <w:rPr>
          <w:sz w:val="20"/>
          <w:szCs w:val="20"/>
          <w:color w:val="auto"/>
        </w:rPr>
      </w:pPr>
      <w:r>
        <w:rPr>
          <w:rFonts w:ascii="Arial" w:cs="Arial" w:eastAsia="Arial" w:hAnsi="Arial"/>
          <w:sz w:val="17"/>
          <w:szCs w:val="17"/>
          <w:color w:val="auto"/>
        </w:rPr>
        <w:t>Agency RMBS securities are among the most liquid fixed income securities, and the TBA market is the second most liquid market (after the U.S. Treasury market). The vitality of these markets enables us to sell assets under most market conditions to generate liquidity through direct sales or delivery into TBA contracts, subject to "good delivery" provisions promulgated by the Securities Industry and Financial Markets Association ("SIFMA"). Under certain market conditions, however, we may be unable to realize the full "pay-up" value of our specified pool securities, which is the incremental value in excess of equivalent coupon generic Agency RMBS. We attempt to manage this risk by maintaining at least a minimum level of securities that trade at or near TBA values that in our estimation enhances our portfolio liquidity across a wide range of market conditions.</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Capital Markets</w:t>
      </w:r>
    </w:p>
    <w:p>
      <w:pPr>
        <w:spacing w:after="0" w:line="171" w:lineRule="exact"/>
        <w:rPr>
          <w:sz w:val="20"/>
          <w:szCs w:val="20"/>
          <w:color w:val="auto"/>
        </w:rPr>
      </w:pPr>
    </w:p>
    <w:p>
      <w:pPr>
        <w:jc w:val="both"/>
        <w:ind w:firstLine="405"/>
        <w:spacing w:after="0" w:line="254" w:lineRule="auto"/>
        <w:rPr>
          <w:sz w:val="20"/>
          <w:szCs w:val="20"/>
          <w:color w:val="auto"/>
        </w:rPr>
      </w:pPr>
      <w:r>
        <w:rPr>
          <w:rFonts w:ascii="Arial" w:cs="Arial" w:eastAsia="Arial" w:hAnsi="Arial"/>
          <w:sz w:val="18"/>
          <w:szCs w:val="18"/>
          <w:color w:val="auto"/>
        </w:rPr>
        <w:t>The equity capital markets serve as a source of capital to grow our business and to meet potential liquidity needs of our business. The availability of equity capital is dependent on market conditions and investor demand for our common and preferred stock. We will typically not issue common stock when the price of our common stock trades below our tangible net book value or issue preferred equity when its cost exceeds acceptable hurdle rates of return on our equity. There can be no assurance that we will be able to raise additional equity capital at any particular time or on any particular terms. Furthermore, when the trading price of our common stock is less than our estimate of our current tangible net book value per common share, among other conditions, we may repurchase shares of our common stock. Please refer to Note 9 of our Consolidated Financial Statements in this Form 10-Q for further details regarding our recent equity capital transactions, if any.</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175" w:lineRule="exact"/>
        <w:rPr>
          <w:sz w:val="20"/>
          <w:szCs w:val="20"/>
          <w:color w:val="auto"/>
        </w:rPr>
      </w:pPr>
    </w:p>
    <w:p>
      <w:pPr>
        <w:jc w:val="both"/>
        <w:ind w:firstLine="445"/>
        <w:spacing w:after="0" w:line="259" w:lineRule="auto"/>
        <w:rPr>
          <w:sz w:val="20"/>
          <w:szCs w:val="20"/>
          <w:color w:val="auto"/>
        </w:rPr>
      </w:pPr>
      <w:r>
        <w:rPr>
          <w:rFonts w:ascii="Arial" w:cs="Arial" w:eastAsia="Arial" w:hAnsi="Arial"/>
          <w:sz w:val="18"/>
          <w:szCs w:val="18"/>
          <w:color w:val="auto"/>
        </w:rPr>
        <w:t>As of June 30, 2022, we did not maintain relationships with unconsolidated entities or financial partnerships, such as entities often referred to as structured finance, or special purpose or variable interest entities, established to facilitate off-balance sheet arrangements or other contractually narrow or limited purposes. Additionally, as of June 30, 2022, we had not guaranteed obligations of unconsolidated entities or entered into a commitment or intent to provide funding to such entities.</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75"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The statements contained in this Quarterly Report that are not historical facts, including estimates, projections, beliefs, expectations concerning conditions, events, or the outlook for our business, strategy, performance, operations or the markets or industries in which we operate, are forward-looking statements within the meaning of the Private Securities Litigation Reform Act. Forward-looking statements are typically identified by words such as “believe,” “plan,” “expect,” “anticipate,” “see,” “intend,” “outlook,” “potential,” “forecast,” “estimate,” “will,” “could,” “should,” “likely” and other similar, correlative or comparable words and expressions.</w:t>
      </w:r>
    </w:p>
    <w:p>
      <w:pPr>
        <w:spacing w:after="0" w:line="134" w:lineRule="exact"/>
        <w:rPr>
          <w:sz w:val="20"/>
          <w:szCs w:val="20"/>
          <w:color w:val="auto"/>
        </w:rPr>
      </w:pPr>
    </w:p>
    <w:p>
      <w:pPr>
        <w:jc w:val="both"/>
        <w:ind w:firstLine="405"/>
        <w:spacing w:after="0" w:line="311" w:lineRule="auto"/>
        <w:rPr>
          <w:sz w:val="20"/>
          <w:szCs w:val="20"/>
          <w:color w:val="auto"/>
        </w:rPr>
      </w:pPr>
      <w:r>
        <w:rPr>
          <w:rFonts w:ascii="Arial" w:cs="Arial" w:eastAsia="Arial" w:hAnsi="Arial"/>
          <w:sz w:val="16"/>
          <w:szCs w:val="16"/>
          <w:color w:val="auto"/>
        </w:rPr>
        <w:t>Forward looking statements are based on management’s assumptions, projections and beliefs as of the date of this Quarterly Report, but they involve a number of risks and uncertainties. Actual results may differ materially from those anticipated in forward-looking statements, as well as from historical performance. Factors that could cause actual results to vary from our forward-looking statements include, but are not limited to, the following:</w:t>
      </w:r>
    </w:p>
    <w:p>
      <w:pPr>
        <w:spacing w:after="0" w:line="41" w:lineRule="exact"/>
        <w:rPr>
          <w:sz w:val="20"/>
          <w:szCs w:val="20"/>
          <w:color w:val="auto"/>
        </w:rPr>
      </w:pPr>
    </w:p>
    <w:p>
      <w:pPr>
        <w:ind w:left="660" w:hanging="247"/>
        <w:spacing w:after="0" w:line="277" w:lineRule="auto"/>
        <w:tabs>
          <w:tab w:leader="none" w:pos="655" w:val="left"/>
        </w:tabs>
        <w:numPr>
          <w:ilvl w:val="0"/>
          <w:numId w:val="34"/>
        </w:numPr>
        <w:rPr>
          <w:rFonts w:ascii="Arial" w:cs="Arial" w:eastAsia="Arial" w:hAnsi="Arial"/>
          <w:sz w:val="18"/>
          <w:szCs w:val="18"/>
          <w:color w:val="auto"/>
        </w:rPr>
      </w:pPr>
      <w:r>
        <w:rPr>
          <w:rFonts w:ascii="Arial" w:cs="Arial" w:eastAsia="Arial" w:hAnsi="Arial"/>
          <w:sz w:val="18"/>
          <w:szCs w:val="18"/>
          <w:color w:val="auto"/>
        </w:rPr>
        <w:t>changes in U.S. monetary policy or interest rates, including actions taken by the Federal Reserve to normalize monetary policy, to terminate its purchases of Agency RMBS and to reduce the size of its U.S. Treasury and Agency RMBS bond portfolio;</w:t>
      </w:r>
    </w:p>
    <w:p>
      <w:pPr>
        <w:spacing w:after="0" w:line="8" w:lineRule="exact"/>
        <w:rPr>
          <w:rFonts w:ascii="Arial" w:cs="Arial" w:eastAsia="Arial" w:hAnsi="Arial"/>
          <w:sz w:val="18"/>
          <w:szCs w:val="18"/>
          <w:color w:val="auto"/>
        </w:rPr>
      </w:pPr>
    </w:p>
    <w:p>
      <w:pPr>
        <w:ind w:left="660" w:hanging="247"/>
        <w:spacing w:after="0"/>
        <w:tabs>
          <w:tab w:leader="none" w:pos="6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fluctuations in the yield curve;</w:t>
      </w:r>
    </w:p>
    <w:p>
      <w:pPr>
        <w:spacing w:after="0" w:line="63" w:lineRule="exact"/>
        <w:rPr>
          <w:rFonts w:ascii="Arial" w:cs="Arial" w:eastAsia="Arial" w:hAnsi="Arial"/>
          <w:sz w:val="18"/>
          <w:szCs w:val="18"/>
          <w:color w:val="auto"/>
        </w:rPr>
      </w:pPr>
    </w:p>
    <w:p>
      <w:pPr>
        <w:ind w:left="660" w:hanging="247"/>
        <w:spacing w:after="0"/>
        <w:tabs>
          <w:tab w:leader="none" w:pos="6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fluctuations in mortgage prepayment rates on the loans underlying our Agency RMBS;</w:t>
      </w:r>
    </w:p>
    <w:p>
      <w:pPr>
        <w:spacing w:after="0" w:line="63" w:lineRule="exact"/>
        <w:rPr>
          <w:rFonts w:ascii="Arial" w:cs="Arial" w:eastAsia="Arial" w:hAnsi="Arial"/>
          <w:sz w:val="18"/>
          <w:szCs w:val="18"/>
          <w:color w:val="auto"/>
        </w:rPr>
      </w:pPr>
    </w:p>
    <w:p>
      <w:pPr>
        <w:ind w:left="660" w:hanging="247"/>
        <w:spacing w:after="0"/>
        <w:tabs>
          <w:tab w:leader="none" w:pos="6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availability and terms of financing;</w:t>
      </w:r>
    </w:p>
    <w:p>
      <w:pPr>
        <w:spacing w:after="0" w:line="63" w:lineRule="exact"/>
        <w:rPr>
          <w:rFonts w:ascii="Arial" w:cs="Arial" w:eastAsia="Arial" w:hAnsi="Arial"/>
          <w:sz w:val="18"/>
          <w:szCs w:val="18"/>
          <w:color w:val="auto"/>
        </w:rPr>
      </w:pPr>
    </w:p>
    <w:p>
      <w:pPr>
        <w:ind w:left="660" w:hanging="247"/>
        <w:spacing w:after="0"/>
        <w:tabs>
          <w:tab w:leader="none" w:pos="6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changes in the market value of our assets, including from changes in net interest spreads, and changes in market liquidity or depth;</w:t>
      </w:r>
    </w:p>
    <w:p>
      <w:pPr>
        <w:spacing w:after="0" w:line="200" w:lineRule="exact"/>
        <w:rPr>
          <w:sz w:val="20"/>
          <w:szCs w:val="20"/>
          <w:color w:val="auto"/>
        </w:rPr>
      </w:pP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43" w:name="page44"/>
    <w:bookmarkEnd w:id="43"/>
    <w:p>
      <w:pPr>
        <w:ind w:left="660" w:hanging="247"/>
        <w:spacing w:after="0"/>
        <w:tabs>
          <w:tab w:leader="none" w:pos="6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the effectiveness of our risk mitigation strategies;</w:t>
      </w:r>
    </w:p>
    <w:p>
      <w:pPr>
        <w:spacing w:after="0" w:line="63" w:lineRule="exact"/>
        <w:rPr>
          <w:rFonts w:ascii="Arial" w:cs="Arial" w:eastAsia="Arial" w:hAnsi="Arial"/>
          <w:sz w:val="18"/>
          <w:szCs w:val="18"/>
          <w:color w:val="auto"/>
        </w:rPr>
      </w:pPr>
    </w:p>
    <w:p>
      <w:pPr>
        <w:ind w:left="660" w:hanging="247"/>
        <w:spacing w:after="0"/>
        <w:tabs>
          <w:tab w:leader="none" w:pos="6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conditions in the market for Agency RMBS and other mortgage securities;</w:t>
      </w:r>
    </w:p>
    <w:p>
      <w:pPr>
        <w:spacing w:after="0" w:line="63" w:lineRule="exact"/>
        <w:rPr>
          <w:rFonts w:ascii="Arial" w:cs="Arial" w:eastAsia="Arial" w:hAnsi="Arial"/>
          <w:sz w:val="18"/>
          <w:szCs w:val="18"/>
          <w:color w:val="auto"/>
        </w:rPr>
      </w:pPr>
    </w:p>
    <w:p>
      <w:pPr>
        <w:ind w:left="660" w:hanging="247"/>
        <w:spacing w:after="0" w:line="277" w:lineRule="auto"/>
        <w:tabs>
          <w:tab w:leader="none" w:pos="655"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the impact of the COVID-19 pandemic and of measures taken in response to the COVID-19 pandemic by various governmental authorities, businesses and other third parties;</w:t>
      </w:r>
    </w:p>
    <w:p>
      <w:pPr>
        <w:spacing w:after="0" w:line="8" w:lineRule="exact"/>
        <w:rPr>
          <w:rFonts w:ascii="Arial" w:cs="Arial" w:eastAsia="Arial" w:hAnsi="Arial"/>
          <w:sz w:val="18"/>
          <w:szCs w:val="18"/>
          <w:color w:val="auto"/>
        </w:rPr>
      </w:pPr>
    </w:p>
    <w:p>
      <w:pPr>
        <w:ind w:left="660" w:hanging="247"/>
        <w:spacing w:after="0"/>
        <w:tabs>
          <w:tab w:leader="none" w:pos="6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actions by the federal, state, or local governments to stabilize the economy, the housing sector or financial markets;</w:t>
      </w:r>
    </w:p>
    <w:p>
      <w:pPr>
        <w:spacing w:after="0" w:line="63" w:lineRule="exact"/>
        <w:rPr>
          <w:rFonts w:ascii="Arial" w:cs="Arial" w:eastAsia="Arial" w:hAnsi="Arial"/>
          <w:sz w:val="18"/>
          <w:szCs w:val="18"/>
          <w:color w:val="auto"/>
        </w:rPr>
      </w:pPr>
    </w:p>
    <w:p>
      <w:pPr>
        <w:ind w:left="660" w:hanging="247"/>
        <w:spacing w:after="0"/>
        <w:tabs>
          <w:tab w:leader="none" w:pos="6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changes to laws, regulations, rules or policies that affect U.S. housing finance activity, the GSE's or the markets for Agency RMBS</w:t>
      </w:r>
    </w:p>
    <w:p>
      <w:pPr>
        <w:spacing w:after="0" w:line="63" w:lineRule="exact"/>
        <w:rPr>
          <w:rFonts w:ascii="Arial" w:cs="Arial" w:eastAsia="Arial" w:hAnsi="Arial"/>
          <w:sz w:val="18"/>
          <w:szCs w:val="18"/>
          <w:color w:val="auto"/>
        </w:rPr>
      </w:pPr>
    </w:p>
    <w:p>
      <w:pPr>
        <w:ind w:left="660" w:hanging="247"/>
        <w:spacing w:after="0" w:line="277" w:lineRule="auto"/>
        <w:tabs>
          <w:tab w:leader="none" w:pos="655" w:val="left"/>
        </w:tabs>
        <w:numPr>
          <w:ilvl w:val="0"/>
          <w:numId w:val="35"/>
        </w:numPr>
        <w:rPr>
          <w:rFonts w:ascii="Arial" w:cs="Arial" w:eastAsia="Arial" w:hAnsi="Arial"/>
          <w:sz w:val="18"/>
          <w:szCs w:val="18"/>
          <w:color w:val="auto"/>
        </w:rPr>
      </w:pPr>
      <w:r>
        <w:rPr>
          <w:rFonts w:ascii="Arial" w:cs="Arial" w:eastAsia="Arial" w:hAnsi="Arial"/>
          <w:sz w:val="18"/>
          <w:szCs w:val="18"/>
          <w:color w:val="auto"/>
        </w:rPr>
        <w:t>legislative or regulatory changes that affect our status as a REIT, our exemption from the Investment Company Act of 1940 or the mortgage markets in which we participate; and</w:t>
      </w:r>
    </w:p>
    <w:p>
      <w:pPr>
        <w:spacing w:after="0" w:line="8" w:lineRule="exact"/>
        <w:rPr>
          <w:rFonts w:ascii="Arial" w:cs="Arial" w:eastAsia="Arial" w:hAnsi="Arial"/>
          <w:sz w:val="18"/>
          <w:szCs w:val="18"/>
          <w:color w:val="auto"/>
        </w:rPr>
      </w:pPr>
    </w:p>
    <w:p>
      <w:pPr>
        <w:ind w:left="660" w:hanging="247"/>
        <w:spacing w:after="0"/>
        <w:tabs>
          <w:tab w:leader="none" w:pos="6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other risks discussed under the heading “Risk Factors” herein and in our Annual Report on Form 10-K.</w:t>
      </w:r>
    </w:p>
    <w:p>
      <w:pPr>
        <w:spacing w:after="0" w:line="171"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 xml:space="preserve">Forward-looking statements speak only as of the date made, and we do not assume any duty and do not undertake to update forward-looking statements. A further discussion of risks and uncertainties that could cause actual results to differ from any of our forward-looking statements is included in our most recent Annual Report on Form 10-K and this document under Item 1A. </w:t>
      </w:r>
      <w:r>
        <w:rPr>
          <w:rFonts w:ascii="Arial" w:cs="Arial" w:eastAsia="Arial" w:hAnsi="Arial"/>
          <w:sz w:val="18"/>
          <w:szCs w:val="18"/>
          <w:i w:val="1"/>
          <w:iCs w:val="1"/>
          <w:color w:val="auto"/>
        </w:rPr>
        <w:t>Risk Factors</w:t>
      </w:r>
      <w:r>
        <w:rPr>
          <w:rFonts w:ascii="Arial" w:cs="Arial" w:eastAsia="Arial" w:hAnsi="Arial"/>
          <w:sz w:val="18"/>
          <w:szCs w:val="18"/>
          <w:color w:val="auto"/>
        </w:rPr>
        <w:t>. We caution readers not to place undue reliance on our forward-looking statements.</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3. </w:t>
      </w:r>
      <w:r>
        <w:rPr>
          <w:rFonts w:ascii="Arial" w:cs="Arial" w:eastAsia="Arial" w:hAnsi="Arial"/>
          <w:sz w:val="18"/>
          <w:szCs w:val="18"/>
          <w:b w:val="1"/>
          <w:bCs w:val="1"/>
          <w:i w:val="1"/>
          <w:iCs w:val="1"/>
          <w:color w:val="auto"/>
        </w:rPr>
        <w:t>Quantitative and Qualitative Disclosures about Market Risk</w:t>
      </w:r>
    </w:p>
    <w:p>
      <w:pPr>
        <w:spacing w:after="0" w:line="175" w:lineRule="exact"/>
        <w:rPr>
          <w:sz w:val="20"/>
          <w:szCs w:val="20"/>
          <w:color w:val="auto"/>
        </w:rPr>
      </w:pPr>
    </w:p>
    <w:p>
      <w:pPr>
        <w:jc w:val="both"/>
        <w:ind w:firstLine="445"/>
        <w:spacing w:after="0" w:line="308" w:lineRule="auto"/>
        <w:rPr>
          <w:sz w:val="20"/>
          <w:szCs w:val="20"/>
          <w:color w:val="auto"/>
        </w:rPr>
      </w:pPr>
      <w:r>
        <w:rPr>
          <w:rFonts w:ascii="Arial" w:cs="Arial" w:eastAsia="Arial" w:hAnsi="Arial"/>
          <w:sz w:val="17"/>
          <w:szCs w:val="17"/>
          <w:color w:val="auto"/>
        </w:rPr>
        <w:t>Market risk is the exposure to loss resulting from changes in market factors such as interest rates, foreign currency exchange rates, commodity prices and equity prices. The primary market risks that we are exposed to are interest rate, prepayment, spread, liquidity, extension and credit risks.</w:t>
      </w:r>
    </w:p>
    <w:p>
      <w:pPr>
        <w:spacing w:after="0" w:line="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171" w:lineRule="exact"/>
        <w:rPr>
          <w:sz w:val="20"/>
          <w:szCs w:val="20"/>
          <w:color w:val="auto"/>
        </w:rPr>
      </w:pPr>
    </w:p>
    <w:p>
      <w:pPr>
        <w:jc w:val="both"/>
        <w:ind w:firstLine="445"/>
        <w:spacing w:after="0" w:line="255" w:lineRule="auto"/>
        <w:rPr>
          <w:sz w:val="20"/>
          <w:szCs w:val="20"/>
          <w:color w:val="auto"/>
        </w:rPr>
      </w:pPr>
      <w:r>
        <w:rPr>
          <w:rFonts w:ascii="Arial" w:cs="Arial" w:eastAsia="Arial" w:hAnsi="Arial"/>
          <w:sz w:val="18"/>
          <w:szCs w:val="18"/>
          <w:color w:val="auto"/>
        </w:rPr>
        <w:t>We are subject to interest rate risk in connection with the fixed income nature of our assets and the short-term, variable rate nature of our financing obligations. Our operating results depend in large part on differences between the income earned on our assets and our cost of borrowing and hedging activities. The costs associated with our borrowings are generally based on prevailing market interest rates. During a period of rising interest rates, our borrowing costs generally will increase while the yields earned on our existing portfolio of leveraged fixed-rate assets will largely remain static. This can result in a decline in our net interest spread. Changes in the level of interest rates can also affect the rate of mortgage prepayments and the value of our assets.</w:t>
      </w:r>
    </w:p>
    <w:p>
      <w:pPr>
        <w:spacing w:after="0" w:line="138" w:lineRule="exact"/>
        <w:rPr>
          <w:sz w:val="20"/>
          <w:szCs w:val="20"/>
          <w:color w:val="auto"/>
        </w:rPr>
      </w:pPr>
    </w:p>
    <w:p>
      <w:pPr>
        <w:jc w:val="both"/>
        <w:ind w:firstLine="445"/>
        <w:spacing w:after="0" w:line="272" w:lineRule="auto"/>
        <w:rPr>
          <w:sz w:val="20"/>
          <w:szCs w:val="20"/>
          <w:color w:val="auto"/>
        </w:rPr>
      </w:pPr>
      <w:r>
        <w:rPr>
          <w:rFonts w:ascii="Arial" w:cs="Arial" w:eastAsia="Arial" w:hAnsi="Arial"/>
          <w:sz w:val="17"/>
          <w:szCs w:val="17"/>
          <w:color w:val="auto"/>
        </w:rPr>
        <w:t>Interest rates are highly sensitive to many factors, including fiscal and monetary policies and domestic and international economic and political considerations, as well as other factors beyond our control. Subject to maintaining our qualification as a REIT, we engage in a variety of interest rate management techniques to mitigate the influence of interest rate changes on our net interest income and fluctuations of our tangible net book value. The principal instruments that we use to hedge our interest rate risk are interest rate swaps, swaptions, U.S. Treasury securities and U.S. Treasury futures contracts. Our hedging techniques are highly complex and are partly based on assumed levels of prepayments of our assets. If prepayments are slower or faster than assumed, the maturity of our investments will also differ from our expectations, which could reduce the effectiveness of our hedging strategies and may cause losses on such transactions and adversely affect our cash flow.</w:t>
      </w:r>
    </w:p>
    <w:p>
      <w:pPr>
        <w:spacing w:after="0" w:line="123" w:lineRule="exact"/>
        <w:rPr>
          <w:sz w:val="20"/>
          <w:szCs w:val="20"/>
          <w:color w:val="auto"/>
        </w:rPr>
      </w:pPr>
    </w:p>
    <w:p>
      <w:pPr>
        <w:jc w:val="both"/>
        <w:ind w:firstLine="445"/>
        <w:spacing w:after="0" w:line="255" w:lineRule="auto"/>
        <w:rPr>
          <w:sz w:val="20"/>
          <w:szCs w:val="20"/>
          <w:color w:val="auto"/>
        </w:rPr>
      </w:pPr>
      <w:r>
        <w:rPr>
          <w:rFonts w:ascii="Arial" w:cs="Arial" w:eastAsia="Arial" w:hAnsi="Arial"/>
          <w:sz w:val="18"/>
          <w:szCs w:val="18"/>
          <w:color w:val="auto"/>
        </w:rPr>
        <w:t>The severity of potential declines in our tangible net book value due to fluctuations in interest rates would depend on our asset, liability, and hedge composition at the time, as well as the magnitude and duration of the interest rate change. Primary measures of an instrument's price sensitivity to interest rate fluctuations are its duration and convexity. Duration measures the estimated percentage change in market value of an instrument that would be caused by a parallel change in short and long-term interest rates. The duration of our assets will vary with changes in interest rates and tends to increase when interest rates rise and decrease when interest rates fall. This "negative convexity" generally increases the interest rate exposure of our investment portfolio in excess of what is measured by duration alone.</w:t>
      </w:r>
    </w:p>
    <w:p>
      <w:pPr>
        <w:spacing w:after="0" w:line="138" w:lineRule="exact"/>
        <w:rPr>
          <w:sz w:val="20"/>
          <w:szCs w:val="20"/>
          <w:color w:val="auto"/>
        </w:rPr>
      </w:pPr>
    </w:p>
    <w:p>
      <w:pPr>
        <w:jc w:val="both"/>
        <w:ind w:firstLine="445"/>
        <w:spacing w:after="0" w:line="263" w:lineRule="auto"/>
        <w:rPr>
          <w:sz w:val="20"/>
          <w:szCs w:val="20"/>
          <w:color w:val="auto"/>
        </w:rPr>
      </w:pPr>
      <w:r>
        <w:rPr>
          <w:rFonts w:ascii="Arial" w:cs="Arial" w:eastAsia="Arial" w:hAnsi="Arial"/>
          <w:sz w:val="18"/>
          <w:szCs w:val="18"/>
          <w:color w:val="auto"/>
        </w:rPr>
        <w:t>We estimate the duration and convexity of our assets using a third-party risk management system and market data. We review the estimates for reasonableness, giving consideration to any unique characteristics of our securities, market conditions and other factors likely to impact these estimates, and based on our judgement we may make adjustments to the third-party estimates.</w:t>
      </w:r>
    </w:p>
    <w:p>
      <w:pPr>
        <w:spacing w:after="0" w:line="130" w:lineRule="exact"/>
        <w:rPr>
          <w:sz w:val="20"/>
          <w:szCs w:val="20"/>
          <w:color w:val="auto"/>
        </w:rPr>
      </w:pPr>
    </w:p>
    <w:p>
      <w:pPr>
        <w:jc w:val="both"/>
        <w:ind w:firstLine="445"/>
        <w:spacing w:after="0" w:line="259" w:lineRule="auto"/>
        <w:rPr>
          <w:sz w:val="20"/>
          <w:szCs w:val="20"/>
          <w:color w:val="auto"/>
        </w:rPr>
      </w:pPr>
      <w:r>
        <w:rPr>
          <w:rFonts w:ascii="Arial" w:cs="Arial" w:eastAsia="Arial" w:hAnsi="Arial"/>
          <w:sz w:val="18"/>
          <w:szCs w:val="18"/>
          <w:color w:val="auto"/>
        </w:rPr>
        <w:t>The table below quantifies the estimated changes in the fair value of our investment portfolio (including derivatives and other securities used for hedging purposes) and in our tangible net book value per common share as of June 30, 2022 and December 31, 2021 should interest rates go up or down by 25, 50 and 75 basis points, assuming instantaneous parallel shifts in the yield curve and including the impact of both duration and convexity. All values in the table below are measured as</w:t>
      </w:r>
    </w:p>
    <w:p>
      <w:pPr>
        <w:spacing w:after="0" w:line="200" w:lineRule="exact"/>
        <w:rPr>
          <w:sz w:val="20"/>
          <w:szCs w:val="20"/>
          <w:color w:val="auto"/>
        </w:rPr>
      </w:pPr>
    </w:p>
    <w:p>
      <w:pPr>
        <w:spacing w:after="0" w:line="3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49" w:right="339" w:bottom="1440" w:gutter="0" w:footer="0" w:header="0"/>
        </w:sectPr>
      </w:pPr>
    </w:p>
    <w:bookmarkStart w:id="44" w:name="page45"/>
    <w:bookmarkEnd w:id="44"/>
    <w:p>
      <w:pPr>
        <w:jc w:val="both"/>
        <w:ind w:right="20"/>
        <w:spacing w:after="0" w:line="277" w:lineRule="auto"/>
        <w:rPr>
          <w:sz w:val="20"/>
          <w:szCs w:val="20"/>
          <w:color w:val="auto"/>
        </w:rPr>
      </w:pPr>
      <w:r>
        <w:rPr>
          <w:rFonts w:ascii="Arial" w:cs="Arial" w:eastAsia="Arial" w:hAnsi="Arial"/>
          <w:sz w:val="18"/>
          <w:szCs w:val="18"/>
          <w:color w:val="auto"/>
        </w:rPr>
        <w:t>percentage changes from the base interest rate scenario. The base interest rate scenario assumes interest rates and prepayment projections as of June 30, 2022 and December 31, 2021.</w:t>
      </w:r>
    </w:p>
    <w:p>
      <w:pPr>
        <w:spacing w:after="0" w:line="116" w:lineRule="exact"/>
        <w:rPr>
          <w:sz w:val="20"/>
          <w:szCs w:val="20"/>
          <w:color w:val="auto"/>
        </w:rPr>
      </w:pPr>
    </w:p>
    <w:p>
      <w:pPr>
        <w:jc w:val="both"/>
        <w:ind w:firstLine="445"/>
        <w:spacing w:after="0" w:line="259" w:lineRule="auto"/>
        <w:rPr>
          <w:sz w:val="20"/>
          <w:szCs w:val="20"/>
          <w:color w:val="auto"/>
        </w:rPr>
      </w:pPr>
      <w:r>
        <w:rPr>
          <w:rFonts w:ascii="Arial" w:cs="Arial" w:eastAsia="Arial" w:hAnsi="Arial"/>
          <w:sz w:val="18"/>
          <w:szCs w:val="18"/>
          <w:color w:val="auto"/>
        </w:rPr>
        <w:t>To the extent that these estimates or other assumptions do not hold true, which may be more likely during periods of elevated market volatility, actual results could differ materially from our projections. Moreover, if different models were employed in the analysis, materially different projections could result. Lastly, while the table below reflects the estimated impact of interest rate changes on a static portfolio, we actively manage our portfolio and we continuously adjust the size and composition of our asset and hedge portfolio.</w:t>
      </w:r>
    </w:p>
    <w:p>
      <w:pPr>
        <w:spacing w:after="0" w:line="88"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 xml:space="preserve">Interest Rate Sensitivity </w:t>
      </w:r>
      <w:r>
        <w:rPr>
          <w:rFonts w:ascii="Arial" w:cs="Arial" w:eastAsia="Arial" w:hAnsi="Arial"/>
          <w:sz w:val="18"/>
          <w:szCs w:val="18"/>
          <w:b w:val="1"/>
          <w:bCs w:val="1"/>
          <w:color w:val="auto"/>
          <w:vertAlign w:val="superscript"/>
        </w:rPr>
        <w:t>1,2</w:t>
      </w:r>
    </w:p>
    <w:tbl>
      <w:tblPr>
        <w:tblLayout w:type="fixed"/>
        <w:tblInd w:w="1240" w:type="dxa"/>
        <w:tblCellMar>
          <w:top w:w="0" w:type="dxa"/>
          <w:left w:w="0" w:type="dxa"/>
          <w:bottom w:w="0" w:type="dxa"/>
          <w:right w:w="0" w:type="dxa"/>
        </w:tblCellMar>
      </w:tblPr>
      <w:tr>
        <w:trPr>
          <w:trHeight w:val="183"/>
        </w:trPr>
        <w:tc>
          <w:tcPr>
            <w:tcW w:w="2940" w:type="dxa"/>
            <w:vAlign w:val="bottom"/>
            <w:tcBorders>
              <w:top w:val="single" w:sz="8" w:color="auto"/>
            </w:tcBorders>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2880" w:type="dxa"/>
            <w:vAlign w:val="bottom"/>
            <w:tcBorders>
              <w:top w:val="single" w:sz="8" w:color="auto"/>
            </w:tcBorders>
            <w:gridSpan w:val="4"/>
          </w:tcPr>
          <w:p>
            <w:pPr>
              <w:ind w:left="940"/>
              <w:spacing w:after="0"/>
              <w:rPr>
                <w:sz w:val="20"/>
                <w:szCs w:val="20"/>
                <w:color w:val="auto"/>
              </w:rPr>
            </w:pPr>
            <w:r>
              <w:rPr>
                <w:rFonts w:ascii="Arial" w:cs="Arial" w:eastAsia="Arial" w:hAnsi="Arial"/>
                <w:sz w:val="14"/>
                <w:szCs w:val="14"/>
                <w:b w:val="1"/>
                <w:bCs w:val="1"/>
                <w:color w:val="auto"/>
              </w:rPr>
              <w:t>June 30, 2022</w:t>
            </w:r>
          </w:p>
        </w:tc>
        <w:tc>
          <w:tcPr>
            <w:tcW w:w="2780" w:type="dxa"/>
            <w:vAlign w:val="bottom"/>
            <w:tcBorders>
              <w:top w:val="single" w:sz="8" w:color="auto"/>
            </w:tcBorders>
            <w:gridSpan w:val="3"/>
          </w:tcPr>
          <w:p>
            <w:pPr>
              <w:ind w:left="800"/>
              <w:spacing w:after="0"/>
              <w:rPr>
                <w:sz w:val="20"/>
                <w:szCs w:val="20"/>
                <w:color w:val="auto"/>
              </w:rPr>
            </w:pPr>
            <w:r>
              <w:rPr>
                <w:rFonts w:ascii="Arial" w:cs="Arial" w:eastAsia="Arial" w:hAnsi="Arial"/>
                <w:sz w:val="14"/>
                <w:szCs w:val="14"/>
                <w:b w:val="1"/>
                <w:bCs w:val="1"/>
                <w:color w:val="auto"/>
              </w:rPr>
              <w:t>December 31, 2021</w:t>
            </w:r>
          </w:p>
        </w:tc>
        <w:tc>
          <w:tcPr>
            <w:tcW w:w="0" w:type="dxa"/>
            <w:vAlign w:val="bottom"/>
          </w:tcPr>
          <w:p>
            <w:pPr>
              <w:spacing w:after="0"/>
              <w:rPr>
                <w:sz w:val="1"/>
                <w:szCs w:val="1"/>
                <w:color w:val="auto"/>
              </w:rPr>
            </w:pPr>
          </w:p>
        </w:tc>
      </w:tr>
      <w:tr>
        <w:trPr>
          <w:trHeight w:val="128"/>
        </w:trPr>
        <w:tc>
          <w:tcPr>
            <w:tcW w:w="29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0" w:type="dxa"/>
            <w:vAlign w:val="bottom"/>
            <w:tcBorders>
              <w:top w:val="single" w:sz="8" w:color="auto"/>
            </w:tcBorders>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1"/>
              </w:rPr>
              <w:t>Estimated Change</w:t>
            </w:r>
          </w:p>
        </w:tc>
        <w:tc>
          <w:tcPr>
            <w:tcW w:w="132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2"/>
              </w:rPr>
              <w:t>Estimated Change in</w:t>
            </w:r>
          </w:p>
        </w:tc>
        <w:tc>
          <w:tcPr>
            <w:tcW w:w="160" w:type="dxa"/>
            <w:vAlign w:val="bottom"/>
          </w:tcPr>
          <w:p>
            <w:pPr>
              <w:spacing w:after="0"/>
              <w:rPr>
                <w:sz w:val="11"/>
                <w:szCs w:val="11"/>
                <w:color w:val="auto"/>
              </w:rPr>
            </w:pPr>
          </w:p>
        </w:tc>
        <w:tc>
          <w:tcPr>
            <w:tcW w:w="1420" w:type="dxa"/>
            <w:vAlign w:val="bottom"/>
            <w:tcBorders>
              <w:top w:val="single" w:sz="8" w:color="auto"/>
            </w:tcBorders>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2"/>
              </w:rPr>
              <w:t>Estimated Change in</w:t>
            </w:r>
          </w:p>
        </w:tc>
        <w:tc>
          <w:tcPr>
            <w:tcW w:w="136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2"/>
              </w:rPr>
              <w:t>Estimated Change in</w:t>
            </w:r>
          </w:p>
        </w:tc>
        <w:tc>
          <w:tcPr>
            <w:tcW w:w="0" w:type="dxa"/>
            <w:vAlign w:val="bottom"/>
          </w:tcPr>
          <w:p>
            <w:pPr>
              <w:spacing w:after="0"/>
              <w:rPr>
                <w:sz w:val="1"/>
                <w:szCs w:val="1"/>
                <w:color w:val="auto"/>
              </w:rPr>
            </w:pPr>
          </w:p>
        </w:tc>
      </w:tr>
      <w:tr>
        <w:trPr>
          <w:trHeight w:val="135"/>
        </w:trPr>
        <w:tc>
          <w:tcPr>
            <w:tcW w:w="29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0" w:type="dxa"/>
            <w:vAlign w:val="bottom"/>
            <w:gridSpan w:val="2"/>
            <w:vMerge w:val="continue"/>
          </w:tcPr>
          <w:p>
            <w:pPr>
              <w:spacing w:after="0"/>
              <w:rPr>
                <w:sz w:val="11"/>
                <w:szCs w:val="11"/>
                <w:color w:val="auto"/>
              </w:rPr>
            </w:pPr>
          </w:p>
        </w:tc>
        <w:tc>
          <w:tcPr>
            <w:tcW w:w="1480" w:type="dxa"/>
            <w:vAlign w:val="bottom"/>
            <w:gridSpan w:val="2"/>
          </w:tcPr>
          <w:p>
            <w:pPr>
              <w:jc w:val="center"/>
              <w:ind w:right="180"/>
              <w:spacing w:after="0" w:line="135" w:lineRule="exact"/>
              <w:rPr>
                <w:sz w:val="20"/>
                <w:szCs w:val="20"/>
                <w:color w:val="auto"/>
              </w:rPr>
            </w:pPr>
            <w:r>
              <w:rPr>
                <w:rFonts w:ascii="Arial" w:cs="Arial" w:eastAsia="Arial" w:hAnsi="Arial"/>
                <w:sz w:val="14"/>
                <w:szCs w:val="14"/>
                <w:b w:val="1"/>
                <w:bCs w:val="1"/>
                <w:color w:val="auto"/>
                <w:w w:val="92"/>
              </w:rPr>
              <w:t>Tangible Net Book</w:t>
            </w:r>
          </w:p>
        </w:tc>
        <w:tc>
          <w:tcPr>
            <w:tcW w:w="1420" w:type="dxa"/>
            <w:vAlign w:val="bottom"/>
            <w:gridSpan w:val="2"/>
            <w:vMerge w:val="continue"/>
          </w:tcPr>
          <w:p>
            <w:pPr>
              <w:spacing w:after="0"/>
              <w:rPr>
                <w:sz w:val="11"/>
                <w:szCs w:val="11"/>
                <w:color w:val="auto"/>
              </w:rPr>
            </w:pPr>
          </w:p>
        </w:tc>
        <w:tc>
          <w:tcPr>
            <w:tcW w:w="136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2"/>
              </w:rPr>
              <w:t>Tangible Net Book</w:t>
            </w:r>
          </w:p>
        </w:tc>
        <w:tc>
          <w:tcPr>
            <w:tcW w:w="0" w:type="dxa"/>
            <w:vAlign w:val="bottom"/>
          </w:tcPr>
          <w:p>
            <w:pPr>
              <w:spacing w:after="0"/>
              <w:rPr>
                <w:sz w:val="1"/>
                <w:szCs w:val="1"/>
                <w:color w:val="auto"/>
              </w:rPr>
            </w:pPr>
          </w:p>
        </w:tc>
      </w:tr>
      <w:tr>
        <w:trPr>
          <w:trHeight w:val="135"/>
        </w:trPr>
        <w:tc>
          <w:tcPr>
            <w:tcW w:w="310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Change in Interest Rate</w:t>
            </w:r>
          </w:p>
        </w:tc>
        <w:tc>
          <w:tcPr>
            <w:tcW w:w="1400" w:type="dxa"/>
            <w:vAlign w:val="bottom"/>
            <w:gridSpan w:val="2"/>
          </w:tcPr>
          <w:p>
            <w:pPr>
              <w:jc w:val="center"/>
              <w:ind w:right="120"/>
              <w:spacing w:after="0" w:line="135" w:lineRule="exact"/>
              <w:rPr>
                <w:sz w:val="20"/>
                <w:szCs w:val="20"/>
                <w:color w:val="auto"/>
              </w:rPr>
            </w:pPr>
            <w:r>
              <w:rPr>
                <w:rFonts w:ascii="Arial" w:cs="Arial" w:eastAsia="Arial" w:hAnsi="Arial"/>
                <w:sz w:val="14"/>
                <w:szCs w:val="14"/>
                <w:b w:val="1"/>
                <w:bCs w:val="1"/>
                <w:color w:val="auto"/>
                <w:w w:val="97"/>
              </w:rPr>
              <w:t>in Portfolio Market</w:t>
            </w:r>
          </w:p>
        </w:tc>
        <w:tc>
          <w:tcPr>
            <w:tcW w:w="1480" w:type="dxa"/>
            <w:vAlign w:val="bottom"/>
            <w:gridSpan w:val="2"/>
          </w:tcPr>
          <w:p>
            <w:pPr>
              <w:jc w:val="center"/>
              <w:ind w:right="160"/>
              <w:spacing w:after="0" w:line="135" w:lineRule="exact"/>
              <w:rPr>
                <w:sz w:val="20"/>
                <w:szCs w:val="20"/>
                <w:color w:val="auto"/>
              </w:rPr>
            </w:pPr>
            <w:r>
              <w:rPr>
                <w:rFonts w:ascii="Arial" w:cs="Arial" w:eastAsia="Arial" w:hAnsi="Arial"/>
                <w:sz w:val="14"/>
                <w:szCs w:val="14"/>
                <w:b w:val="1"/>
                <w:bCs w:val="1"/>
                <w:color w:val="auto"/>
                <w:w w:val="93"/>
              </w:rPr>
              <w:t>Value Per Common</w:t>
            </w:r>
          </w:p>
        </w:tc>
        <w:tc>
          <w:tcPr>
            <w:tcW w:w="142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7"/>
              </w:rPr>
              <w:t>Portfolio Market</w:t>
            </w:r>
          </w:p>
        </w:tc>
        <w:tc>
          <w:tcPr>
            <w:tcW w:w="136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3"/>
              </w:rPr>
              <w:t>Value Per Common</w:t>
            </w:r>
          </w:p>
        </w:tc>
        <w:tc>
          <w:tcPr>
            <w:tcW w:w="0" w:type="dxa"/>
            <w:vAlign w:val="bottom"/>
          </w:tcPr>
          <w:p>
            <w:pPr>
              <w:spacing w:after="0"/>
              <w:rPr>
                <w:sz w:val="1"/>
                <w:szCs w:val="1"/>
                <w:color w:val="auto"/>
              </w:rPr>
            </w:pPr>
          </w:p>
        </w:tc>
      </w:tr>
      <w:tr>
        <w:trPr>
          <w:trHeight w:val="188"/>
        </w:trPr>
        <w:tc>
          <w:tcPr>
            <w:tcW w:w="3100" w:type="dxa"/>
            <w:vAlign w:val="bottom"/>
            <w:gridSpan w:val="2"/>
            <w:vMerge w:val="continue"/>
          </w:tcPr>
          <w:p>
            <w:pPr>
              <w:spacing w:after="0"/>
              <w:rPr>
                <w:sz w:val="16"/>
                <w:szCs w:val="16"/>
                <w:color w:val="auto"/>
              </w:rPr>
            </w:pPr>
          </w:p>
        </w:tc>
        <w:tc>
          <w:tcPr>
            <w:tcW w:w="14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6"/>
              </w:rPr>
              <w:t>Value</w:t>
            </w:r>
          </w:p>
        </w:tc>
        <w:tc>
          <w:tcPr>
            <w:tcW w:w="148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2"/>
              </w:rPr>
              <w:t>Share</w:t>
            </w:r>
          </w:p>
        </w:tc>
        <w:tc>
          <w:tcPr>
            <w:tcW w:w="14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6"/>
              </w:rPr>
              <w:t>Value</w:t>
            </w:r>
          </w:p>
        </w:tc>
        <w:tc>
          <w:tcPr>
            <w:tcW w:w="1360" w:type="dxa"/>
            <w:vAlign w:val="bottom"/>
          </w:tcPr>
          <w:p>
            <w:pPr>
              <w:jc w:val="center"/>
              <w:spacing w:after="0"/>
              <w:rPr>
                <w:sz w:val="20"/>
                <w:szCs w:val="20"/>
                <w:color w:val="auto"/>
              </w:rPr>
            </w:pPr>
            <w:r>
              <w:rPr>
                <w:rFonts w:ascii="Arial" w:cs="Arial" w:eastAsia="Arial" w:hAnsi="Arial"/>
                <w:sz w:val="14"/>
                <w:szCs w:val="14"/>
                <w:b w:val="1"/>
                <w:bCs w:val="1"/>
                <w:color w:val="auto"/>
                <w:w w:val="92"/>
              </w:rPr>
              <w:t>Share</w:t>
            </w:r>
          </w:p>
        </w:tc>
        <w:tc>
          <w:tcPr>
            <w:tcW w:w="0" w:type="dxa"/>
            <w:vAlign w:val="bottom"/>
          </w:tcPr>
          <w:p>
            <w:pPr>
              <w:spacing w:after="0"/>
              <w:rPr>
                <w:sz w:val="1"/>
                <w:szCs w:val="1"/>
                <w:color w:val="auto"/>
              </w:rPr>
            </w:pPr>
          </w:p>
        </w:tc>
      </w:tr>
      <w:tr>
        <w:trPr>
          <w:trHeight w:val="184"/>
        </w:trPr>
        <w:tc>
          <w:tcPr>
            <w:tcW w:w="29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-75 Basis Points</w:t>
            </w:r>
          </w:p>
        </w:tc>
        <w:tc>
          <w:tcPr>
            <w:tcW w:w="160" w:type="dxa"/>
            <w:vAlign w:val="bottom"/>
            <w:tcBorders>
              <w:top w:val="single" w:sz="8" w:color="CCEEFF"/>
            </w:tcBorders>
            <w:shd w:val="clear" w:color="auto" w:fill="CCEEFF"/>
          </w:tcPr>
          <w:p>
            <w:pPr>
              <w:spacing w:after="0"/>
              <w:rPr>
                <w:sz w:val="15"/>
                <w:szCs w:val="15"/>
                <w:color w:val="auto"/>
              </w:rPr>
            </w:pPr>
          </w:p>
        </w:tc>
        <w:tc>
          <w:tcPr>
            <w:tcW w:w="12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4"/>
              </w:rPr>
              <w:t>+0.1%</w:t>
            </w:r>
          </w:p>
        </w:tc>
        <w:tc>
          <w:tcPr>
            <w:tcW w:w="120" w:type="dxa"/>
            <w:vAlign w:val="bottom"/>
            <w:tcBorders>
              <w:top w:val="single" w:sz="8" w:color="CCEEFF"/>
            </w:tcBorders>
            <w:shd w:val="clear" w:color="auto" w:fill="CCEEFF"/>
          </w:tcPr>
          <w:p>
            <w:pPr>
              <w:spacing w:after="0"/>
              <w:rPr>
                <w:sz w:val="15"/>
                <w:szCs w:val="15"/>
                <w:color w:val="auto"/>
              </w:rPr>
            </w:pPr>
          </w:p>
        </w:tc>
        <w:tc>
          <w:tcPr>
            <w:tcW w:w="13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4"/>
              </w:rPr>
              <w:t>+1.1%</w:t>
            </w:r>
          </w:p>
        </w:tc>
        <w:tc>
          <w:tcPr>
            <w:tcW w:w="160" w:type="dxa"/>
            <w:vAlign w:val="bottom"/>
            <w:tcBorders>
              <w:top w:val="single" w:sz="8" w:color="CCEEFF"/>
            </w:tcBorders>
            <w:shd w:val="clear" w:color="auto" w:fill="CCEEFF"/>
          </w:tcPr>
          <w:p>
            <w:pPr>
              <w:spacing w:after="0"/>
              <w:rPr>
                <w:sz w:val="15"/>
                <w:szCs w:val="15"/>
                <w:color w:val="auto"/>
              </w:rPr>
            </w:pPr>
          </w:p>
        </w:tc>
        <w:tc>
          <w:tcPr>
            <w:tcW w:w="13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8"/>
              </w:rPr>
              <w:t>-0.6%</w:t>
            </w:r>
          </w:p>
        </w:tc>
        <w:tc>
          <w:tcPr>
            <w:tcW w:w="100" w:type="dxa"/>
            <w:vAlign w:val="bottom"/>
            <w:tcBorders>
              <w:top w:val="single" w:sz="8" w:color="CCEEFF"/>
            </w:tcBorders>
            <w:shd w:val="clear" w:color="auto" w:fill="CCEEFF"/>
          </w:tcPr>
          <w:p>
            <w:pPr>
              <w:spacing w:after="0"/>
              <w:rPr>
                <w:sz w:val="15"/>
                <w:szCs w:val="15"/>
                <w:color w:val="auto"/>
              </w:rPr>
            </w:pPr>
          </w:p>
        </w:tc>
        <w:tc>
          <w:tcPr>
            <w:tcW w:w="136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8"/>
              </w:rPr>
              <w:t>-6.4%</w:t>
            </w:r>
          </w:p>
        </w:tc>
        <w:tc>
          <w:tcPr>
            <w:tcW w:w="0" w:type="dxa"/>
            <w:vAlign w:val="bottom"/>
          </w:tcPr>
          <w:p>
            <w:pPr>
              <w:spacing w:after="0"/>
              <w:rPr>
                <w:sz w:val="1"/>
                <w:szCs w:val="1"/>
                <w:color w:val="auto"/>
              </w:rPr>
            </w:pPr>
          </w:p>
        </w:tc>
      </w:tr>
      <w:tr>
        <w:trPr>
          <w:trHeight w:val="186"/>
        </w:trPr>
        <w:tc>
          <w:tcPr>
            <w:tcW w:w="3100" w:type="dxa"/>
            <w:vAlign w:val="bottom"/>
            <w:gridSpan w:val="2"/>
          </w:tcPr>
          <w:p>
            <w:pPr>
              <w:ind w:left="20"/>
              <w:spacing w:after="0"/>
              <w:rPr>
                <w:sz w:val="20"/>
                <w:szCs w:val="20"/>
                <w:color w:val="auto"/>
              </w:rPr>
            </w:pPr>
            <w:r>
              <w:rPr>
                <w:rFonts w:ascii="Arial" w:cs="Arial" w:eastAsia="Arial" w:hAnsi="Arial"/>
                <w:sz w:val="14"/>
                <w:szCs w:val="14"/>
                <w:color w:val="auto"/>
              </w:rPr>
              <w:t>-50 Basis Points</w:t>
            </w:r>
          </w:p>
        </w:tc>
        <w:tc>
          <w:tcPr>
            <w:tcW w:w="1280" w:type="dxa"/>
            <w:vAlign w:val="bottom"/>
          </w:tcPr>
          <w:p>
            <w:pPr>
              <w:jc w:val="center"/>
              <w:spacing w:after="0"/>
              <w:rPr>
                <w:sz w:val="20"/>
                <w:szCs w:val="20"/>
                <w:color w:val="auto"/>
              </w:rPr>
            </w:pPr>
            <w:r>
              <w:rPr>
                <w:rFonts w:ascii="Arial" w:cs="Arial" w:eastAsia="Arial" w:hAnsi="Arial"/>
                <w:sz w:val="14"/>
                <w:szCs w:val="14"/>
                <w:color w:val="auto"/>
                <w:w w:val="94"/>
              </w:rPr>
              <w:t>+0.1%</w:t>
            </w:r>
          </w:p>
        </w:tc>
        <w:tc>
          <w:tcPr>
            <w:tcW w:w="120" w:type="dxa"/>
            <w:vAlign w:val="bottom"/>
          </w:tcPr>
          <w:p>
            <w:pPr>
              <w:spacing w:after="0"/>
              <w:rPr>
                <w:sz w:val="16"/>
                <w:szCs w:val="16"/>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4"/>
              </w:rPr>
              <w:t>+1.2%</w:t>
            </w:r>
          </w:p>
        </w:tc>
        <w:tc>
          <w:tcPr>
            <w:tcW w:w="160" w:type="dxa"/>
            <w:vAlign w:val="bottom"/>
          </w:tcPr>
          <w:p>
            <w:pPr>
              <w:spacing w:after="0"/>
              <w:rPr>
                <w:sz w:val="16"/>
                <w:szCs w:val="16"/>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8"/>
              </w:rPr>
              <w:t>-0.2%</w:t>
            </w:r>
          </w:p>
        </w:tc>
        <w:tc>
          <w:tcPr>
            <w:tcW w:w="100" w:type="dxa"/>
            <w:vAlign w:val="bottom"/>
          </w:tcPr>
          <w:p>
            <w:pPr>
              <w:spacing w:after="0"/>
              <w:rPr>
                <w:sz w:val="16"/>
                <w:szCs w:val="16"/>
                <w:color w:val="auto"/>
              </w:rPr>
            </w:pPr>
          </w:p>
        </w:tc>
        <w:tc>
          <w:tcPr>
            <w:tcW w:w="1360" w:type="dxa"/>
            <w:vAlign w:val="bottom"/>
          </w:tcPr>
          <w:p>
            <w:pPr>
              <w:jc w:val="center"/>
              <w:spacing w:after="0"/>
              <w:rPr>
                <w:sz w:val="20"/>
                <w:szCs w:val="20"/>
                <w:color w:val="auto"/>
              </w:rPr>
            </w:pPr>
            <w:r>
              <w:rPr>
                <w:rFonts w:ascii="Arial" w:cs="Arial" w:eastAsia="Arial" w:hAnsi="Arial"/>
                <w:sz w:val="14"/>
                <w:szCs w:val="14"/>
                <w:color w:val="auto"/>
                <w:w w:val="98"/>
              </w:rPr>
              <w:t>-2.3%</w:t>
            </w:r>
          </w:p>
        </w:tc>
        <w:tc>
          <w:tcPr>
            <w:tcW w:w="0" w:type="dxa"/>
            <w:vAlign w:val="bottom"/>
          </w:tcPr>
          <w:p>
            <w:pPr>
              <w:spacing w:after="0"/>
              <w:rPr>
                <w:sz w:val="1"/>
                <w:szCs w:val="1"/>
                <w:color w:val="auto"/>
              </w:rPr>
            </w:pPr>
          </w:p>
        </w:tc>
      </w:tr>
      <w:tr>
        <w:trPr>
          <w:trHeight w:val="192"/>
        </w:trPr>
        <w:tc>
          <w:tcPr>
            <w:tcW w:w="31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-25 Basis Points</w:t>
            </w: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0.1%</w:t>
            </w:r>
          </w:p>
        </w:tc>
        <w:tc>
          <w:tcPr>
            <w:tcW w:w="120" w:type="dxa"/>
            <w:vAlign w:val="bottom"/>
            <w:shd w:val="clear" w:color="auto" w:fill="CCEEFF"/>
          </w:tcPr>
          <w:p>
            <w:pPr>
              <w:spacing w:after="0"/>
              <w:rPr>
                <w:sz w:val="16"/>
                <w:szCs w:val="16"/>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+0.8%</w:t>
            </w:r>
          </w:p>
        </w:tc>
        <w:tc>
          <w:tcPr>
            <w:tcW w:w="160" w:type="dxa"/>
            <w:vAlign w:val="bottom"/>
            <w:shd w:val="clear" w:color="auto" w:fill="CCEEFF"/>
          </w:tcPr>
          <w:p>
            <w:pPr>
              <w:spacing w:after="0"/>
              <w:rPr>
                <w:sz w:val="16"/>
                <w:szCs w:val="16"/>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0.0%</w:t>
            </w:r>
          </w:p>
        </w:tc>
        <w:tc>
          <w:tcPr>
            <w:tcW w:w="100" w:type="dxa"/>
            <w:vAlign w:val="bottom"/>
            <w:shd w:val="clear" w:color="auto" w:fill="CCEEFF"/>
          </w:tcPr>
          <w:p>
            <w:pPr>
              <w:spacing w:after="0"/>
              <w:rPr>
                <w:sz w:val="16"/>
                <w:szCs w:val="16"/>
                <w:color w:val="auto"/>
              </w:rPr>
            </w:pPr>
          </w:p>
        </w:tc>
        <w:tc>
          <w:tcPr>
            <w:tcW w:w="13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-0.3%</w:t>
            </w:r>
          </w:p>
        </w:tc>
        <w:tc>
          <w:tcPr>
            <w:tcW w:w="0" w:type="dxa"/>
            <w:vAlign w:val="bottom"/>
          </w:tcPr>
          <w:p>
            <w:pPr>
              <w:spacing w:after="0"/>
              <w:rPr>
                <w:sz w:val="1"/>
                <w:szCs w:val="1"/>
                <w:color w:val="auto"/>
              </w:rPr>
            </w:pPr>
          </w:p>
        </w:tc>
      </w:tr>
      <w:tr>
        <w:trPr>
          <w:trHeight w:val="186"/>
        </w:trPr>
        <w:tc>
          <w:tcPr>
            <w:tcW w:w="3100" w:type="dxa"/>
            <w:vAlign w:val="bottom"/>
            <w:gridSpan w:val="2"/>
          </w:tcPr>
          <w:p>
            <w:pPr>
              <w:ind w:left="20"/>
              <w:spacing w:after="0"/>
              <w:rPr>
                <w:sz w:val="20"/>
                <w:szCs w:val="20"/>
                <w:color w:val="auto"/>
              </w:rPr>
            </w:pPr>
            <w:r>
              <w:rPr>
                <w:rFonts w:ascii="Arial" w:cs="Arial" w:eastAsia="Arial" w:hAnsi="Arial"/>
                <w:sz w:val="14"/>
                <w:szCs w:val="14"/>
                <w:color w:val="auto"/>
              </w:rPr>
              <w:t>+25 Basis Points</w:t>
            </w:r>
          </w:p>
        </w:tc>
        <w:tc>
          <w:tcPr>
            <w:tcW w:w="1280" w:type="dxa"/>
            <w:vAlign w:val="bottom"/>
          </w:tcPr>
          <w:p>
            <w:pPr>
              <w:jc w:val="center"/>
              <w:spacing w:after="0"/>
              <w:rPr>
                <w:sz w:val="20"/>
                <w:szCs w:val="20"/>
                <w:color w:val="auto"/>
              </w:rPr>
            </w:pPr>
            <w:r>
              <w:rPr>
                <w:rFonts w:ascii="Arial" w:cs="Arial" w:eastAsia="Arial" w:hAnsi="Arial"/>
                <w:sz w:val="14"/>
                <w:szCs w:val="14"/>
                <w:color w:val="auto"/>
                <w:w w:val="98"/>
              </w:rPr>
              <w:t>-0.1%</w:t>
            </w:r>
          </w:p>
        </w:tc>
        <w:tc>
          <w:tcPr>
            <w:tcW w:w="120" w:type="dxa"/>
            <w:vAlign w:val="bottom"/>
          </w:tcPr>
          <w:p>
            <w:pPr>
              <w:spacing w:after="0"/>
              <w:rPr>
                <w:sz w:val="16"/>
                <w:szCs w:val="16"/>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2"/>
              </w:rPr>
              <w:t>-1.2%</w:t>
            </w:r>
          </w:p>
        </w:tc>
        <w:tc>
          <w:tcPr>
            <w:tcW w:w="160" w:type="dxa"/>
            <w:vAlign w:val="bottom"/>
          </w:tcPr>
          <w:p>
            <w:pPr>
              <w:spacing w:after="0"/>
              <w:rPr>
                <w:sz w:val="16"/>
                <w:szCs w:val="16"/>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8"/>
              </w:rPr>
              <w:t>-0.1%</w:t>
            </w:r>
          </w:p>
        </w:tc>
        <w:tc>
          <w:tcPr>
            <w:tcW w:w="100" w:type="dxa"/>
            <w:vAlign w:val="bottom"/>
          </w:tcPr>
          <w:p>
            <w:pPr>
              <w:spacing w:after="0"/>
              <w:rPr>
                <w:sz w:val="16"/>
                <w:szCs w:val="16"/>
                <w:color w:val="auto"/>
              </w:rPr>
            </w:pPr>
          </w:p>
        </w:tc>
        <w:tc>
          <w:tcPr>
            <w:tcW w:w="1360" w:type="dxa"/>
            <w:vAlign w:val="bottom"/>
          </w:tcPr>
          <w:p>
            <w:pPr>
              <w:jc w:val="center"/>
              <w:spacing w:after="0"/>
              <w:rPr>
                <w:sz w:val="20"/>
                <w:szCs w:val="20"/>
                <w:color w:val="auto"/>
              </w:rPr>
            </w:pPr>
            <w:r>
              <w:rPr>
                <w:rFonts w:ascii="Arial" w:cs="Arial" w:eastAsia="Arial" w:hAnsi="Arial"/>
                <w:sz w:val="14"/>
                <w:szCs w:val="14"/>
                <w:color w:val="auto"/>
                <w:w w:val="98"/>
              </w:rPr>
              <w:t>-1.3%</w:t>
            </w:r>
          </w:p>
        </w:tc>
        <w:tc>
          <w:tcPr>
            <w:tcW w:w="0" w:type="dxa"/>
            <w:vAlign w:val="bottom"/>
          </w:tcPr>
          <w:p>
            <w:pPr>
              <w:spacing w:after="0"/>
              <w:rPr>
                <w:sz w:val="1"/>
                <w:szCs w:val="1"/>
                <w:color w:val="auto"/>
              </w:rPr>
            </w:pPr>
          </w:p>
        </w:tc>
      </w:tr>
      <w:tr>
        <w:trPr>
          <w:trHeight w:val="192"/>
        </w:trPr>
        <w:tc>
          <w:tcPr>
            <w:tcW w:w="31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+50 Basis Points</w:t>
            </w: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-0.3%</w:t>
            </w:r>
          </w:p>
        </w:tc>
        <w:tc>
          <w:tcPr>
            <w:tcW w:w="120" w:type="dxa"/>
            <w:vAlign w:val="bottom"/>
            <w:shd w:val="clear" w:color="auto" w:fill="CCEEFF"/>
          </w:tcPr>
          <w:p>
            <w:pPr>
              <w:spacing w:after="0"/>
              <w:rPr>
                <w:sz w:val="16"/>
                <w:szCs w:val="16"/>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-2.7%</w:t>
            </w:r>
          </w:p>
        </w:tc>
        <w:tc>
          <w:tcPr>
            <w:tcW w:w="160" w:type="dxa"/>
            <w:vAlign w:val="bottom"/>
            <w:shd w:val="clear" w:color="auto" w:fill="CCEEFF"/>
          </w:tcPr>
          <w:p>
            <w:pPr>
              <w:spacing w:after="0"/>
              <w:rPr>
                <w:sz w:val="16"/>
                <w:szCs w:val="16"/>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-0.4%</w:t>
            </w:r>
          </w:p>
        </w:tc>
        <w:tc>
          <w:tcPr>
            <w:tcW w:w="100" w:type="dxa"/>
            <w:vAlign w:val="bottom"/>
            <w:shd w:val="clear" w:color="auto" w:fill="CCEEFF"/>
          </w:tcPr>
          <w:p>
            <w:pPr>
              <w:spacing w:after="0"/>
              <w:rPr>
                <w:sz w:val="16"/>
                <w:szCs w:val="16"/>
                <w:color w:val="auto"/>
              </w:rPr>
            </w:pPr>
          </w:p>
        </w:tc>
        <w:tc>
          <w:tcPr>
            <w:tcW w:w="13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-3.8%</w:t>
            </w:r>
          </w:p>
        </w:tc>
        <w:tc>
          <w:tcPr>
            <w:tcW w:w="0" w:type="dxa"/>
            <w:vAlign w:val="bottom"/>
          </w:tcPr>
          <w:p>
            <w:pPr>
              <w:spacing w:after="0"/>
              <w:rPr>
                <w:sz w:val="1"/>
                <w:szCs w:val="1"/>
                <w:color w:val="auto"/>
              </w:rPr>
            </w:pPr>
          </w:p>
        </w:tc>
      </w:tr>
      <w:tr>
        <w:trPr>
          <w:trHeight w:val="182"/>
        </w:trPr>
        <w:tc>
          <w:tcPr>
            <w:tcW w:w="3100" w:type="dxa"/>
            <w:vAlign w:val="bottom"/>
            <w:gridSpan w:val="2"/>
          </w:tcPr>
          <w:p>
            <w:pPr>
              <w:ind w:left="20"/>
              <w:spacing w:after="0"/>
              <w:rPr>
                <w:sz w:val="20"/>
                <w:szCs w:val="20"/>
                <w:color w:val="auto"/>
              </w:rPr>
            </w:pPr>
            <w:r>
              <w:rPr>
                <w:rFonts w:ascii="Arial" w:cs="Arial" w:eastAsia="Arial" w:hAnsi="Arial"/>
                <w:sz w:val="14"/>
                <w:szCs w:val="14"/>
                <w:color w:val="auto"/>
              </w:rPr>
              <w:t>+75 Basis Points</w:t>
            </w:r>
          </w:p>
        </w:tc>
        <w:tc>
          <w:tcPr>
            <w:tcW w:w="1280" w:type="dxa"/>
            <w:vAlign w:val="bottom"/>
          </w:tcPr>
          <w:p>
            <w:pPr>
              <w:jc w:val="center"/>
              <w:spacing w:after="0"/>
              <w:rPr>
                <w:sz w:val="20"/>
                <w:szCs w:val="20"/>
                <w:color w:val="auto"/>
              </w:rPr>
            </w:pPr>
            <w:r>
              <w:rPr>
                <w:rFonts w:ascii="Arial" w:cs="Arial" w:eastAsia="Arial" w:hAnsi="Arial"/>
                <w:sz w:val="14"/>
                <w:szCs w:val="14"/>
                <w:color w:val="auto"/>
                <w:w w:val="98"/>
              </w:rPr>
              <w:t>-0.4%</w:t>
            </w:r>
          </w:p>
        </w:tc>
        <w:tc>
          <w:tcPr>
            <w:tcW w:w="120" w:type="dxa"/>
            <w:vAlign w:val="bottom"/>
          </w:tcPr>
          <w:p>
            <w:pPr>
              <w:spacing w:after="0"/>
              <w:rPr>
                <w:sz w:val="15"/>
                <w:szCs w:val="15"/>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2"/>
              </w:rPr>
              <w:t>-4.3%</w:t>
            </w:r>
          </w:p>
        </w:tc>
        <w:tc>
          <w:tcPr>
            <w:tcW w:w="160" w:type="dxa"/>
            <w:vAlign w:val="bottom"/>
          </w:tcPr>
          <w:p>
            <w:pPr>
              <w:spacing w:after="0"/>
              <w:rPr>
                <w:sz w:val="15"/>
                <w:szCs w:val="15"/>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8"/>
              </w:rPr>
              <w:t>-0.7%</w:t>
            </w:r>
          </w:p>
        </w:tc>
        <w:tc>
          <w:tcPr>
            <w:tcW w:w="100" w:type="dxa"/>
            <w:vAlign w:val="bottom"/>
          </w:tcPr>
          <w:p>
            <w:pPr>
              <w:spacing w:after="0"/>
              <w:rPr>
                <w:sz w:val="15"/>
                <w:szCs w:val="15"/>
                <w:color w:val="auto"/>
              </w:rPr>
            </w:pPr>
          </w:p>
        </w:tc>
        <w:tc>
          <w:tcPr>
            <w:tcW w:w="1360" w:type="dxa"/>
            <w:vAlign w:val="bottom"/>
          </w:tcPr>
          <w:p>
            <w:pPr>
              <w:jc w:val="center"/>
              <w:spacing w:after="0"/>
              <w:rPr>
                <w:sz w:val="20"/>
                <w:szCs w:val="20"/>
                <w:color w:val="auto"/>
              </w:rPr>
            </w:pPr>
            <w:r>
              <w:rPr>
                <w:rFonts w:ascii="Arial" w:cs="Arial" w:eastAsia="Arial" w:hAnsi="Arial"/>
                <w:sz w:val="14"/>
                <w:szCs w:val="14"/>
                <w:color w:val="auto"/>
                <w:w w:val="98"/>
              </w:rPr>
              <w:t>-7.4%</w:t>
            </w:r>
          </w:p>
        </w:tc>
        <w:tc>
          <w:tcPr>
            <w:tcW w:w="0" w:type="dxa"/>
            <w:vAlign w:val="bottom"/>
          </w:tcPr>
          <w:p>
            <w:pPr>
              <w:spacing w:after="0"/>
              <w:rPr>
                <w:sz w:val="1"/>
                <w:szCs w:val="1"/>
                <w:color w:val="auto"/>
              </w:rPr>
            </w:pPr>
          </w:p>
        </w:tc>
      </w:tr>
    </w:tbl>
    <w:p>
      <w:pPr>
        <w:spacing w:after="0" w:line="103"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right="20" w:hanging="328"/>
        <w:spacing w:after="0" w:line="241" w:lineRule="auto"/>
        <w:tabs>
          <w:tab w:leader="none" w:pos="660" w:val="left"/>
        </w:tabs>
        <w:numPr>
          <w:ilvl w:val="0"/>
          <w:numId w:val="36"/>
        </w:numPr>
        <w:rPr>
          <w:rFonts w:ascii="Arial" w:cs="Arial" w:eastAsia="Arial" w:hAnsi="Arial"/>
          <w:sz w:val="14"/>
          <w:szCs w:val="14"/>
          <w:color w:val="auto"/>
        </w:rPr>
      </w:pPr>
      <w:r>
        <w:rPr>
          <w:rFonts w:ascii="Arial" w:cs="Arial" w:eastAsia="Arial" w:hAnsi="Arial"/>
          <w:sz w:val="14"/>
          <w:szCs w:val="14"/>
          <w:color w:val="auto"/>
        </w:rPr>
        <w:t>Derived from models that are dependent on inputs and assumptions, assumes there are no changes in mortgage spreads and assumes a static portfolio. Actual results could differ materially from these estimates.</w:t>
      </w:r>
    </w:p>
    <w:p>
      <w:pPr>
        <w:ind w:left="660" w:hanging="328"/>
        <w:spacing w:after="0"/>
        <w:tabs>
          <w:tab w:leader="none" w:pos="660" w:val="left"/>
        </w:tabs>
        <w:numPr>
          <w:ilvl w:val="0"/>
          <w:numId w:val="36"/>
        </w:numPr>
        <w:rPr>
          <w:rFonts w:ascii="Arial" w:cs="Arial" w:eastAsia="Arial" w:hAnsi="Arial"/>
          <w:sz w:val="14"/>
          <w:szCs w:val="14"/>
          <w:color w:val="auto"/>
        </w:rPr>
      </w:pPr>
      <w:r>
        <w:rPr>
          <w:rFonts w:ascii="Arial" w:cs="Arial" w:eastAsia="Arial" w:hAnsi="Arial"/>
          <w:sz w:val="14"/>
          <w:szCs w:val="14"/>
          <w:color w:val="auto"/>
        </w:rPr>
        <w:t>Includes the effect of derivatives and other securities used for hedging purposes. Interest rates are assumed to be floored at 0% in down rate scenarios.</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Prepayment Risk</w:t>
      </w:r>
    </w:p>
    <w:p>
      <w:pPr>
        <w:spacing w:after="0" w:line="171" w:lineRule="exact"/>
        <w:rPr>
          <w:sz w:val="20"/>
          <w:szCs w:val="20"/>
          <w:color w:val="auto"/>
        </w:rPr>
      </w:pPr>
    </w:p>
    <w:p>
      <w:pPr>
        <w:jc w:val="both"/>
        <w:ind w:firstLine="486"/>
        <w:spacing w:after="0" w:line="286" w:lineRule="auto"/>
        <w:rPr>
          <w:sz w:val="20"/>
          <w:szCs w:val="20"/>
          <w:color w:val="auto"/>
        </w:rPr>
      </w:pPr>
      <w:r>
        <w:rPr>
          <w:rFonts w:ascii="Arial" w:cs="Arial" w:eastAsia="Arial" w:hAnsi="Arial"/>
          <w:sz w:val="17"/>
          <w:szCs w:val="17"/>
          <w:color w:val="auto"/>
        </w:rPr>
        <w:t>Prepayment risk is the risk that our assets will be repaid at a faster rate than anticipated. Interest rates and numerous other factors affect the rate of prepayments, such as housing prices, general economic conditions, loan age, size and loan-to-value ratios, and GSE buyouts of delinquent loans underlying our securities. Generally, declining mortgage rates increase the rate of prepayments, while rising rates have the opposite effect.</w:t>
      </w:r>
    </w:p>
    <w:p>
      <w:pPr>
        <w:spacing w:after="0" w:line="111" w:lineRule="exact"/>
        <w:rPr>
          <w:sz w:val="20"/>
          <w:szCs w:val="20"/>
          <w:color w:val="auto"/>
        </w:rPr>
      </w:pPr>
    </w:p>
    <w:p>
      <w:pPr>
        <w:jc w:val="both"/>
        <w:ind w:firstLine="486"/>
        <w:spacing w:after="0" w:line="257" w:lineRule="auto"/>
        <w:rPr>
          <w:sz w:val="20"/>
          <w:szCs w:val="20"/>
          <w:color w:val="auto"/>
        </w:rPr>
      </w:pPr>
      <w:r>
        <w:rPr>
          <w:rFonts w:ascii="Arial" w:cs="Arial" w:eastAsia="Arial" w:hAnsi="Arial"/>
          <w:sz w:val="18"/>
          <w:szCs w:val="18"/>
          <w:color w:val="auto"/>
        </w:rPr>
        <w:t>If our assets prepay at a faster rate than anticipated, we may be unable to reinvest the repayments at acceptable yields. If the proceeds are reinvested at lower yields than our existing assets, our net interest income would be negatively impacted. We also amortize or accrete premiums and discounts we pay or receive at purchase relative to the stated principal of our assets into interest income over their projected lives using the effective interest method. If the actual and estimated future prepayment experience differs from our prior estimates, we are required to record an adjustment to interest income for the impact of the cumulative difference in the effective yield.</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Extension Risk</w:t>
      </w:r>
    </w:p>
    <w:p>
      <w:pPr>
        <w:spacing w:after="0" w:line="171" w:lineRule="exact"/>
        <w:rPr>
          <w:sz w:val="20"/>
          <w:szCs w:val="20"/>
          <w:color w:val="auto"/>
        </w:rPr>
      </w:pPr>
    </w:p>
    <w:p>
      <w:pPr>
        <w:jc w:val="both"/>
        <w:ind w:firstLine="445"/>
        <w:spacing w:after="0" w:line="259" w:lineRule="auto"/>
        <w:rPr>
          <w:sz w:val="20"/>
          <w:szCs w:val="20"/>
          <w:color w:val="auto"/>
        </w:rPr>
      </w:pPr>
      <w:r>
        <w:rPr>
          <w:rFonts w:ascii="Arial" w:cs="Arial" w:eastAsia="Arial" w:hAnsi="Arial"/>
          <w:sz w:val="18"/>
          <w:szCs w:val="18"/>
          <w:color w:val="auto"/>
        </w:rPr>
        <w:t>Extension risk is the risk that our assets will be repaid at a slower rate than anticipated and generally increases when interest rates rise. In a rising or higher interest rate environment, we may be required to finance our investments at potentially higher costs without the ability to reinvest principal into higher yielding securities as a result of borrowers prepaying their mortgages at a slower pace than originally anticipated, adversely impacting our net interest spread, and thus our net interest income.</w:t>
      </w:r>
    </w:p>
    <w:p>
      <w:pPr>
        <w:spacing w:after="0" w:line="133" w:lineRule="exact"/>
        <w:rPr>
          <w:sz w:val="20"/>
          <w:szCs w:val="20"/>
          <w:color w:val="auto"/>
        </w:rPr>
      </w:pPr>
    </w:p>
    <w:p>
      <w:pPr>
        <w:jc w:val="both"/>
        <w:ind w:firstLine="445"/>
        <w:spacing w:after="0" w:line="301" w:lineRule="auto"/>
        <w:rPr>
          <w:sz w:val="20"/>
          <w:szCs w:val="20"/>
          <w:color w:val="auto"/>
        </w:rPr>
      </w:pPr>
      <w:r>
        <w:rPr>
          <w:rFonts w:ascii="Arial" w:cs="Arial" w:eastAsia="Arial" w:hAnsi="Arial"/>
          <w:sz w:val="16"/>
          <w:szCs w:val="16"/>
          <w:color w:val="auto"/>
        </w:rPr>
        <w:t>As of June 30, 2022 and December 31, 2021, our investment securities (excluding TBAs) had a weighted average projected CPR of 7.2% and 10.9%, respectively, and a weighted average yield of 2.85% and 2.43%, respectively. The table below presents estimated weighted average projected CPRs and yields for our investment securities should interest rates go up or down instantaneously by 25, 50 and 75 basis points. Estimated yields exclude the impact of retroactive "catch-up" premium amortization adjustments for prior periods due to changes in the projected CPR assumption.</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45" w:name="page46"/>
    <w:bookmarkEnd w:id="45"/>
    <w:p>
      <w:pPr>
        <w:jc w:val="center"/>
        <w:spacing w:after="0"/>
        <w:rPr>
          <w:sz w:val="20"/>
          <w:szCs w:val="20"/>
          <w:color w:val="auto"/>
        </w:rPr>
      </w:pPr>
      <w:r>
        <w:rPr>
          <w:rFonts w:ascii="Arial" w:cs="Arial" w:eastAsia="Arial" w:hAnsi="Arial"/>
          <w:sz w:val="14"/>
          <w:szCs w:val="14"/>
          <w:b w:val="1"/>
          <w:bCs w:val="1"/>
          <w:color w:val="auto"/>
        </w:rPr>
        <w:t xml:space="preserve">Interest Rate Sensitivity </w:t>
      </w:r>
      <w:r>
        <w:rPr>
          <w:rFonts w:ascii="Arial" w:cs="Arial" w:eastAsia="Arial" w:hAnsi="Arial"/>
          <w:sz w:val="18"/>
          <w:szCs w:val="18"/>
          <w:b w:val="1"/>
          <w:bCs w:val="1"/>
          <w:color w:val="auto"/>
          <w:vertAlign w:val="superscript"/>
        </w:rPr>
        <w:t>1</w:t>
      </w:r>
    </w:p>
    <w:tbl>
      <w:tblPr>
        <w:tblLayout w:type="fixed"/>
        <w:tblInd w:w="1280" w:type="dxa"/>
        <w:tblCellMar>
          <w:top w:w="0" w:type="dxa"/>
          <w:left w:w="0" w:type="dxa"/>
          <w:bottom w:w="0" w:type="dxa"/>
          <w:right w:w="0" w:type="dxa"/>
        </w:tblCellMar>
      </w:tblPr>
      <w:tr>
        <w:trPr>
          <w:trHeight w:val="183"/>
        </w:trPr>
        <w:tc>
          <w:tcPr>
            <w:tcW w:w="3020" w:type="dxa"/>
            <w:vAlign w:val="bottom"/>
            <w:tcBorders>
              <w:top w:val="single" w:sz="8" w:color="auto"/>
            </w:tcBorders>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2840" w:type="dxa"/>
            <w:vAlign w:val="bottom"/>
            <w:tcBorders>
              <w:top w:val="single" w:sz="8" w:color="auto"/>
            </w:tcBorders>
            <w:gridSpan w:val="4"/>
          </w:tcPr>
          <w:p>
            <w:pPr>
              <w:ind w:left="920"/>
              <w:spacing w:after="0"/>
              <w:rPr>
                <w:sz w:val="20"/>
                <w:szCs w:val="20"/>
                <w:color w:val="auto"/>
              </w:rPr>
            </w:pPr>
            <w:r>
              <w:rPr>
                <w:rFonts w:ascii="Arial" w:cs="Arial" w:eastAsia="Arial" w:hAnsi="Arial"/>
                <w:sz w:val="14"/>
                <w:szCs w:val="14"/>
                <w:b w:val="1"/>
                <w:bCs w:val="1"/>
                <w:color w:val="auto"/>
              </w:rPr>
              <w:t>June 30, 2022</w:t>
            </w:r>
          </w:p>
        </w:tc>
        <w:tc>
          <w:tcPr>
            <w:tcW w:w="2680" w:type="dxa"/>
            <w:vAlign w:val="bottom"/>
            <w:tcBorders>
              <w:top w:val="single" w:sz="8" w:color="auto"/>
            </w:tcBorders>
            <w:gridSpan w:val="3"/>
          </w:tcPr>
          <w:p>
            <w:pPr>
              <w:ind w:left="760"/>
              <w:spacing w:after="0"/>
              <w:rPr>
                <w:sz w:val="20"/>
                <w:szCs w:val="20"/>
                <w:color w:val="auto"/>
              </w:rPr>
            </w:pPr>
            <w:r>
              <w:rPr>
                <w:rFonts w:ascii="Arial" w:cs="Arial" w:eastAsia="Arial" w:hAnsi="Arial"/>
                <w:sz w:val="14"/>
                <w:szCs w:val="14"/>
                <w:b w:val="1"/>
                <w:bCs w:val="1"/>
                <w:color w:val="auto"/>
              </w:rPr>
              <w:t>December 31, 2021</w:t>
            </w:r>
          </w:p>
        </w:tc>
        <w:tc>
          <w:tcPr>
            <w:tcW w:w="0" w:type="dxa"/>
            <w:vAlign w:val="bottom"/>
          </w:tcPr>
          <w:p>
            <w:pPr>
              <w:spacing w:after="0"/>
              <w:rPr>
                <w:sz w:val="1"/>
                <w:szCs w:val="1"/>
                <w:color w:val="auto"/>
              </w:rPr>
            </w:pPr>
          </w:p>
        </w:tc>
      </w:tr>
      <w:tr>
        <w:trPr>
          <w:trHeight w:val="128"/>
        </w:trPr>
        <w:tc>
          <w:tcPr>
            <w:tcW w:w="318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Change in Interest Rate</w:t>
            </w:r>
          </w:p>
        </w:tc>
        <w:tc>
          <w:tcPr>
            <w:tcW w:w="1400" w:type="dxa"/>
            <w:vAlign w:val="bottom"/>
            <w:tcBorders>
              <w:top w:val="single" w:sz="8" w:color="auto"/>
            </w:tcBorders>
            <w:gridSpan w:val="2"/>
          </w:tcPr>
          <w:p>
            <w:pPr>
              <w:jc w:val="center"/>
              <w:ind w:right="120"/>
              <w:spacing w:after="0" w:line="129" w:lineRule="exact"/>
              <w:rPr>
                <w:sz w:val="20"/>
                <w:szCs w:val="20"/>
                <w:color w:val="auto"/>
              </w:rPr>
            </w:pPr>
            <w:r>
              <w:rPr>
                <w:rFonts w:ascii="Arial" w:cs="Arial" w:eastAsia="Arial" w:hAnsi="Arial"/>
                <w:sz w:val="14"/>
                <w:szCs w:val="14"/>
                <w:b w:val="1"/>
                <w:bCs w:val="1"/>
                <w:color w:val="auto"/>
                <w:w w:val="91"/>
              </w:rPr>
              <w:t>Weighted Average</w:t>
            </w:r>
          </w:p>
        </w:tc>
        <w:tc>
          <w:tcPr>
            <w:tcW w:w="128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1"/>
              </w:rPr>
              <w:t>Weighted Average</w:t>
            </w:r>
          </w:p>
        </w:tc>
        <w:tc>
          <w:tcPr>
            <w:tcW w:w="160" w:type="dxa"/>
            <w:vAlign w:val="bottom"/>
          </w:tcPr>
          <w:p>
            <w:pPr>
              <w:spacing w:after="0"/>
              <w:rPr>
                <w:sz w:val="11"/>
                <w:szCs w:val="11"/>
                <w:color w:val="auto"/>
              </w:rPr>
            </w:pPr>
          </w:p>
        </w:tc>
        <w:tc>
          <w:tcPr>
            <w:tcW w:w="1380" w:type="dxa"/>
            <w:vAlign w:val="bottom"/>
            <w:tcBorders>
              <w:top w:val="single" w:sz="8" w:color="auto"/>
            </w:tcBorders>
            <w:gridSpan w:val="2"/>
          </w:tcPr>
          <w:p>
            <w:pPr>
              <w:jc w:val="center"/>
              <w:ind w:right="100"/>
              <w:spacing w:after="0" w:line="129" w:lineRule="exact"/>
              <w:rPr>
                <w:sz w:val="20"/>
                <w:szCs w:val="20"/>
                <w:color w:val="auto"/>
              </w:rPr>
            </w:pPr>
            <w:r>
              <w:rPr>
                <w:rFonts w:ascii="Arial" w:cs="Arial" w:eastAsia="Arial" w:hAnsi="Arial"/>
                <w:sz w:val="14"/>
                <w:szCs w:val="14"/>
                <w:b w:val="1"/>
                <w:bCs w:val="1"/>
                <w:color w:val="auto"/>
                <w:w w:val="91"/>
              </w:rPr>
              <w:t>Weighted Average</w:t>
            </w:r>
          </w:p>
        </w:tc>
        <w:tc>
          <w:tcPr>
            <w:tcW w:w="130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1"/>
              </w:rPr>
              <w:t>Weighted Average</w:t>
            </w:r>
          </w:p>
        </w:tc>
        <w:tc>
          <w:tcPr>
            <w:tcW w:w="0" w:type="dxa"/>
            <w:vAlign w:val="bottom"/>
          </w:tcPr>
          <w:p>
            <w:pPr>
              <w:spacing w:after="0"/>
              <w:rPr>
                <w:sz w:val="1"/>
                <w:szCs w:val="1"/>
                <w:color w:val="auto"/>
              </w:rPr>
            </w:pPr>
          </w:p>
        </w:tc>
      </w:tr>
      <w:tr>
        <w:trPr>
          <w:trHeight w:val="189"/>
        </w:trPr>
        <w:tc>
          <w:tcPr>
            <w:tcW w:w="3180" w:type="dxa"/>
            <w:vAlign w:val="bottom"/>
            <w:gridSpan w:val="2"/>
            <w:vMerge w:val="continue"/>
          </w:tcPr>
          <w:p>
            <w:pPr>
              <w:spacing w:after="0"/>
              <w:rPr>
                <w:sz w:val="16"/>
                <w:szCs w:val="16"/>
                <w:color w:val="auto"/>
              </w:rPr>
            </w:pPr>
          </w:p>
        </w:tc>
        <w:tc>
          <w:tcPr>
            <w:tcW w:w="14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4"/>
              </w:rPr>
              <w:t>Projected CPR</w:t>
            </w:r>
          </w:p>
        </w:tc>
        <w:tc>
          <w:tcPr>
            <w:tcW w:w="1440" w:type="dxa"/>
            <w:vAlign w:val="bottom"/>
            <w:gridSpan w:val="2"/>
          </w:tcPr>
          <w:p>
            <w:pPr>
              <w:jc w:val="center"/>
              <w:ind w:right="160"/>
              <w:spacing w:after="0" w:line="189" w:lineRule="exact"/>
              <w:rPr>
                <w:sz w:val="20"/>
                <w:szCs w:val="20"/>
                <w:color w:val="auto"/>
              </w:rPr>
            </w:pPr>
            <w:r>
              <w:rPr>
                <w:rFonts w:ascii="Arial" w:cs="Arial" w:eastAsia="Arial" w:hAnsi="Arial"/>
                <w:sz w:val="14"/>
                <w:szCs w:val="14"/>
                <w:b w:val="1"/>
                <w:bCs w:val="1"/>
                <w:color w:val="auto"/>
                <w:w w:val="88"/>
              </w:rPr>
              <w:t xml:space="preserve">Asset Yield </w:t>
            </w:r>
            <w:r>
              <w:rPr>
                <w:rFonts w:ascii="Arial" w:cs="Arial" w:eastAsia="Arial" w:hAnsi="Arial"/>
                <w:sz w:val="18"/>
                <w:szCs w:val="18"/>
                <w:b w:val="1"/>
                <w:bCs w:val="1"/>
                <w:color w:val="auto"/>
                <w:w w:val="88"/>
                <w:vertAlign w:val="superscript"/>
              </w:rPr>
              <w:t>2</w:t>
            </w:r>
          </w:p>
        </w:tc>
        <w:tc>
          <w:tcPr>
            <w:tcW w:w="13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4"/>
              </w:rPr>
              <w:t>Projected CPR</w:t>
            </w:r>
          </w:p>
        </w:tc>
        <w:tc>
          <w:tcPr>
            <w:tcW w:w="1300" w:type="dxa"/>
            <w:vAlign w:val="bottom"/>
          </w:tcPr>
          <w:p>
            <w:pPr>
              <w:jc w:val="center"/>
              <w:spacing w:after="0" w:line="189" w:lineRule="exact"/>
              <w:rPr>
                <w:sz w:val="20"/>
                <w:szCs w:val="20"/>
                <w:color w:val="auto"/>
              </w:rPr>
            </w:pPr>
            <w:r>
              <w:rPr>
                <w:rFonts w:ascii="Arial" w:cs="Arial" w:eastAsia="Arial" w:hAnsi="Arial"/>
                <w:sz w:val="14"/>
                <w:szCs w:val="14"/>
                <w:b w:val="1"/>
                <w:bCs w:val="1"/>
                <w:color w:val="auto"/>
                <w:w w:val="90"/>
              </w:rPr>
              <w:t xml:space="preserve">Asset Yield </w:t>
            </w:r>
            <w:r>
              <w:rPr>
                <w:rFonts w:ascii="Arial" w:cs="Arial" w:eastAsia="Arial" w:hAnsi="Arial"/>
                <w:sz w:val="18"/>
                <w:szCs w:val="18"/>
                <w:b w:val="1"/>
                <w:bCs w:val="1"/>
                <w:color w:val="auto"/>
                <w:w w:val="90"/>
                <w:vertAlign w:val="superscript"/>
              </w:rPr>
              <w:t>2</w:t>
            </w:r>
          </w:p>
        </w:tc>
        <w:tc>
          <w:tcPr>
            <w:tcW w:w="0" w:type="dxa"/>
            <w:vAlign w:val="bottom"/>
          </w:tcPr>
          <w:p>
            <w:pPr>
              <w:spacing w:after="0"/>
              <w:rPr>
                <w:sz w:val="1"/>
                <w:szCs w:val="1"/>
                <w:color w:val="auto"/>
              </w:rPr>
            </w:pPr>
          </w:p>
        </w:tc>
      </w:tr>
      <w:tr>
        <w:trPr>
          <w:trHeight w:val="183"/>
        </w:trPr>
        <w:tc>
          <w:tcPr>
            <w:tcW w:w="30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-75 Basis Points</w:t>
            </w:r>
          </w:p>
        </w:tc>
        <w:tc>
          <w:tcPr>
            <w:tcW w:w="160" w:type="dxa"/>
            <w:vAlign w:val="bottom"/>
            <w:tcBorders>
              <w:top w:val="single" w:sz="8" w:color="CCEEFF"/>
            </w:tcBorders>
            <w:shd w:val="clear" w:color="auto" w:fill="CCEEFF"/>
          </w:tcPr>
          <w:p>
            <w:pPr>
              <w:spacing w:after="0"/>
              <w:rPr>
                <w:sz w:val="15"/>
                <w:szCs w:val="15"/>
                <w:color w:val="auto"/>
              </w:rPr>
            </w:pPr>
          </w:p>
        </w:tc>
        <w:tc>
          <w:tcPr>
            <w:tcW w:w="12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3"/>
              </w:rPr>
              <w:t>7.9%</w:t>
            </w:r>
          </w:p>
        </w:tc>
        <w:tc>
          <w:tcPr>
            <w:tcW w:w="120" w:type="dxa"/>
            <w:vAlign w:val="bottom"/>
            <w:tcBorders>
              <w:top w:val="single" w:sz="8" w:color="CCEEFF"/>
            </w:tcBorders>
            <w:shd w:val="clear" w:color="auto" w:fill="CCEEFF"/>
          </w:tcPr>
          <w:p>
            <w:pPr>
              <w:spacing w:after="0"/>
              <w:rPr>
                <w:sz w:val="15"/>
                <w:szCs w:val="15"/>
                <w:color w:val="auto"/>
              </w:rPr>
            </w:pPr>
          </w:p>
        </w:tc>
        <w:tc>
          <w:tcPr>
            <w:tcW w:w="12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2.81%</w:t>
            </w:r>
          </w:p>
        </w:tc>
        <w:tc>
          <w:tcPr>
            <w:tcW w:w="160" w:type="dxa"/>
            <w:vAlign w:val="bottom"/>
            <w:tcBorders>
              <w:top w:val="single" w:sz="8" w:color="CCEEFF"/>
            </w:tcBorders>
            <w:shd w:val="clear" w:color="auto" w:fill="CCEEFF"/>
          </w:tcPr>
          <w:p>
            <w:pPr>
              <w:spacing w:after="0"/>
              <w:rPr>
                <w:sz w:val="15"/>
                <w:szCs w:val="15"/>
                <w:color w:val="auto"/>
              </w:rPr>
            </w:pPr>
          </w:p>
        </w:tc>
        <w:tc>
          <w:tcPr>
            <w:tcW w:w="12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17.0%</w:t>
            </w:r>
          </w:p>
        </w:tc>
        <w:tc>
          <w:tcPr>
            <w:tcW w:w="100" w:type="dxa"/>
            <w:vAlign w:val="bottom"/>
            <w:tcBorders>
              <w:top w:val="single" w:sz="8" w:color="CCEEFF"/>
            </w:tcBorders>
            <w:shd w:val="clear" w:color="auto" w:fill="CCEEFF"/>
          </w:tcPr>
          <w:p>
            <w:pPr>
              <w:spacing w:after="0"/>
              <w:rPr>
                <w:sz w:val="15"/>
                <w:szCs w:val="15"/>
                <w:color w:val="auto"/>
              </w:rPr>
            </w:pPr>
          </w:p>
        </w:tc>
        <w:tc>
          <w:tcPr>
            <w:tcW w:w="13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2.21%</w:t>
            </w:r>
          </w:p>
        </w:tc>
        <w:tc>
          <w:tcPr>
            <w:tcW w:w="0" w:type="dxa"/>
            <w:vAlign w:val="bottom"/>
          </w:tcPr>
          <w:p>
            <w:pPr>
              <w:spacing w:after="0"/>
              <w:rPr>
                <w:sz w:val="1"/>
                <w:szCs w:val="1"/>
                <w:color w:val="auto"/>
              </w:rPr>
            </w:pPr>
          </w:p>
        </w:tc>
      </w:tr>
      <w:tr>
        <w:trPr>
          <w:trHeight w:val="186"/>
        </w:trPr>
        <w:tc>
          <w:tcPr>
            <w:tcW w:w="3180" w:type="dxa"/>
            <w:vAlign w:val="bottom"/>
            <w:gridSpan w:val="2"/>
          </w:tcPr>
          <w:p>
            <w:pPr>
              <w:ind w:left="20"/>
              <w:spacing w:after="0"/>
              <w:rPr>
                <w:sz w:val="20"/>
                <w:szCs w:val="20"/>
                <w:color w:val="auto"/>
              </w:rPr>
            </w:pPr>
            <w:r>
              <w:rPr>
                <w:rFonts w:ascii="Arial" w:cs="Arial" w:eastAsia="Arial" w:hAnsi="Arial"/>
                <w:sz w:val="14"/>
                <w:szCs w:val="14"/>
                <w:color w:val="auto"/>
              </w:rPr>
              <w:t>-50 Basis Points</w:t>
            </w:r>
          </w:p>
        </w:tc>
        <w:tc>
          <w:tcPr>
            <w:tcW w:w="1280" w:type="dxa"/>
            <w:vAlign w:val="bottom"/>
          </w:tcPr>
          <w:p>
            <w:pPr>
              <w:jc w:val="center"/>
              <w:spacing w:after="0"/>
              <w:rPr>
                <w:sz w:val="20"/>
                <w:szCs w:val="20"/>
                <w:color w:val="auto"/>
              </w:rPr>
            </w:pPr>
            <w:r>
              <w:rPr>
                <w:rFonts w:ascii="Arial" w:cs="Arial" w:eastAsia="Arial" w:hAnsi="Arial"/>
                <w:sz w:val="14"/>
                <w:szCs w:val="14"/>
                <w:color w:val="auto"/>
                <w:w w:val="93"/>
              </w:rPr>
              <w:t>7.6%</w:t>
            </w:r>
          </w:p>
        </w:tc>
        <w:tc>
          <w:tcPr>
            <w:tcW w:w="120" w:type="dxa"/>
            <w:vAlign w:val="bottom"/>
          </w:tcPr>
          <w:p>
            <w:pPr>
              <w:spacing w:after="0"/>
              <w:rPr>
                <w:sz w:val="16"/>
                <w:szCs w:val="16"/>
                <w:color w:val="auto"/>
              </w:rPr>
            </w:pPr>
          </w:p>
        </w:tc>
        <w:tc>
          <w:tcPr>
            <w:tcW w:w="1280" w:type="dxa"/>
            <w:vAlign w:val="bottom"/>
          </w:tcPr>
          <w:p>
            <w:pPr>
              <w:jc w:val="center"/>
              <w:spacing w:after="0"/>
              <w:rPr>
                <w:sz w:val="20"/>
                <w:szCs w:val="20"/>
                <w:color w:val="auto"/>
              </w:rPr>
            </w:pPr>
            <w:r>
              <w:rPr>
                <w:rFonts w:ascii="Arial" w:cs="Arial" w:eastAsia="Arial" w:hAnsi="Arial"/>
                <w:sz w:val="14"/>
                <w:szCs w:val="14"/>
                <w:color w:val="auto"/>
                <w:w w:val="95"/>
              </w:rPr>
              <w:t>2.83%</w:t>
            </w:r>
          </w:p>
        </w:tc>
        <w:tc>
          <w:tcPr>
            <w:tcW w:w="160" w:type="dxa"/>
            <w:vAlign w:val="bottom"/>
          </w:tcPr>
          <w:p>
            <w:pPr>
              <w:spacing w:after="0"/>
              <w:rPr>
                <w:sz w:val="16"/>
                <w:szCs w:val="16"/>
                <w:color w:val="auto"/>
              </w:rPr>
            </w:pPr>
          </w:p>
        </w:tc>
        <w:tc>
          <w:tcPr>
            <w:tcW w:w="1280" w:type="dxa"/>
            <w:vAlign w:val="bottom"/>
          </w:tcPr>
          <w:p>
            <w:pPr>
              <w:jc w:val="center"/>
              <w:spacing w:after="0"/>
              <w:rPr>
                <w:sz w:val="20"/>
                <w:szCs w:val="20"/>
                <w:color w:val="auto"/>
              </w:rPr>
            </w:pPr>
            <w:r>
              <w:rPr>
                <w:rFonts w:ascii="Arial" w:cs="Arial" w:eastAsia="Arial" w:hAnsi="Arial"/>
                <w:sz w:val="14"/>
                <w:szCs w:val="14"/>
                <w:color w:val="auto"/>
                <w:w w:val="90"/>
              </w:rPr>
              <w:t>14.1%</w:t>
            </w:r>
          </w:p>
        </w:tc>
        <w:tc>
          <w:tcPr>
            <w:tcW w:w="100" w:type="dxa"/>
            <w:vAlign w:val="bottom"/>
          </w:tcPr>
          <w:p>
            <w:pPr>
              <w:spacing w:after="0"/>
              <w:rPr>
                <w:sz w:val="16"/>
                <w:szCs w:val="16"/>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5"/>
              </w:rPr>
              <w:t>2.30%</w:t>
            </w:r>
          </w:p>
        </w:tc>
        <w:tc>
          <w:tcPr>
            <w:tcW w:w="0" w:type="dxa"/>
            <w:vAlign w:val="bottom"/>
          </w:tcPr>
          <w:p>
            <w:pPr>
              <w:spacing w:after="0"/>
              <w:rPr>
                <w:sz w:val="1"/>
                <w:szCs w:val="1"/>
                <w:color w:val="auto"/>
              </w:rPr>
            </w:pPr>
          </w:p>
        </w:tc>
      </w:tr>
      <w:tr>
        <w:trPr>
          <w:trHeight w:val="192"/>
        </w:trPr>
        <w:tc>
          <w:tcPr>
            <w:tcW w:w="31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-25 Basis Points</w:t>
            </w: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7.3%</w:t>
            </w:r>
          </w:p>
        </w:tc>
        <w:tc>
          <w:tcPr>
            <w:tcW w:w="120" w:type="dxa"/>
            <w:vAlign w:val="bottom"/>
            <w:shd w:val="clear" w:color="auto" w:fill="CCEEFF"/>
          </w:tcPr>
          <w:p>
            <w:pPr>
              <w:spacing w:after="0"/>
              <w:rPr>
                <w:sz w:val="16"/>
                <w:szCs w:val="16"/>
                <w:color w:val="auto"/>
              </w:rPr>
            </w:pP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2.84%</w:t>
            </w:r>
          </w:p>
        </w:tc>
        <w:tc>
          <w:tcPr>
            <w:tcW w:w="160" w:type="dxa"/>
            <w:vAlign w:val="bottom"/>
            <w:shd w:val="clear" w:color="auto" w:fill="CCEEFF"/>
          </w:tcPr>
          <w:p>
            <w:pPr>
              <w:spacing w:after="0"/>
              <w:rPr>
                <w:sz w:val="16"/>
                <w:szCs w:val="16"/>
                <w:color w:val="auto"/>
              </w:rPr>
            </w:pP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12.2%</w:t>
            </w:r>
          </w:p>
        </w:tc>
        <w:tc>
          <w:tcPr>
            <w:tcW w:w="100" w:type="dxa"/>
            <w:vAlign w:val="bottom"/>
            <w:shd w:val="clear" w:color="auto" w:fill="CCEEFF"/>
          </w:tcPr>
          <w:p>
            <w:pPr>
              <w:spacing w:after="0"/>
              <w:rPr>
                <w:sz w:val="16"/>
                <w:szCs w:val="16"/>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2.37%</w:t>
            </w:r>
          </w:p>
        </w:tc>
        <w:tc>
          <w:tcPr>
            <w:tcW w:w="0" w:type="dxa"/>
            <w:vAlign w:val="bottom"/>
          </w:tcPr>
          <w:p>
            <w:pPr>
              <w:spacing w:after="0"/>
              <w:rPr>
                <w:sz w:val="1"/>
                <w:szCs w:val="1"/>
                <w:color w:val="auto"/>
              </w:rPr>
            </w:pPr>
          </w:p>
        </w:tc>
      </w:tr>
      <w:tr>
        <w:trPr>
          <w:trHeight w:val="186"/>
        </w:trPr>
        <w:tc>
          <w:tcPr>
            <w:tcW w:w="3180" w:type="dxa"/>
            <w:vAlign w:val="bottom"/>
            <w:gridSpan w:val="2"/>
          </w:tcPr>
          <w:p>
            <w:pPr>
              <w:ind w:left="80"/>
              <w:spacing w:after="0"/>
              <w:rPr>
                <w:sz w:val="20"/>
                <w:szCs w:val="20"/>
                <w:color w:val="auto"/>
              </w:rPr>
            </w:pPr>
            <w:r>
              <w:rPr>
                <w:rFonts w:ascii="Arial" w:cs="Arial" w:eastAsia="Arial" w:hAnsi="Arial"/>
                <w:sz w:val="14"/>
                <w:szCs w:val="14"/>
                <w:color w:val="auto"/>
              </w:rPr>
              <w:t>Actual as of Period End</w:t>
            </w:r>
          </w:p>
        </w:tc>
        <w:tc>
          <w:tcPr>
            <w:tcW w:w="1280" w:type="dxa"/>
            <w:vAlign w:val="bottom"/>
          </w:tcPr>
          <w:p>
            <w:pPr>
              <w:jc w:val="center"/>
              <w:spacing w:after="0"/>
              <w:rPr>
                <w:sz w:val="20"/>
                <w:szCs w:val="20"/>
                <w:color w:val="auto"/>
              </w:rPr>
            </w:pPr>
            <w:r>
              <w:rPr>
                <w:rFonts w:ascii="Arial" w:cs="Arial" w:eastAsia="Arial" w:hAnsi="Arial"/>
                <w:sz w:val="14"/>
                <w:szCs w:val="14"/>
                <w:color w:val="auto"/>
                <w:w w:val="93"/>
              </w:rPr>
              <w:t>7.2%</w:t>
            </w:r>
          </w:p>
        </w:tc>
        <w:tc>
          <w:tcPr>
            <w:tcW w:w="120" w:type="dxa"/>
            <w:vAlign w:val="bottom"/>
          </w:tcPr>
          <w:p>
            <w:pPr>
              <w:spacing w:after="0"/>
              <w:rPr>
                <w:sz w:val="16"/>
                <w:szCs w:val="16"/>
                <w:color w:val="auto"/>
              </w:rPr>
            </w:pPr>
          </w:p>
        </w:tc>
        <w:tc>
          <w:tcPr>
            <w:tcW w:w="1280" w:type="dxa"/>
            <w:vAlign w:val="bottom"/>
          </w:tcPr>
          <w:p>
            <w:pPr>
              <w:jc w:val="center"/>
              <w:spacing w:after="0"/>
              <w:rPr>
                <w:sz w:val="20"/>
                <w:szCs w:val="20"/>
                <w:color w:val="auto"/>
              </w:rPr>
            </w:pPr>
            <w:r>
              <w:rPr>
                <w:rFonts w:ascii="Arial" w:cs="Arial" w:eastAsia="Arial" w:hAnsi="Arial"/>
                <w:sz w:val="14"/>
                <w:szCs w:val="14"/>
                <w:color w:val="auto"/>
                <w:w w:val="95"/>
              </w:rPr>
              <w:t>2.85%</w:t>
            </w:r>
          </w:p>
        </w:tc>
        <w:tc>
          <w:tcPr>
            <w:tcW w:w="160" w:type="dxa"/>
            <w:vAlign w:val="bottom"/>
          </w:tcPr>
          <w:p>
            <w:pPr>
              <w:spacing w:after="0"/>
              <w:rPr>
                <w:sz w:val="16"/>
                <w:szCs w:val="16"/>
                <w:color w:val="auto"/>
              </w:rPr>
            </w:pPr>
          </w:p>
        </w:tc>
        <w:tc>
          <w:tcPr>
            <w:tcW w:w="1280" w:type="dxa"/>
            <w:vAlign w:val="bottom"/>
          </w:tcPr>
          <w:p>
            <w:pPr>
              <w:jc w:val="center"/>
              <w:spacing w:after="0"/>
              <w:rPr>
                <w:sz w:val="20"/>
                <w:szCs w:val="20"/>
                <w:color w:val="auto"/>
              </w:rPr>
            </w:pPr>
            <w:r>
              <w:rPr>
                <w:rFonts w:ascii="Arial" w:cs="Arial" w:eastAsia="Arial" w:hAnsi="Arial"/>
                <w:sz w:val="14"/>
                <w:szCs w:val="14"/>
                <w:color w:val="auto"/>
                <w:w w:val="90"/>
              </w:rPr>
              <w:t>10.9%</w:t>
            </w:r>
          </w:p>
        </w:tc>
        <w:tc>
          <w:tcPr>
            <w:tcW w:w="100" w:type="dxa"/>
            <w:vAlign w:val="bottom"/>
          </w:tcPr>
          <w:p>
            <w:pPr>
              <w:spacing w:after="0"/>
              <w:rPr>
                <w:sz w:val="16"/>
                <w:szCs w:val="16"/>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5"/>
              </w:rPr>
              <w:t>2.43%</w:t>
            </w:r>
          </w:p>
        </w:tc>
        <w:tc>
          <w:tcPr>
            <w:tcW w:w="0" w:type="dxa"/>
            <w:vAlign w:val="bottom"/>
          </w:tcPr>
          <w:p>
            <w:pPr>
              <w:spacing w:after="0"/>
              <w:rPr>
                <w:sz w:val="1"/>
                <w:szCs w:val="1"/>
                <w:color w:val="auto"/>
              </w:rPr>
            </w:pPr>
          </w:p>
        </w:tc>
      </w:tr>
      <w:tr>
        <w:trPr>
          <w:trHeight w:val="192"/>
        </w:trPr>
        <w:tc>
          <w:tcPr>
            <w:tcW w:w="31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+25 Basis Points</w:t>
            </w: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7.0%</w:t>
            </w:r>
          </w:p>
        </w:tc>
        <w:tc>
          <w:tcPr>
            <w:tcW w:w="120" w:type="dxa"/>
            <w:vAlign w:val="bottom"/>
            <w:shd w:val="clear" w:color="auto" w:fill="CCEEFF"/>
          </w:tcPr>
          <w:p>
            <w:pPr>
              <w:spacing w:after="0"/>
              <w:rPr>
                <w:sz w:val="16"/>
                <w:szCs w:val="16"/>
                <w:color w:val="auto"/>
              </w:rPr>
            </w:pP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2.86%</w:t>
            </w:r>
          </w:p>
        </w:tc>
        <w:tc>
          <w:tcPr>
            <w:tcW w:w="160" w:type="dxa"/>
            <w:vAlign w:val="bottom"/>
            <w:shd w:val="clear" w:color="auto" w:fill="CCEEFF"/>
          </w:tcPr>
          <w:p>
            <w:pPr>
              <w:spacing w:after="0"/>
              <w:rPr>
                <w:sz w:val="16"/>
                <w:szCs w:val="16"/>
                <w:color w:val="auto"/>
              </w:rPr>
            </w:pP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9.9%</w:t>
            </w:r>
          </w:p>
        </w:tc>
        <w:tc>
          <w:tcPr>
            <w:tcW w:w="100" w:type="dxa"/>
            <w:vAlign w:val="bottom"/>
            <w:shd w:val="clear" w:color="auto" w:fill="CCEEFF"/>
          </w:tcPr>
          <w:p>
            <w:pPr>
              <w:spacing w:after="0"/>
              <w:rPr>
                <w:sz w:val="16"/>
                <w:szCs w:val="16"/>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2.47%</w:t>
            </w:r>
          </w:p>
        </w:tc>
        <w:tc>
          <w:tcPr>
            <w:tcW w:w="0" w:type="dxa"/>
            <w:vAlign w:val="bottom"/>
          </w:tcPr>
          <w:p>
            <w:pPr>
              <w:spacing w:after="0"/>
              <w:rPr>
                <w:sz w:val="1"/>
                <w:szCs w:val="1"/>
                <w:color w:val="auto"/>
              </w:rPr>
            </w:pPr>
          </w:p>
        </w:tc>
      </w:tr>
      <w:tr>
        <w:trPr>
          <w:trHeight w:val="186"/>
        </w:trPr>
        <w:tc>
          <w:tcPr>
            <w:tcW w:w="3180" w:type="dxa"/>
            <w:vAlign w:val="bottom"/>
            <w:gridSpan w:val="2"/>
          </w:tcPr>
          <w:p>
            <w:pPr>
              <w:ind w:left="20"/>
              <w:spacing w:after="0"/>
              <w:rPr>
                <w:sz w:val="20"/>
                <w:szCs w:val="20"/>
                <w:color w:val="auto"/>
              </w:rPr>
            </w:pPr>
            <w:r>
              <w:rPr>
                <w:rFonts w:ascii="Arial" w:cs="Arial" w:eastAsia="Arial" w:hAnsi="Arial"/>
                <w:sz w:val="14"/>
                <w:szCs w:val="14"/>
                <w:color w:val="auto"/>
              </w:rPr>
              <w:t>+50 Basis Points</w:t>
            </w:r>
          </w:p>
        </w:tc>
        <w:tc>
          <w:tcPr>
            <w:tcW w:w="1280" w:type="dxa"/>
            <w:vAlign w:val="bottom"/>
          </w:tcPr>
          <w:p>
            <w:pPr>
              <w:jc w:val="center"/>
              <w:spacing w:after="0"/>
              <w:rPr>
                <w:sz w:val="20"/>
                <w:szCs w:val="20"/>
                <w:color w:val="auto"/>
              </w:rPr>
            </w:pPr>
            <w:r>
              <w:rPr>
                <w:rFonts w:ascii="Arial" w:cs="Arial" w:eastAsia="Arial" w:hAnsi="Arial"/>
                <w:sz w:val="14"/>
                <w:szCs w:val="14"/>
                <w:color w:val="auto"/>
                <w:w w:val="93"/>
              </w:rPr>
              <w:t>6.9%</w:t>
            </w:r>
          </w:p>
        </w:tc>
        <w:tc>
          <w:tcPr>
            <w:tcW w:w="120" w:type="dxa"/>
            <w:vAlign w:val="bottom"/>
          </w:tcPr>
          <w:p>
            <w:pPr>
              <w:spacing w:after="0"/>
              <w:rPr>
                <w:sz w:val="16"/>
                <w:szCs w:val="16"/>
                <w:color w:val="auto"/>
              </w:rPr>
            </w:pPr>
          </w:p>
        </w:tc>
        <w:tc>
          <w:tcPr>
            <w:tcW w:w="1280" w:type="dxa"/>
            <w:vAlign w:val="bottom"/>
          </w:tcPr>
          <w:p>
            <w:pPr>
              <w:jc w:val="center"/>
              <w:spacing w:after="0"/>
              <w:rPr>
                <w:sz w:val="20"/>
                <w:szCs w:val="20"/>
                <w:color w:val="auto"/>
              </w:rPr>
            </w:pPr>
            <w:r>
              <w:rPr>
                <w:rFonts w:ascii="Arial" w:cs="Arial" w:eastAsia="Arial" w:hAnsi="Arial"/>
                <w:sz w:val="14"/>
                <w:szCs w:val="14"/>
                <w:color w:val="auto"/>
                <w:w w:val="95"/>
              </w:rPr>
              <w:t>2.87%</w:t>
            </w:r>
          </w:p>
        </w:tc>
        <w:tc>
          <w:tcPr>
            <w:tcW w:w="160" w:type="dxa"/>
            <w:vAlign w:val="bottom"/>
          </w:tcPr>
          <w:p>
            <w:pPr>
              <w:spacing w:after="0"/>
              <w:rPr>
                <w:sz w:val="16"/>
                <w:szCs w:val="16"/>
                <w:color w:val="auto"/>
              </w:rPr>
            </w:pPr>
          </w:p>
        </w:tc>
        <w:tc>
          <w:tcPr>
            <w:tcW w:w="1280" w:type="dxa"/>
            <w:vAlign w:val="bottom"/>
          </w:tcPr>
          <w:p>
            <w:pPr>
              <w:jc w:val="center"/>
              <w:spacing w:after="0"/>
              <w:rPr>
                <w:sz w:val="20"/>
                <w:szCs w:val="20"/>
                <w:color w:val="auto"/>
              </w:rPr>
            </w:pPr>
            <w:r>
              <w:rPr>
                <w:rFonts w:ascii="Arial" w:cs="Arial" w:eastAsia="Arial" w:hAnsi="Arial"/>
                <w:sz w:val="14"/>
                <w:szCs w:val="14"/>
                <w:color w:val="auto"/>
                <w:w w:val="93"/>
              </w:rPr>
              <w:t>9.1%</w:t>
            </w:r>
          </w:p>
        </w:tc>
        <w:tc>
          <w:tcPr>
            <w:tcW w:w="100" w:type="dxa"/>
            <w:vAlign w:val="bottom"/>
          </w:tcPr>
          <w:p>
            <w:pPr>
              <w:spacing w:after="0"/>
              <w:rPr>
                <w:sz w:val="16"/>
                <w:szCs w:val="16"/>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5"/>
              </w:rPr>
              <w:t>2.51%</w:t>
            </w:r>
          </w:p>
        </w:tc>
        <w:tc>
          <w:tcPr>
            <w:tcW w:w="0" w:type="dxa"/>
            <w:vAlign w:val="bottom"/>
          </w:tcPr>
          <w:p>
            <w:pPr>
              <w:spacing w:after="0"/>
              <w:rPr>
                <w:sz w:val="1"/>
                <w:szCs w:val="1"/>
                <w:color w:val="auto"/>
              </w:rPr>
            </w:pPr>
          </w:p>
        </w:tc>
      </w:tr>
      <w:tr>
        <w:trPr>
          <w:trHeight w:val="192"/>
        </w:trPr>
        <w:tc>
          <w:tcPr>
            <w:tcW w:w="31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+75 Basis Points</w:t>
            </w: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6.8%</w:t>
            </w:r>
          </w:p>
        </w:tc>
        <w:tc>
          <w:tcPr>
            <w:tcW w:w="120" w:type="dxa"/>
            <w:vAlign w:val="bottom"/>
            <w:shd w:val="clear" w:color="auto" w:fill="CCEEFF"/>
          </w:tcPr>
          <w:p>
            <w:pPr>
              <w:spacing w:after="0"/>
              <w:rPr>
                <w:sz w:val="16"/>
                <w:szCs w:val="16"/>
                <w:color w:val="auto"/>
              </w:rPr>
            </w:pP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2.88%</w:t>
            </w:r>
          </w:p>
        </w:tc>
        <w:tc>
          <w:tcPr>
            <w:tcW w:w="160" w:type="dxa"/>
            <w:vAlign w:val="bottom"/>
            <w:shd w:val="clear" w:color="auto" w:fill="CCEEFF"/>
          </w:tcPr>
          <w:p>
            <w:pPr>
              <w:spacing w:after="0"/>
              <w:rPr>
                <w:sz w:val="16"/>
                <w:szCs w:val="16"/>
                <w:color w:val="auto"/>
              </w:rPr>
            </w:pP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8.4%</w:t>
            </w:r>
          </w:p>
        </w:tc>
        <w:tc>
          <w:tcPr>
            <w:tcW w:w="100" w:type="dxa"/>
            <w:vAlign w:val="bottom"/>
            <w:shd w:val="clear" w:color="auto" w:fill="CCEEFF"/>
          </w:tcPr>
          <w:p>
            <w:pPr>
              <w:spacing w:after="0"/>
              <w:rPr>
                <w:sz w:val="16"/>
                <w:szCs w:val="16"/>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2.54%</w:t>
            </w:r>
          </w:p>
        </w:tc>
        <w:tc>
          <w:tcPr>
            <w:tcW w:w="0" w:type="dxa"/>
            <w:vAlign w:val="bottom"/>
          </w:tcPr>
          <w:p>
            <w:pPr>
              <w:spacing w:after="0"/>
              <w:rPr>
                <w:sz w:val="1"/>
                <w:szCs w:val="1"/>
                <w:color w:val="auto"/>
              </w:rPr>
            </w:pPr>
          </w:p>
        </w:tc>
      </w:tr>
    </w:tbl>
    <w:p>
      <w:pPr>
        <w:spacing w:after="0" w:line="96"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41" w:lineRule="auto"/>
        <w:tabs>
          <w:tab w:leader="none" w:pos="660" w:val="left"/>
        </w:tabs>
        <w:numPr>
          <w:ilvl w:val="0"/>
          <w:numId w:val="37"/>
        </w:numPr>
        <w:rPr>
          <w:rFonts w:ascii="Arial" w:cs="Arial" w:eastAsia="Arial" w:hAnsi="Arial"/>
          <w:sz w:val="14"/>
          <w:szCs w:val="14"/>
          <w:color w:val="auto"/>
        </w:rPr>
      </w:pPr>
      <w:r>
        <w:rPr>
          <w:rFonts w:ascii="Arial" w:cs="Arial" w:eastAsia="Arial" w:hAnsi="Arial"/>
          <w:sz w:val="14"/>
          <w:szCs w:val="14"/>
          <w:color w:val="auto"/>
        </w:rPr>
        <w:t>Derived from models that are dependent on inputs and assumptions and assumes a static portfolio. Actual results could differ materially from these estimates. Table excludes TBA securities.</w:t>
      </w:r>
    </w:p>
    <w:p>
      <w:pPr>
        <w:ind w:left="660" w:hanging="328"/>
        <w:spacing w:after="0"/>
        <w:tabs>
          <w:tab w:leader="none" w:pos="660" w:val="left"/>
        </w:tabs>
        <w:numPr>
          <w:ilvl w:val="0"/>
          <w:numId w:val="37"/>
        </w:numPr>
        <w:rPr>
          <w:rFonts w:ascii="Arial" w:cs="Arial" w:eastAsia="Arial" w:hAnsi="Arial"/>
          <w:sz w:val="14"/>
          <w:szCs w:val="14"/>
          <w:color w:val="auto"/>
        </w:rPr>
      </w:pPr>
      <w:r>
        <w:rPr>
          <w:rFonts w:ascii="Arial" w:cs="Arial" w:eastAsia="Arial" w:hAnsi="Arial"/>
          <w:sz w:val="14"/>
          <w:szCs w:val="14"/>
          <w:color w:val="auto"/>
        </w:rPr>
        <w:t>Asset yield based on historical cost basis and does not include the impact of retroactive "catch-up" premium amortization adjustments due to changes in projected CPR.</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Spread Risk</w:t>
      </w:r>
    </w:p>
    <w:p>
      <w:pPr>
        <w:spacing w:after="0" w:line="171" w:lineRule="exact"/>
        <w:rPr>
          <w:sz w:val="20"/>
          <w:szCs w:val="20"/>
          <w:color w:val="auto"/>
        </w:rPr>
      </w:pPr>
    </w:p>
    <w:p>
      <w:pPr>
        <w:jc w:val="both"/>
        <w:ind w:firstLine="486"/>
        <w:spacing w:after="0" w:line="279" w:lineRule="auto"/>
        <w:rPr>
          <w:sz w:val="20"/>
          <w:szCs w:val="20"/>
          <w:color w:val="auto"/>
        </w:rPr>
      </w:pPr>
      <w:r>
        <w:rPr>
          <w:rFonts w:ascii="Arial" w:cs="Arial" w:eastAsia="Arial" w:hAnsi="Arial"/>
          <w:sz w:val="17"/>
          <w:szCs w:val="17"/>
          <w:color w:val="auto"/>
        </w:rPr>
        <w:t>Spread risk is the risk that the market spread between the yield on our assets and the yield on benchmark interest rates linked to our interest rate hedges, such as U.S. Treasury rates and interest rate swap rates, may vary. As a levered investor in mortgage-backed securities, spread risk is an inherent component of our investment strategy. Therefore, although we use hedging instruments to attempt to protect against moves in interest rates, our hedges are generally not designed to protect against spread risk, and our tangible net book value could decline if spreads widen.</w:t>
      </w:r>
    </w:p>
    <w:p>
      <w:pPr>
        <w:spacing w:after="0" w:line="117" w:lineRule="exact"/>
        <w:rPr>
          <w:sz w:val="20"/>
          <w:szCs w:val="20"/>
          <w:color w:val="auto"/>
        </w:rPr>
      </w:pPr>
    </w:p>
    <w:p>
      <w:pPr>
        <w:jc w:val="both"/>
        <w:ind w:firstLine="486"/>
        <w:spacing w:after="0" w:line="271" w:lineRule="auto"/>
        <w:rPr>
          <w:sz w:val="20"/>
          <w:szCs w:val="20"/>
          <w:color w:val="auto"/>
        </w:rPr>
      </w:pPr>
      <w:r>
        <w:rPr>
          <w:rFonts w:ascii="Arial" w:cs="Arial" w:eastAsia="Arial" w:hAnsi="Arial"/>
          <w:sz w:val="17"/>
          <w:szCs w:val="17"/>
          <w:color w:val="auto"/>
        </w:rPr>
        <w:t>Fluctuations in mortgage spreads can occur due to a variety of factors, including changes in interest rates, prepayment expectations, actual or anticipated monetary policy actions by the U.S. and foreign central banks, liquidity conditions, required rates of returns on different assets and other market supply and demand factors. The table below quantifies the estimated changes in the fair value of our assets, net of hedges, and our tangible net book value per common share as of June 30, 2022 and December 31, 2021 should spreads widen or tighten by 10, 25 and 50 basis points. The estimated impact of changes in spreads is in addition to our interest rate shock sensitivity included in the interest rate shock table above. The table below assumes a spread duration of 6.1 and 5.4 years as of June 30, 2022 and December 31, 2021, respectively, based on interest rates and prices as of such dates; however, our portfolio's sensitivity to mortgage spread changes will vary with changes in interest rates and in the size and composition of our portfolio. Therefore, actual results could differ materially from our estimates.</w:t>
      </w:r>
    </w:p>
    <w:p>
      <w:pPr>
        <w:spacing w:after="0" w:line="148"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 xml:space="preserve">Spread Sensitivity </w:t>
      </w:r>
      <w:r>
        <w:rPr>
          <w:rFonts w:ascii="Arial" w:cs="Arial" w:eastAsia="Arial" w:hAnsi="Arial"/>
          <w:sz w:val="18"/>
          <w:szCs w:val="18"/>
          <w:b w:val="1"/>
          <w:bCs w:val="1"/>
          <w:color w:val="auto"/>
          <w:vertAlign w:val="superscript"/>
        </w:rPr>
        <w:t>1,2</w:t>
      </w:r>
    </w:p>
    <w:tbl>
      <w:tblPr>
        <w:tblLayout w:type="fixed"/>
        <w:tblInd w:w="1240" w:type="dxa"/>
        <w:tblCellMar>
          <w:top w:w="0" w:type="dxa"/>
          <w:left w:w="0" w:type="dxa"/>
          <w:bottom w:w="0" w:type="dxa"/>
          <w:right w:w="0" w:type="dxa"/>
        </w:tblCellMar>
      </w:tblPr>
      <w:tr>
        <w:trPr>
          <w:trHeight w:val="183"/>
        </w:trPr>
        <w:tc>
          <w:tcPr>
            <w:tcW w:w="3000" w:type="dxa"/>
            <w:vAlign w:val="bottom"/>
            <w:tcBorders>
              <w:top w:val="single" w:sz="8" w:color="auto"/>
            </w:tcBorders>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2880" w:type="dxa"/>
            <w:vAlign w:val="bottom"/>
            <w:tcBorders>
              <w:top w:val="single" w:sz="8" w:color="auto"/>
            </w:tcBorders>
            <w:gridSpan w:val="4"/>
          </w:tcPr>
          <w:p>
            <w:pPr>
              <w:ind w:left="940"/>
              <w:spacing w:after="0"/>
              <w:rPr>
                <w:sz w:val="20"/>
                <w:szCs w:val="20"/>
                <w:color w:val="auto"/>
              </w:rPr>
            </w:pPr>
            <w:r>
              <w:rPr>
                <w:rFonts w:ascii="Arial" w:cs="Arial" w:eastAsia="Arial" w:hAnsi="Arial"/>
                <w:sz w:val="14"/>
                <w:szCs w:val="14"/>
                <w:b w:val="1"/>
                <w:bCs w:val="1"/>
                <w:color w:val="auto"/>
              </w:rPr>
              <w:t>June 30, 2022</w:t>
            </w:r>
          </w:p>
        </w:tc>
        <w:tc>
          <w:tcPr>
            <w:tcW w:w="2720" w:type="dxa"/>
            <w:vAlign w:val="bottom"/>
            <w:tcBorders>
              <w:top w:val="single" w:sz="8" w:color="auto"/>
            </w:tcBorders>
            <w:gridSpan w:val="3"/>
          </w:tcPr>
          <w:p>
            <w:pPr>
              <w:ind w:left="780"/>
              <w:spacing w:after="0"/>
              <w:rPr>
                <w:sz w:val="20"/>
                <w:szCs w:val="20"/>
                <w:color w:val="auto"/>
              </w:rPr>
            </w:pPr>
            <w:r>
              <w:rPr>
                <w:rFonts w:ascii="Arial" w:cs="Arial" w:eastAsia="Arial" w:hAnsi="Arial"/>
                <w:sz w:val="14"/>
                <w:szCs w:val="14"/>
                <w:b w:val="1"/>
                <w:bCs w:val="1"/>
                <w:color w:val="auto"/>
              </w:rPr>
              <w:t>December 31, 2021</w:t>
            </w:r>
          </w:p>
        </w:tc>
        <w:tc>
          <w:tcPr>
            <w:tcW w:w="0" w:type="dxa"/>
            <w:vAlign w:val="bottom"/>
          </w:tcPr>
          <w:p>
            <w:pPr>
              <w:spacing w:after="0"/>
              <w:rPr>
                <w:sz w:val="1"/>
                <w:szCs w:val="1"/>
                <w:color w:val="auto"/>
              </w:rPr>
            </w:pPr>
          </w:p>
        </w:tc>
      </w:tr>
      <w:tr>
        <w:trPr>
          <w:trHeight w:val="128"/>
        </w:trPr>
        <w:tc>
          <w:tcPr>
            <w:tcW w:w="30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0" w:type="dxa"/>
            <w:vAlign w:val="bottom"/>
            <w:tcBorders>
              <w:top w:val="single" w:sz="8" w:color="auto"/>
            </w:tcBorders>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3"/>
              </w:rPr>
              <w:t>Estimated Change</w:t>
            </w:r>
          </w:p>
        </w:tc>
        <w:tc>
          <w:tcPr>
            <w:tcW w:w="132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2"/>
              </w:rPr>
              <w:t>Estimated Change in</w:t>
            </w:r>
          </w:p>
        </w:tc>
        <w:tc>
          <w:tcPr>
            <w:tcW w:w="160" w:type="dxa"/>
            <w:vAlign w:val="bottom"/>
          </w:tcPr>
          <w:p>
            <w:pPr>
              <w:spacing w:after="0"/>
              <w:rPr>
                <w:sz w:val="11"/>
                <w:szCs w:val="11"/>
                <w:color w:val="auto"/>
              </w:rPr>
            </w:pPr>
          </w:p>
        </w:tc>
        <w:tc>
          <w:tcPr>
            <w:tcW w:w="1400" w:type="dxa"/>
            <w:vAlign w:val="bottom"/>
            <w:tcBorders>
              <w:top w:val="single" w:sz="8" w:color="auto"/>
            </w:tcBorders>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3"/>
              </w:rPr>
              <w:t>Estimated Change</w:t>
            </w:r>
          </w:p>
        </w:tc>
        <w:tc>
          <w:tcPr>
            <w:tcW w:w="132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2"/>
              </w:rPr>
              <w:t>Estimated Change in</w:t>
            </w:r>
          </w:p>
        </w:tc>
        <w:tc>
          <w:tcPr>
            <w:tcW w:w="0" w:type="dxa"/>
            <w:vAlign w:val="bottom"/>
          </w:tcPr>
          <w:p>
            <w:pPr>
              <w:spacing w:after="0"/>
              <w:rPr>
                <w:sz w:val="1"/>
                <w:szCs w:val="1"/>
                <w:color w:val="auto"/>
              </w:rPr>
            </w:pPr>
          </w:p>
        </w:tc>
      </w:tr>
      <w:tr>
        <w:trPr>
          <w:trHeight w:val="135"/>
        </w:trPr>
        <w:tc>
          <w:tcPr>
            <w:tcW w:w="30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0" w:type="dxa"/>
            <w:vAlign w:val="bottom"/>
            <w:gridSpan w:val="2"/>
            <w:vMerge w:val="continue"/>
          </w:tcPr>
          <w:p>
            <w:pPr>
              <w:spacing w:after="0"/>
              <w:rPr>
                <w:sz w:val="11"/>
                <w:szCs w:val="11"/>
                <w:color w:val="auto"/>
              </w:rPr>
            </w:pPr>
          </w:p>
        </w:tc>
        <w:tc>
          <w:tcPr>
            <w:tcW w:w="1480" w:type="dxa"/>
            <w:vAlign w:val="bottom"/>
            <w:gridSpan w:val="2"/>
          </w:tcPr>
          <w:p>
            <w:pPr>
              <w:jc w:val="center"/>
              <w:ind w:right="140"/>
              <w:spacing w:after="0" w:line="135" w:lineRule="exact"/>
              <w:rPr>
                <w:sz w:val="20"/>
                <w:szCs w:val="20"/>
                <w:color w:val="auto"/>
              </w:rPr>
            </w:pPr>
            <w:r>
              <w:rPr>
                <w:rFonts w:ascii="Arial" w:cs="Arial" w:eastAsia="Arial" w:hAnsi="Arial"/>
                <w:sz w:val="14"/>
                <w:szCs w:val="14"/>
                <w:b w:val="1"/>
                <w:bCs w:val="1"/>
                <w:color w:val="auto"/>
                <w:w w:val="92"/>
              </w:rPr>
              <w:t>Tangible Net Book</w:t>
            </w:r>
          </w:p>
        </w:tc>
        <w:tc>
          <w:tcPr>
            <w:tcW w:w="1400" w:type="dxa"/>
            <w:vAlign w:val="bottom"/>
            <w:gridSpan w:val="2"/>
            <w:vMerge w:val="continue"/>
          </w:tcPr>
          <w:p>
            <w:pPr>
              <w:spacing w:after="0"/>
              <w:rPr>
                <w:sz w:val="11"/>
                <w:szCs w:val="11"/>
                <w:color w:val="auto"/>
              </w:rPr>
            </w:pPr>
          </w:p>
        </w:tc>
        <w:tc>
          <w:tcPr>
            <w:tcW w:w="132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2"/>
              </w:rPr>
              <w:t>Tangible Net Book</w:t>
            </w:r>
          </w:p>
        </w:tc>
        <w:tc>
          <w:tcPr>
            <w:tcW w:w="0" w:type="dxa"/>
            <w:vAlign w:val="bottom"/>
          </w:tcPr>
          <w:p>
            <w:pPr>
              <w:spacing w:after="0"/>
              <w:rPr>
                <w:sz w:val="1"/>
                <w:szCs w:val="1"/>
                <w:color w:val="auto"/>
              </w:rPr>
            </w:pPr>
          </w:p>
        </w:tc>
      </w:tr>
      <w:tr>
        <w:trPr>
          <w:trHeight w:val="135"/>
        </w:trPr>
        <w:tc>
          <w:tcPr>
            <w:tcW w:w="316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Change in MBS Spread</w:t>
            </w:r>
          </w:p>
        </w:tc>
        <w:tc>
          <w:tcPr>
            <w:tcW w:w="140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5"/>
              </w:rPr>
              <w:t>in Portfolio Market</w:t>
            </w:r>
          </w:p>
        </w:tc>
        <w:tc>
          <w:tcPr>
            <w:tcW w:w="1480" w:type="dxa"/>
            <w:vAlign w:val="bottom"/>
            <w:gridSpan w:val="2"/>
          </w:tcPr>
          <w:p>
            <w:pPr>
              <w:jc w:val="center"/>
              <w:ind w:right="160"/>
              <w:spacing w:after="0" w:line="135" w:lineRule="exact"/>
              <w:rPr>
                <w:sz w:val="20"/>
                <w:szCs w:val="20"/>
                <w:color w:val="auto"/>
              </w:rPr>
            </w:pPr>
            <w:r>
              <w:rPr>
                <w:rFonts w:ascii="Arial" w:cs="Arial" w:eastAsia="Arial" w:hAnsi="Arial"/>
                <w:sz w:val="14"/>
                <w:szCs w:val="14"/>
                <w:b w:val="1"/>
                <w:bCs w:val="1"/>
                <w:color w:val="auto"/>
                <w:w w:val="93"/>
              </w:rPr>
              <w:t>Value Per Common</w:t>
            </w:r>
          </w:p>
        </w:tc>
        <w:tc>
          <w:tcPr>
            <w:tcW w:w="1400" w:type="dxa"/>
            <w:vAlign w:val="bottom"/>
            <w:gridSpan w:val="2"/>
          </w:tcPr>
          <w:p>
            <w:pPr>
              <w:jc w:val="center"/>
              <w:ind w:right="120"/>
              <w:spacing w:after="0" w:line="135" w:lineRule="exact"/>
              <w:rPr>
                <w:sz w:val="20"/>
                <w:szCs w:val="20"/>
                <w:color w:val="auto"/>
              </w:rPr>
            </w:pPr>
            <w:r>
              <w:rPr>
                <w:rFonts w:ascii="Arial" w:cs="Arial" w:eastAsia="Arial" w:hAnsi="Arial"/>
                <w:sz w:val="14"/>
                <w:szCs w:val="14"/>
                <w:b w:val="1"/>
                <w:bCs w:val="1"/>
                <w:color w:val="auto"/>
                <w:w w:val="97"/>
              </w:rPr>
              <w:t>in Portfolio Market</w:t>
            </w:r>
          </w:p>
        </w:tc>
        <w:tc>
          <w:tcPr>
            <w:tcW w:w="132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3"/>
              </w:rPr>
              <w:t>Value Per Common</w:t>
            </w:r>
          </w:p>
        </w:tc>
        <w:tc>
          <w:tcPr>
            <w:tcW w:w="0" w:type="dxa"/>
            <w:vAlign w:val="bottom"/>
          </w:tcPr>
          <w:p>
            <w:pPr>
              <w:spacing w:after="0"/>
              <w:rPr>
                <w:sz w:val="1"/>
                <w:szCs w:val="1"/>
                <w:color w:val="auto"/>
              </w:rPr>
            </w:pPr>
          </w:p>
        </w:tc>
      </w:tr>
      <w:tr>
        <w:trPr>
          <w:trHeight w:val="188"/>
        </w:trPr>
        <w:tc>
          <w:tcPr>
            <w:tcW w:w="3160" w:type="dxa"/>
            <w:vAlign w:val="bottom"/>
            <w:gridSpan w:val="2"/>
            <w:vMerge w:val="continue"/>
          </w:tcPr>
          <w:p>
            <w:pPr>
              <w:spacing w:after="0"/>
              <w:rPr>
                <w:sz w:val="16"/>
                <w:szCs w:val="16"/>
                <w:color w:val="auto"/>
              </w:rPr>
            </w:pPr>
          </w:p>
        </w:tc>
        <w:tc>
          <w:tcPr>
            <w:tcW w:w="140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0"/>
              </w:rPr>
              <w:t>Value</w:t>
            </w:r>
          </w:p>
        </w:tc>
        <w:tc>
          <w:tcPr>
            <w:tcW w:w="148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2"/>
              </w:rPr>
              <w:t>Share</w:t>
            </w:r>
          </w:p>
        </w:tc>
        <w:tc>
          <w:tcPr>
            <w:tcW w:w="140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0"/>
              </w:rPr>
              <w:t>Value</w:t>
            </w:r>
          </w:p>
        </w:tc>
        <w:tc>
          <w:tcPr>
            <w:tcW w:w="1320" w:type="dxa"/>
            <w:vAlign w:val="bottom"/>
          </w:tcPr>
          <w:p>
            <w:pPr>
              <w:jc w:val="center"/>
              <w:spacing w:after="0"/>
              <w:rPr>
                <w:sz w:val="20"/>
                <w:szCs w:val="20"/>
                <w:color w:val="auto"/>
              </w:rPr>
            </w:pPr>
            <w:r>
              <w:rPr>
                <w:rFonts w:ascii="Arial" w:cs="Arial" w:eastAsia="Arial" w:hAnsi="Arial"/>
                <w:sz w:val="14"/>
                <w:szCs w:val="14"/>
                <w:b w:val="1"/>
                <w:bCs w:val="1"/>
                <w:color w:val="auto"/>
                <w:w w:val="92"/>
              </w:rPr>
              <w:t>Share</w:t>
            </w:r>
          </w:p>
        </w:tc>
        <w:tc>
          <w:tcPr>
            <w:tcW w:w="0" w:type="dxa"/>
            <w:vAlign w:val="bottom"/>
          </w:tcPr>
          <w:p>
            <w:pPr>
              <w:spacing w:after="0"/>
              <w:rPr>
                <w:sz w:val="1"/>
                <w:szCs w:val="1"/>
                <w:color w:val="auto"/>
              </w:rPr>
            </w:pPr>
          </w:p>
        </w:tc>
      </w:tr>
      <w:tr>
        <w:trPr>
          <w:trHeight w:val="184"/>
        </w:trPr>
        <w:tc>
          <w:tcPr>
            <w:tcW w:w="30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-50 Basis Points</w:t>
            </w:r>
          </w:p>
        </w:tc>
        <w:tc>
          <w:tcPr>
            <w:tcW w:w="160" w:type="dxa"/>
            <w:vAlign w:val="bottom"/>
            <w:tcBorders>
              <w:top w:val="single" w:sz="8" w:color="CCEEFF"/>
            </w:tcBorders>
            <w:shd w:val="clear" w:color="auto" w:fill="CCEEFF"/>
          </w:tcPr>
          <w:p>
            <w:pPr>
              <w:spacing w:after="0"/>
              <w:rPr>
                <w:sz w:val="15"/>
                <w:szCs w:val="15"/>
                <w:color w:val="auto"/>
              </w:rPr>
            </w:pPr>
          </w:p>
        </w:tc>
        <w:tc>
          <w:tcPr>
            <w:tcW w:w="13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4"/>
              </w:rPr>
              <w:t>+3.0%</w:t>
            </w:r>
          </w:p>
        </w:tc>
        <w:tc>
          <w:tcPr>
            <w:tcW w:w="100" w:type="dxa"/>
            <w:vAlign w:val="bottom"/>
            <w:tcBorders>
              <w:top w:val="single" w:sz="8" w:color="CCEEFF"/>
            </w:tcBorders>
            <w:shd w:val="clear" w:color="auto" w:fill="CCEEFF"/>
          </w:tcPr>
          <w:p>
            <w:pPr>
              <w:spacing w:after="0"/>
              <w:rPr>
                <w:sz w:val="15"/>
                <w:szCs w:val="15"/>
                <w:color w:val="auto"/>
              </w:rPr>
            </w:pPr>
          </w:p>
        </w:tc>
        <w:tc>
          <w:tcPr>
            <w:tcW w:w="13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1"/>
              </w:rPr>
              <w:t>+31.0%</w:t>
            </w:r>
          </w:p>
        </w:tc>
        <w:tc>
          <w:tcPr>
            <w:tcW w:w="160" w:type="dxa"/>
            <w:vAlign w:val="bottom"/>
            <w:tcBorders>
              <w:top w:val="single" w:sz="8" w:color="CCEEFF"/>
            </w:tcBorders>
            <w:shd w:val="clear" w:color="auto" w:fill="CCEEFF"/>
          </w:tcPr>
          <w:p>
            <w:pPr>
              <w:spacing w:after="0"/>
              <w:rPr>
                <w:sz w:val="15"/>
                <w:szCs w:val="15"/>
                <w:color w:val="auto"/>
              </w:rPr>
            </w:pPr>
          </w:p>
        </w:tc>
        <w:tc>
          <w:tcPr>
            <w:tcW w:w="12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4"/>
              </w:rPr>
              <w:t>+2.7%</w:t>
            </w:r>
          </w:p>
        </w:tc>
        <w:tc>
          <w:tcPr>
            <w:tcW w:w="120" w:type="dxa"/>
            <w:vAlign w:val="bottom"/>
            <w:tcBorders>
              <w:top w:val="single" w:sz="8" w:color="CCEEFF"/>
            </w:tcBorders>
            <w:shd w:val="clear" w:color="auto" w:fill="CCEEFF"/>
          </w:tcPr>
          <w:p>
            <w:pPr>
              <w:spacing w:after="0"/>
              <w:rPr>
                <w:sz w:val="15"/>
                <w:szCs w:val="15"/>
                <w:color w:val="auto"/>
              </w:rPr>
            </w:pPr>
          </w:p>
        </w:tc>
        <w:tc>
          <w:tcPr>
            <w:tcW w:w="13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1"/>
              </w:rPr>
              <w:t>+27.1%</w:t>
            </w:r>
          </w:p>
        </w:tc>
        <w:tc>
          <w:tcPr>
            <w:tcW w:w="0" w:type="dxa"/>
            <w:vAlign w:val="bottom"/>
          </w:tcPr>
          <w:p>
            <w:pPr>
              <w:spacing w:after="0"/>
              <w:rPr>
                <w:sz w:val="1"/>
                <w:szCs w:val="1"/>
                <w:color w:val="auto"/>
              </w:rPr>
            </w:pPr>
          </w:p>
        </w:tc>
      </w:tr>
      <w:tr>
        <w:trPr>
          <w:trHeight w:val="186"/>
        </w:trPr>
        <w:tc>
          <w:tcPr>
            <w:tcW w:w="3160" w:type="dxa"/>
            <w:vAlign w:val="bottom"/>
            <w:gridSpan w:val="2"/>
          </w:tcPr>
          <w:p>
            <w:pPr>
              <w:ind w:left="20"/>
              <w:spacing w:after="0"/>
              <w:rPr>
                <w:sz w:val="20"/>
                <w:szCs w:val="20"/>
                <w:color w:val="auto"/>
              </w:rPr>
            </w:pPr>
            <w:r>
              <w:rPr>
                <w:rFonts w:ascii="Arial" w:cs="Arial" w:eastAsia="Arial" w:hAnsi="Arial"/>
                <w:sz w:val="14"/>
                <w:szCs w:val="14"/>
                <w:color w:val="auto"/>
              </w:rPr>
              <w:t>-25 Basis Points</w:t>
            </w:r>
          </w:p>
        </w:tc>
        <w:tc>
          <w:tcPr>
            <w:tcW w:w="1300" w:type="dxa"/>
            <w:vAlign w:val="bottom"/>
          </w:tcPr>
          <w:p>
            <w:pPr>
              <w:jc w:val="center"/>
              <w:spacing w:after="0"/>
              <w:rPr>
                <w:sz w:val="20"/>
                <w:szCs w:val="20"/>
                <w:color w:val="auto"/>
              </w:rPr>
            </w:pPr>
            <w:r>
              <w:rPr>
                <w:rFonts w:ascii="Arial" w:cs="Arial" w:eastAsia="Arial" w:hAnsi="Arial"/>
                <w:sz w:val="14"/>
                <w:szCs w:val="14"/>
                <w:color w:val="auto"/>
                <w:w w:val="94"/>
              </w:rPr>
              <w:t>+1.5%</w:t>
            </w:r>
          </w:p>
        </w:tc>
        <w:tc>
          <w:tcPr>
            <w:tcW w:w="100" w:type="dxa"/>
            <w:vAlign w:val="bottom"/>
          </w:tcPr>
          <w:p>
            <w:pPr>
              <w:spacing w:after="0"/>
              <w:rPr>
                <w:sz w:val="16"/>
                <w:szCs w:val="16"/>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1"/>
              </w:rPr>
              <w:t>+15.5%</w:t>
            </w:r>
          </w:p>
        </w:tc>
        <w:tc>
          <w:tcPr>
            <w:tcW w:w="160" w:type="dxa"/>
            <w:vAlign w:val="bottom"/>
          </w:tcPr>
          <w:p>
            <w:pPr>
              <w:spacing w:after="0"/>
              <w:rPr>
                <w:sz w:val="16"/>
                <w:szCs w:val="16"/>
                <w:color w:val="auto"/>
              </w:rPr>
            </w:pPr>
          </w:p>
        </w:tc>
        <w:tc>
          <w:tcPr>
            <w:tcW w:w="1280" w:type="dxa"/>
            <w:vAlign w:val="bottom"/>
          </w:tcPr>
          <w:p>
            <w:pPr>
              <w:jc w:val="center"/>
              <w:spacing w:after="0"/>
              <w:rPr>
                <w:sz w:val="20"/>
                <w:szCs w:val="20"/>
                <w:color w:val="auto"/>
              </w:rPr>
            </w:pPr>
            <w:r>
              <w:rPr>
                <w:rFonts w:ascii="Arial" w:cs="Arial" w:eastAsia="Arial" w:hAnsi="Arial"/>
                <w:sz w:val="14"/>
                <w:szCs w:val="14"/>
                <w:color w:val="auto"/>
                <w:w w:val="94"/>
              </w:rPr>
              <w:t>+1.4%</w:t>
            </w:r>
          </w:p>
        </w:tc>
        <w:tc>
          <w:tcPr>
            <w:tcW w:w="120" w:type="dxa"/>
            <w:vAlign w:val="bottom"/>
          </w:tcPr>
          <w:p>
            <w:pPr>
              <w:spacing w:after="0"/>
              <w:rPr>
                <w:sz w:val="16"/>
                <w:szCs w:val="16"/>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1"/>
              </w:rPr>
              <w:t>+13.6%</w:t>
            </w:r>
          </w:p>
        </w:tc>
        <w:tc>
          <w:tcPr>
            <w:tcW w:w="0" w:type="dxa"/>
            <w:vAlign w:val="bottom"/>
          </w:tcPr>
          <w:p>
            <w:pPr>
              <w:spacing w:after="0"/>
              <w:rPr>
                <w:sz w:val="1"/>
                <w:szCs w:val="1"/>
                <w:color w:val="auto"/>
              </w:rPr>
            </w:pPr>
          </w:p>
        </w:tc>
      </w:tr>
      <w:tr>
        <w:trPr>
          <w:trHeight w:val="192"/>
        </w:trPr>
        <w:tc>
          <w:tcPr>
            <w:tcW w:w="31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-10 Basis Points</w:t>
            </w: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+0.6%</w:t>
            </w:r>
          </w:p>
        </w:tc>
        <w:tc>
          <w:tcPr>
            <w:tcW w:w="100" w:type="dxa"/>
            <w:vAlign w:val="bottom"/>
            <w:shd w:val="clear" w:color="auto" w:fill="CCEEFF"/>
          </w:tcPr>
          <w:p>
            <w:pPr>
              <w:spacing w:after="0"/>
              <w:rPr>
                <w:sz w:val="16"/>
                <w:szCs w:val="16"/>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+6.2%</w:t>
            </w:r>
          </w:p>
        </w:tc>
        <w:tc>
          <w:tcPr>
            <w:tcW w:w="160" w:type="dxa"/>
            <w:vAlign w:val="bottom"/>
            <w:shd w:val="clear" w:color="auto" w:fill="CCEEFF"/>
          </w:tcPr>
          <w:p>
            <w:pPr>
              <w:spacing w:after="0"/>
              <w:rPr>
                <w:sz w:val="16"/>
                <w:szCs w:val="16"/>
                <w:color w:val="auto"/>
              </w:rPr>
            </w:pP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+0.5%</w:t>
            </w:r>
          </w:p>
        </w:tc>
        <w:tc>
          <w:tcPr>
            <w:tcW w:w="120" w:type="dxa"/>
            <w:vAlign w:val="bottom"/>
            <w:shd w:val="clear" w:color="auto" w:fill="CCEEFF"/>
          </w:tcPr>
          <w:p>
            <w:pPr>
              <w:spacing w:after="0"/>
              <w:rPr>
                <w:sz w:val="16"/>
                <w:szCs w:val="16"/>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+5.4%</w:t>
            </w:r>
          </w:p>
        </w:tc>
        <w:tc>
          <w:tcPr>
            <w:tcW w:w="0" w:type="dxa"/>
            <w:vAlign w:val="bottom"/>
          </w:tcPr>
          <w:p>
            <w:pPr>
              <w:spacing w:after="0"/>
              <w:rPr>
                <w:sz w:val="1"/>
                <w:szCs w:val="1"/>
                <w:color w:val="auto"/>
              </w:rPr>
            </w:pPr>
          </w:p>
        </w:tc>
      </w:tr>
      <w:tr>
        <w:trPr>
          <w:trHeight w:val="186"/>
        </w:trPr>
        <w:tc>
          <w:tcPr>
            <w:tcW w:w="3160" w:type="dxa"/>
            <w:vAlign w:val="bottom"/>
            <w:gridSpan w:val="2"/>
          </w:tcPr>
          <w:p>
            <w:pPr>
              <w:ind w:left="20"/>
              <w:spacing w:after="0"/>
              <w:rPr>
                <w:sz w:val="20"/>
                <w:szCs w:val="20"/>
                <w:color w:val="auto"/>
              </w:rPr>
            </w:pPr>
            <w:r>
              <w:rPr>
                <w:rFonts w:ascii="Arial" w:cs="Arial" w:eastAsia="Arial" w:hAnsi="Arial"/>
                <w:sz w:val="14"/>
                <w:szCs w:val="14"/>
                <w:color w:val="auto"/>
              </w:rPr>
              <w:t>+10 Basis Points</w:t>
            </w:r>
          </w:p>
        </w:tc>
        <w:tc>
          <w:tcPr>
            <w:tcW w:w="1300" w:type="dxa"/>
            <w:vAlign w:val="bottom"/>
          </w:tcPr>
          <w:p>
            <w:pPr>
              <w:jc w:val="center"/>
              <w:spacing w:after="0"/>
              <w:rPr>
                <w:sz w:val="20"/>
                <w:szCs w:val="20"/>
                <w:color w:val="auto"/>
              </w:rPr>
            </w:pPr>
            <w:r>
              <w:rPr>
                <w:rFonts w:ascii="Arial" w:cs="Arial" w:eastAsia="Arial" w:hAnsi="Arial"/>
                <w:sz w:val="14"/>
                <w:szCs w:val="14"/>
                <w:color w:val="auto"/>
                <w:w w:val="92"/>
              </w:rPr>
              <w:t>-0.6%</w:t>
            </w:r>
          </w:p>
        </w:tc>
        <w:tc>
          <w:tcPr>
            <w:tcW w:w="100" w:type="dxa"/>
            <w:vAlign w:val="bottom"/>
          </w:tcPr>
          <w:p>
            <w:pPr>
              <w:spacing w:after="0"/>
              <w:rPr>
                <w:sz w:val="16"/>
                <w:szCs w:val="16"/>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8"/>
              </w:rPr>
              <w:t>-6.2%</w:t>
            </w:r>
          </w:p>
        </w:tc>
        <w:tc>
          <w:tcPr>
            <w:tcW w:w="160" w:type="dxa"/>
            <w:vAlign w:val="bottom"/>
          </w:tcPr>
          <w:p>
            <w:pPr>
              <w:spacing w:after="0"/>
              <w:rPr>
                <w:sz w:val="16"/>
                <w:szCs w:val="16"/>
                <w:color w:val="auto"/>
              </w:rPr>
            </w:pPr>
          </w:p>
        </w:tc>
        <w:tc>
          <w:tcPr>
            <w:tcW w:w="1280" w:type="dxa"/>
            <w:vAlign w:val="bottom"/>
          </w:tcPr>
          <w:p>
            <w:pPr>
              <w:jc w:val="center"/>
              <w:spacing w:after="0"/>
              <w:rPr>
                <w:sz w:val="20"/>
                <w:szCs w:val="20"/>
                <w:color w:val="auto"/>
              </w:rPr>
            </w:pPr>
            <w:r>
              <w:rPr>
                <w:rFonts w:ascii="Arial" w:cs="Arial" w:eastAsia="Arial" w:hAnsi="Arial"/>
                <w:sz w:val="14"/>
                <w:szCs w:val="14"/>
                <w:color w:val="auto"/>
                <w:w w:val="92"/>
              </w:rPr>
              <w:t>-0.5%</w:t>
            </w:r>
          </w:p>
        </w:tc>
        <w:tc>
          <w:tcPr>
            <w:tcW w:w="120" w:type="dxa"/>
            <w:vAlign w:val="bottom"/>
          </w:tcPr>
          <w:p>
            <w:pPr>
              <w:spacing w:after="0"/>
              <w:rPr>
                <w:sz w:val="16"/>
                <w:szCs w:val="16"/>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8"/>
              </w:rPr>
              <w:t>-5.4%</w:t>
            </w:r>
          </w:p>
        </w:tc>
        <w:tc>
          <w:tcPr>
            <w:tcW w:w="0" w:type="dxa"/>
            <w:vAlign w:val="bottom"/>
          </w:tcPr>
          <w:p>
            <w:pPr>
              <w:spacing w:after="0"/>
              <w:rPr>
                <w:sz w:val="1"/>
                <w:szCs w:val="1"/>
                <w:color w:val="auto"/>
              </w:rPr>
            </w:pPr>
          </w:p>
        </w:tc>
      </w:tr>
      <w:tr>
        <w:trPr>
          <w:trHeight w:val="192"/>
        </w:trPr>
        <w:tc>
          <w:tcPr>
            <w:tcW w:w="31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+25 Basis Points</w:t>
            </w: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-1.5%</w:t>
            </w:r>
          </w:p>
        </w:tc>
        <w:tc>
          <w:tcPr>
            <w:tcW w:w="100" w:type="dxa"/>
            <w:vAlign w:val="bottom"/>
            <w:shd w:val="clear" w:color="auto" w:fill="CCEEFF"/>
          </w:tcPr>
          <w:p>
            <w:pPr>
              <w:spacing w:after="0"/>
              <w:rPr>
                <w:sz w:val="16"/>
                <w:szCs w:val="16"/>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-15.5%</w:t>
            </w:r>
          </w:p>
        </w:tc>
        <w:tc>
          <w:tcPr>
            <w:tcW w:w="160" w:type="dxa"/>
            <w:vAlign w:val="bottom"/>
            <w:shd w:val="clear" w:color="auto" w:fill="CCEEFF"/>
          </w:tcPr>
          <w:p>
            <w:pPr>
              <w:spacing w:after="0"/>
              <w:rPr>
                <w:sz w:val="16"/>
                <w:szCs w:val="16"/>
                <w:color w:val="auto"/>
              </w:rPr>
            </w:pP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-1.4%</w:t>
            </w:r>
          </w:p>
        </w:tc>
        <w:tc>
          <w:tcPr>
            <w:tcW w:w="120" w:type="dxa"/>
            <w:vAlign w:val="bottom"/>
            <w:shd w:val="clear" w:color="auto" w:fill="CCEEFF"/>
          </w:tcPr>
          <w:p>
            <w:pPr>
              <w:spacing w:after="0"/>
              <w:rPr>
                <w:sz w:val="16"/>
                <w:szCs w:val="16"/>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-13.6%</w:t>
            </w:r>
          </w:p>
        </w:tc>
        <w:tc>
          <w:tcPr>
            <w:tcW w:w="0" w:type="dxa"/>
            <w:vAlign w:val="bottom"/>
          </w:tcPr>
          <w:p>
            <w:pPr>
              <w:spacing w:after="0"/>
              <w:rPr>
                <w:sz w:val="1"/>
                <w:szCs w:val="1"/>
                <w:color w:val="auto"/>
              </w:rPr>
            </w:pPr>
          </w:p>
        </w:tc>
      </w:tr>
      <w:tr>
        <w:trPr>
          <w:trHeight w:val="182"/>
        </w:trPr>
        <w:tc>
          <w:tcPr>
            <w:tcW w:w="3160" w:type="dxa"/>
            <w:vAlign w:val="bottom"/>
            <w:gridSpan w:val="2"/>
          </w:tcPr>
          <w:p>
            <w:pPr>
              <w:ind w:left="20"/>
              <w:spacing w:after="0"/>
              <w:rPr>
                <w:sz w:val="20"/>
                <w:szCs w:val="20"/>
                <w:color w:val="auto"/>
              </w:rPr>
            </w:pPr>
            <w:r>
              <w:rPr>
                <w:rFonts w:ascii="Arial" w:cs="Arial" w:eastAsia="Arial" w:hAnsi="Arial"/>
                <w:sz w:val="14"/>
                <w:szCs w:val="14"/>
                <w:color w:val="auto"/>
              </w:rPr>
              <w:t>+50 Basis Points</w:t>
            </w:r>
          </w:p>
        </w:tc>
        <w:tc>
          <w:tcPr>
            <w:tcW w:w="1300" w:type="dxa"/>
            <w:vAlign w:val="bottom"/>
          </w:tcPr>
          <w:p>
            <w:pPr>
              <w:jc w:val="center"/>
              <w:spacing w:after="0"/>
              <w:rPr>
                <w:sz w:val="20"/>
                <w:szCs w:val="20"/>
                <w:color w:val="auto"/>
              </w:rPr>
            </w:pPr>
            <w:r>
              <w:rPr>
                <w:rFonts w:ascii="Arial" w:cs="Arial" w:eastAsia="Arial" w:hAnsi="Arial"/>
                <w:sz w:val="14"/>
                <w:szCs w:val="14"/>
                <w:color w:val="auto"/>
                <w:w w:val="92"/>
              </w:rPr>
              <w:t>-3.0%</w:t>
            </w:r>
          </w:p>
        </w:tc>
        <w:tc>
          <w:tcPr>
            <w:tcW w:w="100" w:type="dxa"/>
            <w:vAlign w:val="bottom"/>
          </w:tcPr>
          <w:p>
            <w:pPr>
              <w:spacing w:after="0"/>
              <w:rPr>
                <w:sz w:val="15"/>
                <w:szCs w:val="15"/>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4"/>
              </w:rPr>
              <w:t>-31.0%</w:t>
            </w:r>
          </w:p>
        </w:tc>
        <w:tc>
          <w:tcPr>
            <w:tcW w:w="160" w:type="dxa"/>
            <w:vAlign w:val="bottom"/>
          </w:tcPr>
          <w:p>
            <w:pPr>
              <w:spacing w:after="0"/>
              <w:rPr>
                <w:sz w:val="15"/>
                <w:szCs w:val="15"/>
                <w:color w:val="auto"/>
              </w:rPr>
            </w:pPr>
          </w:p>
        </w:tc>
        <w:tc>
          <w:tcPr>
            <w:tcW w:w="1280" w:type="dxa"/>
            <w:vAlign w:val="bottom"/>
          </w:tcPr>
          <w:p>
            <w:pPr>
              <w:jc w:val="center"/>
              <w:spacing w:after="0"/>
              <w:rPr>
                <w:sz w:val="20"/>
                <w:szCs w:val="20"/>
                <w:color w:val="auto"/>
              </w:rPr>
            </w:pPr>
            <w:r>
              <w:rPr>
                <w:rFonts w:ascii="Arial" w:cs="Arial" w:eastAsia="Arial" w:hAnsi="Arial"/>
                <w:sz w:val="14"/>
                <w:szCs w:val="14"/>
                <w:color w:val="auto"/>
                <w:w w:val="92"/>
              </w:rPr>
              <w:t>-2.7%</w:t>
            </w:r>
          </w:p>
        </w:tc>
        <w:tc>
          <w:tcPr>
            <w:tcW w:w="120" w:type="dxa"/>
            <w:vAlign w:val="bottom"/>
          </w:tcPr>
          <w:p>
            <w:pPr>
              <w:spacing w:after="0"/>
              <w:rPr>
                <w:sz w:val="15"/>
                <w:szCs w:val="15"/>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4"/>
              </w:rPr>
              <w:t>-27.1%</w:t>
            </w:r>
          </w:p>
        </w:tc>
        <w:tc>
          <w:tcPr>
            <w:tcW w:w="0" w:type="dxa"/>
            <w:vAlign w:val="bottom"/>
          </w:tcPr>
          <w:p>
            <w:pPr>
              <w:spacing w:after="0"/>
              <w:rPr>
                <w:sz w:val="1"/>
                <w:szCs w:val="1"/>
                <w:color w:val="auto"/>
              </w:rPr>
            </w:pPr>
          </w:p>
        </w:tc>
      </w:tr>
    </w:tbl>
    <w:p>
      <w:pPr>
        <w:spacing w:after="0" w:line="103"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41" w:lineRule="auto"/>
        <w:tabs>
          <w:tab w:leader="none" w:pos="660" w:val="left"/>
        </w:tabs>
        <w:numPr>
          <w:ilvl w:val="0"/>
          <w:numId w:val="38"/>
        </w:numPr>
        <w:rPr>
          <w:rFonts w:ascii="Arial" w:cs="Arial" w:eastAsia="Arial" w:hAnsi="Arial"/>
          <w:sz w:val="14"/>
          <w:szCs w:val="14"/>
          <w:color w:val="auto"/>
        </w:rPr>
      </w:pPr>
      <w:r>
        <w:rPr>
          <w:rFonts w:ascii="Arial" w:cs="Arial" w:eastAsia="Arial" w:hAnsi="Arial"/>
          <w:sz w:val="14"/>
          <w:szCs w:val="14"/>
          <w:color w:val="auto"/>
        </w:rPr>
        <w:t>Spread sensitivity is derived from models that are dependent on inputs and assumptions, assumes there are no changes in interest rates and assumes a static portfolio. Actual results could differ materially from these estimates.</w:t>
      </w:r>
    </w:p>
    <w:p>
      <w:pPr>
        <w:ind w:left="660" w:hanging="328"/>
        <w:spacing w:after="0"/>
        <w:tabs>
          <w:tab w:leader="none" w:pos="660" w:val="left"/>
        </w:tabs>
        <w:numPr>
          <w:ilvl w:val="0"/>
          <w:numId w:val="38"/>
        </w:numPr>
        <w:rPr>
          <w:rFonts w:ascii="Arial" w:cs="Arial" w:eastAsia="Arial" w:hAnsi="Arial"/>
          <w:sz w:val="14"/>
          <w:szCs w:val="14"/>
          <w:color w:val="auto"/>
        </w:rPr>
      </w:pPr>
      <w:r>
        <w:rPr>
          <w:rFonts w:ascii="Arial" w:cs="Arial" w:eastAsia="Arial" w:hAnsi="Arial"/>
          <w:sz w:val="14"/>
          <w:szCs w:val="14"/>
          <w:color w:val="auto"/>
        </w:rPr>
        <w:t>Includes the effect of derivatives and other securities used for hedging purposes.</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Liquidity Risk</w:t>
      </w:r>
    </w:p>
    <w:p>
      <w:pPr>
        <w:spacing w:after="0" w:line="171" w:lineRule="exact"/>
        <w:rPr>
          <w:sz w:val="20"/>
          <w:szCs w:val="20"/>
          <w:color w:val="auto"/>
        </w:rPr>
      </w:pPr>
    </w:p>
    <w:p>
      <w:pPr>
        <w:ind w:right="20" w:firstLine="445"/>
        <w:spacing w:after="0" w:line="277" w:lineRule="auto"/>
        <w:rPr>
          <w:sz w:val="20"/>
          <w:szCs w:val="20"/>
          <w:color w:val="auto"/>
        </w:rPr>
      </w:pPr>
      <w:r>
        <w:rPr>
          <w:rFonts w:ascii="Arial" w:cs="Arial" w:eastAsia="Arial" w:hAnsi="Arial"/>
          <w:sz w:val="18"/>
          <w:szCs w:val="18"/>
          <w:color w:val="auto"/>
        </w:rPr>
        <w:t>Our liquidity risk principally arises from financing long-term fixed rate assets with shorter-term variable rate borrowings. Future borrowings are dependent upon the willingness of lenders to finance our investments, lender collateral</w:t>
      </w:r>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8" w:right="339" w:bottom="1440" w:gutter="0" w:footer="0" w:header="0"/>
        </w:sectPr>
      </w:pPr>
    </w:p>
    <w:bookmarkStart w:id="46" w:name="page47"/>
    <w:bookmarkEnd w:id="46"/>
    <w:p>
      <w:pPr>
        <w:jc w:val="both"/>
        <w:ind w:right="20"/>
        <w:spacing w:after="0" w:line="277" w:lineRule="auto"/>
        <w:rPr>
          <w:sz w:val="20"/>
          <w:szCs w:val="20"/>
          <w:color w:val="auto"/>
        </w:rPr>
      </w:pPr>
      <w:r>
        <w:rPr>
          <w:rFonts w:ascii="Arial" w:cs="Arial" w:eastAsia="Arial" w:hAnsi="Arial"/>
          <w:sz w:val="18"/>
          <w:szCs w:val="18"/>
          <w:color w:val="auto"/>
        </w:rPr>
        <w:t>requirements and the lenders’ determination of the fair value of the securities pledged as collateral, which fluctuates with changes in interest rates and liquidity conditions within the commercial banking and mortgage finance industries.</w:t>
      </w:r>
    </w:p>
    <w:p>
      <w:pPr>
        <w:spacing w:after="0" w:line="116" w:lineRule="exact"/>
        <w:rPr>
          <w:sz w:val="20"/>
          <w:szCs w:val="20"/>
          <w:color w:val="auto"/>
        </w:rPr>
      </w:pPr>
    </w:p>
    <w:p>
      <w:pPr>
        <w:jc w:val="both"/>
        <w:ind w:firstLine="445"/>
        <w:spacing w:after="0" w:line="291" w:lineRule="auto"/>
        <w:rPr>
          <w:sz w:val="20"/>
          <w:szCs w:val="20"/>
          <w:color w:val="auto"/>
        </w:rPr>
      </w:pPr>
      <w:r>
        <w:rPr>
          <w:rFonts w:ascii="Arial" w:cs="Arial" w:eastAsia="Arial" w:hAnsi="Arial"/>
          <w:sz w:val="16"/>
          <w:szCs w:val="16"/>
          <w:color w:val="auto"/>
        </w:rPr>
        <w:t xml:space="preserve">As of June 30, 2022, we believe that we have sufficient liquidity and capital resources available to execute our business strategy (see </w:t>
      </w:r>
      <w:r>
        <w:rPr>
          <w:rFonts w:ascii="Arial" w:cs="Arial" w:eastAsia="Arial" w:hAnsi="Arial"/>
          <w:sz w:val="16"/>
          <w:szCs w:val="16"/>
          <w:i w:val="1"/>
          <w:iCs w:val="1"/>
          <w:color w:val="auto"/>
        </w:rPr>
        <w:t>Liquidity and</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Capital Resources </w:t>
      </w:r>
      <w:r>
        <w:rPr>
          <w:rFonts w:ascii="Arial" w:cs="Arial" w:eastAsia="Arial" w:hAnsi="Arial"/>
          <w:sz w:val="16"/>
          <w:szCs w:val="16"/>
          <w:color w:val="auto"/>
        </w:rPr>
        <w:t>in this Form 10-Q for additional details). However, should the value of our collateral or the value of our derivative instruments suddenly</w:t>
      </w:r>
      <w:r>
        <w:rPr>
          <w:rFonts w:ascii="Arial" w:cs="Arial" w:eastAsia="Arial" w:hAnsi="Arial"/>
          <w:sz w:val="16"/>
          <w:szCs w:val="16"/>
          <w:i w:val="1"/>
          <w:iCs w:val="1"/>
          <w:color w:val="auto"/>
        </w:rPr>
        <w:t xml:space="preserve"> </w:t>
      </w:r>
      <w:r>
        <w:rPr>
          <w:rFonts w:ascii="Arial" w:cs="Arial" w:eastAsia="Arial" w:hAnsi="Arial"/>
          <w:sz w:val="16"/>
          <w:szCs w:val="16"/>
          <w:color w:val="auto"/>
        </w:rPr>
        <w:t>decrease, margin calls relating to our funding liabilities and derivative agreements could increase, causing an adverse change in our liquidity position. Furthermore, there is no assurance that we will always be able to renew (or roll) our short-term funding liabilities. In addition, our counterparties have the option to increase our haircuts (margin requirements) on the assets we pledge against our funding liabilities, thereby reducing the amount that can be borrowed against an asset even if they agree to renew or roll our funding liabilities. Significantly higher haircuts can reduce our ability to leverage our portfolio or may even force us to sell assets, especially if correlated with asset price declines or faster prepayment rates on our assets.</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Risk</w:t>
      </w:r>
    </w:p>
    <w:p>
      <w:pPr>
        <w:spacing w:after="0" w:line="171" w:lineRule="exact"/>
        <w:rPr>
          <w:sz w:val="20"/>
          <w:szCs w:val="20"/>
          <w:color w:val="auto"/>
        </w:rPr>
      </w:pPr>
    </w:p>
    <w:p>
      <w:pPr>
        <w:jc w:val="both"/>
        <w:ind w:firstLine="445"/>
        <w:spacing w:after="0" w:line="259" w:lineRule="auto"/>
        <w:rPr>
          <w:sz w:val="20"/>
          <w:szCs w:val="20"/>
          <w:color w:val="auto"/>
        </w:rPr>
      </w:pPr>
      <w:r>
        <w:rPr>
          <w:rFonts w:ascii="Arial" w:cs="Arial" w:eastAsia="Arial" w:hAnsi="Arial"/>
          <w:sz w:val="18"/>
          <w:szCs w:val="18"/>
          <w:color w:val="auto"/>
        </w:rPr>
        <w:t>Our credit sensitive investments, such as CRT and non-Agency securities, expose us to the risk of nonpayment of principal, interest or other remuneration we are contractually entitled to. We are also exposed to credit risk in the event our repurchase agreement counterparties default on their obligations to resell the underlying collateral back to us at the end of the repo term or in the event our derivative counterparties do not perform under the terms of our derivative agreements.</w:t>
      </w:r>
    </w:p>
    <w:p>
      <w:pPr>
        <w:spacing w:after="0" w:line="133" w:lineRule="exact"/>
        <w:rPr>
          <w:sz w:val="20"/>
          <w:szCs w:val="20"/>
          <w:color w:val="auto"/>
        </w:rPr>
      </w:pPr>
    </w:p>
    <w:p>
      <w:pPr>
        <w:jc w:val="both"/>
        <w:ind w:firstLine="445"/>
        <w:spacing w:after="0" w:line="271" w:lineRule="auto"/>
        <w:rPr>
          <w:sz w:val="20"/>
          <w:szCs w:val="20"/>
          <w:color w:val="auto"/>
        </w:rPr>
      </w:pPr>
      <w:r>
        <w:rPr>
          <w:rFonts w:ascii="Arial" w:cs="Arial" w:eastAsia="Arial" w:hAnsi="Arial"/>
          <w:sz w:val="17"/>
          <w:szCs w:val="17"/>
          <w:color w:val="auto"/>
        </w:rPr>
        <w:t>We accept credit exposure related to our credit sensitive assets at levels we deem prudent within the context of our overall investment strategy. We attempt to manage this risk through careful asset selection, pre-acquisition due diligence, post-acquisition performance monitoring, and the sale of assets where we identify negative credit trends. We may also manage credit risk with credit default swaps or other financial derivatives that we believe are appropriate. Additionally, we may vary the mix of our interest rate and credit sensitive assets or our duration gap to adjust our credit exposure and/or improve the return profile of our assets, such as when we believe credit performance is inversely correlated with changes in interest rates. Our credit risk related to derivative and repurchase agreement transactions is largely mitigated by limiting our counterparties to major financial institutions with acceptable credit ratings or to registered central clearinghouses and monitoring concentration levels with any one counterparty. We also continuously monitor and adjust the amount of collateral pledged based on changes in market value.</w:t>
      </w:r>
    </w:p>
    <w:p>
      <w:pPr>
        <w:spacing w:after="0" w:line="70"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There is no guarantee that our efforts to manage credit risk will be successful and we could suffer losses if credit performance is worse than our expectations or our counterparties default on their obligations. Excluding central clearing exchanges, as of June 30, 2022, our maximum amount at risk with any counterparty related to our repurchase agreements and derivative agreements was approximately 3% and less than 1%, respectively, of tangible stockholders' equity.</w:t>
      </w:r>
    </w:p>
    <w:p>
      <w:pPr>
        <w:spacing w:after="0" w:line="3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4. </w:t>
      </w:r>
      <w:r>
        <w:rPr>
          <w:rFonts w:ascii="Arial" w:cs="Arial" w:eastAsia="Arial" w:hAnsi="Arial"/>
          <w:sz w:val="18"/>
          <w:szCs w:val="18"/>
          <w:b w:val="1"/>
          <w:bCs w:val="1"/>
          <w:i w:val="1"/>
          <w:iCs w:val="1"/>
          <w:color w:val="auto"/>
        </w:rPr>
        <w:t>Controls and Procedures</w:t>
      </w:r>
    </w:p>
    <w:p>
      <w:pPr>
        <w:spacing w:after="0" w:line="121" w:lineRule="exact"/>
        <w:rPr>
          <w:sz w:val="20"/>
          <w:szCs w:val="20"/>
          <w:color w:val="auto"/>
        </w:rPr>
      </w:pPr>
    </w:p>
    <w:p>
      <w:pPr>
        <w:jc w:val="both"/>
        <w:ind w:firstLine="445"/>
        <w:spacing w:after="0" w:line="272" w:lineRule="auto"/>
        <w:rPr>
          <w:sz w:val="20"/>
          <w:szCs w:val="20"/>
          <w:color w:val="auto"/>
        </w:rPr>
      </w:pPr>
      <w:r>
        <w:rPr>
          <w:rFonts w:ascii="Arial" w:cs="Arial" w:eastAsia="Arial" w:hAnsi="Arial"/>
          <w:sz w:val="17"/>
          <w:szCs w:val="17"/>
          <w:color w:val="auto"/>
        </w:rPr>
        <w:t>We maintain disclosure controls and procedures that are designed to ensure that information required to be disclosed in our Exchange Act reports is recorded, processed, summarized and reported within the time periods specified in the SEC's rules and forms, and that such information is accumulated and communicated to our management, including our Chief Executive Officer and Chief Financial Officer, as appropriate, to allow timely decisions regarding required disclosure based on the definition of "disclosure controls and procedures" as promulgated under the Exchange Act and the rules and regulations thereunder. In designing and evaluating the disclosure controls and procedures, management recognized that any controls and procedures, no matter how well designed and operated, can provide only reasonable assurance of achieving the desired control objectives, and management necessarily was required to apply its judgment in evaluating the cost-benefit relationship of possible controls and procedures.</w:t>
      </w:r>
    </w:p>
    <w:p>
      <w:pPr>
        <w:spacing w:after="0" w:line="69" w:lineRule="exact"/>
        <w:rPr>
          <w:sz w:val="20"/>
          <w:szCs w:val="20"/>
          <w:color w:val="auto"/>
        </w:rPr>
      </w:pPr>
    </w:p>
    <w:p>
      <w:pPr>
        <w:jc w:val="both"/>
        <w:ind w:firstLine="445"/>
        <w:spacing w:after="0" w:line="263" w:lineRule="auto"/>
        <w:rPr>
          <w:sz w:val="20"/>
          <w:szCs w:val="20"/>
          <w:color w:val="auto"/>
        </w:rPr>
      </w:pPr>
      <w:r>
        <w:rPr>
          <w:rFonts w:ascii="Arial" w:cs="Arial" w:eastAsia="Arial" w:hAnsi="Arial"/>
          <w:sz w:val="18"/>
          <w:szCs w:val="18"/>
          <w:color w:val="auto"/>
        </w:rPr>
        <w:t>We, including our Chief Executive Officer and Chief Financial Officer, evaluated the effectiveness of the design and operation of our disclosure controls and procedures as of June 30, 2022. Based on the foregoing, our Chief Executive Officer and Chief Financial Officer concluded that our disclosure controls and procedures were effective.</w:t>
      </w:r>
    </w:p>
    <w:p>
      <w:pPr>
        <w:spacing w:after="0" w:line="7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Changes in Internal Control over Financial Reporting</w:t>
      </w:r>
    </w:p>
    <w:p>
      <w:pPr>
        <w:spacing w:after="0" w:line="117" w:lineRule="exact"/>
        <w:rPr>
          <w:sz w:val="20"/>
          <w:szCs w:val="20"/>
          <w:color w:val="auto"/>
        </w:rPr>
      </w:pPr>
    </w:p>
    <w:p>
      <w:pPr>
        <w:jc w:val="both"/>
        <w:ind w:firstLine="405"/>
        <w:spacing w:after="0" w:line="308" w:lineRule="auto"/>
        <w:rPr>
          <w:sz w:val="20"/>
          <w:szCs w:val="20"/>
          <w:color w:val="auto"/>
        </w:rPr>
      </w:pPr>
      <w:r>
        <w:rPr>
          <w:rFonts w:ascii="Arial" w:cs="Arial" w:eastAsia="Arial" w:hAnsi="Arial"/>
          <w:sz w:val="17"/>
          <w:szCs w:val="17"/>
          <w:color w:val="auto"/>
        </w:rPr>
        <w:t>There have been no changes in our "internal control over financial reporting" (as defined in Rule 13a-15(f) of the Exchange Act) that occurred during the last fiscal quarter that have materially affected, or are reasonably likely to materially affect, our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47" w:name="page48"/>
    <w:bookmarkEnd w:id="47"/>
    <w:p>
      <w:pPr>
        <w:jc w:val="center"/>
        <w:spacing w:after="0"/>
        <w:rPr>
          <w:sz w:val="20"/>
          <w:szCs w:val="20"/>
          <w:color w:val="auto"/>
        </w:rPr>
      </w:pPr>
      <w:r>
        <w:rPr>
          <w:rFonts w:ascii="Arial" w:cs="Arial" w:eastAsia="Arial" w:hAnsi="Arial"/>
          <w:sz w:val="18"/>
          <w:szCs w:val="18"/>
          <w:b w:val="1"/>
          <w:bCs w:val="1"/>
          <w:color w:val="auto"/>
        </w:rPr>
        <w:t>PART II. OTHER INFORMATION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 </w:t>
      </w:r>
      <w:r>
        <w:rPr>
          <w:rFonts w:ascii="Arial" w:cs="Arial" w:eastAsia="Arial" w:hAnsi="Arial"/>
          <w:sz w:val="18"/>
          <w:szCs w:val="18"/>
          <w:b w:val="1"/>
          <w:bCs w:val="1"/>
          <w:i w:val="1"/>
          <w:iCs w:val="1"/>
          <w:color w:val="auto"/>
        </w:rPr>
        <w:t>Legal Proceedings</w:t>
      </w:r>
    </w:p>
    <w:p>
      <w:pPr>
        <w:spacing w:after="0" w:line="121" w:lineRule="exact"/>
        <w:rPr>
          <w:sz w:val="20"/>
          <w:szCs w:val="20"/>
          <w:color w:val="auto"/>
        </w:rPr>
      </w:pPr>
    </w:p>
    <w:p>
      <w:pPr>
        <w:jc w:val="both"/>
        <w:ind w:firstLine="445"/>
        <w:spacing w:after="0" w:line="311" w:lineRule="auto"/>
        <w:rPr>
          <w:sz w:val="20"/>
          <w:szCs w:val="20"/>
          <w:color w:val="auto"/>
        </w:rPr>
      </w:pPr>
      <w:r>
        <w:rPr>
          <w:rFonts w:ascii="Arial" w:cs="Arial" w:eastAsia="Arial" w:hAnsi="Arial"/>
          <w:sz w:val="16"/>
          <w:szCs w:val="16"/>
          <w:color w:val="auto"/>
        </w:rPr>
        <w:t>Neither we, nor any of our consolidated subsidiaries, are currently subject to any material litigation nor, to our knowledge, is any material litigation threatened against us or any consolidated subsidiary, other than routine litigation and administrative proceedings arising in the ordinary course of business. Such proceedings are not expected to have a material adverse effect on the business, financial conditions, or results of our operations.</w:t>
      </w:r>
    </w:p>
    <w:p>
      <w:pPr>
        <w:spacing w:after="0" w:line="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1A. </w:t>
      </w:r>
      <w:r>
        <w:rPr>
          <w:rFonts w:ascii="Arial" w:cs="Arial" w:eastAsia="Arial" w:hAnsi="Arial"/>
          <w:sz w:val="18"/>
          <w:szCs w:val="18"/>
          <w:b w:val="1"/>
          <w:bCs w:val="1"/>
          <w:i w:val="1"/>
          <w:iCs w:val="1"/>
          <w:color w:val="auto"/>
        </w:rPr>
        <w:t>Risk Factors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There have been no material changes to the risk factors previously disclosed in our Annual Report on Form 10-K for the year ended December 31,</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2021.</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2. </w:t>
      </w:r>
      <w:r>
        <w:rPr>
          <w:rFonts w:ascii="Arial" w:cs="Arial" w:eastAsia="Arial" w:hAnsi="Arial"/>
          <w:sz w:val="18"/>
          <w:szCs w:val="18"/>
          <w:b w:val="1"/>
          <w:bCs w:val="1"/>
          <w:i w:val="1"/>
          <w:iCs w:val="1"/>
          <w:color w:val="auto"/>
        </w:rPr>
        <w:t>Unregistered Sales of Equity Securities and Use of Proceeds</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 Repurchase Program</w:t>
      </w:r>
    </w:p>
    <w:p>
      <w:pPr>
        <w:spacing w:after="0" w:line="94" w:lineRule="exact"/>
        <w:rPr>
          <w:sz w:val="20"/>
          <w:szCs w:val="20"/>
          <w:color w:val="auto"/>
        </w:rPr>
      </w:pPr>
    </w:p>
    <w:p>
      <w:pPr>
        <w:ind w:right="160" w:firstLine="445"/>
        <w:spacing w:after="0" w:line="286" w:lineRule="auto"/>
        <w:rPr>
          <w:sz w:val="20"/>
          <w:szCs w:val="20"/>
          <w:color w:val="auto"/>
        </w:rPr>
      </w:pPr>
      <w:r>
        <w:rPr>
          <w:rFonts w:ascii="Arial" w:cs="Arial" w:eastAsia="Arial" w:hAnsi="Arial"/>
          <w:sz w:val="16"/>
          <w:szCs w:val="16"/>
          <w:color w:val="auto"/>
        </w:rPr>
        <w:t>In October of 2021, our Board of Directors authorized the repurchase of up to $1 billion of our outstanding shares of common stock through December 31, 2022. As of June 30, 2022, the Company has repurchased shares at an aggregate amount of $93 million under the program. As of June 30, 2022, $0.9 billion of common stock remained available for repurchase under the program. The following table presents information with respect to purchases of our common stock made during the three months ended June 30, 2022 by us or any "affiliated purchaser" of us, as defined in Rule 10b-18(a)</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(3) under the Exchange Act (in millions, except per share amounts):</w:t>
      </w:r>
    </w:p>
    <w:p>
      <w:pPr>
        <w:spacing w:after="0" w:line="10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8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9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20" w:type="dxa"/>
            <w:vAlign w:val="bottom"/>
          </w:tcPr>
          <w:p>
            <w:pPr>
              <w:jc w:val="center"/>
              <w:spacing w:after="0"/>
              <w:rPr>
                <w:sz w:val="20"/>
                <w:szCs w:val="20"/>
                <w:color w:val="auto"/>
              </w:rPr>
            </w:pPr>
            <w:r>
              <w:rPr>
                <w:rFonts w:ascii="Arial" w:cs="Arial" w:eastAsia="Arial" w:hAnsi="Arial"/>
                <w:sz w:val="14"/>
                <w:szCs w:val="14"/>
                <w:b w:val="1"/>
                <w:bCs w:val="1"/>
                <w:color w:val="auto"/>
                <w:w w:val="97"/>
              </w:rPr>
              <w:t>Maximum Number (or</w:t>
            </w:r>
          </w:p>
        </w:tc>
        <w:tc>
          <w:tcPr>
            <w:tcW w:w="0" w:type="dxa"/>
            <w:vAlign w:val="bottom"/>
          </w:tcPr>
          <w:p>
            <w:pPr>
              <w:spacing w:after="0"/>
              <w:rPr>
                <w:sz w:val="1"/>
                <w:szCs w:val="1"/>
                <w:color w:val="auto"/>
              </w:rPr>
            </w:pPr>
          </w:p>
        </w:tc>
      </w:tr>
      <w:tr>
        <w:trPr>
          <w:trHeight w:val="135"/>
        </w:trPr>
        <w:tc>
          <w:tcPr>
            <w:tcW w:w="4080" w:type="dxa"/>
            <w:vAlign w:val="bottom"/>
          </w:tcPr>
          <w:p>
            <w:pPr>
              <w:spacing w:after="0"/>
              <w:rPr>
                <w:sz w:val="11"/>
                <w:szCs w:val="11"/>
                <w:color w:val="auto"/>
              </w:rPr>
            </w:pPr>
          </w:p>
        </w:tc>
        <w:tc>
          <w:tcPr>
            <w:tcW w:w="14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9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2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4"/>
              </w:rPr>
              <w:t>Approximate Dollar Value) of</w:t>
            </w:r>
          </w:p>
        </w:tc>
        <w:tc>
          <w:tcPr>
            <w:tcW w:w="0" w:type="dxa"/>
            <w:vAlign w:val="bottom"/>
          </w:tcPr>
          <w:p>
            <w:pPr>
              <w:spacing w:after="0"/>
              <w:rPr>
                <w:sz w:val="1"/>
                <w:szCs w:val="1"/>
                <w:color w:val="auto"/>
              </w:rPr>
            </w:pPr>
          </w:p>
        </w:tc>
      </w:tr>
      <w:tr>
        <w:trPr>
          <w:trHeight w:val="135"/>
        </w:trPr>
        <w:tc>
          <w:tcPr>
            <w:tcW w:w="4080" w:type="dxa"/>
            <w:vAlign w:val="bottom"/>
          </w:tcPr>
          <w:p>
            <w:pPr>
              <w:spacing w:after="0"/>
              <w:rPr>
                <w:sz w:val="11"/>
                <w:szCs w:val="11"/>
                <w:color w:val="auto"/>
              </w:rPr>
            </w:pPr>
          </w:p>
        </w:tc>
        <w:tc>
          <w:tcPr>
            <w:tcW w:w="14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940" w:type="dxa"/>
            <w:vAlign w:val="bottom"/>
            <w:vMerge w:val="restart"/>
          </w:tcPr>
          <w:p>
            <w:pPr>
              <w:jc w:val="center"/>
              <w:ind w:left="8"/>
              <w:spacing w:after="0"/>
              <w:rPr>
                <w:sz w:val="20"/>
                <w:szCs w:val="20"/>
                <w:color w:val="auto"/>
              </w:rPr>
            </w:pPr>
            <w:r>
              <w:rPr>
                <w:rFonts w:ascii="Arial" w:cs="Arial" w:eastAsia="Arial" w:hAnsi="Arial"/>
                <w:sz w:val="14"/>
                <w:szCs w:val="14"/>
                <w:b w:val="1"/>
                <w:bCs w:val="1"/>
                <w:color w:val="auto"/>
                <w:w w:val="92"/>
              </w:rPr>
              <w:t>Total Number of Shares</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2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4"/>
              </w:rPr>
              <w:t>Shares That May Yet Be</w:t>
            </w:r>
          </w:p>
        </w:tc>
        <w:tc>
          <w:tcPr>
            <w:tcW w:w="0" w:type="dxa"/>
            <w:vAlign w:val="bottom"/>
          </w:tcPr>
          <w:p>
            <w:pPr>
              <w:spacing w:after="0"/>
              <w:rPr>
                <w:sz w:val="1"/>
                <w:szCs w:val="1"/>
                <w:color w:val="auto"/>
              </w:rPr>
            </w:pPr>
          </w:p>
        </w:tc>
      </w:tr>
      <w:tr>
        <w:trPr>
          <w:trHeight w:val="135"/>
        </w:trPr>
        <w:tc>
          <w:tcPr>
            <w:tcW w:w="4080" w:type="dxa"/>
            <w:vAlign w:val="bottom"/>
          </w:tcPr>
          <w:p>
            <w:pPr>
              <w:spacing w:after="0"/>
              <w:rPr>
                <w:sz w:val="11"/>
                <w:szCs w:val="11"/>
                <w:color w:val="auto"/>
              </w:rPr>
            </w:pPr>
          </w:p>
        </w:tc>
        <w:tc>
          <w:tcPr>
            <w:tcW w:w="152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5"/>
              </w:rPr>
              <w:t>Total Number</w:t>
            </w:r>
          </w:p>
        </w:tc>
        <w:tc>
          <w:tcPr>
            <w:tcW w:w="152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1"/>
              </w:rPr>
              <w:t>Average Net Price</w:t>
            </w:r>
          </w:p>
        </w:tc>
        <w:tc>
          <w:tcPr>
            <w:tcW w:w="194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2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2"/>
              </w:rPr>
              <w:t>Purchased Under the Publicly</w:t>
            </w:r>
          </w:p>
        </w:tc>
        <w:tc>
          <w:tcPr>
            <w:tcW w:w="0" w:type="dxa"/>
            <w:vAlign w:val="bottom"/>
          </w:tcPr>
          <w:p>
            <w:pPr>
              <w:spacing w:after="0"/>
              <w:rPr>
                <w:sz w:val="1"/>
                <w:szCs w:val="1"/>
                <w:color w:val="auto"/>
              </w:rPr>
            </w:pPr>
          </w:p>
        </w:tc>
      </w:tr>
      <w:tr>
        <w:trPr>
          <w:trHeight w:val="135"/>
        </w:trPr>
        <w:tc>
          <w:tcPr>
            <w:tcW w:w="4080" w:type="dxa"/>
            <w:vAlign w:val="bottom"/>
            <w:vMerge w:val="restart"/>
          </w:tcPr>
          <w:p>
            <w:pPr>
              <w:ind w:left="1800"/>
              <w:spacing w:after="0"/>
              <w:rPr>
                <w:sz w:val="20"/>
                <w:szCs w:val="20"/>
                <w:color w:val="auto"/>
              </w:rPr>
            </w:pPr>
            <w:r>
              <w:rPr>
                <w:rFonts w:ascii="Arial" w:cs="Arial" w:eastAsia="Arial" w:hAnsi="Arial"/>
                <w:sz w:val="14"/>
                <w:szCs w:val="14"/>
                <w:b w:val="1"/>
                <w:bCs w:val="1"/>
                <w:color w:val="auto"/>
              </w:rPr>
              <w:t xml:space="preserve">Period </w:t>
            </w:r>
            <w:r>
              <w:rPr>
                <w:rFonts w:ascii="Arial" w:cs="Arial" w:eastAsia="Arial" w:hAnsi="Arial"/>
                <w:sz w:val="18"/>
                <w:szCs w:val="18"/>
                <w:b w:val="1"/>
                <w:bCs w:val="1"/>
                <w:color w:val="auto"/>
                <w:vertAlign w:val="superscript"/>
              </w:rPr>
              <w:t>1</w:t>
            </w:r>
          </w:p>
        </w:tc>
        <w:tc>
          <w:tcPr>
            <w:tcW w:w="1520" w:type="dxa"/>
            <w:vAlign w:val="bottom"/>
            <w:gridSpan w:val="2"/>
            <w:vMerge w:val="continue"/>
          </w:tcPr>
          <w:p>
            <w:pPr>
              <w:spacing w:after="0"/>
              <w:rPr>
                <w:sz w:val="11"/>
                <w:szCs w:val="11"/>
                <w:color w:val="auto"/>
              </w:rPr>
            </w:pPr>
          </w:p>
        </w:tc>
        <w:tc>
          <w:tcPr>
            <w:tcW w:w="1520" w:type="dxa"/>
            <w:vAlign w:val="bottom"/>
            <w:gridSpan w:val="2"/>
            <w:vMerge w:val="continue"/>
          </w:tcPr>
          <w:p>
            <w:pPr>
              <w:spacing w:after="0"/>
              <w:rPr>
                <w:sz w:val="11"/>
                <w:szCs w:val="11"/>
                <w:color w:val="auto"/>
              </w:rPr>
            </w:pPr>
          </w:p>
        </w:tc>
        <w:tc>
          <w:tcPr>
            <w:tcW w:w="1940" w:type="dxa"/>
            <w:vAlign w:val="bottom"/>
          </w:tcPr>
          <w:p>
            <w:pPr>
              <w:jc w:val="center"/>
              <w:ind w:left="8"/>
              <w:spacing w:after="0" w:line="135" w:lineRule="exact"/>
              <w:rPr>
                <w:sz w:val="20"/>
                <w:szCs w:val="20"/>
                <w:color w:val="auto"/>
              </w:rPr>
            </w:pPr>
            <w:r>
              <w:rPr>
                <w:rFonts w:ascii="Arial" w:cs="Arial" w:eastAsia="Arial" w:hAnsi="Arial"/>
                <w:sz w:val="14"/>
                <w:szCs w:val="14"/>
                <w:b w:val="1"/>
                <w:bCs w:val="1"/>
                <w:color w:val="auto"/>
                <w:w w:val="92"/>
              </w:rPr>
              <w:t>Purchased as Part of Publicly</w:t>
            </w:r>
          </w:p>
        </w:tc>
        <w:tc>
          <w:tcPr>
            <w:tcW w:w="80" w:type="dxa"/>
            <w:vAlign w:val="bottom"/>
            <w:vMerge w:val="restart"/>
          </w:tcPr>
          <w:p>
            <w:pPr>
              <w:jc w:val="right"/>
              <w:spacing w:after="0"/>
              <w:rPr>
                <w:sz w:val="20"/>
                <w:szCs w:val="20"/>
                <w:color w:val="auto"/>
              </w:rPr>
            </w:pPr>
            <w:r>
              <w:rPr>
                <w:rFonts w:ascii="Arial" w:cs="Arial" w:eastAsia="Arial" w:hAnsi="Arial"/>
                <w:sz w:val="9"/>
                <w:szCs w:val="9"/>
                <w:b w:val="1"/>
                <w:bCs w:val="1"/>
                <w:color w:val="auto"/>
                <w:w w:val="78"/>
              </w:rPr>
              <w:t>2</w:t>
            </w:r>
          </w:p>
        </w:tc>
        <w:tc>
          <w:tcPr>
            <w:tcW w:w="80" w:type="dxa"/>
            <w:vAlign w:val="bottom"/>
          </w:tcPr>
          <w:p>
            <w:pPr>
              <w:spacing w:after="0"/>
              <w:rPr>
                <w:sz w:val="11"/>
                <w:szCs w:val="11"/>
                <w:color w:val="auto"/>
              </w:rPr>
            </w:pPr>
          </w:p>
        </w:tc>
        <w:tc>
          <w:tcPr>
            <w:tcW w:w="202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1"/>
              </w:rPr>
              <w:t>Announced Plans or Programs</w:t>
            </w:r>
          </w:p>
        </w:tc>
        <w:tc>
          <w:tcPr>
            <w:tcW w:w="0" w:type="dxa"/>
            <w:vAlign w:val="bottom"/>
          </w:tcPr>
          <w:p>
            <w:pPr>
              <w:spacing w:after="0"/>
              <w:rPr>
                <w:sz w:val="1"/>
                <w:szCs w:val="1"/>
                <w:color w:val="auto"/>
              </w:rPr>
            </w:pPr>
          </w:p>
        </w:tc>
      </w:tr>
      <w:tr>
        <w:trPr>
          <w:trHeight w:val="189"/>
        </w:trPr>
        <w:tc>
          <w:tcPr>
            <w:tcW w:w="4080" w:type="dxa"/>
            <w:vAlign w:val="bottom"/>
            <w:tcBorders>
              <w:bottom w:val="single" w:sz="8" w:color="auto"/>
            </w:tcBorders>
            <w:vMerge w:val="continue"/>
          </w:tcPr>
          <w:p>
            <w:pPr>
              <w:spacing w:after="0"/>
              <w:rPr>
                <w:sz w:val="16"/>
                <w:szCs w:val="16"/>
                <w:color w:val="auto"/>
              </w:rPr>
            </w:pPr>
          </w:p>
        </w:tc>
        <w:tc>
          <w:tcPr>
            <w:tcW w:w="1520" w:type="dxa"/>
            <w:vAlign w:val="bottom"/>
            <w:tcBorders>
              <w:bottom w:val="single" w:sz="8" w:color="auto"/>
            </w:tcBorders>
            <w:gridSpan w:val="2"/>
          </w:tcPr>
          <w:p>
            <w:pPr>
              <w:jc w:val="center"/>
              <w:ind w:right="100"/>
              <w:spacing w:after="0"/>
              <w:rPr>
                <w:sz w:val="20"/>
                <w:szCs w:val="20"/>
                <w:color w:val="auto"/>
              </w:rPr>
            </w:pPr>
            <w:r>
              <w:rPr>
                <w:rFonts w:ascii="Arial" w:cs="Arial" w:eastAsia="Arial" w:hAnsi="Arial"/>
                <w:sz w:val="14"/>
                <w:szCs w:val="14"/>
                <w:b w:val="1"/>
                <w:bCs w:val="1"/>
                <w:color w:val="auto"/>
                <w:w w:val="90"/>
              </w:rPr>
              <w:t>of Shares Purchased</w:t>
            </w:r>
          </w:p>
        </w:tc>
        <w:tc>
          <w:tcPr>
            <w:tcW w:w="1520" w:type="dxa"/>
            <w:vAlign w:val="bottom"/>
            <w:tcBorders>
              <w:bottom w:val="single" w:sz="8" w:color="auto"/>
            </w:tcBorders>
            <w:gridSpan w:val="2"/>
          </w:tcPr>
          <w:p>
            <w:pPr>
              <w:jc w:val="center"/>
              <w:ind w:right="80"/>
              <w:spacing w:after="0"/>
              <w:rPr>
                <w:sz w:val="20"/>
                <w:szCs w:val="20"/>
                <w:color w:val="auto"/>
              </w:rPr>
            </w:pPr>
            <w:r>
              <w:rPr>
                <w:rFonts w:ascii="Arial" w:cs="Arial" w:eastAsia="Arial" w:hAnsi="Arial"/>
                <w:sz w:val="14"/>
                <w:szCs w:val="14"/>
                <w:b w:val="1"/>
                <w:bCs w:val="1"/>
                <w:color w:val="auto"/>
                <w:w w:val="93"/>
              </w:rPr>
              <w:t>Paid Per Share</w:t>
            </w:r>
          </w:p>
        </w:tc>
        <w:tc>
          <w:tcPr>
            <w:tcW w:w="194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w w:val="92"/>
              </w:rPr>
              <w:t>Announced Plans or Programs</w:t>
            </w:r>
          </w:p>
        </w:tc>
        <w:tc>
          <w:tcPr>
            <w:tcW w:w="80" w:type="dxa"/>
            <w:vAlign w:val="bottom"/>
            <w:tcBorders>
              <w:bottom w:val="single" w:sz="8" w:color="auto"/>
            </w:tcBorders>
            <w:vMerge w:val="continue"/>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2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(in millions)</w:t>
            </w:r>
          </w:p>
        </w:tc>
        <w:tc>
          <w:tcPr>
            <w:tcW w:w="0" w:type="dxa"/>
            <w:vAlign w:val="bottom"/>
          </w:tcPr>
          <w:p>
            <w:pPr>
              <w:spacing w:after="0"/>
              <w:rPr>
                <w:sz w:val="1"/>
                <w:szCs w:val="1"/>
                <w:color w:val="auto"/>
              </w:rPr>
            </w:pPr>
          </w:p>
        </w:tc>
      </w:tr>
      <w:tr>
        <w:trPr>
          <w:trHeight w:val="183"/>
        </w:trPr>
        <w:tc>
          <w:tcPr>
            <w:tcW w:w="4080" w:type="dxa"/>
            <w:vAlign w:val="bottom"/>
            <w:shd w:val="clear" w:color="auto" w:fill="CCEEFF"/>
          </w:tcPr>
          <w:p>
            <w:pPr>
              <w:ind w:left="20"/>
              <w:spacing w:after="0"/>
              <w:rPr>
                <w:sz w:val="20"/>
                <w:szCs w:val="20"/>
                <w:color w:val="auto"/>
              </w:rPr>
            </w:pPr>
            <w:r>
              <w:rPr>
                <w:rFonts w:ascii="Arial" w:cs="Arial" w:eastAsia="Arial" w:hAnsi="Arial"/>
                <w:sz w:val="14"/>
                <w:szCs w:val="14"/>
                <w:color w:val="auto"/>
              </w:rPr>
              <w:t>April 1, 2022 - April 30, 2022</w:t>
            </w:r>
          </w:p>
        </w:tc>
        <w:tc>
          <w:tcPr>
            <w:tcW w:w="14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0.0</w:t>
            </w:r>
          </w:p>
        </w:tc>
        <w:tc>
          <w:tcPr>
            <w:tcW w:w="100" w:type="dxa"/>
            <w:vAlign w:val="bottom"/>
            <w:shd w:val="clear" w:color="auto" w:fill="CCEEFF"/>
          </w:tcPr>
          <w:p>
            <w:pPr>
              <w:spacing w:after="0"/>
              <w:rPr>
                <w:sz w:val="15"/>
                <w:szCs w:val="15"/>
                <w:color w:val="auto"/>
              </w:rPr>
            </w:pPr>
          </w:p>
        </w:tc>
        <w:tc>
          <w:tcPr>
            <w:tcW w:w="14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$0.00</w:t>
            </w:r>
          </w:p>
        </w:tc>
        <w:tc>
          <w:tcPr>
            <w:tcW w:w="100" w:type="dxa"/>
            <w:vAlign w:val="bottom"/>
            <w:shd w:val="clear" w:color="auto" w:fill="CCEEFF"/>
          </w:tcPr>
          <w:p>
            <w:pPr>
              <w:spacing w:after="0"/>
              <w:rPr>
                <w:sz w:val="15"/>
                <w:szCs w:val="15"/>
                <w:color w:val="auto"/>
              </w:rPr>
            </w:pPr>
          </w:p>
        </w:tc>
        <w:tc>
          <w:tcPr>
            <w:tcW w:w="1940" w:type="dxa"/>
            <w:vAlign w:val="bottom"/>
            <w:shd w:val="clear" w:color="auto" w:fill="CCEEFF"/>
          </w:tcPr>
          <w:p>
            <w:pPr>
              <w:jc w:val="center"/>
              <w:ind w:left="8"/>
              <w:spacing w:after="0"/>
              <w:rPr>
                <w:sz w:val="20"/>
                <w:szCs w:val="20"/>
                <w:color w:val="auto"/>
              </w:rPr>
            </w:pPr>
            <w:r>
              <w:rPr>
                <w:rFonts w:ascii="Arial" w:cs="Arial" w:eastAsia="Arial" w:hAnsi="Arial"/>
                <w:sz w:val="14"/>
                <w:szCs w:val="14"/>
                <w:color w:val="auto"/>
                <w:w w:val="92"/>
              </w:rPr>
              <w:t>0.0</w:t>
            </w:r>
          </w:p>
        </w:tc>
        <w:tc>
          <w:tcPr>
            <w:tcW w:w="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$958</w:t>
            </w:r>
          </w:p>
        </w:tc>
        <w:tc>
          <w:tcPr>
            <w:tcW w:w="0" w:type="dxa"/>
            <w:vAlign w:val="bottom"/>
          </w:tcPr>
          <w:p>
            <w:pPr>
              <w:spacing w:after="0"/>
              <w:rPr>
                <w:sz w:val="1"/>
                <w:szCs w:val="1"/>
                <w:color w:val="auto"/>
              </w:rPr>
            </w:pPr>
          </w:p>
        </w:tc>
      </w:tr>
      <w:tr>
        <w:trPr>
          <w:trHeight w:val="186"/>
        </w:trPr>
        <w:tc>
          <w:tcPr>
            <w:tcW w:w="4080" w:type="dxa"/>
            <w:vAlign w:val="bottom"/>
          </w:tcPr>
          <w:p>
            <w:pPr>
              <w:ind w:left="20"/>
              <w:spacing w:after="0"/>
              <w:rPr>
                <w:sz w:val="20"/>
                <w:szCs w:val="20"/>
                <w:color w:val="auto"/>
              </w:rPr>
            </w:pPr>
            <w:r>
              <w:rPr>
                <w:rFonts w:ascii="Arial" w:cs="Arial" w:eastAsia="Arial" w:hAnsi="Arial"/>
                <w:sz w:val="14"/>
                <w:szCs w:val="14"/>
                <w:color w:val="auto"/>
              </w:rPr>
              <w:t>May 1, 2022 - May 31, 2022</w:t>
            </w:r>
          </w:p>
        </w:tc>
        <w:tc>
          <w:tcPr>
            <w:tcW w:w="1420" w:type="dxa"/>
            <w:vAlign w:val="bottom"/>
          </w:tcPr>
          <w:p>
            <w:pPr>
              <w:jc w:val="center"/>
              <w:spacing w:after="0"/>
              <w:rPr>
                <w:sz w:val="20"/>
                <w:szCs w:val="20"/>
                <w:color w:val="auto"/>
              </w:rPr>
            </w:pPr>
            <w:r>
              <w:rPr>
                <w:rFonts w:ascii="Arial" w:cs="Arial" w:eastAsia="Arial" w:hAnsi="Arial"/>
                <w:sz w:val="14"/>
                <w:szCs w:val="14"/>
                <w:color w:val="auto"/>
                <w:w w:val="92"/>
              </w:rPr>
              <w:t>0.0</w:t>
            </w:r>
          </w:p>
        </w:tc>
        <w:tc>
          <w:tcPr>
            <w:tcW w:w="100" w:type="dxa"/>
            <w:vAlign w:val="bottom"/>
          </w:tcPr>
          <w:p>
            <w:pPr>
              <w:spacing w:after="0"/>
              <w:rPr>
                <w:sz w:val="16"/>
                <w:szCs w:val="16"/>
                <w:color w:val="auto"/>
              </w:rPr>
            </w:pPr>
          </w:p>
        </w:tc>
        <w:tc>
          <w:tcPr>
            <w:tcW w:w="1420" w:type="dxa"/>
            <w:vAlign w:val="bottom"/>
          </w:tcPr>
          <w:p>
            <w:pPr>
              <w:jc w:val="center"/>
              <w:spacing w:after="0"/>
              <w:rPr>
                <w:sz w:val="20"/>
                <w:szCs w:val="20"/>
                <w:color w:val="auto"/>
              </w:rPr>
            </w:pPr>
            <w:r>
              <w:rPr>
                <w:rFonts w:ascii="Arial" w:cs="Arial" w:eastAsia="Arial" w:hAnsi="Arial"/>
                <w:sz w:val="14"/>
                <w:szCs w:val="14"/>
                <w:color w:val="auto"/>
                <w:w w:val="91"/>
              </w:rPr>
              <w:t>$0.00</w:t>
            </w:r>
          </w:p>
        </w:tc>
        <w:tc>
          <w:tcPr>
            <w:tcW w:w="100" w:type="dxa"/>
            <w:vAlign w:val="bottom"/>
          </w:tcPr>
          <w:p>
            <w:pPr>
              <w:spacing w:after="0"/>
              <w:rPr>
                <w:sz w:val="16"/>
                <w:szCs w:val="16"/>
                <w:color w:val="auto"/>
              </w:rPr>
            </w:pPr>
          </w:p>
        </w:tc>
        <w:tc>
          <w:tcPr>
            <w:tcW w:w="1940" w:type="dxa"/>
            <w:vAlign w:val="bottom"/>
          </w:tcPr>
          <w:p>
            <w:pPr>
              <w:jc w:val="center"/>
              <w:ind w:left="8"/>
              <w:spacing w:after="0"/>
              <w:rPr>
                <w:sz w:val="20"/>
                <w:szCs w:val="20"/>
                <w:color w:val="auto"/>
              </w:rPr>
            </w:pPr>
            <w:r>
              <w:rPr>
                <w:rFonts w:ascii="Arial" w:cs="Arial" w:eastAsia="Arial" w:hAnsi="Arial"/>
                <w:sz w:val="14"/>
                <w:szCs w:val="14"/>
                <w:color w:val="auto"/>
                <w:w w:val="92"/>
              </w:rPr>
              <w:t>0.0</w:t>
            </w: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20" w:type="dxa"/>
            <w:vAlign w:val="bottom"/>
          </w:tcPr>
          <w:p>
            <w:pPr>
              <w:jc w:val="center"/>
              <w:spacing w:after="0"/>
              <w:rPr>
                <w:sz w:val="20"/>
                <w:szCs w:val="20"/>
                <w:color w:val="auto"/>
              </w:rPr>
            </w:pPr>
            <w:r>
              <w:rPr>
                <w:rFonts w:ascii="Arial" w:cs="Arial" w:eastAsia="Arial" w:hAnsi="Arial"/>
                <w:sz w:val="14"/>
                <w:szCs w:val="14"/>
                <w:color w:val="auto"/>
                <w:w w:val="94"/>
              </w:rPr>
              <w:t>958</w:t>
            </w:r>
          </w:p>
        </w:tc>
        <w:tc>
          <w:tcPr>
            <w:tcW w:w="0" w:type="dxa"/>
            <w:vAlign w:val="bottom"/>
          </w:tcPr>
          <w:p>
            <w:pPr>
              <w:spacing w:after="0"/>
              <w:rPr>
                <w:sz w:val="1"/>
                <w:szCs w:val="1"/>
                <w:color w:val="auto"/>
              </w:rPr>
            </w:pPr>
          </w:p>
        </w:tc>
      </w:tr>
      <w:tr>
        <w:trPr>
          <w:trHeight w:val="189"/>
        </w:trPr>
        <w:tc>
          <w:tcPr>
            <w:tcW w:w="4080" w:type="dxa"/>
            <w:vAlign w:val="bottom"/>
            <w:shd w:val="clear" w:color="auto" w:fill="CCEEFF"/>
          </w:tcPr>
          <w:p>
            <w:pPr>
              <w:ind w:left="20"/>
              <w:spacing w:after="0"/>
              <w:rPr>
                <w:sz w:val="20"/>
                <w:szCs w:val="20"/>
                <w:color w:val="auto"/>
              </w:rPr>
            </w:pPr>
            <w:r>
              <w:rPr>
                <w:rFonts w:ascii="Arial" w:cs="Arial" w:eastAsia="Arial" w:hAnsi="Arial"/>
                <w:sz w:val="14"/>
                <w:szCs w:val="14"/>
                <w:color w:val="auto"/>
              </w:rPr>
              <w:t>June 1, 2022 - June 30, 2022</w:t>
            </w:r>
          </w:p>
        </w:tc>
        <w:tc>
          <w:tcPr>
            <w:tcW w:w="14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4.7</w:t>
            </w:r>
          </w:p>
        </w:tc>
        <w:tc>
          <w:tcPr>
            <w:tcW w:w="100" w:type="dxa"/>
            <w:vAlign w:val="bottom"/>
            <w:shd w:val="clear" w:color="auto" w:fill="CCEEFF"/>
          </w:tcPr>
          <w:p>
            <w:pPr>
              <w:spacing w:after="0"/>
              <w:rPr>
                <w:sz w:val="16"/>
                <w:szCs w:val="16"/>
                <w:color w:val="auto"/>
              </w:rPr>
            </w:pPr>
          </w:p>
        </w:tc>
        <w:tc>
          <w:tcPr>
            <w:tcW w:w="14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3"/>
              </w:rPr>
              <w:t>$10.78</w:t>
            </w:r>
          </w:p>
        </w:tc>
        <w:tc>
          <w:tcPr>
            <w:tcW w:w="100" w:type="dxa"/>
            <w:vAlign w:val="bottom"/>
            <w:shd w:val="clear" w:color="auto" w:fill="CCEEFF"/>
          </w:tcPr>
          <w:p>
            <w:pPr>
              <w:spacing w:after="0"/>
              <w:rPr>
                <w:sz w:val="16"/>
                <w:szCs w:val="16"/>
                <w:color w:val="auto"/>
              </w:rPr>
            </w:pPr>
          </w:p>
        </w:tc>
        <w:tc>
          <w:tcPr>
            <w:tcW w:w="1940" w:type="dxa"/>
            <w:vAlign w:val="bottom"/>
            <w:tcBorders>
              <w:bottom w:val="single" w:sz="8" w:color="auto"/>
            </w:tcBorders>
            <w:shd w:val="clear" w:color="auto" w:fill="CCEEFF"/>
          </w:tcPr>
          <w:p>
            <w:pPr>
              <w:jc w:val="center"/>
              <w:ind w:left="8"/>
              <w:spacing w:after="0"/>
              <w:rPr>
                <w:sz w:val="20"/>
                <w:szCs w:val="20"/>
                <w:color w:val="auto"/>
              </w:rPr>
            </w:pPr>
            <w:r>
              <w:rPr>
                <w:rFonts w:ascii="Arial" w:cs="Arial" w:eastAsia="Arial" w:hAnsi="Arial"/>
                <w:sz w:val="14"/>
                <w:szCs w:val="14"/>
                <w:color w:val="auto"/>
                <w:w w:val="92"/>
              </w:rPr>
              <w:t>4.7</w:t>
            </w:r>
          </w:p>
        </w:tc>
        <w:tc>
          <w:tcPr>
            <w:tcW w:w="80" w:type="dxa"/>
            <w:vAlign w:val="bottom"/>
            <w:tcBorders>
              <w:bottom w:val="single" w:sz="8" w:color="auto"/>
            </w:tcBorders>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4"/>
              </w:rPr>
              <w:t>907</w:t>
            </w:r>
          </w:p>
        </w:tc>
        <w:tc>
          <w:tcPr>
            <w:tcW w:w="0" w:type="dxa"/>
            <w:vAlign w:val="bottom"/>
          </w:tcPr>
          <w:p>
            <w:pPr>
              <w:spacing w:after="0"/>
              <w:rPr>
                <w:sz w:val="1"/>
                <w:szCs w:val="1"/>
                <w:color w:val="auto"/>
              </w:rPr>
            </w:pPr>
          </w:p>
        </w:tc>
      </w:tr>
      <w:tr>
        <w:trPr>
          <w:trHeight w:val="186"/>
        </w:trPr>
        <w:tc>
          <w:tcPr>
            <w:tcW w:w="4080" w:type="dxa"/>
            <w:vAlign w:val="bottom"/>
          </w:tcPr>
          <w:p>
            <w:pPr>
              <w:ind w:left="20"/>
              <w:spacing w:after="0"/>
              <w:rPr>
                <w:sz w:val="20"/>
                <w:szCs w:val="20"/>
                <w:color w:val="auto"/>
              </w:rPr>
            </w:pPr>
            <w:r>
              <w:rPr>
                <w:rFonts w:ascii="Arial" w:cs="Arial" w:eastAsia="Arial" w:hAnsi="Arial"/>
                <w:sz w:val="14"/>
                <w:szCs w:val="14"/>
                <w:color w:val="auto"/>
              </w:rPr>
              <w:t>Total</w:t>
            </w: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4.7</w:t>
            </w:r>
          </w:p>
        </w:tc>
        <w:tc>
          <w:tcPr>
            <w:tcW w:w="100" w:type="dxa"/>
            <w:vAlign w:val="bottom"/>
          </w:tcPr>
          <w:p>
            <w:pPr>
              <w:spacing w:after="0"/>
              <w:rPr>
                <w:sz w:val="16"/>
                <w:szCs w:val="16"/>
                <w:color w:val="auto"/>
              </w:rPr>
            </w:pP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3"/>
              </w:rPr>
              <w:t>$10.78</w:t>
            </w:r>
          </w:p>
        </w:tc>
        <w:tc>
          <w:tcPr>
            <w:tcW w:w="100" w:type="dxa"/>
            <w:vAlign w:val="bottom"/>
          </w:tcPr>
          <w:p>
            <w:pPr>
              <w:spacing w:after="0"/>
              <w:rPr>
                <w:sz w:val="16"/>
                <w:szCs w:val="16"/>
                <w:color w:val="auto"/>
              </w:rPr>
            </w:pPr>
          </w:p>
        </w:tc>
        <w:tc>
          <w:tcPr>
            <w:tcW w:w="1940" w:type="dxa"/>
            <w:vAlign w:val="bottom"/>
            <w:tcBorders>
              <w:bottom w:val="single" w:sz="8" w:color="auto"/>
            </w:tcBorders>
          </w:tcPr>
          <w:p>
            <w:pPr>
              <w:jc w:val="center"/>
              <w:ind w:left="8"/>
              <w:spacing w:after="0"/>
              <w:rPr>
                <w:sz w:val="20"/>
                <w:szCs w:val="20"/>
                <w:color w:val="auto"/>
              </w:rPr>
            </w:pPr>
            <w:r>
              <w:rPr>
                <w:rFonts w:ascii="Arial" w:cs="Arial" w:eastAsia="Arial" w:hAnsi="Arial"/>
                <w:sz w:val="14"/>
                <w:szCs w:val="14"/>
                <w:color w:val="auto"/>
                <w:w w:val="92"/>
              </w:rPr>
              <w:t>4.7</w:t>
            </w:r>
          </w:p>
        </w:tc>
        <w:tc>
          <w:tcPr>
            <w:tcW w:w="80" w:type="dxa"/>
            <w:vAlign w:val="bottom"/>
            <w:tcBorders>
              <w:bottom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2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9"/>
              </w:rPr>
              <w:t>$907</w:t>
            </w:r>
          </w:p>
        </w:tc>
        <w:tc>
          <w:tcPr>
            <w:tcW w:w="0" w:type="dxa"/>
            <w:vAlign w:val="bottom"/>
          </w:tcPr>
          <w:p>
            <w:pPr>
              <w:spacing w:after="0"/>
              <w:rPr>
                <w:sz w:val="1"/>
                <w:szCs w:val="1"/>
                <w:color w:val="auto"/>
              </w:rPr>
            </w:pPr>
          </w:p>
        </w:tc>
      </w:tr>
      <w:tr>
        <w:trPr>
          <w:trHeight w:val="20"/>
        </w:trPr>
        <w:tc>
          <w:tcPr>
            <w:tcW w:w="4080" w:type="dxa"/>
            <w:vAlign w:val="bottom"/>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9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spacing w:after="0"/>
        <w:rPr>
          <w:sz w:val="20"/>
          <w:szCs w:val="20"/>
          <w:color w:val="auto"/>
        </w:rPr>
      </w:pPr>
      <w:r>
        <w:rPr>
          <w:rFonts w:ascii="Arial" w:cs="Arial" w:eastAsia="Arial" w:hAnsi="Arial"/>
          <w:sz w:val="18"/>
          <w:szCs w:val="18"/>
          <w:color w:val="auto"/>
        </w:rPr>
        <w:t>___________________________</w:t>
      </w:r>
    </w:p>
    <w:p>
      <w:pPr>
        <w:spacing w:after="0" w:line="17" w:lineRule="exact"/>
        <w:rPr>
          <w:sz w:val="20"/>
          <w:szCs w:val="20"/>
          <w:color w:val="auto"/>
        </w:rPr>
      </w:pPr>
    </w:p>
    <w:p>
      <w:pPr>
        <w:ind w:left="340" w:hanging="332"/>
        <w:spacing w:after="0"/>
        <w:tabs>
          <w:tab w:leader="none" w:pos="340" w:val="left"/>
        </w:tabs>
        <w:numPr>
          <w:ilvl w:val="0"/>
          <w:numId w:val="39"/>
        </w:numPr>
        <w:rPr>
          <w:rFonts w:ascii="Arial" w:cs="Arial" w:eastAsia="Arial" w:hAnsi="Arial"/>
          <w:sz w:val="14"/>
          <w:szCs w:val="14"/>
          <w:color w:val="auto"/>
        </w:rPr>
      </w:pPr>
      <w:r>
        <w:rPr>
          <w:rFonts w:ascii="Arial" w:cs="Arial" w:eastAsia="Arial" w:hAnsi="Arial"/>
          <w:sz w:val="14"/>
          <w:szCs w:val="14"/>
          <w:color w:val="auto"/>
        </w:rPr>
        <w:t>Amounts are reported based on the trade date of the share repurchase.</w:t>
      </w:r>
    </w:p>
    <w:p>
      <w:pPr>
        <w:spacing w:after="0" w:line="1" w:lineRule="exact"/>
        <w:rPr>
          <w:rFonts w:ascii="Arial" w:cs="Arial" w:eastAsia="Arial" w:hAnsi="Arial"/>
          <w:sz w:val="14"/>
          <w:szCs w:val="14"/>
          <w:color w:val="auto"/>
        </w:rPr>
      </w:pPr>
    </w:p>
    <w:p>
      <w:pPr>
        <w:ind w:left="340" w:hanging="332"/>
        <w:spacing w:after="0"/>
        <w:tabs>
          <w:tab w:leader="none" w:pos="340" w:val="left"/>
        </w:tabs>
        <w:numPr>
          <w:ilvl w:val="0"/>
          <w:numId w:val="39"/>
        </w:numPr>
        <w:rPr>
          <w:rFonts w:ascii="Arial" w:cs="Arial" w:eastAsia="Arial" w:hAnsi="Arial"/>
          <w:sz w:val="13"/>
          <w:szCs w:val="13"/>
          <w:color w:val="auto"/>
        </w:rPr>
      </w:pPr>
      <w:r>
        <w:rPr>
          <w:rFonts w:ascii="Arial" w:cs="Arial" w:eastAsia="Arial" w:hAnsi="Arial"/>
          <w:sz w:val="13"/>
          <w:szCs w:val="13"/>
          <w:color w:val="auto"/>
        </w:rPr>
        <w:t>All shares purchased by the Company were pursuant to the stock repurchase program described in Note 9 of our accompanying Consolidated Financial Statements in this Form 10-Q.</w:t>
      </w:r>
    </w:p>
    <w:p>
      <w:pPr>
        <w:spacing w:after="0" w:line="2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3. </w:t>
      </w:r>
      <w:r>
        <w:rPr>
          <w:rFonts w:ascii="Arial" w:cs="Arial" w:eastAsia="Arial" w:hAnsi="Arial"/>
          <w:sz w:val="18"/>
          <w:szCs w:val="18"/>
          <w:b w:val="1"/>
          <w:bCs w:val="1"/>
          <w:i w:val="1"/>
          <w:iCs w:val="1"/>
          <w:color w:val="auto"/>
        </w:rPr>
        <w:t>Defaults upon Senior Securities</w:t>
      </w:r>
    </w:p>
    <w:p>
      <w:pPr>
        <w:spacing w:after="0" w:line="94"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4. </w:t>
      </w:r>
      <w:r>
        <w:rPr>
          <w:rFonts w:ascii="Arial" w:cs="Arial" w:eastAsia="Arial" w:hAnsi="Arial"/>
          <w:sz w:val="18"/>
          <w:szCs w:val="18"/>
          <w:b w:val="1"/>
          <w:bCs w:val="1"/>
          <w:i w:val="1"/>
          <w:iCs w:val="1"/>
          <w:color w:val="auto"/>
        </w:rPr>
        <w:t>Mine Safety Disclosures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Not applicable.</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5. </w:t>
      </w:r>
      <w:r>
        <w:rPr>
          <w:rFonts w:ascii="Arial" w:cs="Arial" w:eastAsia="Arial" w:hAnsi="Arial"/>
          <w:sz w:val="18"/>
          <w:szCs w:val="18"/>
          <w:b w:val="1"/>
          <w:bCs w:val="1"/>
          <w:i w:val="1"/>
          <w:iCs w:val="1"/>
          <w:color w:val="auto"/>
        </w:rPr>
        <w:t>Other Information</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None.</w:t>
      </w:r>
    </w:p>
    <w:p>
      <w:pPr>
        <w:spacing w:after="0" w:line="113"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5"/>
          <w:szCs w:val="15"/>
          <w:b w:val="1"/>
          <w:bCs w:val="1"/>
          <w:i w:val="1"/>
          <w:iCs w:val="1"/>
          <w:color w:val="auto"/>
        </w:rPr>
        <w:t>Exhibits and Financial Statement Schedules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color w:val="auto"/>
        </w:rPr>
        <w:t>(a) Exhibit Index</w:t>
      </w:r>
    </w:p>
    <w:p>
      <w:pPr>
        <w:spacing w:after="0" w:line="163" w:lineRule="exact"/>
        <w:rPr>
          <w:sz w:val="20"/>
          <w:szCs w:val="20"/>
          <w:color w:val="auto"/>
        </w:rPr>
      </w:pPr>
    </w:p>
    <w:p>
      <w:pPr>
        <w:spacing w:after="0"/>
        <w:tabs>
          <w:tab w:leader="none" w:pos="840" w:val="left"/>
        </w:tabs>
        <w:rPr>
          <w:sz w:val="20"/>
          <w:szCs w:val="20"/>
          <w:color w:val="auto"/>
        </w:rPr>
      </w:pPr>
      <w:r>
        <w:rPr>
          <w:rFonts w:ascii="Arial" w:cs="Arial" w:eastAsia="Arial" w:hAnsi="Arial"/>
          <w:sz w:val="14"/>
          <w:szCs w:val="14"/>
          <w:b w:val="1"/>
          <w:bCs w:val="1"/>
          <w:u w:val="single" w:color="auto"/>
          <w:color w:val="auto"/>
        </w:rPr>
        <w:t>Exhibit No.</w:t>
      </w:r>
      <w:r>
        <w:rPr>
          <w:sz w:val="20"/>
          <w:szCs w:val="20"/>
          <w:color w:val="auto"/>
        </w:rPr>
        <w:tab/>
      </w:r>
      <w:r>
        <w:rPr>
          <w:rFonts w:ascii="Arial" w:cs="Arial" w:eastAsia="Arial" w:hAnsi="Arial"/>
          <w:sz w:val="12"/>
          <w:szCs w:val="12"/>
          <w:b w:val="1"/>
          <w:bCs w:val="1"/>
          <w:u w:val="single" w:color="auto"/>
          <w:color w:val="auto"/>
        </w:rPr>
        <w:t>Description</w:t>
      </w:r>
    </w:p>
    <w:p>
      <w:pPr>
        <w:spacing w:after="0" w:line="171" w:lineRule="exact"/>
        <w:rPr>
          <w:sz w:val="20"/>
          <w:szCs w:val="20"/>
          <w:color w:val="auto"/>
        </w:rPr>
      </w:pPr>
    </w:p>
    <w:p>
      <w:pPr>
        <w:ind w:left="500" w:right="20" w:hanging="1295"/>
        <w:spacing w:after="0" w:line="277" w:lineRule="auto"/>
        <w:tabs>
          <w:tab w:leader="none" w:pos="480" w:val="left"/>
        </w:tabs>
        <w:rPr>
          <w:rFonts w:ascii="Arial" w:cs="Arial" w:eastAsia="Arial" w:hAnsi="Arial"/>
          <w:sz w:val="18"/>
          <w:szCs w:val="18"/>
          <w:color w:val="auto"/>
        </w:rPr>
      </w:pPr>
      <w:hyperlink r:id="rId68">
        <w:r>
          <w:rPr>
            <w:rFonts w:ascii="Arial" w:cs="Arial" w:eastAsia="Arial" w:hAnsi="Arial"/>
            <w:sz w:val="18"/>
            <w:szCs w:val="18"/>
            <w:color w:val="auto"/>
          </w:rPr>
          <w:t>*3.1</w:t>
        </w:r>
      </w:hyperlink>
      <w:r>
        <w:rPr>
          <w:rFonts w:ascii="Arial" w:cs="Arial" w:eastAsia="Arial" w:hAnsi="Arial"/>
          <w:sz w:val="18"/>
          <w:szCs w:val="18"/>
          <w:color w:val="auto"/>
        </w:rPr>
        <w:tab/>
      </w:r>
      <w:hyperlink r:id="rId68">
        <w:r>
          <w:rPr>
            <w:rFonts w:ascii="Arial" w:cs="Arial" w:eastAsia="Arial" w:hAnsi="Arial"/>
            <w:sz w:val="18"/>
            <w:szCs w:val="18"/>
            <w:color w:val="auto"/>
          </w:rPr>
          <w:t>AGNC Investment Corp. Amended and Restated Certificate of Incorporation, as amended, incorporated by reference from Exhibit 3.1 of Form 10-K</w:t>
        </w:r>
      </w:hyperlink>
      <w:r>
        <w:rPr>
          <w:rFonts w:ascii="Arial" w:cs="Arial" w:eastAsia="Arial" w:hAnsi="Arial"/>
          <w:sz w:val="18"/>
          <w:szCs w:val="18"/>
          <w:color w:val="auto"/>
        </w:rPr>
        <w:t xml:space="preserve"> </w:t>
      </w:r>
      <w:hyperlink r:id="rId68">
        <w:r>
          <w:rPr>
            <w:rFonts w:ascii="Arial" w:cs="Arial" w:eastAsia="Arial" w:hAnsi="Arial"/>
            <w:sz w:val="18"/>
            <w:szCs w:val="18"/>
            <w:color w:val="auto"/>
          </w:rPr>
          <w:t>for the year ended December 31, 2021 (File No. 001-34057), filed February 23, 2022.</w:t>
        </w:r>
      </w:hyperlink>
    </w:p>
    <w:p>
      <w:pPr>
        <w:spacing w:after="0" w:line="116" w:lineRule="exact"/>
        <w:rPr>
          <w:rFonts w:ascii="Arial" w:cs="Arial" w:eastAsia="Arial" w:hAnsi="Arial"/>
          <w:sz w:val="18"/>
          <w:szCs w:val="18"/>
          <w:color w:val="auto"/>
        </w:rPr>
      </w:pPr>
    </w:p>
    <w:p>
      <w:pPr>
        <w:spacing w:after="0"/>
        <w:tabs>
          <w:tab w:leader="none" w:pos="480" w:val="left"/>
        </w:tabs>
        <w:rPr>
          <w:rFonts w:ascii="Arial" w:cs="Arial" w:eastAsia="Arial" w:hAnsi="Arial"/>
          <w:sz w:val="16"/>
          <w:szCs w:val="16"/>
          <w:color w:val="auto"/>
        </w:rPr>
      </w:pPr>
      <w:hyperlink r:id="rId69">
        <w:r>
          <w:rPr>
            <w:rFonts w:ascii="Arial" w:cs="Arial" w:eastAsia="Arial" w:hAnsi="Arial"/>
            <w:sz w:val="18"/>
            <w:szCs w:val="18"/>
            <w:color w:val="auto"/>
          </w:rPr>
          <w:t>*3.2</w:t>
        </w:r>
      </w:hyperlink>
      <w:r>
        <w:rPr>
          <w:rFonts w:ascii="Arial" w:cs="Arial" w:eastAsia="Arial" w:hAnsi="Arial"/>
          <w:sz w:val="18"/>
          <w:szCs w:val="18"/>
          <w:color w:val="auto"/>
        </w:rPr>
        <w:tab/>
      </w:r>
      <w:hyperlink r:id="rId69">
        <w:r>
          <w:rPr>
            <w:rFonts w:ascii="Arial" w:cs="Arial" w:eastAsia="Arial" w:hAnsi="Arial"/>
            <w:sz w:val="16"/>
            <w:szCs w:val="16"/>
            <w:color w:val="auto"/>
          </w:rPr>
          <w:t>AGNC Investment Corp. Fourth Amended and Restated Bylaws, as amended, incorporated herein by reference to Exhibit 3.1 of Form 8-K (File No.</w:t>
        </w:r>
      </w:hyperlink>
    </w:p>
    <w:p>
      <w:pPr>
        <w:spacing w:after="0" w:line="23" w:lineRule="exact"/>
        <w:rPr>
          <w:sz w:val="20"/>
          <w:szCs w:val="20"/>
          <w:color w:val="auto"/>
        </w:rPr>
      </w:pPr>
    </w:p>
    <w:p>
      <w:pPr>
        <w:ind w:left="1300"/>
        <w:spacing w:after="0"/>
        <w:rPr>
          <w:rFonts w:ascii="Arial" w:cs="Arial" w:eastAsia="Arial" w:hAnsi="Arial"/>
          <w:sz w:val="18"/>
          <w:szCs w:val="18"/>
          <w:color w:val="auto"/>
        </w:rPr>
      </w:pPr>
      <w:hyperlink r:id="rId69">
        <w:r>
          <w:rPr>
            <w:rFonts w:ascii="Arial" w:cs="Arial" w:eastAsia="Arial" w:hAnsi="Arial"/>
            <w:sz w:val="18"/>
            <w:szCs w:val="18"/>
            <w:color w:val="auto"/>
          </w:rPr>
          <w:t>001-34057), filed March 11, 2021.</w:t>
        </w:r>
      </w:hyperlink>
    </w:p>
    <w:p>
      <w:pPr>
        <w:spacing w:after="0" w:line="157" w:lineRule="exact"/>
        <w:rPr>
          <w:sz w:val="20"/>
          <w:szCs w:val="20"/>
          <w:color w:val="auto"/>
        </w:rPr>
      </w:pPr>
    </w:p>
    <w:p>
      <w:pPr>
        <w:ind w:left="520" w:hanging="1295"/>
        <w:spacing w:after="0" w:line="277" w:lineRule="auto"/>
        <w:tabs>
          <w:tab w:leader="none" w:pos="500" w:val="left"/>
        </w:tabs>
        <w:rPr>
          <w:rFonts w:ascii="Arial" w:cs="Arial" w:eastAsia="Arial" w:hAnsi="Arial"/>
          <w:sz w:val="18"/>
          <w:szCs w:val="18"/>
          <w:color w:val="auto"/>
        </w:rPr>
      </w:pPr>
      <w:hyperlink r:id="rId70">
        <w:r>
          <w:rPr>
            <w:rFonts w:ascii="Arial" w:cs="Arial" w:eastAsia="Arial" w:hAnsi="Arial"/>
            <w:sz w:val="18"/>
            <w:szCs w:val="18"/>
            <w:color w:val="auto"/>
          </w:rPr>
          <w:t>*3.3</w:t>
        </w:r>
      </w:hyperlink>
      <w:r>
        <w:rPr>
          <w:rFonts w:ascii="Arial" w:cs="Arial" w:eastAsia="Arial" w:hAnsi="Arial"/>
          <w:sz w:val="18"/>
          <w:szCs w:val="18"/>
          <w:color w:val="auto"/>
        </w:rPr>
        <w:tab/>
      </w:r>
      <w:hyperlink r:id="rId70">
        <w:r>
          <w:rPr>
            <w:rFonts w:ascii="Arial" w:cs="Arial" w:eastAsia="Arial" w:hAnsi="Arial"/>
            <w:sz w:val="18"/>
            <w:szCs w:val="18"/>
            <w:color w:val="auto"/>
          </w:rPr>
          <w:t>Certificate of Designations of 7.00% Series C Fixed-to-Floating Rate Cumulative Redeemable Preferred Stock, incorporated herein by reference to</w:t>
        </w:r>
      </w:hyperlink>
      <w:r>
        <w:rPr>
          <w:rFonts w:ascii="Arial" w:cs="Arial" w:eastAsia="Arial" w:hAnsi="Arial"/>
          <w:sz w:val="18"/>
          <w:szCs w:val="18"/>
          <w:color w:val="auto"/>
        </w:rPr>
        <w:t xml:space="preserve"> </w:t>
      </w:r>
      <w:hyperlink r:id="rId70">
        <w:r>
          <w:rPr>
            <w:rFonts w:ascii="Arial" w:cs="Arial" w:eastAsia="Arial" w:hAnsi="Arial"/>
            <w:sz w:val="18"/>
            <w:szCs w:val="18"/>
            <w:color w:val="auto"/>
          </w:rPr>
          <w:t>Exhibit 3.5 of Form 8-A (File No. 001-34057), filed August 18, 2017.</w:t>
        </w:r>
      </w:hyperlink>
    </w:p>
    <w:p>
      <w:pPr>
        <w:spacing w:after="0" w:line="200" w:lineRule="exact"/>
        <w:rPr>
          <w:rFonts w:ascii="Arial" w:cs="Arial" w:eastAsia="Arial" w:hAnsi="Arial"/>
          <w:sz w:val="18"/>
          <w:szCs w:val="18"/>
          <w:color w:val="auto"/>
        </w:rPr>
      </w:pPr>
    </w:p>
    <w:p>
      <w:pPr>
        <w:spacing w:after="0" w:line="308" w:lineRule="exact"/>
        <w:rPr>
          <w:rFonts w:ascii="Arial" w:cs="Arial" w:eastAsia="Arial" w:hAnsi="Arial"/>
          <w:sz w:val="18"/>
          <w:szCs w:val="18"/>
          <w:color w:val="auto"/>
        </w:rPr>
      </w:pPr>
    </w:p>
    <w:p>
      <w:pPr>
        <w:jc w:val="center"/>
        <w:spacing w:after="0"/>
        <w:rPr>
          <w:sz w:val="20"/>
          <w:szCs w:val="20"/>
          <w:color w:val="auto"/>
        </w:rPr>
      </w:pPr>
      <w:r>
        <w:rPr>
          <w:rFonts w:ascii="Arial" w:cs="Arial" w:eastAsia="Arial" w:hAnsi="Arial"/>
          <w:sz w:val="18"/>
          <w:szCs w:val="18"/>
          <w:color w:val="auto"/>
        </w:rPr>
        <w:t>47</w:t>
      </w:r>
    </w:p>
    <w:p>
      <w:pPr>
        <w:spacing w:after="0" w:line="20" w:lineRule="exact"/>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48" w:name="page49"/>
    <w:bookmarkEnd w:id="48"/>
    <w:p>
      <w:pPr>
        <w:jc w:val="both"/>
        <w:ind w:left="500" w:hanging="1295"/>
        <w:spacing w:after="0" w:line="277" w:lineRule="auto"/>
        <w:tabs>
          <w:tab w:leader="none" w:pos="480" w:val="left"/>
        </w:tabs>
        <w:rPr>
          <w:rFonts w:ascii="Arial" w:cs="Arial" w:eastAsia="Arial" w:hAnsi="Arial"/>
          <w:sz w:val="18"/>
          <w:szCs w:val="18"/>
          <w:color w:val="auto"/>
        </w:rPr>
      </w:pPr>
      <w:hyperlink r:id="rId72">
        <w:r>
          <w:rPr>
            <w:rFonts w:ascii="Arial" w:cs="Arial" w:eastAsia="Arial" w:hAnsi="Arial"/>
            <w:sz w:val="18"/>
            <w:szCs w:val="18"/>
            <w:color w:val="auto"/>
          </w:rPr>
          <w:t>*3.4</w:t>
        </w:r>
      </w:hyperlink>
      <w:r>
        <w:rPr>
          <w:rFonts w:ascii="Arial" w:cs="Arial" w:eastAsia="Arial" w:hAnsi="Arial"/>
          <w:sz w:val="18"/>
          <w:szCs w:val="18"/>
          <w:color w:val="auto"/>
        </w:rPr>
        <w:tab/>
      </w:r>
      <w:hyperlink r:id="rId72">
        <w:r>
          <w:rPr>
            <w:rFonts w:ascii="Arial" w:cs="Arial" w:eastAsia="Arial" w:hAnsi="Arial"/>
            <w:sz w:val="18"/>
            <w:szCs w:val="18"/>
            <w:color w:val="auto"/>
          </w:rPr>
          <w:t>Certificate of Elimination of 8.000% Series A Cumulative Redeemable Preferred Stock, incorporated herein by reference to Exhibit 3.1 of Form 8-K</w:t>
        </w:r>
      </w:hyperlink>
      <w:r>
        <w:rPr>
          <w:rFonts w:ascii="Arial" w:cs="Arial" w:eastAsia="Arial" w:hAnsi="Arial"/>
          <w:sz w:val="18"/>
          <w:szCs w:val="18"/>
          <w:color w:val="auto"/>
        </w:rPr>
        <w:t xml:space="preserve"> </w:t>
      </w:r>
      <w:hyperlink r:id="rId72">
        <w:r>
          <w:rPr>
            <w:rFonts w:ascii="Arial" w:cs="Arial" w:eastAsia="Arial" w:hAnsi="Arial"/>
            <w:sz w:val="18"/>
            <w:szCs w:val="18"/>
            <w:color w:val="auto"/>
          </w:rPr>
          <w:t>(File No 001-34057), filed October 26, 2017.</w:t>
        </w:r>
      </w:hyperlink>
    </w:p>
    <w:p>
      <w:pPr>
        <w:spacing w:after="0" w:line="116" w:lineRule="exact"/>
        <w:rPr>
          <w:rFonts w:ascii="Arial" w:cs="Arial" w:eastAsia="Arial" w:hAnsi="Arial"/>
          <w:sz w:val="18"/>
          <w:szCs w:val="18"/>
          <w:color w:val="auto"/>
        </w:rPr>
      </w:pPr>
    </w:p>
    <w:p>
      <w:pPr>
        <w:jc w:val="both"/>
        <w:ind w:left="500" w:hanging="1295"/>
        <w:spacing w:after="0" w:line="277" w:lineRule="auto"/>
        <w:tabs>
          <w:tab w:leader="none" w:pos="480" w:val="left"/>
        </w:tabs>
        <w:rPr>
          <w:rFonts w:ascii="Arial" w:cs="Arial" w:eastAsia="Arial" w:hAnsi="Arial"/>
          <w:sz w:val="18"/>
          <w:szCs w:val="18"/>
          <w:color w:val="auto"/>
        </w:rPr>
      </w:pPr>
      <w:hyperlink r:id="rId73">
        <w:r>
          <w:rPr>
            <w:rFonts w:ascii="Arial" w:cs="Arial" w:eastAsia="Arial" w:hAnsi="Arial"/>
            <w:sz w:val="18"/>
            <w:szCs w:val="18"/>
            <w:color w:val="auto"/>
          </w:rPr>
          <w:t>*3.5</w:t>
        </w:r>
      </w:hyperlink>
      <w:r>
        <w:rPr>
          <w:rFonts w:ascii="Arial" w:cs="Arial" w:eastAsia="Arial" w:hAnsi="Arial"/>
          <w:sz w:val="18"/>
          <w:szCs w:val="18"/>
          <w:color w:val="auto"/>
        </w:rPr>
        <w:tab/>
      </w:r>
      <w:hyperlink r:id="rId73">
        <w:r>
          <w:rPr>
            <w:rFonts w:ascii="Arial" w:cs="Arial" w:eastAsia="Arial" w:hAnsi="Arial"/>
            <w:sz w:val="18"/>
            <w:szCs w:val="18"/>
            <w:color w:val="auto"/>
          </w:rPr>
          <w:t>Certificate of Designations of 6.875% Series D Fixed-to-Floating Rate Cumulative Redeemable Preferred Stock, incorporated herein by reference to</w:t>
        </w:r>
      </w:hyperlink>
      <w:r>
        <w:rPr>
          <w:rFonts w:ascii="Arial" w:cs="Arial" w:eastAsia="Arial" w:hAnsi="Arial"/>
          <w:sz w:val="18"/>
          <w:szCs w:val="18"/>
          <w:color w:val="auto"/>
        </w:rPr>
        <w:t xml:space="preserve"> </w:t>
      </w:r>
      <w:hyperlink r:id="rId73">
        <w:r>
          <w:rPr>
            <w:rFonts w:ascii="Arial" w:cs="Arial" w:eastAsia="Arial" w:hAnsi="Arial"/>
            <w:sz w:val="18"/>
            <w:szCs w:val="18"/>
            <w:color w:val="auto"/>
          </w:rPr>
          <w:t>Exhibit 3.5 of Form 8-A (File No 001-34057), filed March 6, 2019.</w:t>
        </w:r>
      </w:hyperlink>
    </w:p>
    <w:p>
      <w:pPr>
        <w:spacing w:after="0" w:line="116" w:lineRule="exact"/>
        <w:rPr>
          <w:rFonts w:ascii="Arial" w:cs="Arial" w:eastAsia="Arial" w:hAnsi="Arial"/>
          <w:sz w:val="18"/>
          <w:szCs w:val="18"/>
          <w:color w:val="auto"/>
        </w:rPr>
      </w:pPr>
    </w:p>
    <w:p>
      <w:pPr>
        <w:jc w:val="both"/>
        <w:ind w:left="520" w:right="20" w:hanging="1295"/>
        <w:spacing w:after="0" w:line="277" w:lineRule="auto"/>
        <w:tabs>
          <w:tab w:leader="none" w:pos="500" w:val="left"/>
        </w:tabs>
        <w:rPr>
          <w:rFonts w:ascii="Arial" w:cs="Arial" w:eastAsia="Arial" w:hAnsi="Arial"/>
          <w:sz w:val="18"/>
          <w:szCs w:val="18"/>
          <w:color w:val="auto"/>
        </w:rPr>
      </w:pPr>
      <w:hyperlink r:id="rId74">
        <w:r>
          <w:rPr>
            <w:rFonts w:ascii="Arial" w:cs="Arial" w:eastAsia="Arial" w:hAnsi="Arial"/>
            <w:sz w:val="18"/>
            <w:szCs w:val="18"/>
            <w:color w:val="auto"/>
          </w:rPr>
          <w:t>*3.6</w:t>
        </w:r>
      </w:hyperlink>
      <w:r>
        <w:rPr>
          <w:rFonts w:ascii="Arial" w:cs="Arial" w:eastAsia="Arial" w:hAnsi="Arial"/>
          <w:sz w:val="18"/>
          <w:szCs w:val="18"/>
          <w:color w:val="auto"/>
        </w:rPr>
        <w:tab/>
      </w:r>
      <w:hyperlink r:id="rId74">
        <w:r>
          <w:rPr>
            <w:rFonts w:ascii="Arial" w:cs="Arial" w:eastAsia="Arial" w:hAnsi="Arial"/>
            <w:sz w:val="18"/>
            <w:szCs w:val="18"/>
            <w:color w:val="auto"/>
          </w:rPr>
          <w:t>Certificate of Designations of 6.50% Series E Fixed-to-Floating Rate Cumulative Redeemable Preferred Stock, incorporated herein by reference to</w:t>
        </w:r>
      </w:hyperlink>
      <w:r>
        <w:rPr>
          <w:rFonts w:ascii="Arial" w:cs="Arial" w:eastAsia="Arial" w:hAnsi="Arial"/>
          <w:sz w:val="18"/>
          <w:szCs w:val="18"/>
          <w:color w:val="auto"/>
        </w:rPr>
        <w:t xml:space="preserve"> </w:t>
      </w:r>
      <w:hyperlink r:id="rId74">
        <w:r>
          <w:rPr>
            <w:rFonts w:ascii="Arial" w:cs="Arial" w:eastAsia="Arial" w:hAnsi="Arial"/>
            <w:sz w:val="18"/>
            <w:szCs w:val="18"/>
            <w:color w:val="auto"/>
          </w:rPr>
          <w:t>Exhibit 3.6 of Form 8-A (File No 001-34057), filed October 3, 2019.</w:t>
        </w:r>
      </w:hyperlink>
    </w:p>
    <w:p>
      <w:pPr>
        <w:spacing w:after="0" w:line="116" w:lineRule="exact"/>
        <w:rPr>
          <w:rFonts w:ascii="Arial" w:cs="Arial" w:eastAsia="Arial" w:hAnsi="Arial"/>
          <w:sz w:val="18"/>
          <w:szCs w:val="18"/>
          <w:color w:val="auto"/>
        </w:rPr>
      </w:pPr>
    </w:p>
    <w:p>
      <w:pPr>
        <w:jc w:val="both"/>
        <w:ind w:left="500" w:right="20" w:hanging="1295"/>
        <w:spacing w:after="0" w:line="277" w:lineRule="auto"/>
        <w:tabs>
          <w:tab w:leader="none" w:pos="480" w:val="left"/>
        </w:tabs>
        <w:rPr>
          <w:rFonts w:ascii="Arial" w:cs="Arial" w:eastAsia="Arial" w:hAnsi="Arial"/>
          <w:sz w:val="18"/>
          <w:szCs w:val="18"/>
          <w:color w:val="auto"/>
        </w:rPr>
      </w:pPr>
      <w:hyperlink r:id="rId75">
        <w:r>
          <w:rPr>
            <w:rFonts w:ascii="Arial" w:cs="Arial" w:eastAsia="Arial" w:hAnsi="Arial"/>
            <w:sz w:val="18"/>
            <w:szCs w:val="18"/>
            <w:color w:val="auto"/>
          </w:rPr>
          <w:t>*3.7</w:t>
        </w:r>
      </w:hyperlink>
      <w:r>
        <w:rPr>
          <w:rFonts w:ascii="Arial" w:cs="Arial" w:eastAsia="Arial" w:hAnsi="Arial"/>
          <w:sz w:val="18"/>
          <w:szCs w:val="18"/>
          <w:color w:val="auto"/>
        </w:rPr>
        <w:tab/>
      </w:r>
      <w:hyperlink r:id="rId75">
        <w:r>
          <w:rPr>
            <w:rFonts w:ascii="Arial" w:cs="Arial" w:eastAsia="Arial" w:hAnsi="Arial"/>
            <w:sz w:val="18"/>
            <w:szCs w:val="18"/>
            <w:color w:val="auto"/>
          </w:rPr>
          <w:t>Certificate of Elimination of 7.750% Series B Cumulative Redeemable Preferred Stock, incorporated herein by reference to Exhibit 3.1 of Form 8-K</w:t>
        </w:r>
      </w:hyperlink>
      <w:r>
        <w:rPr>
          <w:rFonts w:ascii="Arial" w:cs="Arial" w:eastAsia="Arial" w:hAnsi="Arial"/>
          <w:sz w:val="18"/>
          <w:szCs w:val="18"/>
          <w:color w:val="auto"/>
        </w:rPr>
        <w:t xml:space="preserve"> </w:t>
      </w:r>
      <w:hyperlink r:id="rId75">
        <w:r>
          <w:rPr>
            <w:rFonts w:ascii="Arial" w:cs="Arial" w:eastAsia="Arial" w:hAnsi="Arial"/>
            <w:sz w:val="18"/>
            <w:szCs w:val="18"/>
            <w:color w:val="auto"/>
          </w:rPr>
          <w:t>(File No 001-34057), filed December 13, 2019.</w:t>
        </w:r>
      </w:hyperlink>
    </w:p>
    <w:p>
      <w:pPr>
        <w:spacing w:after="0" w:line="116" w:lineRule="exact"/>
        <w:rPr>
          <w:rFonts w:ascii="Arial" w:cs="Arial" w:eastAsia="Arial" w:hAnsi="Arial"/>
          <w:sz w:val="18"/>
          <w:szCs w:val="18"/>
          <w:color w:val="auto"/>
        </w:rPr>
      </w:pPr>
    </w:p>
    <w:p>
      <w:pPr>
        <w:jc w:val="both"/>
        <w:ind w:left="520" w:right="20" w:hanging="1295"/>
        <w:spacing w:after="0" w:line="277" w:lineRule="auto"/>
        <w:tabs>
          <w:tab w:leader="none" w:pos="500" w:val="left"/>
        </w:tabs>
        <w:rPr>
          <w:rFonts w:ascii="Arial" w:cs="Arial" w:eastAsia="Arial" w:hAnsi="Arial"/>
          <w:sz w:val="18"/>
          <w:szCs w:val="18"/>
          <w:color w:val="auto"/>
        </w:rPr>
      </w:pPr>
      <w:hyperlink r:id="rId76">
        <w:r>
          <w:rPr>
            <w:rFonts w:ascii="Arial" w:cs="Arial" w:eastAsia="Arial" w:hAnsi="Arial"/>
            <w:sz w:val="18"/>
            <w:szCs w:val="18"/>
            <w:color w:val="auto"/>
          </w:rPr>
          <w:t>*3.8</w:t>
        </w:r>
      </w:hyperlink>
      <w:r>
        <w:rPr>
          <w:rFonts w:ascii="Arial" w:cs="Arial" w:eastAsia="Arial" w:hAnsi="Arial"/>
          <w:sz w:val="18"/>
          <w:szCs w:val="18"/>
          <w:color w:val="auto"/>
        </w:rPr>
        <w:tab/>
      </w:r>
      <w:hyperlink r:id="rId76">
        <w:r>
          <w:rPr>
            <w:rFonts w:ascii="Arial" w:cs="Arial" w:eastAsia="Arial" w:hAnsi="Arial"/>
            <w:sz w:val="18"/>
            <w:szCs w:val="18"/>
            <w:color w:val="auto"/>
          </w:rPr>
          <w:t>Certificate of Designations of 6.125% Series F Fixed-to-Floating Rate Cumulative Redeemable Preferred Stock, incorporated herein by reference to</w:t>
        </w:r>
      </w:hyperlink>
      <w:r>
        <w:rPr>
          <w:rFonts w:ascii="Arial" w:cs="Arial" w:eastAsia="Arial" w:hAnsi="Arial"/>
          <w:sz w:val="18"/>
          <w:szCs w:val="18"/>
          <w:color w:val="auto"/>
        </w:rPr>
        <w:t xml:space="preserve"> </w:t>
      </w:r>
      <w:hyperlink r:id="rId76">
        <w:r>
          <w:rPr>
            <w:rFonts w:ascii="Arial" w:cs="Arial" w:eastAsia="Arial" w:hAnsi="Arial"/>
            <w:sz w:val="18"/>
            <w:szCs w:val="18"/>
            <w:color w:val="auto"/>
          </w:rPr>
          <w:t>Exhibit 3.6 of Form 8-A (File No 001-34057), filed February 11, 2020.</w:t>
        </w:r>
      </w:hyperlink>
    </w:p>
    <w:p>
      <w:pPr>
        <w:spacing w:after="0" w:line="116" w:lineRule="exact"/>
        <w:rPr>
          <w:rFonts w:ascii="Arial" w:cs="Arial" w:eastAsia="Arial" w:hAnsi="Arial"/>
          <w:sz w:val="18"/>
          <w:szCs w:val="18"/>
          <w:color w:val="auto"/>
        </w:rPr>
      </w:pPr>
    </w:p>
    <w:p>
      <w:pPr>
        <w:jc w:val="both"/>
        <w:ind w:left="580" w:hanging="1295"/>
        <w:spacing w:after="0" w:line="263" w:lineRule="auto"/>
        <w:tabs>
          <w:tab w:leader="none" w:pos="560" w:val="left"/>
        </w:tabs>
        <w:rPr>
          <w:rFonts w:ascii="Arial" w:cs="Arial" w:eastAsia="Arial" w:hAnsi="Arial"/>
          <w:sz w:val="18"/>
          <w:szCs w:val="18"/>
          <w:color w:val="auto"/>
        </w:rPr>
      </w:pPr>
      <w:hyperlink r:id="rId68">
        <w:r>
          <w:rPr>
            <w:rFonts w:ascii="Arial" w:cs="Arial" w:eastAsia="Arial" w:hAnsi="Arial"/>
            <w:sz w:val="18"/>
            <w:szCs w:val="18"/>
            <w:color w:val="auto"/>
          </w:rPr>
          <w:t>*4.1</w:t>
        </w:r>
      </w:hyperlink>
      <w:r>
        <w:rPr>
          <w:rFonts w:ascii="Arial" w:cs="Arial" w:eastAsia="Arial" w:hAnsi="Arial"/>
          <w:sz w:val="18"/>
          <w:szCs w:val="18"/>
          <w:color w:val="auto"/>
        </w:rPr>
        <w:tab/>
      </w:r>
      <w:hyperlink r:id="rId68">
        <w:r>
          <w:rPr>
            <w:rFonts w:ascii="Arial" w:cs="Arial" w:eastAsia="Arial" w:hAnsi="Arial"/>
            <w:sz w:val="18"/>
            <w:szCs w:val="18"/>
            <w:color w:val="auto"/>
          </w:rPr>
          <w:t>Instruments defining the rights of holders of securities: See Article IV of our Amended and Restated Certificate of Incorporation, as amended,</w:t>
        </w:r>
      </w:hyperlink>
      <w:r>
        <w:rPr>
          <w:rFonts w:ascii="Arial" w:cs="Arial" w:eastAsia="Arial" w:hAnsi="Arial"/>
          <w:sz w:val="18"/>
          <w:szCs w:val="18"/>
          <w:color w:val="auto"/>
        </w:rPr>
        <w:t xml:space="preserve"> </w:t>
      </w:r>
      <w:hyperlink r:id="rId68">
        <w:r>
          <w:rPr>
            <w:rFonts w:ascii="Arial" w:cs="Arial" w:eastAsia="Arial" w:hAnsi="Arial"/>
            <w:sz w:val="18"/>
            <w:szCs w:val="18"/>
            <w:color w:val="auto"/>
          </w:rPr>
          <w:t>incorporated herein by reference to Exhibit 3.1 of Form 10-K for the year ended December 31, 2021 (File No. 001-34057), filed February</w:t>
        </w:r>
      </w:hyperlink>
      <w:r>
        <w:rPr>
          <w:rFonts w:ascii="Arial" w:cs="Arial" w:eastAsia="Arial" w:hAnsi="Arial"/>
          <w:sz w:val="18"/>
          <w:szCs w:val="18"/>
          <w:color w:val="auto"/>
        </w:rPr>
        <w:t xml:space="preserve"> </w:t>
      </w:r>
      <w:hyperlink r:id="rId68">
        <w:r>
          <w:rPr>
            <w:rFonts w:ascii="Arial" w:cs="Arial" w:eastAsia="Arial" w:hAnsi="Arial"/>
            <w:sz w:val="18"/>
            <w:szCs w:val="18"/>
            <w:color w:val="auto"/>
          </w:rPr>
          <w:t>23, 2022.</w:t>
        </w:r>
      </w:hyperlink>
    </w:p>
    <w:p>
      <w:pPr>
        <w:spacing w:after="0" w:line="130" w:lineRule="exact"/>
        <w:rPr>
          <w:rFonts w:ascii="Arial" w:cs="Arial" w:eastAsia="Arial" w:hAnsi="Arial"/>
          <w:sz w:val="18"/>
          <w:szCs w:val="18"/>
          <w:color w:val="auto"/>
        </w:rPr>
      </w:pPr>
    </w:p>
    <w:p>
      <w:pPr>
        <w:jc w:val="both"/>
        <w:ind w:left="580" w:hanging="1295"/>
        <w:spacing w:after="0" w:line="277" w:lineRule="auto"/>
        <w:tabs>
          <w:tab w:leader="none" w:pos="560" w:val="left"/>
        </w:tabs>
        <w:rPr>
          <w:rFonts w:ascii="Arial" w:cs="Arial" w:eastAsia="Arial" w:hAnsi="Arial"/>
          <w:sz w:val="18"/>
          <w:szCs w:val="18"/>
          <w:color w:val="auto"/>
        </w:rPr>
      </w:pPr>
      <w:hyperlink r:id="rId69">
        <w:r>
          <w:rPr>
            <w:rFonts w:ascii="Arial" w:cs="Arial" w:eastAsia="Arial" w:hAnsi="Arial"/>
            <w:sz w:val="18"/>
            <w:szCs w:val="18"/>
            <w:color w:val="auto"/>
          </w:rPr>
          <w:t>*4.2</w:t>
        </w:r>
      </w:hyperlink>
      <w:r>
        <w:rPr>
          <w:rFonts w:ascii="Arial" w:cs="Arial" w:eastAsia="Arial" w:hAnsi="Arial"/>
          <w:sz w:val="18"/>
          <w:szCs w:val="18"/>
          <w:color w:val="auto"/>
        </w:rPr>
        <w:tab/>
      </w:r>
      <w:hyperlink r:id="rId69">
        <w:r>
          <w:rPr>
            <w:rFonts w:ascii="Arial" w:cs="Arial" w:eastAsia="Arial" w:hAnsi="Arial"/>
            <w:sz w:val="18"/>
            <w:szCs w:val="18"/>
            <w:color w:val="auto"/>
          </w:rPr>
          <w:t>Instruments defining the rights of holders of securities: See Article VI of our Fourth Amended and Restated Bylaws, as amended, incorporated</w:t>
        </w:r>
      </w:hyperlink>
      <w:r>
        <w:rPr>
          <w:rFonts w:ascii="Arial" w:cs="Arial" w:eastAsia="Arial" w:hAnsi="Arial"/>
          <w:sz w:val="18"/>
          <w:szCs w:val="18"/>
          <w:color w:val="auto"/>
        </w:rPr>
        <w:t xml:space="preserve"> </w:t>
      </w:r>
      <w:hyperlink r:id="rId69">
        <w:r>
          <w:rPr>
            <w:rFonts w:ascii="Arial" w:cs="Arial" w:eastAsia="Arial" w:hAnsi="Arial"/>
            <w:sz w:val="18"/>
            <w:szCs w:val="18"/>
            <w:color w:val="auto"/>
          </w:rPr>
          <w:t>herein by reference to Exhibit 3.1 of Form 8-K, filed March 11, 2021.</w:t>
        </w:r>
      </w:hyperlink>
    </w:p>
    <w:p>
      <w:pPr>
        <w:spacing w:after="0" w:line="116" w:lineRule="exact"/>
        <w:rPr>
          <w:rFonts w:ascii="Arial" w:cs="Arial" w:eastAsia="Arial" w:hAnsi="Arial"/>
          <w:sz w:val="18"/>
          <w:szCs w:val="18"/>
          <w:color w:val="auto"/>
        </w:rPr>
      </w:pPr>
    </w:p>
    <w:p>
      <w:pPr>
        <w:jc w:val="both"/>
        <w:ind w:left="560" w:hanging="1295"/>
        <w:spacing w:after="0" w:line="277" w:lineRule="auto"/>
        <w:tabs>
          <w:tab w:leader="none" w:pos="540" w:val="left"/>
        </w:tabs>
        <w:rPr>
          <w:rFonts w:ascii="Arial" w:cs="Arial" w:eastAsia="Arial" w:hAnsi="Arial"/>
          <w:sz w:val="18"/>
          <w:szCs w:val="18"/>
          <w:color w:val="auto"/>
        </w:rPr>
      </w:pPr>
      <w:hyperlink r:id="rId77">
        <w:r>
          <w:rPr>
            <w:rFonts w:ascii="Arial" w:cs="Arial" w:eastAsia="Arial" w:hAnsi="Arial"/>
            <w:sz w:val="18"/>
            <w:szCs w:val="18"/>
            <w:color w:val="auto"/>
          </w:rPr>
          <w:t>*4.3</w:t>
        </w:r>
      </w:hyperlink>
      <w:r>
        <w:rPr>
          <w:rFonts w:ascii="Arial" w:cs="Arial" w:eastAsia="Arial" w:hAnsi="Arial"/>
          <w:sz w:val="18"/>
          <w:szCs w:val="18"/>
          <w:color w:val="auto"/>
        </w:rPr>
        <w:tab/>
      </w:r>
      <w:hyperlink r:id="rId77">
        <w:r>
          <w:rPr>
            <w:rFonts w:ascii="Arial" w:cs="Arial" w:eastAsia="Arial" w:hAnsi="Arial"/>
            <w:sz w:val="18"/>
            <w:szCs w:val="18"/>
            <w:color w:val="auto"/>
          </w:rPr>
          <w:t>Form of Certificate for Common Stock, incorporated herein by reference to Exhibit 4.3 of Form 10-Q for the quarter ended September 30, 2016</w:t>
        </w:r>
      </w:hyperlink>
      <w:r>
        <w:rPr>
          <w:rFonts w:ascii="Arial" w:cs="Arial" w:eastAsia="Arial" w:hAnsi="Arial"/>
          <w:sz w:val="18"/>
          <w:szCs w:val="18"/>
          <w:color w:val="auto"/>
        </w:rPr>
        <w:t xml:space="preserve"> </w:t>
      </w:r>
      <w:hyperlink r:id="rId77">
        <w:r>
          <w:rPr>
            <w:rFonts w:ascii="Arial" w:cs="Arial" w:eastAsia="Arial" w:hAnsi="Arial"/>
            <w:sz w:val="18"/>
            <w:szCs w:val="18"/>
            <w:color w:val="auto"/>
          </w:rPr>
          <w:t>(File No. 001-34057), filed November 7, 2016.</w:t>
        </w:r>
      </w:hyperlink>
    </w:p>
    <w:p>
      <w:pPr>
        <w:spacing w:after="0" w:line="116" w:lineRule="exact"/>
        <w:rPr>
          <w:rFonts w:ascii="Arial" w:cs="Arial" w:eastAsia="Arial" w:hAnsi="Arial"/>
          <w:sz w:val="18"/>
          <w:szCs w:val="18"/>
          <w:color w:val="auto"/>
        </w:rPr>
      </w:pPr>
    </w:p>
    <w:p>
      <w:pPr>
        <w:spacing w:after="0"/>
        <w:tabs>
          <w:tab w:leader="none" w:pos="500" w:val="left"/>
        </w:tabs>
        <w:rPr>
          <w:rFonts w:ascii="Arial" w:cs="Arial" w:eastAsia="Arial" w:hAnsi="Arial"/>
          <w:sz w:val="16"/>
          <w:szCs w:val="16"/>
          <w:color w:val="auto"/>
        </w:rPr>
      </w:pPr>
      <w:hyperlink r:id="rId78">
        <w:r>
          <w:rPr>
            <w:rFonts w:ascii="Arial" w:cs="Arial" w:eastAsia="Arial" w:hAnsi="Arial"/>
            <w:sz w:val="18"/>
            <w:szCs w:val="18"/>
            <w:color w:val="auto"/>
          </w:rPr>
          <w:t>*4.4</w:t>
        </w:r>
      </w:hyperlink>
      <w:r>
        <w:rPr>
          <w:rFonts w:ascii="Arial" w:cs="Arial" w:eastAsia="Arial" w:hAnsi="Arial"/>
          <w:sz w:val="18"/>
          <w:szCs w:val="18"/>
          <w:color w:val="auto"/>
        </w:rPr>
        <w:tab/>
      </w:r>
      <w:hyperlink r:id="rId78">
        <w:r>
          <w:rPr>
            <w:rFonts w:ascii="Arial" w:cs="Arial" w:eastAsia="Arial" w:hAnsi="Arial"/>
            <w:sz w:val="16"/>
            <w:szCs w:val="16"/>
            <w:color w:val="auto"/>
          </w:rPr>
          <w:t>Specimen 7.00% Series C Fixed-to-Floating Rate Cumulative Redeemable Preferred Stock Certificate, incorporated herein by reference to Exhibit</w:t>
        </w:r>
      </w:hyperlink>
    </w:p>
    <w:p>
      <w:pPr>
        <w:spacing w:after="0" w:line="23" w:lineRule="exact"/>
        <w:rPr>
          <w:sz w:val="20"/>
          <w:szCs w:val="20"/>
          <w:color w:val="auto"/>
        </w:rPr>
      </w:pPr>
    </w:p>
    <w:p>
      <w:pPr>
        <w:ind w:left="1300"/>
        <w:spacing w:after="0"/>
        <w:rPr>
          <w:rFonts w:ascii="Arial" w:cs="Arial" w:eastAsia="Arial" w:hAnsi="Arial"/>
          <w:sz w:val="18"/>
          <w:szCs w:val="18"/>
          <w:color w:val="auto"/>
        </w:rPr>
      </w:pPr>
      <w:hyperlink r:id="rId78">
        <w:r>
          <w:rPr>
            <w:rFonts w:ascii="Arial" w:cs="Arial" w:eastAsia="Arial" w:hAnsi="Arial"/>
            <w:sz w:val="18"/>
            <w:szCs w:val="18"/>
            <w:color w:val="auto"/>
          </w:rPr>
          <w:t>4.1 of Form 8-A (File No. 001-34057), filed August 18, 2017.</w:t>
        </w:r>
      </w:hyperlink>
    </w:p>
    <w:p>
      <w:pPr>
        <w:spacing w:after="0" w:line="157" w:lineRule="exact"/>
        <w:rPr>
          <w:sz w:val="20"/>
          <w:szCs w:val="20"/>
          <w:color w:val="auto"/>
        </w:rPr>
      </w:pPr>
    </w:p>
    <w:p>
      <w:pPr>
        <w:spacing w:after="0"/>
        <w:tabs>
          <w:tab w:leader="none" w:pos="500" w:val="left"/>
        </w:tabs>
        <w:rPr>
          <w:rFonts w:ascii="Arial" w:cs="Arial" w:eastAsia="Arial" w:hAnsi="Arial"/>
          <w:sz w:val="16"/>
          <w:szCs w:val="16"/>
          <w:color w:val="auto"/>
        </w:rPr>
      </w:pPr>
      <w:hyperlink r:id="rId79">
        <w:r>
          <w:rPr>
            <w:rFonts w:ascii="Arial" w:cs="Arial" w:eastAsia="Arial" w:hAnsi="Arial"/>
            <w:sz w:val="18"/>
            <w:szCs w:val="18"/>
            <w:color w:val="auto"/>
          </w:rPr>
          <w:t>*4.5</w:t>
        </w:r>
      </w:hyperlink>
      <w:r>
        <w:rPr>
          <w:rFonts w:ascii="Arial" w:cs="Arial" w:eastAsia="Arial" w:hAnsi="Arial"/>
          <w:sz w:val="18"/>
          <w:szCs w:val="18"/>
          <w:color w:val="auto"/>
        </w:rPr>
        <w:tab/>
      </w:r>
      <w:hyperlink r:id="rId79">
        <w:r>
          <w:rPr>
            <w:rFonts w:ascii="Arial" w:cs="Arial" w:eastAsia="Arial" w:hAnsi="Arial"/>
            <w:sz w:val="16"/>
            <w:szCs w:val="16"/>
            <w:color w:val="auto"/>
          </w:rPr>
          <w:t>Specimen 6.875% Series D Fixed-to-Floating Rate Cumulative Redeemable Preferred Stock Certificate, incorporated herein by reference to Exhibit</w:t>
        </w:r>
      </w:hyperlink>
    </w:p>
    <w:p>
      <w:pPr>
        <w:spacing w:after="0" w:line="23" w:lineRule="exact"/>
        <w:rPr>
          <w:sz w:val="20"/>
          <w:szCs w:val="20"/>
          <w:color w:val="auto"/>
        </w:rPr>
      </w:pPr>
    </w:p>
    <w:p>
      <w:pPr>
        <w:ind w:left="1300"/>
        <w:spacing w:after="0"/>
        <w:rPr>
          <w:rFonts w:ascii="Arial" w:cs="Arial" w:eastAsia="Arial" w:hAnsi="Arial"/>
          <w:sz w:val="18"/>
          <w:szCs w:val="18"/>
          <w:color w:val="auto"/>
        </w:rPr>
      </w:pPr>
      <w:hyperlink r:id="rId79">
        <w:r>
          <w:rPr>
            <w:rFonts w:ascii="Arial" w:cs="Arial" w:eastAsia="Arial" w:hAnsi="Arial"/>
            <w:sz w:val="18"/>
            <w:szCs w:val="18"/>
            <w:color w:val="auto"/>
          </w:rPr>
          <w:t>4.1 of Form 8-A (File No. 001-34057), filed March 6, 2019.</w:t>
        </w:r>
      </w:hyperlink>
    </w:p>
    <w:p>
      <w:pPr>
        <w:spacing w:after="0" w:line="157" w:lineRule="exact"/>
        <w:rPr>
          <w:sz w:val="20"/>
          <w:szCs w:val="20"/>
          <w:color w:val="auto"/>
        </w:rPr>
      </w:pPr>
    </w:p>
    <w:p>
      <w:pPr>
        <w:spacing w:after="0"/>
        <w:tabs>
          <w:tab w:leader="none" w:pos="520" w:val="left"/>
        </w:tabs>
        <w:rPr>
          <w:rFonts w:ascii="Arial" w:cs="Arial" w:eastAsia="Arial" w:hAnsi="Arial"/>
          <w:sz w:val="16"/>
          <w:szCs w:val="16"/>
          <w:color w:val="auto"/>
        </w:rPr>
      </w:pPr>
      <w:hyperlink r:id="rId80">
        <w:r>
          <w:rPr>
            <w:rFonts w:ascii="Arial" w:cs="Arial" w:eastAsia="Arial" w:hAnsi="Arial"/>
            <w:sz w:val="18"/>
            <w:szCs w:val="18"/>
            <w:color w:val="auto"/>
          </w:rPr>
          <w:t>*4.6</w:t>
        </w:r>
      </w:hyperlink>
      <w:r>
        <w:rPr>
          <w:rFonts w:ascii="Arial" w:cs="Arial" w:eastAsia="Arial" w:hAnsi="Arial"/>
          <w:sz w:val="18"/>
          <w:szCs w:val="18"/>
          <w:color w:val="auto"/>
        </w:rPr>
        <w:tab/>
      </w:r>
      <w:hyperlink r:id="rId80">
        <w:r>
          <w:rPr>
            <w:rFonts w:ascii="Arial" w:cs="Arial" w:eastAsia="Arial" w:hAnsi="Arial"/>
            <w:sz w:val="16"/>
            <w:szCs w:val="16"/>
            <w:color w:val="auto"/>
          </w:rPr>
          <w:t>Specimen 6.50% Series E Fixed-to-Floating Rate Cumulative Redeemable Preferred Stock Certificate, incorporated herein by reference to Exhibit</w:t>
        </w:r>
      </w:hyperlink>
    </w:p>
    <w:p>
      <w:pPr>
        <w:spacing w:after="0" w:line="23" w:lineRule="exact"/>
        <w:rPr>
          <w:sz w:val="20"/>
          <w:szCs w:val="20"/>
          <w:color w:val="auto"/>
        </w:rPr>
      </w:pPr>
    </w:p>
    <w:p>
      <w:pPr>
        <w:ind w:left="1300"/>
        <w:spacing w:after="0"/>
        <w:rPr>
          <w:rFonts w:ascii="Arial" w:cs="Arial" w:eastAsia="Arial" w:hAnsi="Arial"/>
          <w:sz w:val="18"/>
          <w:szCs w:val="18"/>
          <w:color w:val="auto"/>
        </w:rPr>
      </w:pPr>
      <w:hyperlink r:id="rId80">
        <w:r>
          <w:rPr>
            <w:rFonts w:ascii="Arial" w:cs="Arial" w:eastAsia="Arial" w:hAnsi="Arial"/>
            <w:sz w:val="18"/>
            <w:szCs w:val="18"/>
            <w:color w:val="auto"/>
          </w:rPr>
          <w:t>4.1 of Form 8-A (File No. 001-34057), filed October 3, 2019.</w:t>
        </w:r>
      </w:hyperlink>
    </w:p>
    <w:p>
      <w:pPr>
        <w:spacing w:after="0" w:line="157" w:lineRule="exact"/>
        <w:rPr>
          <w:sz w:val="20"/>
          <w:szCs w:val="20"/>
          <w:color w:val="auto"/>
        </w:rPr>
      </w:pPr>
    </w:p>
    <w:p>
      <w:pPr>
        <w:spacing w:after="0"/>
        <w:tabs>
          <w:tab w:leader="none" w:pos="500" w:val="left"/>
        </w:tabs>
        <w:rPr>
          <w:rFonts w:ascii="Arial" w:cs="Arial" w:eastAsia="Arial" w:hAnsi="Arial"/>
          <w:sz w:val="16"/>
          <w:szCs w:val="16"/>
          <w:color w:val="auto"/>
        </w:rPr>
      </w:pPr>
      <w:hyperlink r:id="rId81">
        <w:r>
          <w:rPr>
            <w:rFonts w:ascii="Arial" w:cs="Arial" w:eastAsia="Arial" w:hAnsi="Arial"/>
            <w:sz w:val="18"/>
            <w:szCs w:val="18"/>
            <w:color w:val="auto"/>
          </w:rPr>
          <w:t>*4.7</w:t>
        </w:r>
      </w:hyperlink>
      <w:r>
        <w:rPr>
          <w:rFonts w:ascii="Arial" w:cs="Arial" w:eastAsia="Arial" w:hAnsi="Arial"/>
          <w:sz w:val="18"/>
          <w:szCs w:val="18"/>
          <w:color w:val="auto"/>
        </w:rPr>
        <w:tab/>
      </w:r>
      <w:hyperlink r:id="rId81">
        <w:r>
          <w:rPr>
            <w:rFonts w:ascii="Arial" w:cs="Arial" w:eastAsia="Arial" w:hAnsi="Arial"/>
            <w:sz w:val="16"/>
            <w:szCs w:val="16"/>
            <w:color w:val="auto"/>
          </w:rPr>
          <w:t>Specimen 6.125% Series F Fixed-to-Floating Rate Cumulative Redeemable Preferred Stock Certificate, incorporated herein by reference to Exhibit</w:t>
        </w:r>
      </w:hyperlink>
    </w:p>
    <w:p>
      <w:pPr>
        <w:spacing w:after="0" w:line="23" w:lineRule="exact"/>
        <w:rPr>
          <w:sz w:val="20"/>
          <w:szCs w:val="20"/>
          <w:color w:val="auto"/>
        </w:rPr>
      </w:pPr>
    </w:p>
    <w:p>
      <w:pPr>
        <w:ind w:left="1300"/>
        <w:spacing w:after="0"/>
        <w:rPr>
          <w:rFonts w:ascii="Arial" w:cs="Arial" w:eastAsia="Arial" w:hAnsi="Arial"/>
          <w:sz w:val="18"/>
          <w:szCs w:val="18"/>
          <w:color w:val="auto"/>
        </w:rPr>
      </w:pPr>
      <w:hyperlink r:id="rId81">
        <w:r>
          <w:rPr>
            <w:rFonts w:ascii="Arial" w:cs="Arial" w:eastAsia="Arial" w:hAnsi="Arial"/>
            <w:sz w:val="18"/>
            <w:szCs w:val="18"/>
            <w:color w:val="auto"/>
          </w:rPr>
          <w:t>4.1 of Form 8-A (File No 001-34057), filed February 11, 2020.</w:t>
        </w:r>
      </w:hyperlink>
    </w:p>
    <w:p>
      <w:pPr>
        <w:spacing w:after="0" w:line="157" w:lineRule="exact"/>
        <w:rPr>
          <w:sz w:val="20"/>
          <w:szCs w:val="20"/>
          <w:color w:val="auto"/>
        </w:rPr>
      </w:pPr>
    </w:p>
    <w:p>
      <w:pPr>
        <w:jc w:val="both"/>
        <w:ind w:left="580" w:hanging="1295"/>
        <w:spacing w:after="0" w:line="263" w:lineRule="auto"/>
        <w:tabs>
          <w:tab w:leader="none" w:pos="560" w:val="left"/>
        </w:tabs>
        <w:rPr>
          <w:rFonts w:ascii="Arial" w:cs="Arial" w:eastAsia="Arial" w:hAnsi="Arial"/>
          <w:sz w:val="18"/>
          <w:szCs w:val="18"/>
          <w:color w:val="auto"/>
        </w:rPr>
      </w:pPr>
      <w:hyperlink r:id="rId82">
        <w:r>
          <w:rPr>
            <w:rFonts w:ascii="Arial" w:cs="Arial" w:eastAsia="Arial" w:hAnsi="Arial"/>
            <w:sz w:val="18"/>
            <w:szCs w:val="18"/>
            <w:color w:val="auto"/>
          </w:rPr>
          <w:t>*4.8</w:t>
        </w:r>
      </w:hyperlink>
      <w:r>
        <w:rPr>
          <w:rFonts w:ascii="Arial" w:cs="Arial" w:eastAsia="Arial" w:hAnsi="Arial"/>
          <w:sz w:val="18"/>
          <w:szCs w:val="18"/>
          <w:color w:val="auto"/>
        </w:rPr>
        <w:tab/>
      </w:r>
      <w:hyperlink r:id="rId82">
        <w:r>
          <w:rPr>
            <w:rFonts w:ascii="Arial" w:cs="Arial" w:eastAsia="Arial" w:hAnsi="Arial"/>
            <w:sz w:val="18"/>
            <w:szCs w:val="18"/>
            <w:color w:val="auto"/>
          </w:rPr>
          <w:t>Deposit Agreement relating to 7.00% Series C Fixed-to-Floating Rate Cumulative Redeemable Preferred Stock, dated August 22, 2017, among</w:t>
        </w:r>
      </w:hyperlink>
      <w:r>
        <w:rPr>
          <w:rFonts w:ascii="Arial" w:cs="Arial" w:eastAsia="Arial" w:hAnsi="Arial"/>
          <w:sz w:val="18"/>
          <w:szCs w:val="18"/>
          <w:color w:val="auto"/>
        </w:rPr>
        <w:t xml:space="preserve"> </w:t>
      </w:r>
      <w:hyperlink r:id="rId82">
        <w:r>
          <w:rPr>
            <w:rFonts w:ascii="Arial" w:cs="Arial" w:eastAsia="Arial" w:hAnsi="Arial"/>
            <w:sz w:val="18"/>
            <w:szCs w:val="18"/>
            <w:color w:val="auto"/>
          </w:rPr>
          <w:t>AGNC Investment Corp., Computershare Inc. and Computershare Trust Company, N.A., jointly as depositary, incorporated herein by</w:t>
        </w:r>
      </w:hyperlink>
      <w:r>
        <w:rPr>
          <w:rFonts w:ascii="Arial" w:cs="Arial" w:eastAsia="Arial" w:hAnsi="Arial"/>
          <w:sz w:val="18"/>
          <w:szCs w:val="18"/>
          <w:color w:val="auto"/>
        </w:rPr>
        <w:t xml:space="preserve"> </w:t>
      </w:r>
      <w:hyperlink r:id="rId82">
        <w:r>
          <w:rPr>
            <w:rFonts w:ascii="Arial" w:cs="Arial" w:eastAsia="Arial" w:hAnsi="Arial"/>
            <w:sz w:val="18"/>
            <w:szCs w:val="18"/>
            <w:color w:val="auto"/>
          </w:rPr>
          <w:t>reference to Exhibit 4.2 of Form 8-K (File No. 001-34057) filed August 22, 2017.</w:t>
        </w:r>
      </w:hyperlink>
    </w:p>
    <w:p>
      <w:pPr>
        <w:spacing w:after="0" w:line="130" w:lineRule="exact"/>
        <w:rPr>
          <w:rFonts w:ascii="Arial" w:cs="Arial" w:eastAsia="Arial" w:hAnsi="Arial"/>
          <w:sz w:val="18"/>
          <w:szCs w:val="18"/>
          <w:color w:val="auto"/>
        </w:rPr>
      </w:pPr>
    </w:p>
    <w:p>
      <w:pPr>
        <w:jc w:val="both"/>
        <w:ind w:left="540" w:hanging="1295"/>
        <w:spacing w:after="0" w:line="263" w:lineRule="auto"/>
        <w:tabs>
          <w:tab w:leader="none" w:pos="520" w:val="left"/>
        </w:tabs>
        <w:rPr>
          <w:rFonts w:ascii="Arial" w:cs="Arial" w:eastAsia="Arial" w:hAnsi="Arial"/>
          <w:sz w:val="18"/>
          <w:szCs w:val="18"/>
          <w:color w:val="auto"/>
        </w:rPr>
      </w:pPr>
      <w:hyperlink r:id="rId82">
        <w:r>
          <w:rPr>
            <w:rFonts w:ascii="Arial" w:cs="Arial" w:eastAsia="Arial" w:hAnsi="Arial"/>
            <w:sz w:val="18"/>
            <w:szCs w:val="18"/>
            <w:color w:val="auto"/>
          </w:rPr>
          <w:t>*4.9</w:t>
        </w:r>
      </w:hyperlink>
      <w:r>
        <w:rPr>
          <w:rFonts w:ascii="Arial" w:cs="Arial" w:eastAsia="Arial" w:hAnsi="Arial"/>
          <w:sz w:val="18"/>
          <w:szCs w:val="18"/>
          <w:color w:val="auto"/>
        </w:rPr>
        <w:tab/>
      </w:r>
      <w:hyperlink r:id="rId82">
        <w:r>
          <w:rPr>
            <w:rFonts w:ascii="Arial" w:cs="Arial" w:eastAsia="Arial" w:hAnsi="Arial"/>
            <w:sz w:val="18"/>
            <w:szCs w:val="18"/>
            <w:color w:val="auto"/>
          </w:rPr>
          <w:t>Form of Depositary Receipt representing 1/1,000th of a share of 7.00% Series C Fixed-to-Floating Rate Cumulative Redeemable Preferred Stock</w:t>
        </w:r>
      </w:hyperlink>
      <w:r>
        <w:rPr>
          <w:rFonts w:ascii="Arial" w:cs="Arial" w:eastAsia="Arial" w:hAnsi="Arial"/>
          <w:sz w:val="18"/>
          <w:szCs w:val="18"/>
          <w:color w:val="auto"/>
        </w:rPr>
        <w:t xml:space="preserve"> </w:t>
      </w:r>
      <w:hyperlink r:id="rId82">
        <w:r>
          <w:rPr>
            <w:rFonts w:ascii="Arial" w:cs="Arial" w:eastAsia="Arial" w:hAnsi="Arial"/>
            <w:sz w:val="18"/>
            <w:szCs w:val="18"/>
            <w:color w:val="auto"/>
          </w:rPr>
          <w:t>(included as part of Exhibit 4.8), incorporated herein by reference to Exhibit A of Exhibit 4.2 of Form 8-K (File No. 001-34057) filed</w:t>
        </w:r>
      </w:hyperlink>
      <w:r>
        <w:rPr>
          <w:rFonts w:ascii="Arial" w:cs="Arial" w:eastAsia="Arial" w:hAnsi="Arial"/>
          <w:sz w:val="18"/>
          <w:szCs w:val="18"/>
          <w:color w:val="auto"/>
        </w:rPr>
        <w:t xml:space="preserve"> </w:t>
      </w:r>
      <w:hyperlink r:id="rId82">
        <w:r>
          <w:rPr>
            <w:rFonts w:ascii="Arial" w:cs="Arial" w:eastAsia="Arial" w:hAnsi="Arial"/>
            <w:sz w:val="18"/>
            <w:szCs w:val="18"/>
            <w:color w:val="auto"/>
          </w:rPr>
          <w:t>August 22, 2017.</w:t>
        </w:r>
      </w:hyperlink>
    </w:p>
    <w:p>
      <w:pPr>
        <w:spacing w:after="0" w:line="130" w:lineRule="exact"/>
        <w:rPr>
          <w:rFonts w:ascii="Arial" w:cs="Arial" w:eastAsia="Arial" w:hAnsi="Arial"/>
          <w:sz w:val="18"/>
          <w:szCs w:val="18"/>
          <w:color w:val="auto"/>
        </w:rPr>
      </w:pPr>
    </w:p>
    <w:p>
      <w:pPr>
        <w:jc w:val="both"/>
        <w:ind w:left="660" w:hanging="1295"/>
        <w:spacing w:after="0" w:line="263" w:lineRule="auto"/>
        <w:tabs>
          <w:tab w:leader="none" w:pos="640" w:val="left"/>
        </w:tabs>
        <w:rPr>
          <w:rFonts w:ascii="Arial" w:cs="Arial" w:eastAsia="Arial" w:hAnsi="Arial"/>
          <w:sz w:val="18"/>
          <w:szCs w:val="18"/>
          <w:color w:val="auto"/>
        </w:rPr>
      </w:pPr>
      <w:hyperlink r:id="rId83">
        <w:r>
          <w:rPr>
            <w:rFonts w:ascii="Arial" w:cs="Arial" w:eastAsia="Arial" w:hAnsi="Arial"/>
            <w:sz w:val="18"/>
            <w:szCs w:val="18"/>
            <w:color w:val="auto"/>
          </w:rPr>
          <w:t>*4.10</w:t>
        </w:r>
      </w:hyperlink>
      <w:r>
        <w:rPr>
          <w:rFonts w:ascii="Arial" w:cs="Arial" w:eastAsia="Arial" w:hAnsi="Arial"/>
          <w:sz w:val="18"/>
          <w:szCs w:val="18"/>
          <w:color w:val="auto"/>
        </w:rPr>
        <w:tab/>
      </w:r>
      <w:hyperlink r:id="rId83">
        <w:r>
          <w:rPr>
            <w:rFonts w:ascii="Arial" w:cs="Arial" w:eastAsia="Arial" w:hAnsi="Arial"/>
            <w:sz w:val="18"/>
            <w:szCs w:val="18"/>
            <w:color w:val="auto"/>
          </w:rPr>
          <w:t>Deposit Agreement relating to 6.875% Series D Fixed-to-Floating Rate Cumulative Redeemable Preferred Stock, dated March 6, 2019, among</w:t>
        </w:r>
      </w:hyperlink>
      <w:r>
        <w:rPr>
          <w:rFonts w:ascii="Arial" w:cs="Arial" w:eastAsia="Arial" w:hAnsi="Arial"/>
          <w:sz w:val="18"/>
          <w:szCs w:val="18"/>
          <w:color w:val="auto"/>
        </w:rPr>
        <w:t xml:space="preserve"> </w:t>
      </w:r>
      <w:hyperlink r:id="rId83">
        <w:r>
          <w:rPr>
            <w:rFonts w:ascii="Arial" w:cs="Arial" w:eastAsia="Arial" w:hAnsi="Arial"/>
            <w:sz w:val="18"/>
            <w:szCs w:val="18"/>
            <w:color w:val="auto"/>
          </w:rPr>
          <w:t>AGNC Investment Corp., Computershare Inc. and Computershare Trust Company, N.A., jointly as depositary, incorporated herein by</w:t>
        </w:r>
      </w:hyperlink>
      <w:r>
        <w:rPr>
          <w:rFonts w:ascii="Arial" w:cs="Arial" w:eastAsia="Arial" w:hAnsi="Arial"/>
          <w:sz w:val="18"/>
          <w:szCs w:val="18"/>
          <w:color w:val="auto"/>
        </w:rPr>
        <w:t xml:space="preserve"> </w:t>
      </w:r>
      <w:hyperlink r:id="rId83">
        <w:r>
          <w:rPr>
            <w:rFonts w:ascii="Arial" w:cs="Arial" w:eastAsia="Arial" w:hAnsi="Arial"/>
            <w:sz w:val="18"/>
            <w:szCs w:val="18"/>
            <w:color w:val="auto"/>
          </w:rPr>
          <w:t>reference to Exhibit 4.2 of Form 8-K (File No. 001-34057) filed March 6, 2019.</w:t>
        </w:r>
      </w:hyperlink>
    </w:p>
    <w:p>
      <w:pPr>
        <w:spacing w:after="0" w:line="130" w:lineRule="exact"/>
        <w:rPr>
          <w:rFonts w:ascii="Arial" w:cs="Arial" w:eastAsia="Arial" w:hAnsi="Arial"/>
          <w:sz w:val="18"/>
          <w:szCs w:val="18"/>
          <w:color w:val="auto"/>
        </w:rPr>
      </w:pPr>
    </w:p>
    <w:p>
      <w:pPr>
        <w:jc w:val="both"/>
        <w:ind w:left="600" w:hanging="1295"/>
        <w:spacing w:after="0" w:line="263" w:lineRule="auto"/>
        <w:tabs>
          <w:tab w:leader="none" w:pos="580" w:val="left"/>
        </w:tabs>
        <w:rPr>
          <w:rFonts w:ascii="Arial" w:cs="Arial" w:eastAsia="Arial" w:hAnsi="Arial"/>
          <w:sz w:val="18"/>
          <w:szCs w:val="18"/>
          <w:color w:val="auto"/>
        </w:rPr>
      </w:pPr>
      <w:hyperlink r:id="rId83">
        <w:r>
          <w:rPr>
            <w:rFonts w:ascii="Arial" w:cs="Arial" w:eastAsia="Arial" w:hAnsi="Arial"/>
            <w:sz w:val="18"/>
            <w:szCs w:val="18"/>
            <w:color w:val="auto"/>
          </w:rPr>
          <w:t>*4.11</w:t>
        </w:r>
      </w:hyperlink>
      <w:r>
        <w:rPr>
          <w:rFonts w:ascii="Arial" w:cs="Arial" w:eastAsia="Arial" w:hAnsi="Arial"/>
          <w:sz w:val="18"/>
          <w:szCs w:val="18"/>
          <w:color w:val="auto"/>
        </w:rPr>
        <w:tab/>
      </w:r>
      <w:hyperlink r:id="rId83">
        <w:r>
          <w:rPr>
            <w:rFonts w:ascii="Arial" w:cs="Arial" w:eastAsia="Arial" w:hAnsi="Arial"/>
            <w:sz w:val="18"/>
            <w:szCs w:val="18"/>
            <w:color w:val="auto"/>
          </w:rPr>
          <w:t>Form of Depositary Receipt representing 1/1,000th of a share of 6.875% Series D Fixed-to-Floating Rate Cumulative Redeemable Preferred Stock</w:t>
        </w:r>
      </w:hyperlink>
      <w:r>
        <w:rPr>
          <w:rFonts w:ascii="Arial" w:cs="Arial" w:eastAsia="Arial" w:hAnsi="Arial"/>
          <w:sz w:val="18"/>
          <w:szCs w:val="18"/>
          <w:color w:val="auto"/>
        </w:rPr>
        <w:t xml:space="preserve"> </w:t>
      </w:r>
      <w:hyperlink r:id="rId83">
        <w:r>
          <w:rPr>
            <w:rFonts w:ascii="Arial" w:cs="Arial" w:eastAsia="Arial" w:hAnsi="Arial"/>
            <w:sz w:val="18"/>
            <w:szCs w:val="18"/>
            <w:color w:val="auto"/>
          </w:rPr>
          <w:t>(included as part of Exhibit 4.10), incorporated herein by reference to Exhibit A of Exhibit 4.2 of Form 8-K (File No. 001-34057) filed</w:t>
        </w:r>
      </w:hyperlink>
      <w:r>
        <w:rPr>
          <w:rFonts w:ascii="Arial" w:cs="Arial" w:eastAsia="Arial" w:hAnsi="Arial"/>
          <w:sz w:val="18"/>
          <w:szCs w:val="18"/>
          <w:color w:val="auto"/>
        </w:rPr>
        <w:t xml:space="preserve"> </w:t>
      </w:r>
      <w:hyperlink r:id="rId83">
        <w:r>
          <w:rPr>
            <w:rFonts w:ascii="Arial" w:cs="Arial" w:eastAsia="Arial" w:hAnsi="Arial"/>
            <w:sz w:val="18"/>
            <w:szCs w:val="18"/>
            <w:color w:val="auto"/>
          </w:rPr>
          <w:t>March 6, 2019.</w:t>
        </w:r>
      </w:hyperlink>
    </w:p>
    <w:p>
      <w:pPr>
        <w:spacing w:after="0" w:line="130" w:lineRule="exact"/>
        <w:rPr>
          <w:rFonts w:ascii="Arial" w:cs="Arial" w:eastAsia="Arial" w:hAnsi="Arial"/>
          <w:sz w:val="18"/>
          <w:szCs w:val="18"/>
          <w:color w:val="auto"/>
        </w:rPr>
      </w:pPr>
    </w:p>
    <w:p>
      <w:pPr>
        <w:jc w:val="both"/>
        <w:ind w:left="600" w:right="320" w:hanging="1295"/>
        <w:spacing w:after="0" w:line="263" w:lineRule="auto"/>
        <w:tabs>
          <w:tab w:leader="none" w:pos="580" w:val="left"/>
        </w:tabs>
        <w:rPr>
          <w:rFonts w:ascii="Arial" w:cs="Arial" w:eastAsia="Arial" w:hAnsi="Arial"/>
          <w:sz w:val="18"/>
          <w:szCs w:val="18"/>
          <w:color w:val="auto"/>
        </w:rPr>
      </w:pPr>
      <w:hyperlink r:id="rId84">
        <w:r>
          <w:rPr>
            <w:rFonts w:ascii="Arial" w:cs="Arial" w:eastAsia="Arial" w:hAnsi="Arial"/>
            <w:sz w:val="18"/>
            <w:szCs w:val="18"/>
            <w:color w:val="auto"/>
          </w:rPr>
          <w:t>*4.12</w:t>
        </w:r>
      </w:hyperlink>
      <w:r>
        <w:rPr>
          <w:rFonts w:ascii="Arial" w:cs="Arial" w:eastAsia="Arial" w:hAnsi="Arial"/>
          <w:sz w:val="18"/>
          <w:szCs w:val="18"/>
          <w:color w:val="auto"/>
        </w:rPr>
        <w:tab/>
      </w:r>
      <w:hyperlink r:id="rId84">
        <w:r>
          <w:rPr>
            <w:rFonts w:ascii="Arial" w:cs="Arial" w:eastAsia="Arial" w:hAnsi="Arial"/>
            <w:sz w:val="18"/>
            <w:szCs w:val="18"/>
            <w:color w:val="auto"/>
          </w:rPr>
          <w:t>Deposit Agreement relating to 6.50% Series E Fixed-to-Floating Rate Cumulative Redeemable Preferred Stock, dated October 3, 2019, among</w:t>
        </w:r>
      </w:hyperlink>
      <w:r>
        <w:rPr>
          <w:rFonts w:ascii="Arial" w:cs="Arial" w:eastAsia="Arial" w:hAnsi="Arial"/>
          <w:sz w:val="18"/>
          <w:szCs w:val="18"/>
          <w:color w:val="auto"/>
        </w:rPr>
        <w:t xml:space="preserve"> </w:t>
      </w:r>
      <w:hyperlink r:id="rId84">
        <w:r>
          <w:rPr>
            <w:rFonts w:ascii="Arial" w:cs="Arial" w:eastAsia="Arial" w:hAnsi="Arial"/>
            <w:sz w:val="18"/>
            <w:szCs w:val="18"/>
            <w:color w:val="auto"/>
          </w:rPr>
          <w:t>AGNC Investment Corp., Computershare Inc. and Computershare Trust Company, N.A., jointly as depositary, incorporated herein by</w:t>
        </w:r>
      </w:hyperlink>
      <w:r>
        <w:rPr>
          <w:rFonts w:ascii="Arial" w:cs="Arial" w:eastAsia="Arial" w:hAnsi="Arial"/>
          <w:sz w:val="18"/>
          <w:szCs w:val="18"/>
          <w:color w:val="auto"/>
        </w:rPr>
        <w:t xml:space="preserve"> </w:t>
      </w:r>
      <w:hyperlink r:id="rId84">
        <w:r>
          <w:rPr>
            <w:rFonts w:ascii="Arial" w:cs="Arial" w:eastAsia="Arial" w:hAnsi="Arial"/>
            <w:sz w:val="18"/>
            <w:szCs w:val="18"/>
            <w:color w:val="auto"/>
          </w:rPr>
          <w:t>reference to Exhibit 4.2 of Form 8-K (File No. 001-34057) filed October 3, 2019.</w:t>
        </w:r>
      </w:hyperlink>
    </w:p>
    <w:p>
      <w:pPr>
        <w:spacing w:after="0" w:line="200" w:lineRule="exact"/>
        <w:rPr>
          <w:rFonts w:ascii="Arial" w:cs="Arial" w:eastAsia="Arial" w:hAnsi="Arial"/>
          <w:sz w:val="18"/>
          <w:szCs w:val="18"/>
          <w:color w:val="auto"/>
        </w:rPr>
      </w:pPr>
    </w:p>
    <w:p>
      <w:pPr>
        <w:spacing w:after="0" w:line="321" w:lineRule="exact"/>
        <w:rPr>
          <w:rFonts w:ascii="Arial" w:cs="Arial" w:eastAsia="Arial" w:hAnsi="Arial"/>
          <w:sz w:val="18"/>
          <w:szCs w:val="18"/>
          <w:color w:val="auto"/>
        </w:rPr>
      </w:pPr>
    </w:p>
    <w:p>
      <w:pPr>
        <w:jc w:val="center"/>
        <w:spacing w:after="0"/>
        <w:rPr>
          <w:sz w:val="20"/>
          <w:szCs w:val="20"/>
          <w:color w:val="auto"/>
        </w:rPr>
      </w:pPr>
      <w:r>
        <w:rPr>
          <w:rFonts w:ascii="Arial" w:cs="Arial" w:eastAsia="Arial" w:hAnsi="Arial"/>
          <w:sz w:val="18"/>
          <w:szCs w:val="18"/>
          <w:color w:val="auto"/>
        </w:rPr>
        <w:t>48</w:t>
      </w:r>
    </w:p>
    <w:p>
      <w:pPr>
        <w:spacing w:after="0" w:line="20" w:lineRule="exact"/>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49" w:name="page50"/>
    <w:bookmarkEnd w:id="49"/>
    <w:p>
      <w:pPr>
        <w:jc w:val="both"/>
        <w:ind w:left="600" w:right="80" w:hanging="1295"/>
        <w:spacing w:after="0" w:line="263" w:lineRule="auto"/>
        <w:tabs>
          <w:tab w:leader="none" w:pos="580" w:val="left"/>
        </w:tabs>
        <w:rPr>
          <w:rFonts w:ascii="Arial" w:cs="Arial" w:eastAsia="Arial" w:hAnsi="Arial"/>
          <w:sz w:val="18"/>
          <w:szCs w:val="18"/>
          <w:color w:val="auto"/>
        </w:rPr>
      </w:pPr>
      <w:hyperlink r:id="rId84">
        <w:r>
          <w:rPr>
            <w:rFonts w:ascii="Arial" w:cs="Arial" w:eastAsia="Arial" w:hAnsi="Arial"/>
            <w:sz w:val="18"/>
            <w:szCs w:val="18"/>
            <w:color w:val="auto"/>
          </w:rPr>
          <w:t>*4.13</w:t>
        </w:r>
      </w:hyperlink>
      <w:r>
        <w:rPr>
          <w:rFonts w:ascii="Arial" w:cs="Arial" w:eastAsia="Arial" w:hAnsi="Arial"/>
          <w:sz w:val="18"/>
          <w:szCs w:val="18"/>
          <w:color w:val="auto"/>
        </w:rPr>
        <w:tab/>
      </w:r>
      <w:hyperlink r:id="rId84">
        <w:r>
          <w:rPr>
            <w:rFonts w:ascii="Arial" w:cs="Arial" w:eastAsia="Arial" w:hAnsi="Arial"/>
            <w:sz w:val="18"/>
            <w:szCs w:val="18"/>
            <w:color w:val="auto"/>
          </w:rPr>
          <w:t>Form of Depositary Receipt representing 1/1,000th of a share of 6.50% Series E Fixed-to-Floating Rate Cumulative Redeemable Preferred Stock</w:t>
        </w:r>
      </w:hyperlink>
      <w:r>
        <w:rPr>
          <w:rFonts w:ascii="Arial" w:cs="Arial" w:eastAsia="Arial" w:hAnsi="Arial"/>
          <w:sz w:val="18"/>
          <w:szCs w:val="18"/>
          <w:color w:val="auto"/>
        </w:rPr>
        <w:t xml:space="preserve"> </w:t>
      </w:r>
      <w:hyperlink r:id="rId84">
        <w:r>
          <w:rPr>
            <w:rFonts w:ascii="Arial" w:cs="Arial" w:eastAsia="Arial" w:hAnsi="Arial"/>
            <w:sz w:val="18"/>
            <w:szCs w:val="18"/>
            <w:color w:val="auto"/>
          </w:rPr>
          <w:t>(included as part of Exhibit 4.12), incorporated herein by reference to Exhibit A of Exhibit 4.2 of Form 8-K (File No. 001-34057) filed</w:t>
        </w:r>
      </w:hyperlink>
      <w:r>
        <w:rPr>
          <w:rFonts w:ascii="Arial" w:cs="Arial" w:eastAsia="Arial" w:hAnsi="Arial"/>
          <w:sz w:val="18"/>
          <w:szCs w:val="18"/>
          <w:color w:val="auto"/>
        </w:rPr>
        <w:t xml:space="preserve"> </w:t>
      </w:r>
      <w:hyperlink r:id="rId84">
        <w:r>
          <w:rPr>
            <w:rFonts w:ascii="Arial" w:cs="Arial" w:eastAsia="Arial" w:hAnsi="Arial"/>
            <w:sz w:val="18"/>
            <w:szCs w:val="18"/>
            <w:color w:val="auto"/>
          </w:rPr>
          <w:t>October 3, 2019.</w:t>
        </w:r>
      </w:hyperlink>
    </w:p>
    <w:p>
      <w:pPr>
        <w:spacing w:after="0" w:line="130" w:lineRule="exact"/>
        <w:rPr>
          <w:rFonts w:ascii="Arial" w:cs="Arial" w:eastAsia="Arial" w:hAnsi="Arial"/>
          <w:sz w:val="18"/>
          <w:szCs w:val="18"/>
          <w:color w:val="auto"/>
        </w:rPr>
      </w:pPr>
    </w:p>
    <w:p>
      <w:pPr>
        <w:ind w:left="600" w:right="20" w:hanging="1295"/>
        <w:spacing w:after="0" w:line="263" w:lineRule="auto"/>
        <w:tabs>
          <w:tab w:leader="none" w:pos="580" w:val="left"/>
        </w:tabs>
        <w:rPr>
          <w:rFonts w:ascii="Arial" w:cs="Arial" w:eastAsia="Arial" w:hAnsi="Arial"/>
          <w:sz w:val="18"/>
          <w:szCs w:val="18"/>
          <w:color w:val="auto"/>
        </w:rPr>
      </w:pPr>
      <w:hyperlink r:id="rId86">
        <w:r>
          <w:rPr>
            <w:rFonts w:ascii="Arial" w:cs="Arial" w:eastAsia="Arial" w:hAnsi="Arial"/>
            <w:sz w:val="18"/>
            <w:szCs w:val="18"/>
            <w:color w:val="auto"/>
          </w:rPr>
          <w:t>*4.14</w:t>
        </w:r>
      </w:hyperlink>
      <w:r>
        <w:rPr>
          <w:rFonts w:ascii="Arial" w:cs="Arial" w:eastAsia="Arial" w:hAnsi="Arial"/>
          <w:sz w:val="18"/>
          <w:szCs w:val="18"/>
          <w:color w:val="auto"/>
        </w:rPr>
        <w:tab/>
      </w:r>
      <w:hyperlink r:id="rId86">
        <w:r>
          <w:rPr>
            <w:rFonts w:ascii="Arial" w:cs="Arial" w:eastAsia="Arial" w:hAnsi="Arial"/>
            <w:sz w:val="18"/>
            <w:szCs w:val="18"/>
            <w:color w:val="auto"/>
          </w:rPr>
          <w:t>Deposit Agreement relating to 6.125% Series F Fixed-to-Floating Rate Cumulative Redeemable Preferred Stock, dated February 11, 2020, among</w:t>
        </w:r>
      </w:hyperlink>
      <w:r>
        <w:rPr>
          <w:rFonts w:ascii="Arial" w:cs="Arial" w:eastAsia="Arial" w:hAnsi="Arial"/>
          <w:sz w:val="18"/>
          <w:szCs w:val="18"/>
          <w:color w:val="auto"/>
        </w:rPr>
        <w:t xml:space="preserve"> </w:t>
      </w:r>
      <w:hyperlink r:id="rId86">
        <w:r>
          <w:rPr>
            <w:rFonts w:ascii="Arial" w:cs="Arial" w:eastAsia="Arial" w:hAnsi="Arial"/>
            <w:sz w:val="18"/>
            <w:szCs w:val="18"/>
            <w:color w:val="auto"/>
          </w:rPr>
          <w:t>AGNC Investment Corp., Computershare Inc. and Computershare Trust Company, N.A., jointly as depositary, incorporated herein by</w:t>
        </w:r>
      </w:hyperlink>
      <w:r>
        <w:rPr>
          <w:rFonts w:ascii="Arial" w:cs="Arial" w:eastAsia="Arial" w:hAnsi="Arial"/>
          <w:sz w:val="18"/>
          <w:szCs w:val="18"/>
          <w:color w:val="auto"/>
        </w:rPr>
        <w:t xml:space="preserve"> </w:t>
      </w:r>
      <w:hyperlink r:id="rId86">
        <w:r>
          <w:rPr>
            <w:rFonts w:ascii="Arial" w:cs="Arial" w:eastAsia="Arial" w:hAnsi="Arial"/>
            <w:sz w:val="18"/>
            <w:szCs w:val="18"/>
            <w:color w:val="auto"/>
          </w:rPr>
          <w:t>reference to Exhibit 4.1 of Form 8-K (File No. 001-34057) filed February 11, 2020.</w:t>
        </w:r>
      </w:hyperlink>
    </w:p>
    <w:p>
      <w:pPr>
        <w:spacing w:after="0" w:line="130" w:lineRule="exact"/>
        <w:rPr>
          <w:rFonts w:ascii="Arial" w:cs="Arial" w:eastAsia="Arial" w:hAnsi="Arial"/>
          <w:sz w:val="18"/>
          <w:szCs w:val="18"/>
          <w:color w:val="auto"/>
        </w:rPr>
      </w:pPr>
    </w:p>
    <w:p>
      <w:pPr>
        <w:ind w:left="600" w:hanging="1295"/>
        <w:spacing w:after="0" w:line="263" w:lineRule="auto"/>
        <w:tabs>
          <w:tab w:leader="none" w:pos="580" w:val="left"/>
        </w:tabs>
        <w:rPr>
          <w:rFonts w:ascii="Arial" w:cs="Arial" w:eastAsia="Arial" w:hAnsi="Arial"/>
          <w:sz w:val="18"/>
          <w:szCs w:val="18"/>
          <w:color w:val="auto"/>
        </w:rPr>
      </w:pPr>
      <w:hyperlink r:id="rId86">
        <w:r>
          <w:rPr>
            <w:rFonts w:ascii="Arial" w:cs="Arial" w:eastAsia="Arial" w:hAnsi="Arial"/>
            <w:sz w:val="18"/>
            <w:szCs w:val="18"/>
            <w:color w:val="auto"/>
          </w:rPr>
          <w:t>*4.15</w:t>
        </w:r>
      </w:hyperlink>
      <w:r>
        <w:rPr>
          <w:rFonts w:ascii="Arial" w:cs="Arial" w:eastAsia="Arial" w:hAnsi="Arial"/>
          <w:sz w:val="18"/>
          <w:szCs w:val="18"/>
          <w:color w:val="auto"/>
        </w:rPr>
        <w:tab/>
      </w:r>
      <w:hyperlink r:id="rId86">
        <w:r>
          <w:rPr>
            <w:rFonts w:ascii="Arial" w:cs="Arial" w:eastAsia="Arial" w:hAnsi="Arial"/>
            <w:sz w:val="18"/>
            <w:szCs w:val="18"/>
            <w:color w:val="auto"/>
          </w:rPr>
          <w:t>Form of Depositary Receipt representing 1/1,000th of a share of 6.125% Series F Fixed-to-Floating Rate Cumulative Redeemable Preferred Stock</w:t>
        </w:r>
      </w:hyperlink>
      <w:r>
        <w:rPr>
          <w:rFonts w:ascii="Arial" w:cs="Arial" w:eastAsia="Arial" w:hAnsi="Arial"/>
          <w:sz w:val="18"/>
          <w:szCs w:val="18"/>
          <w:color w:val="auto"/>
        </w:rPr>
        <w:t xml:space="preserve"> </w:t>
      </w:r>
      <w:hyperlink r:id="rId86">
        <w:r>
          <w:rPr>
            <w:rFonts w:ascii="Arial" w:cs="Arial" w:eastAsia="Arial" w:hAnsi="Arial"/>
            <w:sz w:val="18"/>
            <w:szCs w:val="18"/>
            <w:color w:val="auto"/>
          </w:rPr>
          <w:t>(included as part of Exhibit 4.14), incorporated herein by reference to Exhibit A of Exhibit 4.1 of Form 8-K (File No. 001-34057) filed</w:t>
        </w:r>
      </w:hyperlink>
      <w:r>
        <w:rPr>
          <w:rFonts w:ascii="Arial" w:cs="Arial" w:eastAsia="Arial" w:hAnsi="Arial"/>
          <w:sz w:val="18"/>
          <w:szCs w:val="18"/>
          <w:color w:val="auto"/>
        </w:rPr>
        <w:t xml:space="preserve"> </w:t>
      </w:r>
      <w:hyperlink r:id="rId86">
        <w:r>
          <w:rPr>
            <w:rFonts w:ascii="Arial" w:cs="Arial" w:eastAsia="Arial" w:hAnsi="Arial"/>
            <w:sz w:val="18"/>
            <w:szCs w:val="18"/>
            <w:color w:val="auto"/>
          </w:rPr>
          <w:t>February 11, 2020.</w:t>
        </w:r>
      </w:hyperlink>
    </w:p>
    <w:p>
      <w:pPr>
        <w:spacing w:after="0" w:line="130" w:lineRule="exact"/>
        <w:rPr>
          <w:rFonts w:ascii="Arial" w:cs="Arial" w:eastAsia="Arial" w:hAnsi="Arial"/>
          <w:sz w:val="18"/>
          <w:szCs w:val="18"/>
          <w:color w:val="auto"/>
        </w:rPr>
      </w:pPr>
    </w:p>
    <w:p>
      <w:pPr>
        <w:spacing w:after="0"/>
        <w:tabs>
          <w:tab w:leader="none" w:pos="480" w:val="left"/>
        </w:tabs>
        <w:rPr>
          <w:rFonts w:ascii="Arial" w:cs="Arial" w:eastAsia="Arial" w:hAnsi="Arial"/>
          <w:sz w:val="16"/>
          <w:szCs w:val="16"/>
          <w:color w:val="auto"/>
        </w:rPr>
      </w:pPr>
      <w:hyperlink w:anchor="page52">
        <w:r>
          <w:rPr>
            <w:rFonts w:ascii="Arial" w:cs="Arial" w:eastAsia="Arial" w:hAnsi="Arial"/>
            <w:sz w:val="18"/>
            <w:szCs w:val="18"/>
            <w:color w:val="auto"/>
          </w:rPr>
          <w:t>31.1</w:t>
        </w:r>
      </w:hyperlink>
      <w:r>
        <w:rPr>
          <w:rFonts w:ascii="Arial" w:cs="Arial" w:eastAsia="Arial" w:hAnsi="Arial"/>
          <w:sz w:val="18"/>
          <w:szCs w:val="18"/>
          <w:color w:val="auto"/>
        </w:rPr>
        <w:tab/>
      </w:r>
      <w:hyperlink w:anchor="page52">
        <w:r>
          <w:rPr>
            <w:rFonts w:ascii="Arial" w:cs="Arial" w:eastAsia="Arial" w:hAnsi="Arial"/>
            <w:sz w:val="16"/>
            <w:szCs w:val="16"/>
            <w:color w:val="auto"/>
          </w:rPr>
          <w:t>Certification of CEO Pursuant to Section 302(a) of the Sarbanes-Oxley Act of 2002.</w:t>
        </w:r>
      </w:hyperlink>
    </w:p>
    <w:p>
      <w:pPr>
        <w:spacing w:after="0" w:line="171" w:lineRule="exact"/>
        <w:rPr>
          <w:sz w:val="20"/>
          <w:szCs w:val="20"/>
          <w:color w:val="auto"/>
        </w:rPr>
      </w:pPr>
    </w:p>
    <w:p>
      <w:pPr>
        <w:spacing w:after="0"/>
        <w:tabs>
          <w:tab w:leader="none" w:pos="480" w:val="left"/>
        </w:tabs>
        <w:rPr>
          <w:rFonts w:ascii="Arial" w:cs="Arial" w:eastAsia="Arial" w:hAnsi="Arial"/>
          <w:sz w:val="16"/>
          <w:szCs w:val="16"/>
          <w:color w:val="auto"/>
        </w:rPr>
      </w:pPr>
      <w:hyperlink w:anchor="page53">
        <w:r>
          <w:rPr>
            <w:rFonts w:ascii="Arial" w:cs="Arial" w:eastAsia="Arial" w:hAnsi="Arial"/>
            <w:sz w:val="18"/>
            <w:szCs w:val="18"/>
            <w:color w:val="auto"/>
          </w:rPr>
          <w:t>31.2</w:t>
        </w:r>
      </w:hyperlink>
      <w:r>
        <w:rPr>
          <w:rFonts w:ascii="Arial" w:cs="Arial" w:eastAsia="Arial" w:hAnsi="Arial"/>
          <w:sz w:val="18"/>
          <w:szCs w:val="18"/>
          <w:color w:val="auto"/>
        </w:rPr>
        <w:tab/>
      </w:r>
      <w:hyperlink w:anchor="page53">
        <w:r>
          <w:rPr>
            <w:rFonts w:ascii="Arial" w:cs="Arial" w:eastAsia="Arial" w:hAnsi="Arial"/>
            <w:sz w:val="16"/>
            <w:szCs w:val="16"/>
            <w:color w:val="auto"/>
          </w:rPr>
          <w:t>Certification of CFO Pursuant to Section 302(a) of the Sarbanes-Oxley Act of 2002.</w:t>
        </w:r>
      </w:hyperlink>
    </w:p>
    <w:p>
      <w:pPr>
        <w:spacing w:after="0" w:line="171" w:lineRule="exact"/>
        <w:rPr>
          <w:sz w:val="20"/>
          <w:szCs w:val="20"/>
          <w:color w:val="auto"/>
        </w:rPr>
      </w:pPr>
    </w:p>
    <w:p>
      <w:pPr>
        <w:spacing w:after="0"/>
        <w:tabs>
          <w:tab w:leader="none" w:pos="340" w:val="left"/>
        </w:tabs>
        <w:rPr>
          <w:rFonts w:ascii="Arial" w:cs="Arial" w:eastAsia="Arial" w:hAnsi="Arial"/>
          <w:sz w:val="16"/>
          <w:szCs w:val="16"/>
          <w:color w:val="auto"/>
        </w:rPr>
      </w:pPr>
      <w:r>
        <w:rPr>
          <w:rFonts w:ascii="Arial" w:cs="Arial" w:eastAsia="Arial" w:hAnsi="Arial"/>
          <w:sz w:val="18"/>
          <w:szCs w:val="18"/>
          <w:color w:val="auto"/>
        </w:rPr>
        <w:t>32</w:t>
      </w:r>
      <w:r>
        <w:rPr>
          <w:sz w:val="20"/>
          <w:szCs w:val="20"/>
          <w:color w:val="auto"/>
        </w:rPr>
        <w:tab/>
      </w:r>
      <w:hyperlink w:anchor="page54">
        <w:r>
          <w:rPr>
            <w:rFonts w:ascii="Arial" w:cs="Arial" w:eastAsia="Arial" w:hAnsi="Arial"/>
            <w:sz w:val="16"/>
            <w:szCs w:val="16"/>
            <w:color w:val="auto"/>
          </w:rPr>
          <w:t>Certification of CEO and CFO Pursuant to Section 906 of the Sarbanes-Oxley Act of 2002.</w:t>
        </w:r>
      </w:hyperlink>
    </w:p>
    <w:p>
      <w:pPr>
        <w:sectPr>
          <w:pgSz w:w="11900" w:h="16838" w:orient="portrait"/>
          <w:cols w:equalWidth="0" w:num="1">
            <w:col w:w="11120"/>
          </w:cols>
          <w:pgMar w:left="320" w:top="1057" w:right="459" w:bottom="1440" w:gutter="0" w:footer="0" w:header="0"/>
        </w:sectPr>
      </w:pP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101.INS**</w:t>
      </w:r>
    </w:p>
    <w:p>
      <w:pPr>
        <w:spacing w:after="0" w:line="20" w:lineRule="exact"/>
        <w:rPr>
          <w:sz w:val="20"/>
          <w:szCs w:val="20"/>
          <w:color w:val="auto"/>
        </w:rPr>
      </w:pPr>
      <w:r>
        <w:rPr>
          <w:sz w:val="20"/>
          <w:szCs w:val="20"/>
          <w:color w:val="auto"/>
        </w:rPr>
        <w:br w:type="column"/>
      </w:r>
    </w:p>
    <w:p>
      <w:pPr>
        <w:spacing w:after="0" w:line="151" w:lineRule="exact"/>
        <w:rPr>
          <w:sz w:val="20"/>
          <w:szCs w:val="20"/>
          <w:color w:val="auto"/>
        </w:rPr>
      </w:pPr>
    </w:p>
    <w:p>
      <w:pPr>
        <w:jc w:val="center"/>
        <w:ind w:right="180"/>
        <w:spacing w:after="0"/>
        <w:rPr>
          <w:sz w:val="20"/>
          <w:szCs w:val="20"/>
          <w:color w:val="auto"/>
        </w:rPr>
      </w:pPr>
      <w:r>
        <w:rPr>
          <w:rFonts w:ascii="Arial" w:cs="Arial" w:eastAsia="Arial" w:hAnsi="Arial"/>
          <w:sz w:val="16"/>
          <w:szCs w:val="16"/>
          <w:color w:val="auto"/>
        </w:rPr>
        <w:t>The instance document does not appear in the interactive data file because its XBRL tags are embedded within the inline XBRL document</w:t>
      </w:r>
    </w:p>
    <w:p>
      <w:pPr>
        <w:spacing w:after="0" w:line="193" w:lineRule="exact"/>
        <w:rPr>
          <w:sz w:val="20"/>
          <w:szCs w:val="20"/>
          <w:color w:val="auto"/>
        </w:rPr>
      </w:pPr>
    </w:p>
    <w:p>
      <w:pPr>
        <w:sectPr>
          <w:pgSz w:w="11900" w:h="16838" w:orient="portrait"/>
          <w:cols w:equalWidth="0" w:num="2">
            <w:col w:w="800" w:space="160"/>
            <w:col w:w="10160"/>
          </w:cols>
          <w:pgMar w:left="320" w:top="1057" w:right="459" w:bottom="1440" w:gutter="0" w:footer="0" w:header="0"/>
          <w:type w:val="continuous"/>
        </w:sectPr>
      </w:pPr>
    </w:p>
    <w:p>
      <w:pPr>
        <w:spacing w:after="0"/>
        <w:rPr>
          <w:sz w:val="20"/>
          <w:szCs w:val="20"/>
          <w:color w:val="auto"/>
        </w:rPr>
      </w:pPr>
      <w:r>
        <w:rPr>
          <w:rFonts w:ascii="Arial" w:cs="Arial" w:eastAsia="Arial" w:hAnsi="Arial"/>
          <w:sz w:val="17"/>
          <w:szCs w:val="17"/>
          <w:color w:val="auto"/>
        </w:rPr>
        <w:t>101.SCH**</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XBRL Taxonomy Extension Schema Document</w:t>
      </w:r>
    </w:p>
    <w:p>
      <w:pPr>
        <w:spacing w:after="0" w:line="194" w:lineRule="exact"/>
        <w:rPr>
          <w:sz w:val="20"/>
          <w:szCs w:val="20"/>
          <w:color w:val="auto"/>
        </w:rPr>
      </w:pPr>
    </w:p>
    <w:p>
      <w:pPr>
        <w:sectPr>
          <w:pgSz w:w="11900" w:h="16838" w:orient="portrait"/>
          <w:cols w:equalWidth="0" w:num="2">
            <w:col w:w="860" w:space="180"/>
            <w:col w:w="10080"/>
          </w:cols>
          <w:pgMar w:left="320" w:top="1057" w:right="459" w:bottom="1440" w:gutter="0" w:footer="0" w:header="0"/>
          <w:type w:val="continuous"/>
        </w:sectPr>
      </w:pPr>
    </w:p>
    <w:p>
      <w:pPr>
        <w:spacing w:after="0"/>
        <w:rPr>
          <w:sz w:val="20"/>
          <w:szCs w:val="20"/>
          <w:color w:val="auto"/>
        </w:rPr>
      </w:pPr>
      <w:r>
        <w:rPr>
          <w:rFonts w:ascii="Arial" w:cs="Arial" w:eastAsia="Arial" w:hAnsi="Arial"/>
          <w:sz w:val="18"/>
          <w:szCs w:val="18"/>
          <w:color w:val="auto"/>
        </w:rPr>
        <w:t>101.CAL**</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XBRL Taxonomy Extension Calculation Linkbase Document</w:t>
      </w:r>
    </w:p>
    <w:p>
      <w:pPr>
        <w:spacing w:after="0" w:line="193" w:lineRule="exact"/>
        <w:rPr>
          <w:sz w:val="20"/>
          <w:szCs w:val="20"/>
          <w:color w:val="auto"/>
        </w:rPr>
      </w:pPr>
    </w:p>
    <w:p>
      <w:pPr>
        <w:sectPr>
          <w:pgSz w:w="11900" w:h="16838" w:orient="portrait"/>
          <w:cols w:equalWidth="0" w:num="2">
            <w:col w:w="860" w:space="180"/>
            <w:col w:w="10080"/>
          </w:cols>
          <w:pgMar w:left="320" w:top="1057" w:right="459" w:bottom="1440" w:gutter="0" w:footer="0" w:header="0"/>
          <w:type w:val="continuous"/>
        </w:sectPr>
      </w:pPr>
    </w:p>
    <w:p>
      <w:pPr>
        <w:spacing w:after="0"/>
        <w:rPr>
          <w:sz w:val="20"/>
          <w:szCs w:val="20"/>
          <w:color w:val="auto"/>
        </w:rPr>
      </w:pPr>
      <w:r>
        <w:rPr>
          <w:rFonts w:ascii="Arial" w:cs="Arial" w:eastAsia="Arial" w:hAnsi="Arial"/>
          <w:sz w:val="18"/>
          <w:szCs w:val="18"/>
          <w:color w:val="auto"/>
        </w:rPr>
        <w:t>101.LAB**</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XBRL Taxonomy Extension Labels Linkbase Document</w:t>
      </w:r>
    </w:p>
    <w:p>
      <w:pPr>
        <w:spacing w:after="0" w:line="193" w:lineRule="exact"/>
        <w:rPr>
          <w:sz w:val="20"/>
          <w:szCs w:val="20"/>
          <w:color w:val="auto"/>
        </w:rPr>
      </w:pPr>
    </w:p>
    <w:p>
      <w:pPr>
        <w:sectPr>
          <w:pgSz w:w="11900" w:h="16838" w:orient="portrait"/>
          <w:cols w:equalWidth="0" w:num="2">
            <w:col w:w="860" w:space="180"/>
            <w:col w:w="10080"/>
          </w:cols>
          <w:pgMar w:left="320" w:top="1057" w:right="459" w:bottom="1440" w:gutter="0" w:footer="0" w:header="0"/>
          <w:type w:val="continuous"/>
        </w:sectPr>
      </w:pPr>
    </w:p>
    <w:p>
      <w:pPr>
        <w:spacing w:after="0"/>
        <w:rPr>
          <w:sz w:val="20"/>
          <w:szCs w:val="20"/>
          <w:color w:val="auto"/>
        </w:rPr>
      </w:pPr>
      <w:r>
        <w:rPr>
          <w:rFonts w:ascii="Arial" w:cs="Arial" w:eastAsia="Arial" w:hAnsi="Arial"/>
          <w:sz w:val="17"/>
          <w:szCs w:val="17"/>
          <w:color w:val="auto"/>
        </w:rPr>
        <w:t>101.PRE**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XBRL Taxonomy Extension Presentation Linkbase Document</w:t>
      </w:r>
    </w:p>
    <w:p>
      <w:pPr>
        <w:spacing w:after="0" w:line="194" w:lineRule="exact"/>
        <w:rPr>
          <w:sz w:val="20"/>
          <w:szCs w:val="20"/>
          <w:color w:val="auto"/>
        </w:rPr>
      </w:pPr>
    </w:p>
    <w:p>
      <w:pPr>
        <w:sectPr>
          <w:pgSz w:w="11900" w:h="16838" w:orient="portrait"/>
          <w:cols w:equalWidth="0" w:num="2">
            <w:col w:w="840" w:space="180"/>
            <w:col w:w="10100"/>
          </w:cols>
          <w:pgMar w:left="320" w:top="1057" w:right="459" w:bottom="1440" w:gutter="0" w:footer="0" w:header="0"/>
          <w:type w:val="continuous"/>
        </w:sectPr>
      </w:pPr>
    </w:p>
    <w:p>
      <w:pPr>
        <w:spacing w:after="0"/>
        <w:rPr>
          <w:sz w:val="20"/>
          <w:szCs w:val="20"/>
          <w:color w:val="auto"/>
        </w:rPr>
      </w:pPr>
      <w:r>
        <w:rPr>
          <w:rFonts w:ascii="Arial" w:cs="Arial" w:eastAsia="Arial" w:hAnsi="Arial"/>
          <w:sz w:val="17"/>
          <w:szCs w:val="17"/>
          <w:color w:val="auto"/>
        </w:rPr>
        <w:t>101.DEF**</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XBRL Taxonomy Extension Definition Linkbase Document</w:t>
      </w:r>
    </w:p>
    <w:p>
      <w:pPr>
        <w:spacing w:after="0" w:line="43" w:lineRule="exact"/>
        <w:rPr>
          <w:sz w:val="20"/>
          <w:szCs w:val="20"/>
          <w:color w:val="auto"/>
        </w:rPr>
      </w:pPr>
    </w:p>
    <w:p>
      <w:pPr>
        <w:sectPr>
          <w:pgSz w:w="11900" w:h="16838" w:orient="portrait"/>
          <w:cols w:equalWidth="0" w:num="2">
            <w:col w:w="840" w:space="180"/>
            <w:col w:w="10100"/>
          </w:cols>
          <w:pgMar w:left="320" w:top="1057" w:right="459" w:bottom="1440" w:gutter="0" w:footer="0" w:header="0"/>
          <w:type w:val="continuous"/>
        </w:sectPr>
      </w:pPr>
    </w:p>
    <w:p>
      <w:pPr>
        <w:spacing w:after="0"/>
        <w:rPr>
          <w:sz w:val="20"/>
          <w:szCs w:val="20"/>
          <w:color w:val="auto"/>
        </w:rPr>
      </w:pPr>
      <w:r>
        <w:rPr>
          <w:rFonts w:ascii="Arial" w:cs="Arial" w:eastAsia="Arial" w:hAnsi="Arial"/>
          <w:sz w:val="11"/>
          <w:szCs w:val="11"/>
          <w:color w:val="auto"/>
        </w:rPr>
        <w:t>________________________________</w:t>
      </w:r>
    </w:p>
    <w:p>
      <w:pPr>
        <w:spacing w:after="0"/>
        <w:tabs>
          <w:tab w:leader="none" w:pos="26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6"/>
          <w:szCs w:val="16"/>
          <w:color w:val="auto"/>
        </w:rPr>
        <w:t>Previously filed</w:t>
      </w:r>
    </w:p>
    <w:p>
      <w:pPr>
        <w:spacing w:after="0" w:line="7" w:lineRule="exact"/>
        <w:rPr>
          <w:sz w:val="20"/>
          <w:szCs w:val="20"/>
          <w:color w:val="auto"/>
        </w:rPr>
      </w:pPr>
    </w:p>
    <w:p>
      <w:pPr>
        <w:ind w:left="660" w:right="240" w:hanging="652"/>
        <w:spacing w:after="0" w:line="260" w:lineRule="auto"/>
        <w:tabs>
          <w:tab w:leader="none" w:pos="369"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This exhibit is being furnished rather than filed, and shall not be deemed incorporated by reference into any filing, in accordance with Item 601 of Regulation S-K</w:t>
      </w:r>
    </w:p>
    <w:p>
      <w:pPr>
        <w:spacing w:after="0" w:line="212" w:lineRule="exact"/>
        <w:rPr>
          <w:sz w:val="20"/>
          <w:szCs w:val="20"/>
          <w:color w:val="auto"/>
        </w:rPr>
      </w:pPr>
    </w:p>
    <w:p>
      <w:pPr>
        <w:ind w:left="460"/>
        <w:spacing w:after="0"/>
        <w:tabs>
          <w:tab w:leader="none" w:pos="820" w:val="left"/>
        </w:tabs>
        <w:rPr>
          <w:sz w:val="20"/>
          <w:szCs w:val="20"/>
          <w:color w:val="auto"/>
        </w:rPr>
      </w:pPr>
      <w:r>
        <w:rPr>
          <w:rFonts w:ascii="Arial" w:cs="Arial" w:eastAsia="Arial" w:hAnsi="Arial"/>
          <w:sz w:val="18"/>
          <w:szCs w:val="18"/>
          <w:color w:val="auto"/>
        </w:rPr>
        <w:t>(b)</w:t>
      </w:r>
      <w:r>
        <w:rPr>
          <w:sz w:val="20"/>
          <w:szCs w:val="20"/>
          <w:color w:val="auto"/>
        </w:rPr>
        <w:tab/>
      </w:r>
      <w:r>
        <w:rPr>
          <w:rFonts w:ascii="Arial" w:cs="Arial" w:eastAsia="Arial" w:hAnsi="Arial"/>
          <w:sz w:val="17"/>
          <w:szCs w:val="17"/>
          <w:color w:val="auto"/>
        </w:rPr>
        <w:t>Exhibits</w:t>
      </w:r>
    </w:p>
    <w:p>
      <w:pPr>
        <w:spacing w:after="0" w:line="23" w:lineRule="exact"/>
        <w:rPr>
          <w:sz w:val="20"/>
          <w:szCs w:val="20"/>
          <w:color w:val="auto"/>
        </w:rPr>
      </w:pPr>
    </w:p>
    <w:p>
      <w:pPr>
        <w:ind w:left="820"/>
        <w:spacing w:after="0"/>
        <w:rPr>
          <w:sz w:val="20"/>
          <w:szCs w:val="20"/>
          <w:color w:val="auto"/>
        </w:rPr>
      </w:pPr>
      <w:r>
        <w:rPr>
          <w:rFonts w:ascii="Arial" w:cs="Arial" w:eastAsia="Arial" w:hAnsi="Arial"/>
          <w:sz w:val="18"/>
          <w:szCs w:val="18"/>
          <w:color w:val="auto"/>
        </w:rPr>
        <w:t>See the exhibits filed herewith.</w:t>
      </w:r>
    </w:p>
    <w:p>
      <w:pPr>
        <w:spacing w:after="0" w:line="211" w:lineRule="exact"/>
        <w:rPr>
          <w:sz w:val="20"/>
          <w:szCs w:val="20"/>
          <w:color w:val="auto"/>
        </w:rPr>
      </w:pPr>
    </w:p>
    <w:p>
      <w:pPr>
        <w:ind w:left="680" w:right="7380" w:hanging="227"/>
        <w:spacing w:after="0" w:line="277" w:lineRule="auto"/>
        <w:tabs>
          <w:tab w:leader="none" w:pos="825" w:val="left"/>
        </w:tabs>
        <w:numPr>
          <w:ilvl w:val="0"/>
          <w:numId w:val="41"/>
        </w:numPr>
        <w:rPr>
          <w:rFonts w:ascii="Arial" w:cs="Arial" w:eastAsia="Arial" w:hAnsi="Arial"/>
          <w:sz w:val="18"/>
          <w:szCs w:val="18"/>
          <w:color w:val="auto"/>
        </w:rPr>
      </w:pPr>
      <w:r>
        <w:rPr>
          <w:rFonts w:ascii="Arial" w:cs="Arial" w:eastAsia="Arial" w:hAnsi="Arial"/>
          <w:sz w:val="18"/>
          <w:szCs w:val="18"/>
          <w:color w:val="auto"/>
        </w:rPr>
        <w:t>Additional financial statement schedules None.</w:t>
      </w:r>
    </w:p>
    <w:p>
      <w:pPr>
        <w:spacing w:after="0" w:line="200" w:lineRule="exact"/>
        <w:rPr>
          <w:sz w:val="20"/>
          <w:szCs w:val="20"/>
          <w:color w:val="auto"/>
        </w:rPr>
      </w:pPr>
    </w:p>
    <w:p>
      <w:pPr>
        <w:spacing w:after="0" w:line="308"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20"/>
          </w:cols>
          <w:pgMar w:left="320" w:top="1057" w:right="459" w:bottom="1440" w:gutter="0" w:footer="0" w:header="0"/>
          <w:type w:val="continuous"/>
        </w:sectPr>
      </w:pPr>
    </w:p>
    <w:bookmarkStart w:id="50" w:name="page51"/>
    <w:bookmarkEnd w:id="50"/>
    <w:p>
      <w:pPr>
        <w:jc w:val="center"/>
        <w:ind w:right="-59"/>
        <w:spacing w:after="0"/>
        <w:rPr>
          <w:sz w:val="20"/>
          <w:szCs w:val="20"/>
          <w:color w:val="auto"/>
        </w:rPr>
      </w:pPr>
      <w:r>
        <w:rPr>
          <w:rFonts w:ascii="Arial" w:cs="Arial" w:eastAsia="Arial" w:hAnsi="Arial"/>
          <w:sz w:val="18"/>
          <w:szCs w:val="18"/>
          <w:b w:val="1"/>
          <w:bCs w:val="1"/>
          <w:color w:val="auto"/>
        </w:rPr>
        <w:t>SIGNATURES</w:t>
      </w:r>
    </w:p>
    <w:p>
      <w:pPr>
        <w:spacing w:after="0" w:line="175" w:lineRule="exact"/>
        <w:rPr>
          <w:sz w:val="20"/>
          <w:szCs w:val="20"/>
          <w:color w:val="auto"/>
        </w:rPr>
      </w:pPr>
    </w:p>
    <w:p>
      <w:pPr>
        <w:ind w:firstLine="445"/>
        <w:spacing w:after="0" w:line="277" w:lineRule="auto"/>
        <w:rPr>
          <w:sz w:val="20"/>
          <w:szCs w:val="20"/>
          <w:color w:val="auto"/>
        </w:rPr>
      </w:pPr>
      <w:r>
        <w:rPr>
          <w:rFonts w:ascii="Arial" w:cs="Arial" w:eastAsia="Arial" w:hAnsi="Arial"/>
          <w:sz w:val="18"/>
          <w:szCs w:val="18"/>
          <w:color w:val="auto"/>
        </w:rPr>
        <w:t>Pursuant to the requirements of Section 13 or 15(d) of the Securities Exchange Act of 1934, the Company has duly caused this report to be signed on its behalf by the undersigned, thereunto duly authorized.</w:t>
      </w:r>
    </w:p>
    <w:p>
      <w:pPr>
        <w:spacing w:after="0" w:line="184"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AGNC I</w:t>
      </w:r>
      <w:r>
        <w:rPr>
          <w:rFonts w:ascii="Arial" w:cs="Arial" w:eastAsia="Arial" w:hAnsi="Arial"/>
          <w:sz w:val="14"/>
          <w:szCs w:val="14"/>
          <w:color w:val="auto"/>
        </w:rPr>
        <w:t>NVESTMENT</w:t>
      </w:r>
      <w:r>
        <w:rPr>
          <w:rFonts w:ascii="Arial" w:cs="Arial" w:eastAsia="Arial" w:hAnsi="Arial"/>
          <w:sz w:val="18"/>
          <w:szCs w:val="18"/>
          <w:color w:val="auto"/>
        </w:rPr>
        <w:t xml:space="preserve"> C</w:t>
      </w:r>
      <w:r>
        <w:rPr>
          <w:rFonts w:ascii="Arial" w:cs="Arial" w:eastAsia="Arial" w:hAnsi="Arial"/>
          <w:sz w:val="14"/>
          <w:szCs w:val="14"/>
          <w:color w:val="auto"/>
        </w:rPr>
        <w:t>ORP</w:t>
      </w:r>
      <w:r>
        <w:rPr>
          <w:rFonts w:ascii="Arial" w:cs="Arial" w:eastAsia="Arial" w:hAnsi="Arial"/>
          <w:sz w:val="18"/>
          <w:szCs w:val="18"/>
          <w:color w:val="auto"/>
        </w:rPr>
        <w:t>.</w:t>
      </w:r>
    </w:p>
    <w:p>
      <w:pPr>
        <w:spacing w:after="0" w:line="77" w:lineRule="exact"/>
        <w:rPr>
          <w:sz w:val="20"/>
          <w:szCs w:val="20"/>
          <w:color w:val="auto"/>
        </w:rPr>
      </w:pPr>
    </w:p>
    <w:p>
      <w:pPr>
        <w:ind w:left="5540"/>
        <w:spacing w:after="0"/>
        <w:tabs>
          <w:tab w:leader="none" w:pos="7760" w:val="left"/>
          <w:tab w:leader="none" w:pos="810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w:t>
      </w:r>
      <w:r>
        <w:rPr>
          <w:sz w:val="20"/>
          <w:szCs w:val="20"/>
          <w:color w:val="auto"/>
        </w:rPr>
        <w:tab/>
      </w:r>
      <w:r>
        <w:rPr>
          <w:rFonts w:ascii="Arial" w:cs="Arial" w:eastAsia="Arial" w:hAnsi="Arial"/>
          <w:sz w:val="17"/>
          <w:szCs w:val="17"/>
          <w:color w:val="auto"/>
        </w:rPr>
        <w:t>P</w:t>
      </w:r>
      <w:r>
        <w:rPr>
          <w:rFonts w:ascii="Arial" w:cs="Arial" w:eastAsia="Arial" w:hAnsi="Arial"/>
          <w:sz w:val="13"/>
          <w:szCs w:val="13"/>
          <w:color w:val="auto"/>
        </w:rPr>
        <w:t>ETER</w:t>
      </w:r>
      <w:r>
        <w:rPr>
          <w:rFonts w:ascii="Arial" w:cs="Arial" w:eastAsia="Arial" w:hAnsi="Arial"/>
          <w:sz w:val="17"/>
          <w:szCs w:val="17"/>
          <w:color w:val="auto"/>
        </w:rPr>
        <w:t xml:space="preserve"> J. F</w:t>
      </w:r>
      <w:r>
        <w:rPr>
          <w:rFonts w:ascii="Arial" w:cs="Arial" w:eastAsia="Arial" w:hAnsi="Arial"/>
          <w:sz w:val="13"/>
          <w:szCs w:val="13"/>
          <w:color w:val="auto"/>
        </w:rPr>
        <w:t>EDERICO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3853815</wp:posOffset>
            </wp:positionH>
            <wp:positionV relativeFrom="paragraph">
              <wp:posOffset>14605</wp:posOffset>
            </wp:positionV>
            <wp:extent cx="3265805"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8">
                      <a:extLst>
                        <a:ext uri="{28A0092B-C50C-407E-A947-70E740481C1C}"/>
                      </a:extLst>
                    </a:blip>
                    <a:srcRect/>
                    <a:stretch>
                      <a:fillRect/>
                    </a:stretch>
                  </pic:blipFill>
                  <pic:spPr bwMode="auto">
                    <a:xfrm>
                      <a:off x="0" y="0"/>
                      <a:ext cx="3265805" cy="8890"/>
                    </a:xfrm>
                    <a:prstGeom prst="rect">
                      <a:avLst/>
                    </a:prstGeom>
                    <a:noFill/>
                  </pic:spPr>
                </pic:pic>
              </a:graphicData>
            </a:graphic>
          </wp:anchor>
        </w:drawing>
      </w:r>
    </w:p>
    <w:p>
      <w:pPr>
        <w:jc w:val="center"/>
        <w:ind w:left="6020"/>
        <w:spacing w:after="0"/>
        <w:rPr>
          <w:sz w:val="20"/>
          <w:szCs w:val="20"/>
          <w:color w:val="auto"/>
        </w:rPr>
      </w:pPr>
      <w:r>
        <w:rPr>
          <w:rFonts w:ascii="Arial" w:cs="Arial" w:eastAsia="Arial" w:hAnsi="Arial"/>
          <w:sz w:val="14"/>
          <w:szCs w:val="14"/>
          <w:b w:val="1"/>
          <w:bCs w:val="1"/>
          <w:color w:val="auto"/>
        </w:rPr>
        <w:t>Peter J. Federico</w:t>
      </w:r>
    </w:p>
    <w:p>
      <w:pPr>
        <w:jc w:val="center"/>
        <w:ind w:left="6020"/>
        <w:spacing w:after="0" w:line="201" w:lineRule="auto"/>
        <w:rPr>
          <w:sz w:val="20"/>
          <w:szCs w:val="20"/>
          <w:color w:val="auto"/>
        </w:rPr>
      </w:pPr>
      <w:r>
        <w:rPr>
          <w:rFonts w:ascii="Arial" w:cs="Arial" w:eastAsia="Arial" w:hAnsi="Arial"/>
          <w:sz w:val="14"/>
          <w:szCs w:val="14"/>
          <w:b w:val="1"/>
          <w:bCs w:val="1"/>
          <w:color w:val="auto"/>
        </w:rPr>
        <w:t>President and</w:t>
      </w:r>
    </w:p>
    <w:p>
      <w:pPr>
        <w:jc w:val="center"/>
        <w:ind w:left="6020"/>
        <w:spacing w:after="0"/>
        <w:rPr>
          <w:sz w:val="20"/>
          <w:szCs w:val="20"/>
          <w:color w:val="auto"/>
        </w:rPr>
      </w:pPr>
      <w:r>
        <w:rPr>
          <w:rFonts w:ascii="Arial" w:cs="Arial" w:eastAsia="Arial" w:hAnsi="Arial"/>
          <w:sz w:val="14"/>
          <w:szCs w:val="14"/>
          <w:b w:val="1"/>
          <w:bCs w:val="1"/>
          <w:color w:val="auto"/>
        </w:rPr>
        <w:t>Chief Executive Officer (Principal Executive Officer)</w:t>
      </w:r>
    </w:p>
    <w:p>
      <w:pPr>
        <w:spacing w:after="0" w:line="20" w:lineRule="exact"/>
        <w:rPr>
          <w:sz w:val="20"/>
          <w:szCs w:val="20"/>
          <w:color w:val="auto"/>
        </w:rPr>
      </w:pPr>
    </w:p>
    <w:p>
      <w:pPr>
        <w:ind w:left="60"/>
        <w:spacing w:after="0"/>
        <w:tabs>
          <w:tab w:leader="none" w:pos="620" w:val="left"/>
        </w:tabs>
        <w:rPr>
          <w:sz w:val="20"/>
          <w:szCs w:val="20"/>
          <w:color w:val="auto"/>
        </w:rPr>
      </w:pPr>
      <w:r>
        <w:rPr>
          <w:rFonts w:ascii="Arial" w:cs="Arial" w:eastAsia="Arial" w:hAnsi="Arial"/>
          <w:sz w:val="18"/>
          <w:szCs w:val="18"/>
          <w:color w:val="auto"/>
        </w:rPr>
        <w:t>Date:</w:t>
        <w:tab/>
        <w:t>August 4, 2022</w:t>
      </w:r>
    </w:p>
    <w:p>
      <w:pPr>
        <w:spacing w:after="0" w:line="293" w:lineRule="exact"/>
        <w:rPr>
          <w:sz w:val="20"/>
          <w:szCs w:val="20"/>
          <w:color w:val="auto"/>
        </w:rPr>
      </w:pPr>
    </w:p>
    <w:p>
      <w:pPr>
        <w:ind w:left="5540"/>
        <w:spacing w:after="0"/>
        <w:tabs>
          <w:tab w:leader="none" w:pos="7820" w:val="left"/>
          <w:tab w:leader="none" w:pos="816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w:t>
      </w:r>
      <w:r>
        <w:rPr>
          <w:sz w:val="20"/>
          <w:szCs w:val="20"/>
          <w:color w:val="auto"/>
        </w:rPr>
        <w:tab/>
      </w:r>
      <w:r>
        <w:rPr>
          <w:rFonts w:ascii="Arial" w:cs="Arial" w:eastAsia="Arial" w:hAnsi="Arial"/>
          <w:sz w:val="17"/>
          <w:szCs w:val="17"/>
          <w:color w:val="auto"/>
        </w:rPr>
        <w:t>B</w:t>
      </w:r>
      <w:r>
        <w:rPr>
          <w:rFonts w:ascii="Arial" w:cs="Arial" w:eastAsia="Arial" w:hAnsi="Arial"/>
          <w:sz w:val="13"/>
          <w:szCs w:val="13"/>
          <w:color w:val="auto"/>
        </w:rPr>
        <w:t>ERNICE</w:t>
      </w:r>
      <w:r>
        <w:rPr>
          <w:rFonts w:ascii="Arial" w:cs="Arial" w:eastAsia="Arial" w:hAnsi="Arial"/>
          <w:sz w:val="17"/>
          <w:szCs w:val="17"/>
          <w:color w:val="auto"/>
        </w:rPr>
        <w:t xml:space="preserve"> E. B</w:t>
      </w:r>
      <w:r>
        <w:rPr>
          <w:rFonts w:ascii="Arial" w:cs="Arial" w:eastAsia="Arial" w:hAnsi="Arial"/>
          <w:sz w:val="13"/>
          <w:szCs w:val="13"/>
          <w:color w:val="auto"/>
        </w:rPr>
        <w:t>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3853815</wp:posOffset>
            </wp:positionH>
            <wp:positionV relativeFrom="paragraph">
              <wp:posOffset>14605</wp:posOffset>
            </wp:positionV>
            <wp:extent cx="3265805" cy="825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9">
                      <a:extLst>
                        <a:ext uri="{28A0092B-C50C-407E-A947-70E740481C1C}"/>
                      </a:extLst>
                    </a:blip>
                    <a:srcRect/>
                    <a:stretch>
                      <a:fillRect/>
                    </a:stretch>
                  </pic:blipFill>
                  <pic:spPr bwMode="auto">
                    <a:xfrm>
                      <a:off x="0" y="0"/>
                      <a:ext cx="3265805" cy="8255"/>
                    </a:xfrm>
                    <a:prstGeom prst="rect">
                      <a:avLst/>
                    </a:prstGeom>
                    <a:noFill/>
                  </pic:spPr>
                </pic:pic>
              </a:graphicData>
            </a:graphic>
          </wp:anchor>
        </w:drawing>
      </w:r>
    </w:p>
    <w:p>
      <w:pPr>
        <w:jc w:val="center"/>
        <w:ind w:left="6020"/>
        <w:spacing w:after="0"/>
        <w:rPr>
          <w:sz w:val="20"/>
          <w:szCs w:val="20"/>
          <w:color w:val="auto"/>
        </w:rPr>
      </w:pPr>
      <w:r>
        <w:rPr>
          <w:rFonts w:ascii="Arial" w:cs="Arial" w:eastAsia="Arial" w:hAnsi="Arial"/>
          <w:sz w:val="14"/>
          <w:szCs w:val="14"/>
          <w:b w:val="1"/>
          <w:bCs w:val="1"/>
          <w:color w:val="auto"/>
        </w:rPr>
        <w:t>Bernice E. Bell</w:t>
      </w:r>
    </w:p>
    <w:p>
      <w:pPr>
        <w:jc w:val="center"/>
        <w:ind w:left="5980"/>
        <w:spacing w:after="0" w:line="201" w:lineRule="auto"/>
        <w:rPr>
          <w:sz w:val="20"/>
          <w:szCs w:val="20"/>
          <w:color w:val="auto"/>
        </w:rPr>
      </w:pPr>
      <w:r>
        <w:rPr>
          <w:rFonts w:ascii="Arial" w:cs="Arial" w:eastAsia="Arial" w:hAnsi="Arial"/>
          <w:sz w:val="14"/>
          <w:szCs w:val="14"/>
          <w:b w:val="1"/>
          <w:bCs w:val="1"/>
          <w:color w:val="auto"/>
        </w:rPr>
        <w:t>Executive Vice President and</w:t>
      </w:r>
    </w:p>
    <w:p>
      <w:pPr>
        <w:jc w:val="center"/>
        <w:ind w:left="6020"/>
        <w:spacing w:after="0" w:line="201" w:lineRule="auto"/>
        <w:rPr>
          <w:sz w:val="20"/>
          <w:szCs w:val="20"/>
          <w:color w:val="auto"/>
        </w:rPr>
      </w:pPr>
      <w:r>
        <w:rPr>
          <w:rFonts w:ascii="Arial" w:cs="Arial" w:eastAsia="Arial" w:hAnsi="Arial"/>
          <w:sz w:val="14"/>
          <w:szCs w:val="14"/>
          <w:b w:val="1"/>
          <w:bCs w:val="1"/>
          <w:color w:val="auto"/>
        </w:rPr>
        <w:t>Chief Financial Officer (Principal Financial Officer and Principal Accounting</w:t>
      </w:r>
    </w:p>
    <w:p>
      <w:pPr>
        <w:jc w:val="center"/>
        <w:ind w:left="6020"/>
        <w:spacing w:after="0"/>
        <w:rPr>
          <w:sz w:val="20"/>
          <w:szCs w:val="20"/>
          <w:color w:val="auto"/>
        </w:rPr>
      </w:pPr>
      <w:r>
        <w:rPr>
          <w:rFonts w:ascii="Arial" w:cs="Arial" w:eastAsia="Arial" w:hAnsi="Arial"/>
          <w:sz w:val="14"/>
          <w:szCs w:val="14"/>
          <w:b w:val="1"/>
          <w:bCs w:val="1"/>
          <w:color w:val="auto"/>
        </w:rPr>
        <w:t>Officer)</w:t>
      </w:r>
    </w:p>
    <w:p>
      <w:pPr>
        <w:spacing w:after="0" w:line="20" w:lineRule="exact"/>
        <w:rPr>
          <w:sz w:val="20"/>
          <w:szCs w:val="20"/>
          <w:color w:val="auto"/>
        </w:rPr>
      </w:pPr>
    </w:p>
    <w:p>
      <w:pPr>
        <w:ind w:left="60"/>
        <w:spacing w:after="0"/>
        <w:tabs>
          <w:tab w:leader="none" w:pos="620" w:val="left"/>
        </w:tabs>
        <w:rPr>
          <w:sz w:val="20"/>
          <w:szCs w:val="20"/>
          <w:color w:val="auto"/>
        </w:rPr>
      </w:pPr>
      <w:r>
        <w:rPr>
          <w:rFonts w:ascii="Arial" w:cs="Arial" w:eastAsia="Arial" w:hAnsi="Arial"/>
          <w:sz w:val="18"/>
          <w:szCs w:val="18"/>
          <w:color w:val="auto"/>
        </w:rPr>
        <w:t>Date:</w:t>
        <w:tab/>
        <w:t>August 4, 2022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1180"/>
          </w:cols>
          <w:pgMar w:left="320" w:top="891" w:right="399" w:bottom="1440" w:gutter="0" w:footer="0" w:header="0"/>
        </w:sectPr>
      </w:pPr>
    </w:p>
    <w:bookmarkStart w:id="51" w:name="page52"/>
    <w:bookmarkEnd w:id="51"/>
    <w:p>
      <w:pPr>
        <w:jc w:val="right"/>
        <w:spacing w:after="0"/>
        <w:rPr>
          <w:sz w:val="20"/>
          <w:szCs w:val="20"/>
          <w:color w:val="auto"/>
        </w:rPr>
      </w:pPr>
      <w:r>
        <w:rPr>
          <w:rFonts w:ascii="Arial" w:cs="Arial" w:eastAsia="Arial" w:hAnsi="Arial"/>
          <w:sz w:val="18"/>
          <w:szCs w:val="18"/>
          <w:color w:val="auto"/>
        </w:rPr>
        <w:t>Exhibit 31.1</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AGNC Investment Corp.</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302(a)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Sarbanes-Oxley Act of 2002</w:t>
      </w: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color w:val="auto"/>
        </w:rPr>
        <w:t>I, Peter J. Federico, certify that:</w:t>
      </w:r>
    </w:p>
    <w:p>
      <w:pPr>
        <w:spacing w:after="0" w:line="158" w:lineRule="exact"/>
        <w:rPr>
          <w:sz w:val="20"/>
          <w:szCs w:val="20"/>
          <w:color w:val="auto"/>
        </w:rPr>
      </w:pPr>
    </w:p>
    <w:p>
      <w:pPr>
        <w:ind w:left="760" w:hanging="307"/>
        <w:spacing w:after="0"/>
        <w:tabs>
          <w:tab w:leader="none" w:pos="760" w:val="left"/>
        </w:tabs>
        <w:numPr>
          <w:ilvl w:val="0"/>
          <w:numId w:val="42"/>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AGNC Investment Corp.;</w:t>
      </w:r>
    </w:p>
    <w:p>
      <w:pPr>
        <w:spacing w:after="0" w:line="157" w:lineRule="exact"/>
        <w:rPr>
          <w:rFonts w:ascii="Arial" w:cs="Arial" w:eastAsia="Arial" w:hAnsi="Arial"/>
          <w:sz w:val="18"/>
          <w:szCs w:val="18"/>
          <w:color w:val="auto"/>
        </w:rPr>
      </w:pPr>
    </w:p>
    <w:p>
      <w:pPr>
        <w:ind w:left="860" w:hanging="407"/>
        <w:spacing w:after="0" w:line="263" w:lineRule="auto"/>
        <w:tabs>
          <w:tab w:leader="none" w:pos="770" w:val="left"/>
        </w:tabs>
        <w:numPr>
          <w:ilvl w:val="0"/>
          <w:numId w:val="42"/>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16" w:lineRule="exact"/>
        <w:rPr>
          <w:rFonts w:ascii="Arial" w:cs="Arial" w:eastAsia="Arial" w:hAnsi="Arial"/>
          <w:sz w:val="18"/>
          <w:szCs w:val="18"/>
          <w:color w:val="auto"/>
        </w:rPr>
      </w:pPr>
    </w:p>
    <w:p>
      <w:pPr>
        <w:ind w:left="860" w:hanging="407"/>
        <w:spacing w:after="0" w:line="308" w:lineRule="auto"/>
        <w:tabs>
          <w:tab w:leader="none" w:pos="808" w:val="left"/>
        </w:tabs>
        <w:numPr>
          <w:ilvl w:val="0"/>
          <w:numId w:val="42"/>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78" w:lineRule="exact"/>
        <w:rPr>
          <w:rFonts w:ascii="Arial" w:cs="Arial" w:eastAsia="Arial" w:hAnsi="Arial"/>
          <w:sz w:val="17"/>
          <w:szCs w:val="17"/>
          <w:color w:val="auto"/>
        </w:rPr>
      </w:pPr>
    </w:p>
    <w:p>
      <w:pPr>
        <w:jc w:val="both"/>
        <w:ind w:left="860" w:hanging="407"/>
        <w:spacing w:after="0" w:line="291" w:lineRule="auto"/>
        <w:tabs>
          <w:tab w:leader="none" w:pos="804" w:val="left"/>
        </w:tabs>
        <w:numPr>
          <w:ilvl w:val="0"/>
          <w:numId w:val="42"/>
        </w:numPr>
        <w:rPr>
          <w:rFonts w:ascii="Arial" w:cs="Arial" w:eastAsia="Arial" w:hAnsi="Arial"/>
          <w:sz w:val="16"/>
          <w:szCs w:val="16"/>
          <w:color w:val="auto"/>
        </w:rPr>
      </w:pPr>
      <w:r>
        <w:rPr>
          <w:rFonts w:ascii="Arial" w:cs="Arial" w:eastAsia="Arial" w:hAnsi="Arial"/>
          <w:sz w:val="16"/>
          <w:szCs w:val="16"/>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w:t>
      </w:r>
    </w:p>
    <w:p>
      <w:pPr>
        <w:ind w:left="860"/>
        <w:spacing w:after="0"/>
        <w:rPr>
          <w:rFonts w:ascii="Arial" w:cs="Arial" w:eastAsia="Arial" w:hAnsi="Arial"/>
          <w:sz w:val="16"/>
          <w:szCs w:val="16"/>
          <w:color w:val="auto"/>
        </w:rPr>
      </w:pPr>
      <w:r>
        <w:rPr>
          <w:rFonts w:ascii="Arial" w:cs="Arial" w:eastAsia="Arial" w:hAnsi="Arial"/>
          <w:sz w:val="18"/>
          <w:szCs w:val="18"/>
          <w:color w:val="auto"/>
        </w:rPr>
        <w:t>15d-15(f)) for the registrant and have:</w:t>
      </w:r>
    </w:p>
    <w:p>
      <w:pPr>
        <w:spacing w:after="0" w:line="143" w:lineRule="exact"/>
        <w:rPr>
          <w:rFonts w:ascii="Arial" w:cs="Arial" w:eastAsia="Arial" w:hAnsi="Arial"/>
          <w:sz w:val="16"/>
          <w:szCs w:val="16"/>
          <w:color w:val="auto"/>
        </w:rPr>
      </w:pPr>
    </w:p>
    <w:p>
      <w:pPr>
        <w:jc w:val="both"/>
        <w:ind w:left="1420" w:hanging="400"/>
        <w:spacing w:after="0" w:line="263" w:lineRule="auto"/>
        <w:tabs>
          <w:tab w:leader="none" w:pos="1534" w:val="left"/>
        </w:tabs>
        <w:numPr>
          <w:ilvl w:val="1"/>
          <w:numId w:val="42"/>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16" w:lineRule="exact"/>
        <w:rPr>
          <w:rFonts w:ascii="Arial" w:cs="Arial" w:eastAsia="Arial" w:hAnsi="Arial"/>
          <w:sz w:val="18"/>
          <w:szCs w:val="18"/>
          <w:color w:val="auto"/>
        </w:rPr>
      </w:pPr>
    </w:p>
    <w:p>
      <w:pPr>
        <w:jc w:val="both"/>
        <w:ind w:left="1420" w:hanging="400"/>
        <w:spacing w:after="0" w:line="263" w:lineRule="auto"/>
        <w:tabs>
          <w:tab w:leader="none" w:pos="1407" w:val="left"/>
        </w:tabs>
        <w:numPr>
          <w:ilvl w:val="1"/>
          <w:numId w:val="42"/>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16" w:lineRule="exact"/>
        <w:rPr>
          <w:rFonts w:ascii="Arial" w:cs="Arial" w:eastAsia="Arial" w:hAnsi="Arial"/>
          <w:sz w:val="18"/>
          <w:szCs w:val="18"/>
          <w:color w:val="auto"/>
        </w:rPr>
      </w:pPr>
    </w:p>
    <w:p>
      <w:pPr>
        <w:ind w:left="1420" w:hanging="400"/>
        <w:spacing w:after="0" w:line="342" w:lineRule="auto"/>
        <w:tabs>
          <w:tab w:leader="none" w:pos="1422" w:val="left"/>
        </w:tabs>
        <w:numPr>
          <w:ilvl w:val="1"/>
          <w:numId w:val="42"/>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56" w:lineRule="exact"/>
        <w:rPr>
          <w:rFonts w:ascii="Arial" w:cs="Arial" w:eastAsia="Arial" w:hAnsi="Arial"/>
          <w:sz w:val="16"/>
          <w:szCs w:val="16"/>
          <w:color w:val="auto"/>
        </w:rPr>
      </w:pPr>
    </w:p>
    <w:p>
      <w:pPr>
        <w:jc w:val="both"/>
        <w:ind w:left="1420" w:hanging="400"/>
        <w:spacing w:after="0" w:line="263" w:lineRule="auto"/>
        <w:tabs>
          <w:tab w:leader="none" w:pos="1428" w:val="left"/>
        </w:tabs>
        <w:numPr>
          <w:ilvl w:val="1"/>
          <w:numId w:val="42"/>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16" w:lineRule="exact"/>
        <w:rPr>
          <w:rFonts w:ascii="Arial" w:cs="Arial" w:eastAsia="Arial" w:hAnsi="Arial"/>
          <w:sz w:val="18"/>
          <w:szCs w:val="18"/>
          <w:color w:val="auto"/>
        </w:rPr>
      </w:pPr>
    </w:p>
    <w:p>
      <w:pPr>
        <w:ind w:left="860" w:hanging="407"/>
        <w:spacing w:after="0" w:line="277" w:lineRule="auto"/>
        <w:tabs>
          <w:tab w:leader="none" w:pos="795"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w:t>
      </w:r>
    </w:p>
    <w:p>
      <w:pPr>
        <w:spacing w:after="0" w:line="102" w:lineRule="exact"/>
        <w:rPr>
          <w:rFonts w:ascii="Arial" w:cs="Arial" w:eastAsia="Arial" w:hAnsi="Arial"/>
          <w:sz w:val="18"/>
          <w:szCs w:val="18"/>
          <w:color w:val="auto"/>
        </w:rPr>
      </w:pPr>
    </w:p>
    <w:p>
      <w:pPr>
        <w:ind w:left="1420" w:hanging="400"/>
        <w:spacing w:after="0" w:line="308" w:lineRule="auto"/>
        <w:tabs>
          <w:tab w:leader="none" w:pos="1451" w:val="left"/>
        </w:tabs>
        <w:numPr>
          <w:ilvl w:val="1"/>
          <w:numId w:val="42"/>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78" w:lineRule="exact"/>
        <w:rPr>
          <w:rFonts w:ascii="Arial" w:cs="Arial" w:eastAsia="Arial" w:hAnsi="Arial"/>
          <w:sz w:val="17"/>
          <w:szCs w:val="17"/>
          <w:color w:val="auto"/>
        </w:rPr>
      </w:pPr>
    </w:p>
    <w:p>
      <w:pPr>
        <w:ind w:left="1420" w:right="20" w:hanging="400"/>
        <w:spacing w:after="0" w:line="277" w:lineRule="auto"/>
        <w:tabs>
          <w:tab w:leader="none" w:pos="1404" w:val="left"/>
        </w:tabs>
        <w:numPr>
          <w:ilvl w:val="1"/>
          <w:numId w:val="42"/>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54" w:lineRule="exact"/>
        <w:rPr>
          <w:sz w:val="20"/>
          <w:szCs w:val="20"/>
          <w:color w:val="auto"/>
        </w:rPr>
      </w:pPr>
    </w:p>
    <w:p>
      <w:pPr>
        <w:ind w:left="20"/>
        <w:spacing w:after="0"/>
        <w:tabs>
          <w:tab w:leader="none" w:pos="600" w:val="left"/>
        </w:tabs>
        <w:rPr>
          <w:sz w:val="20"/>
          <w:szCs w:val="20"/>
          <w:color w:val="auto"/>
        </w:rPr>
      </w:pPr>
      <w:r>
        <w:rPr>
          <w:rFonts w:ascii="Arial" w:cs="Arial" w:eastAsia="Arial" w:hAnsi="Arial"/>
          <w:sz w:val="18"/>
          <w:szCs w:val="18"/>
          <w:color w:val="auto"/>
        </w:rPr>
        <w:t>Date:</w:t>
        <w:tab/>
        <w:t>August 4, 2022</w:t>
      </w:r>
    </w:p>
    <w:p>
      <w:pPr>
        <w:spacing w:after="0" w:line="212" w:lineRule="exact"/>
        <w:rPr>
          <w:sz w:val="20"/>
          <w:szCs w:val="20"/>
          <w:color w:val="auto"/>
        </w:rPr>
      </w:pPr>
    </w:p>
    <w:p>
      <w:pPr>
        <w:ind w:left="620"/>
        <w:spacing w:after="0"/>
        <w:tabs>
          <w:tab w:leader="none" w:pos="94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7"/>
          <w:szCs w:val="17"/>
          <w:color w:val="auto"/>
        </w:rPr>
        <w:t>P</w:t>
      </w:r>
      <w:r>
        <w:rPr>
          <w:rFonts w:ascii="Arial" w:cs="Arial" w:eastAsia="Arial" w:hAnsi="Arial"/>
          <w:sz w:val="13"/>
          <w:szCs w:val="13"/>
          <w:color w:val="auto"/>
        </w:rPr>
        <w:t>ETER</w:t>
      </w:r>
      <w:r>
        <w:rPr>
          <w:rFonts w:ascii="Arial" w:cs="Arial" w:eastAsia="Arial" w:hAnsi="Arial"/>
          <w:sz w:val="17"/>
          <w:szCs w:val="17"/>
          <w:color w:val="auto"/>
        </w:rPr>
        <w:t xml:space="preserve"> J. F</w:t>
      </w:r>
      <w:r>
        <w:rPr>
          <w:rFonts w:ascii="Arial" w:cs="Arial" w:eastAsia="Arial" w:hAnsi="Arial"/>
          <w:sz w:val="13"/>
          <w:szCs w:val="13"/>
          <w:color w:val="auto"/>
        </w:rPr>
        <w:t>EDERICO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382270</wp:posOffset>
            </wp:positionH>
            <wp:positionV relativeFrom="paragraph">
              <wp:posOffset>14605</wp:posOffset>
            </wp:positionV>
            <wp:extent cx="2348865" cy="82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0">
                      <a:extLst>
                        <a:ext uri="{28A0092B-C50C-407E-A947-70E740481C1C}"/>
                      </a:extLst>
                    </a:blip>
                    <a:srcRect/>
                    <a:stretch>
                      <a:fillRect/>
                    </a:stretch>
                  </pic:blipFill>
                  <pic:spPr bwMode="auto">
                    <a:xfrm>
                      <a:off x="0" y="0"/>
                      <a:ext cx="2348865" cy="8255"/>
                    </a:xfrm>
                    <a:prstGeom prst="rect">
                      <a:avLst/>
                    </a:prstGeom>
                    <a:noFill/>
                  </pic:spPr>
                </pic:pic>
              </a:graphicData>
            </a:graphic>
          </wp:anchor>
        </w:drawing>
      </w:r>
    </w:p>
    <w:p>
      <w:pPr>
        <w:spacing w:after="0" w:line="16" w:lineRule="exact"/>
        <w:rPr>
          <w:sz w:val="20"/>
          <w:szCs w:val="20"/>
          <w:color w:val="auto"/>
        </w:rPr>
      </w:pPr>
    </w:p>
    <w:p>
      <w:pPr>
        <w:ind w:left="620"/>
        <w:spacing w:after="0"/>
        <w:rPr>
          <w:sz w:val="20"/>
          <w:szCs w:val="20"/>
          <w:color w:val="auto"/>
        </w:rPr>
      </w:pPr>
      <w:r>
        <w:rPr>
          <w:rFonts w:ascii="Arial" w:cs="Arial" w:eastAsia="Arial" w:hAnsi="Arial"/>
          <w:sz w:val="18"/>
          <w:szCs w:val="18"/>
          <w:color w:val="auto"/>
        </w:rPr>
        <w:t>Peter J. Federico</w:t>
      </w:r>
    </w:p>
    <w:p>
      <w:pPr>
        <w:spacing w:after="0" w:line="7" w:lineRule="exact"/>
        <w:rPr>
          <w:sz w:val="20"/>
          <w:szCs w:val="20"/>
          <w:color w:val="auto"/>
        </w:rPr>
      </w:pPr>
    </w:p>
    <w:p>
      <w:pPr>
        <w:ind w:left="620"/>
        <w:spacing w:after="0"/>
        <w:rPr>
          <w:sz w:val="20"/>
          <w:szCs w:val="20"/>
          <w:color w:val="auto"/>
        </w:rPr>
      </w:pPr>
      <w:r>
        <w:rPr>
          <w:rFonts w:ascii="Arial" w:cs="Arial" w:eastAsia="Arial" w:hAnsi="Arial"/>
          <w:sz w:val="18"/>
          <w:szCs w:val="18"/>
          <w:color w:val="auto"/>
        </w:rPr>
        <w:t>President and Chief Executive Officer (Principal</w:t>
      </w:r>
    </w:p>
    <w:p>
      <w:pPr>
        <w:ind w:left="620"/>
        <w:spacing w:after="0"/>
        <w:rPr>
          <w:sz w:val="20"/>
          <w:szCs w:val="20"/>
          <w:color w:val="auto"/>
        </w:rPr>
      </w:pPr>
      <w:r>
        <w:rPr>
          <w:rFonts w:ascii="Arial" w:cs="Arial" w:eastAsia="Arial" w:hAnsi="Arial"/>
          <w:sz w:val="18"/>
          <w:szCs w:val="18"/>
          <w:color w:val="auto"/>
        </w:rPr>
        <w:t>Executive Officer)</w:t>
      </w:r>
    </w:p>
    <w:p>
      <w:pPr>
        <w:sectPr>
          <w:pgSz w:w="11900" w:h="16838" w:orient="portrait"/>
          <w:cols w:equalWidth="0" w:num="1">
            <w:col w:w="11240"/>
          </w:cols>
          <w:pgMar w:left="320" w:top="895" w:right="339" w:bottom="1440" w:gutter="0" w:footer="0" w:header="0"/>
        </w:sectPr>
      </w:pPr>
    </w:p>
    <w:bookmarkStart w:id="52" w:name="page53"/>
    <w:bookmarkEnd w:id="52"/>
    <w:p>
      <w:pPr>
        <w:jc w:val="right"/>
        <w:spacing w:after="0"/>
        <w:rPr>
          <w:sz w:val="20"/>
          <w:szCs w:val="20"/>
          <w:color w:val="auto"/>
        </w:rPr>
      </w:pPr>
      <w:r>
        <w:rPr>
          <w:rFonts w:ascii="Arial" w:cs="Arial" w:eastAsia="Arial" w:hAnsi="Arial"/>
          <w:sz w:val="18"/>
          <w:szCs w:val="18"/>
          <w:color w:val="auto"/>
        </w:rPr>
        <w:t>Exhibit 31.2</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AGNC Investment Corp.</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302(a)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Sarbanes-Oxley Act of 2002</w:t>
      </w:r>
    </w:p>
    <w:p>
      <w:pPr>
        <w:spacing w:after="0" w:line="200" w:lineRule="exact"/>
        <w:rPr>
          <w:sz w:val="20"/>
          <w:szCs w:val="20"/>
          <w:color w:val="auto"/>
        </w:rPr>
      </w:pPr>
    </w:p>
    <w:p>
      <w:pPr>
        <w:spacing w:after="0" w:line="281" w:lineRule="exact"/>
        <w:rPr>
          <w:sz w:val="20"/>
          <w:szCs w:val="20"/>
          <w:color w:val="auto"/>
        </w:rPr>
      </w:pPr>
    </w:p>
    <w:p>
      <w:pPr>
        <w:spacing w:after="0"/>
        <w:rPr>
          <w:sz w:val="20"/>
          <w:szCs w:val="20"/>
          <w:color w:val="auto"/>
        </w:rPr>
      </w:pPr>
      <w:r>
        <w:rPr>
          <w:rFonts w:ascii="Arial" w:cs="Arial" w:eastAsia="Arial" w:hAnsi="Arial"/>
          <w:sz w:val="18"/>
          <w:szCs w:val="18"/>
          <w:color w:val="auto"/>
        </w:rPr>
        <w:t>I, Bernice E. Bell, certify that:</w:t>
      </w:r>
    </w:p>
    <w:p>
      <w:pPr>
        <w:spacing w:after="0" w:line="158" w:lineRule="exact"/>
        <w:rPr>
          <w:sz w:val="20"/>
          <w:szCs w:val="20"/>
          <w:color w:val="auto"/>
        </w:rPr>
      </w:pPr>
    </w:p>
    <w:p>
      <w:pPr>
        <w:ind w:left="760" w:hanging="307"/>
        <w:spacing w:after="0"/>
        <w:tabs>
          <w:tab w:leader="none" w:pos="760" w:val="left"/>
        </w:tabs>
        <w:numPr>
          <w:ilvl w:val="0"/>
          <w:numId w:val="43"/>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AGNC Investment Corp;</w:t>
      </w:r>
    </w:p>
    <w:p>
      <w:pPr>
        <w:spacing w:after="0" w:line="157" w:lineRule="exact"/>
        <w:rPr>
          <w:rFonts w:ascii="Arial" w:cs="Arial" w:eastAsia="Arial" w:hAnsi="Arial"/>
          <w:sz w:val="18"/>
          <w:szCs w:val="18"/>
          <w:color w:val="auto"/>
        </w:rPr>
      </w:pPr>
    </w:p>
    <w:p>
      <w:pPr>
        <w:ind w:left="860" w:hanging="407"/>
        <w:spacing w:after="0" w:line="263" w:lineRule="auto"/>
        <w:tabs>
          <w:tab w:leader="none" w:pos="770" w:val="left"/>
        </w:tabs>
        <w:numPr>
          <w:ilvl w:val="0"/>
          <w:numId w:val="43"/>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16" w:lineRule="exact"/>
        <w:rPr>
          <w:rFonts w:ascii="Arial" w:cs="Arial" w:eastAsia="Arial" w:hAnsi="Arial"/>
          <w:sz w:val="18"/>
          <w:szCs w:val="18"/>
          <w:color w:val="auto"/>
        </w:rPr>
      </w:pPr>
    </w:p>
    <w:p>
      <w:pPr>
        <w:ind w:left="860" w:hanging="407"/>
        <w:spacing w:after="0" w:line="308" w:lineRule="auto"/>
        <w:tabs>
          <w:tab w:leader="none" w:pos="808" w:val="left"/>
        </w:tabs>
        <w:numPr>
          <w:ilvl w:val="0"/>
          <w:numId w:val="43"/>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78" w:lineRule="exact"/>
        <w:rPr>
          <w:rFonts w:ascii="Arial" w:cs="Arial" w:eastAsia="Arial" w:hAnsi="Arial"/>
          <w:sz w:val="17"/>
          <w:szCs w:val="17"/>
          <w:color w:val="auto"/>
        </w:rPr>
      </w:pPr>
    </w:p>
    <w:p>
      <w:pPr>
        <w:jc w:val="both"/>
        <w:ind w:left="860" w:hanging="407"/>
        <w:spacing w:after="0" w:line="291" w:lineRule="auto"/>
        <w:tabs>
          <w:tab w:leader="none" w:pos="804" w:val="left"/>
        </w:tabs>
        <w:numPr>
          <w:ilvl w:val="0"/>
          <w:numId w:val="43"/>
        </w:numPr>
        <w:rPr>
          <w:rFonts w:ascii="Arial" w:cs="Arial" w:eastAsia="Arial" w:hAnsi="Arial"/>
          <w:sz w:val="16"/>
          <w:szCs w:val="16"/>
          <w:color w:val="auto"/>
        </w:rPr>
      </w:pPr>
      <w:r>
        <w:rPr>
          <w:rFonts w:ascii="Arial" w:cs="Arial" w:eastAsia="Arial" w:hAnsi="Arial"/>
          <w:sz w:val="16"/>
          <w:szCs w:val="16"/>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w:t>
      </w:r>
    </w:p>
    <w:p>
      <w:pPr>
        <w:ind w:left="860"/>
        <w:spacing w:after="0"/>
        <w:rPr>
          <w:rFonts w:ascii="Arial" w:cs="Arial" w:eastAsia="Arial" w:hAnsi="Arial"/>
          <w:sz w:val="16"/>
          <w:szCs w:val="16"/>
          <w:color w:val="auto"/>
        </w:rPr>
      </w:pPr>
      <w:r>
        <w:rPr>
          <w:rFonts w:ascii="Arial" w:cs="Arial" w:eastAsia="Arial" w:hAnsi="Arial"/>
          <w:sz w:val="18"/>
          <w:szCs w:val="18"/>
          <w:color w:val="auto"/>
        </w:rPr>
        <w:t>15d-15(f)) for the registrant and have:</w:t>
      </w:r>
    </w:p>
    <w:p>
      <w:pPr>
        <w:spacing w:after="0" w:line="143" w:lineRule="exact"/>
        <w:rPr>
          <w:rFonts w:ascii="Arial" w:cs="Arial" w:eastAsia="Arial" w:hAnsi="Arial"/>
          <w:sz w:val="16"/>
          <w:szCs w:val="16"/>
          <w:color w:val="auto"/>
        </w:rPr>
      </w:pPr>
    </w:p>
    <w:p>
      <w:pPr>
        <w:jc w:val="both"/>
        <w:ind w:left="1420" w:hanging="400"/>
        <w:spacing w:after="0" w:line="263" w:lineRule="auto"/>
        <w:tabs>
          <w:tab w:leader="none" w:pos="1534" w:val="left"/>
        </w:tabs>
        <w:numPr>
          <w:ilvl w:val="1"/>
          <w:numId w:val="43"/>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entitles, particularly during the period in which this report is being prepared;</w:t>
      </w:r>
    </w:p>
    <w:p>
      <w:pPr>
        <w:spacing w:after="0" w:line="116" w:lineRule="exact"/>
        <w:rPr>
          <w:rFonts w:ascii="Arial" w:cs="Arial" w:eastAsia="Arial" w:hAnsi="Arial"/>
          <w:sz w:val="18"/>
          <w:szCs w:val="18"/>
          <w:color w:val="auto"/>
        </w:rPr>
      </w:pPr>
    </w:p>
    <w:p>
      <w:pPr>
        <w:jc w:val="both"/>
        <w:ind w:left="1420" w:hanging="400"/>
        <w:spacing w:after="0" w:line="263" w:lineRule="auto"/>
        <w:tabs>
          <w:tab w:leader="none" w:pos="1407" w:val="left"/>
        </w:tabs>
        <w:numPr>
          <w:ilvl w:val="1"/>
          <w:numId w:val="43"/>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16" w:lineRule="exact"/>
        <w:rPr>
          <w:rFonts w:ascii="Arial" w:cs="Arial" w:eastAsia="Arial" w:hAnsi="Arial"/>
          <w:sz w:val="18"/>
          <w:szCs w:val="18"/>
          <w:color w:val="auto"/>
        </w:rPr>
      </w:pPr>
    </w:p>
    <w:p>
      <w:pPr>
        <w:ind w:left="1420" w:hanging="400"/>
        <w:spacing w:after="0" w:line="342" w:lineRule="auto"/>
        <w:tabs>
          <w:tab w:leader="none" w:pos="1422" w:val="left"/>
        </w:tabs>
        <w:numPr>
          <w:ilvl w:val="1"/>
          <w:numId w:val="43"/>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56" w:lineRule="exact"/>
        <w:rPr>
          <w:rFonts w:ascii="Arial" w:cs="Arial" w:eastAsia="Arial" w:hAnsi="Arial"/>
          <w:sz w:val="16"/>
          <w:szCs w:val="16"/>
          <w:color w:val="auto"/>
        </w:rPr>
      </w:pPr>
    </w:p>
    <w:p>
      <w:pPr>
        <w:jc w:val="both"/>
        <w:ind w:left="1420" w:hanging="400"/>
        <w:spacing w:after="0" w:line="263" w:lineRule="auto"/>
        <w:tabs>
          <w:tab w:leader="none" w:pos="1428" w:val="left"/>
        </w:tabs>
        <w:numPr>
          <w:ilvl w:val="1"/>
          <w:numId w:val="43"/>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16" w:lineRule="exact"/>
        <w:rPr>
          <w:rFonts w:ascii="Arial" w:cs="Arial" w:eastAsia="Arial" w:hAnsi="Arial"/>
          <w:sz w:val="18"/>
          <w:szCs w:val="18"/>
          <w:color w:val="auto"/>
        </w:rPr>
      </w:pPr>
    </w:p>
    <w:p>
      <w:pPr>
        <w:ind w:left="860" w:hanging="407"/>
        <w:spacing w:after="0" w:line="277" w:lineRule="auto"/>
        <w:tabs>
          <w:tab w:leader="none" w:pos="795" w:val="left"/>
        </w:tabs>
        <w:numPr>
          <w:ilvl w:val="0"/>
          <w:numId w:val="43"/>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w:t>
      </w:r>
    </w:p>
    <w:p>
      <w:pPr>
        <w:spacing w:after="0" w:line="102" w:lineRule="exact"/>
        <w:rPr>
          <w:rFonts w:ascii="Arial" w:cs="Arial" w:eastAsia="Arial" w:hAnsi="Arial"/>
          <w:sz w:val="18"/>
          <w:szCs w:val="18"/>
          <w:color w:val="auto"/>
        </w:rPr>
      </w:pPr>
    </w:p>
    <w:p>
      <w:pPr>
        <w:ind w:left="1420" w:hanging="400"/>
        <w:spacing w:after="0" w:line="308" w:lineRule="auto"/>
        <w:tabs>
          <w:tab w:leader="none" w:pos="1478" w:val="left"/>
        </w:tabs>
        <w:numPr>
          <w:ilvl w:val="1"/>
          <w:numId w:val="43"/>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 in the design or operation of internal control over financial reporting which are reasonably likely to adversely affect the registrant's ability to record, process, summarize and report financial information; and</w:t>
      </w:r>
    </w:p>
    <w:p>
      <w:pPr>
        <w:spacing w:after="0" w:line="78" w:lineRule="exact"/>
        <w:rPr>
          <w:rFonts w:ascii="Arial" w:cs="Arial" w:eastAsia="Arial" w:hAnsi="Arial"/>
          <w:sz w:val="17"/>
          <w:szCs w:val="17"/>
          <w:color w:val="auto"/>
        </w:rPr>
      </w:pPr>
    </w:p>
    <w:p>
      <w:pPr>
        <w:ind w:left="1420" w:right="20" w:hanging="400"/>
        <w:spacing w:after="0" w:line="277" w:lineRule="auto"/>
        <w:tabs>
          <w:tab w:leader="none" w:pos="1404" w:val="left"/>
        </w:tabs>
        <w:numPr>
          <w:ilvl w:val="1"/>
          <w:numId w:val="43"/>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38" w:lineRule="exact"/>
        <w:rPr>
          <w:sz w:val="20"/>
          <w:szCs w:val="20"/>
          <w:color w:val="auto"/>
        </w:rPr>
      </w:pPr>
    </w:p>
    <w:p>
      <w:pPr>
        <w:ind w:left="20"/>
        <w:spacing w:after="0"/>
        <w:tabs>
          <w:tab w:leader="none" w:pos="600" w:val="left"/>
        </w:tabs>
        <w:rPr>
          <w:sz w:val="20"/>
          <w:szCs w:val="20"/>
          <w:color w:val="auto"/>
        </w:rPr>
      </w:pPr>
      <w:r>
        <w:rPr>
          <w:rFonts w:ascii="Arial" w:cs="Arial" w:eastAsia="Arial" w:hAnsi="Arial"/>
          <w:sz w:val="18"/>
          <w:szCs w:val="18"/>
          <w:color w:val="auto"/>
        </w:rPr>
        <w:t>Date:</w:t>
        <w:tab/>
        <w:t>August 4, 2022</w:t>
      </w:r>
    </w:p>
    <w:p>
      <w:pPr>
        <w:spacing w:after="0" w:line="212" w:lineRule="exact"/>
        <w:rPr>
          <w:sz w:val="20"/>
          <w:szCs w:val="20"/>
          <w:color w:val="auto"/>
        </w:rPr>
      </w:pPr>
    </w:p>
    <w:p>
      <w:pPr>
        <w:ind w:left="620"/>
        <w:spacing w:after="0"/>
        <w:tabs>
          <w:tab w:leader="none" w:pos="94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7"/>
          <w:szCs w:val="17"/>
          <w:color w:val="auto"/>
        </w:rPr>
        <w:t>B</w:t>
      </w:r>
      <w:r>
        <w:rPr>
          <w:rFonts w:ascii="Arial" w:cs="Arial" w:eastAsia="Arial" w:hAnsi="Arial"/>
          <w:sz w:val="13"/>
          <w:szCs w:val="13"/>
          <w:color w:val="auto"/>
        </w:rPr>
        <w:t>ERNICE</w:t>
      </w:r>
      <w:r>
        <w:rPr>
          <w:rFonts w:ascii="Arial" w:cs="Arial" w:eastAsia="Arial" w:hAnsi="Arial"/>
          <w:sz w:val="17"/>
          <w:szCs w:val="17"/>
          <w:color w:val="auto"/>
        </w:rPr>
        <w:t xml:space="preserve"> E. B</w:t>
      </w:r>
      <w:r>
        <w:rPr>
          <w:rFonts w:ascii="Arial" w:cs="Arial" w:eastAsia="Arial" w:hAnsi="Arial"/>
          <w:sz w:val="13"/>
          <w:szCs w:val="13"/>
          <w:color w:val="auto"/>
        </w:rPr>
        <w:t>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382270</wp:posOffset>
            </wp:positionH>
            <wp:positionV relativeFrom="paragraph">
              <wp:posOffset>14605</wp:posOffset>
            </wp:positionV>
            <wp:extent cx="2348865" cy="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1">
                      <a:extLst>
                        <a:ext uri="{28A0092B-C50C-407E-A947-70E740481C1C}"/>
                      </a:extLst>
                    </a:blip>
                    <a:srcRect/>
                    <a:stretch>
                      <a:fillRect/>
                    </a:stretch>
                  </pic:blipFill>
                  <pic:spPr bwMode="auto">
                    <a:xfrm>
                      <a:off x="0" y="0"/>
                      <a:ext cx="2348865" cy="8890"/>
                    </a:xfrm>
                    <a:prstGeom prst="rect">
                      <a:avLst/>
                    </a:prstGeom>
                    <a:noFill/>
                  </pic:spPr>
                </pic:pic>
              </a:graphicData>
            </a:graphic>
          </wp:anchor>
        </w:drawing>
      </w:r>
    </w:p>
    <w:p>
      <w:pPr>
        <w:spacing w:after="0" w:line="16" w:lineRule="exact"/>
        <w:rPr>
          <w:sz w:val="20"/>
          <w:szCs w:val="20"/>
          <w:color w:val="auto"/>
        </w:rPr>
      </w:pPr>
    </w:p>
    <w:p>
      <w:pPr>
        <w:ind w:left="620"/>
        <w:spacing w:after="0"/>
        <w:rPr>
          <w:sz w:val="20"/>
          <w:szCs w:val="20"/>
          <w:color w:val="auto"/>
        </w:rPr>
      </w:pPr>
      <w:r>
        <w:rPr>
          <w:rFonts w:ascii="Arial" w:cs="Arial" w:eastAsia="Arial" w:hAnsi="Arial"/>
          <w:sz w:val="18"/>
          <w:szCs w:val="18"/>
          <w:color w:val="auto"/>
        </w:rPr>
        <w:t>Bernice E. Bell</w:t>
      </w:r>
    </w:p>
    <w:p>
      <w:pPr>
        <w:spacing w:after="0" w:line="7" w:lineRule="exact"/>
        <w:rPr>
          <w:sz w:val="20"/>
          <w:szCs w:val="20"/>
          <w:color w:val="auto"/>
        </w:rPr>
      </w:pPr>
    </w:p>
    <w:p>
      <w:pPr>
        <w:ind w:left="620"/>
        <w:spacing w:after="0"/>
        <w:rPr>
          <w:sz w:val="20"/>
          <w:szCs w:val="20"/>
          <w:color w:val="auto"/>
        </w:rPr>
      </w:pPr>
      <w:r>
        <w:rPr>
          <w:rFonts w:ascii="Arial" w:cs="Arial" w:eastAsia="Arial" w:hAnsi="Arial"/>
          <w:sz w:val="18"/>
          <w:szCs w:val="18"/>
          <w:color w:val="auto"/>
        </w:rPr>
        <w:t>Executive Vice President and Chief Financial</w:t>
      </w:r>
    </w:p>
    <w:p>
      <w:pPr>
        <w:ind w:left="620"/>
        <w:spacing w:after="0"/>
        <w:rPr>
          <w:sz w:val="20"/>
          <w:szCs w:val="20"/>
          <w:color w:val="auto"/>
        </w:rPr>
      </w:pPr>
      <w:r>
        <w:rPr>
          <w:rFonts w:ascii="Arial" w:cs="Arial" w:eastAsia="Arial" w:hAnsi="Arial"/>
          <w:sz w:val="18"/>
          <w:szCs w:val="18"/>
          <w:color w:val="auto"/>
        </w:rPr>
        <w:t>Officer (Principal Financial Officer)</w:t>
      </w:r>
    </w:p>
    <w:p>
      <w:pPr>
        <w:sectPr>
          <w:pgSz w:w="11900" w:h="16838" w:orient="portrait"/>
          <w:cols w:equalWidth="0" w:num="1">
            <w:col w:w="11240"/>
          </w:cols>
          <w:pgMar w:left="320" w:top="895" w:right="339" w:bottom="1440" w:gutter="0" w:footer="0" w:header="0"/>
        </w:sectPr>
      </w:pPr>
    </w:p>
    <w:bookmarkStart w:id="53" w:name="page54"/>
    <w:bookmarkEnd w:id="53"/>
    <w:p>
      <w:pPr>
        <w:jc w:val="right"/>
        <w:spacing w:after="0"/>
        <w:rPr>
          <w:sz w:val="20"/>
          <w:szCs w:val="20"/>
          <w:color w:val="auto"/>
        </w:rPr>
      </w:pPr>
      <w:r>
        <w:rPr>
          <w:rFonts w:ascii="Arial" w:cs="Arial" w:eastAsia="Arial" w:hAnsi="Arial"/>
          <w:sz w:val="18"/>
          <w:szCs w:val="18"/>
          <w:color w:val="auto"/>
        </w:rPr>
        <w:t>Exhibit 32</w:t>
      </w: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AGNC Investment Corp.</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CEO and CFO Pursuant to 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 of the Sarbanes-Oxley Act of 2002</w:t>
      </w:r>
    </w:p>
    <w:p>
      <w:pPr>
        <w:spacing w:after="0" w:line="157" w:lineRule="exact"/>
        <w:rPr>
          <w:sz w:val="20"/>
          <w:szCs w:val="20"/>
          <w:color w:val="auto"/>
        </w:rPr>
      </w:pPr>
    </w:p>
    <w:p>
      <w:pPr>
        <w:ind w:right="380" w:firstLine="324"/>
        <w:spacing w:after="0" w:line="308" w:lineRule="auto"/>
        <w:rPr>
          <w:sz w:val="20"/>
          <w:szCs w:val="20"/>
          <w:color w:val="auto"/>
        </w:rPr>
      </w:pPr>
      <w:r>
        <w:rPr>
          <w:rFonts w:ascii="Arial" w:cs="Arial" w:eastAsia="Arial" w:hAnsi="Arial"/>
          <w:sz w:val="17"/>
          <w:szCs w:val="17"/>
          <w:color w:val="auto"/>
        </w:rPr>
        <w:t>We, Peter J. Federico, President and Chief Executive Officer, and Bernice E. Bell, Executive Vice President and Chief Financial Officer of AGNC Investment Corp. (the “Company”), certify pursuant to Section 906 of the Sarbanes-Oxley Act of 2002, 18 U.S.C. Section 1350 that:</w:t>
      </w:r>
    </w:p>
    <w:p>
      <w:pPr>
        <w:spacing w:after="0" w:line="92" w:lineRule="exact"/>
        <w:rPr>
          <w:sz w:val="20"/>
          <w:szCs w:val="20"/>
          <w:color w:val="auto"/>
        </w:rPr>
      </w:pPr>
    </w:p>
    <w:p>
      <w:pPr>
        <w:ind w:left="660" w:right="200" w:hanging="328"/>
        <w:spacing w:after="0" w:line="277" w:lineRule="auto"/>
        <w:tabs>
          <w:tab w:leader="none" w:pos="66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Quarterly Report on Form 10-Q of the Company for the quarter ended June 30, 2022 (the “Report”) fully complies with the requirements of Section 13(a) of the Securities Exchange Act of 1934 (15 U.S.C. 78m); and</w:t>
      </w:r>
    </w:p>
    <w:p>
      <w:pPr>
        <w:spacing w:after="0" w:line="116" w:lineRule="exact"/>
        <w:rPr>
          <w:rFonts w:ascii="Arial" w:cs="Arial" w:eastAsia="Arial" w:hAnsi="Arial"/>
          <w:sz w:val="18"/>
          <w:szCs w:val="18"/>
          <w:color w:val="auto"/>
        </w:rPr>
      </w:pPr>
    </w:p>
    <w:p>
      <w:pPr>
        <w:ind w:left="660" w:hanging="328"/>
        <w:spacing w:after="0"/>
        <w:tabs>
          <w:tab w:leader="none" w:pos="660" w:val="left"/>
        </w:tabs>
        <w:numPr>
          <w:ilvl w:val="0"/>
          <w:numId w:val="44"/>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264" w:lineRule="exact"/>
        <w:rPr>
          <w:sz w:val="20"/>
          <w:szCs w:val="20"/>
          <w:color w:val="auto"/>
        </w:rPr>
      </w:pPr>
    </w:p>
    <w:tbl>
      <w:tblPr>
        <w:tblLayout w:type="fixed"/>
        <w:tblInd w:w="20" w:type="dxa"/>
        <w:tblCellMar>
          <w:top w:w="0" w:type="dxa"/>
          <w:left w:w="0" w:type="dxa"/>
          <w:bottom w:w="0" w:type="dxa"/>
          <w:right w:w="0" w:type="dxa"/>
        </w:tblCellMar>
      </w:tblPr>
      <w:tr>
        <w:trPr>
          <w:trHeight w:val="230"/>
        </w:trPr>
        <w:tc>
          <w:tcPr>
            <w:tcW w:w="700" w:type="dxa"/>
            <w:vAlign w:val="bottom"/>
            <w:vMerge w:val="restart"/>
          </w:tcPr>
          <w:p>
            <w:pPr>
              <w:spacing w:after="0"/>
              <w:rPr>
                <w:sz w:val="20"/>
                <w:szCs w:val="20"/>
                <w:color w:val="auto"/>
              </w:rPr>
            </w:pPr>
            <w:r>
              <w:rPr>
                <w:rFonts w:ascii="Arial" w:cs="Arial" w:eastAsia="Arial" w:hAnsi="Arial"/>
                <w:sz w:val="18"/>
                <w:szCs w:val="18"/>
                <w:color w:val="auto"/>
              </w:rPr>
              <w:t>Name:</w:t>
            </w:r>
          </w:p>
        </w:tc>
        <w:tc>
          <w:tcPr>
            <w:tcW w:w="28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/s/</w:t>
            </w:r>
          </w:p>
        </w:tc>
        <w:tc>
          <w:tcPr>
            <w:tcW w:w="596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P</w:t>
            </w:r>
            <w:r>
              <w:rPr>
                <w:rFonts w:ascii="Arial" w:cs="Arial" w:eastAsia="Arial" w:hAnsi="Arial"/>
                <w:sz w:val="14"/>
                <w:szCs w:val="14"/>
                <w:color w:val="auto"/>
              </w:rPr>
              <w:t>ETER</w:t>
            </w:r>
            <w:r>
              <w:rPr>
                <w:rFonts w:ascii="Arial" w:cs="Arial" w:eastAsia="Arial" w:hAnsi="Arial"/>
                <w:sz w:val="18"/>
                <w:szCs w:val="18"/>
                <w:color w:val="auto"/>
              </w:rPr>
              <w:t xml:space="preserve"> J. F</w:t>
            </w:r>
            <w:r>
              <w:rPr>
                <w:rFonts w:ascii="Arial" w:cs="Arial" w:eastAsia="Arial" w:hAnsi="Arial"/>
                <w:sz w:val="14"/>
                <w:szCs w:val="14"/>
                <w:color w:val="auto"/>
              </w:rPr>
              <w:t>EDERICO</w:t>
            </w:r>
          </w:p>
        </w:tc>
        <w:tc>
          <w:tcPr>
            <w:tcW w:w="0" w:type="dxa"/>
            <w:vAlign w:val="bottom"/>
          </w:tcPr>
          <w:p>
            <w:pPr>
              <w:spacing w:after="0"/>
              <w:rPr>
                <w:sz w:val="1"/>
                <w:szCs w:val="1"/>
                <w:color w:val="auto"/>
              </w:rPr>
            </w:pPr>
          </w:p>
        </w:tc>
      </w:tr>
      <w:tr>
        <w:trPr>
          <w:trHeight w:val="222"/>
        </w:trPr>
        <w:tc>
          <w:tcPr>
            <w:tcW w:w="700" w:type="dxa"/>
            <w:vAlign w:val="bottom"/>
            <w:vMerge w:val="continue"/>
          </w:tcPr>
          <w:p>
            <w:pPr>
              <w:spacing w:after="0"/>
              <w:rPr>
                <w:sz w:val="19"/>
                <w:szCs w:val="19"/>
                <w:color w:val="auto"/>
              </w:rPr>
            </w:pPr>
          </w:p>
        </w:tc>
        <w:tc>
          <w:tcPr>
            <w:tcW w:w="6240" w:type="dxa"/>
            <w:vAlign w:val="bottom"/>
            <w:gridSpan w:val="2"/>
          </w:tcPr>
          <w:p>
            <w:pPr>
              <w:ind w:left="20"/>
              <w:spacing w:after="0"/>
              <w:rPr>
                <w:sz w:val="20"/>
                <w:szCs w:val="20"/>
                <w:color w:val="auto"/>
              </w:rPr>
            </w:pPr>
            <w:r>
              <w:rPr>
                <w:rFonts w:ascii="Arial" w:cs="Arial" w:eastAsia="Arial" w:hAnsi="Arial"/>
                <w:sz w:val="18"/>
                <w:szCs w:val="18"/>
                <w:color w:val="auto"/>
              </w:rPr>
              <w:t>Peter J. Federico</w:t>
            </w:r>
          </w:p>
        </w:tc>
        <w:tc>
          <w:tcPr>
            <w:tcW w:w="0" w:type="dxa"/>
            <w:vAlign w:val="bottom"/>
          </w:tcPr>
          <w:p>
            <w:pPr>
              <w:spacing w:after="0"/>
              <w:rPr>
                <w:sz w:val="1"/>
                <w:szCs w:val="1"/>
                <w:color w:val="auto"/>
              </w:rPr>
            </w:pPr>
          </w:p>
        </w:tc>
      </w:tr>
      <w:tr>
        <w:trPr>
          <w:trHeight w:val="176"/>
        </w:trPr>
        <w:tc>
          <w:tcPr>
            <w:tcW w:w="700" w:type="dxa"/>
            <w:vAlign w:val="bottom"/>
          </w:tcPr>
          <w:p>
            <w:pPr>
              <w:spacing w:after="0" w:line="176" w:lineRule="exact"/>
              <w:rPr>
                <w:sz w:val="20"/>
                <w:szCs w:val="20"/>
                <w:color w:val="auto"/>
              </w:rPr>
            </w:pPr>
            <w:r>
              <w:rPr>
                <w:rFonts w:ascii="Arial" w:cs="Arial" w:eastAsia="Arial" w:hAnsi="Arial"/>
                <w:sz w:val="18"/>
                <w:szCs w:val="18"/>
                <w:color w:val="auto"/>
              </w:rPr>
              <w:t>Title:</w:t>
            </w:r>
          </w:p>
        </w:tc>
        <w:tc>
          <w:tcPr>
            <w:tcW w:w="6240" w:type="dxa"/>
            <w:vAlign w:val="bottom"/>
            <w:gridSpan w:val="2"/>
          </w:tcPr>
          <w:p>
            <w:pPr>
              <w:ind w:left="20"/>
              <w:spacing w:after="0" w:line="176" w:lineRule="exact"/>
              <w:rPr>
                <w:sz w:val="20"/>
                <w:szCs w:val="20"/>
                <w:color w:val="auto"/>
              </w:rPr>
            </w:pPr>
            <w:r>
              <w:rPr>
                <w:rFonts w:ascii="Arial" w:cs="Arial" w:eastAsia="Arial" w:hAnsi="Arial"/>
                <w:sz w:val="18"/>
                <w:szCs w:val="18"/>
                <w:color w:val="auto"/>
              </w:rPr>
              <w:t>President and</w:t>
            </w:r>
          </w:p>
        </w:tc>
        <w:tc>
          <w:tcPr>
            <w:tcW w:w="0" w:type="dxa"/>
            <w:vAlign w:val="bottom"/>
          </w:tcPr>
          <w:p>
            <w:pPr>
              <w:spacing w:after="0"/>
              <w:rPr>
                <w:sz w:val="1"/>
                <w:szCs w:val="1"/>
                <w:color w:val="auto"/>
              </w:rPr>
            </w:pPr>
          </w:p>
        </w:tc>
      </w:tr>
      <w:tr>
        <w:trPr>
          <w:trHeight w:val="229"/>
        </w:trPr>
        <w:tc>
          <w:tcPr>
            <w:tcW w:w="700" w:type="dxa"/>
            <w:vAlign w:val="bottom"/>
          </w:tcPr>
          <w:p>
            <w:pPr>
              <w:spacing w:after="0"/>
              <w:rPr>
                <w:sz w:val="19"/>
                <w:szCs w:val="19"/>
                <w:color w:val="auto"/>
              </w:rPr>
            </w:pPr>
          </w:p>
        </w:tc>
        <w:tc>
          <w:tcPr>
            <w:tcW w:w="6240" w:type="dxa"/>
            <w:vAlign w:val="bottom"/>
            <w:gridSpan w:val="2"/>
          </w:tcPr>
          <w:p>
            <w:pPr>
              <w:ind w:left="20"/>
              <w:spacing w:after="0"/>
              <w:rPr>
                <w:sz w:val="20"/>
                <w:szCs w:val="20"/>
                <w:color w:val="auto"/>
              </w:rPr>
            </w:pPr>
            <w:r>
              <w:rPr>
                <w:rFonts w:ascii="Arial" w:cs="Arial" w:eastAsia="Arial" w:hAnsi="Arial"/>
                <w:sz w:val="18"/>
                <w:szCs w:val="18"/>
                <w:color w:val="auto"/>
              </w:rPr>
              <w:t>Chief Executive Officer (Principal Executive Officer)</w:t>
            </w:r>
          </w:p>
        </w:tc>
        <w:tc>
          <w:tcPr>
            <w:tcW w:w="0" w:type="dxa"/>
            <w:vAlign w:val="bottom"/>
          </w:tcPr>
          <w:p>
            <w:pPr>
              <w:spacing w:after="0"/>
              <w:rPr>
                <w:sz w:val="1"/>
                <w:szCs w:val="1"/>
                <w:color w:val="auto"/>
              </w:rPr>
            </w:pPr>
          </w:p>
        </w:tc>
      </w:tr>
      <w:tr>
        <w:trPr>
          <w:trHeight w:val="230"/>
        </w:trPr>
        <w:tc>
          <w:tcPr>
            <w:tcW w:w="700" w:type="dxa"/>
            <w:vAlign w:val="bottom"/>
          </w:tcPr>
          <w:p>
            <w:pPr>
              <w:spacing w:after="0"/>
              <w:rPr>
                <w:sz w:val="20"/>
                <w:szCs w:val="20"/>
                <w:color w:val="auto"/>
              </w:rPr>
            </w:pPr>
            <w:r>
              <w:rPr>
                <w:rFonts w:ascii="Arial" w:cs="Arial" w:eastAsia="Arial" w:hAnsi="Arial"/>
                <w:sz w:val="18"/>
                <w:szCs w:val="18"/>
                <w:color w:val="auto"/>
              </w:rPr>
              <w:t>Date:</w:t>
            </w:r>
          </w:p>
        </w:tc>
        <w:tc>
          <w:tcPr>
            <w:tcW w:w="6240" w:type="dxa"/>
            <w:vAlign w:val="bottom"/>
            <w:gridSpan w:val="2"/>
          </w:tcPr>
          <w:p>
            <w:pPr>
              <w:ind w:left="20"/>
              <w:spacing w:after="0"/>
              <w:rPr>
                <w:sz w:val="20"/>
                <w:szCs w:val="20"/>
                <w:color w:val="auto"/>
              </w:rPr>
            </w:pPr>
            <w:r>
              <w:rPr>
                <w:rFonts w:ascii="Arial" w:cs="Arial" w:eastAsia="Arial" w:hAnsi="Arial"/>
                <w:sz w:val="18"/>
                <w:szCs w:val="18"/>
                <w:color w:val="auto"/>
              </w:rPr>
              <w:t>August 4, 2022</w:t>
            </w:r>
          </w:p>
        </w:tc>
        <w:tc>
          <w:tcPr>
            <w:tcW w:w="0" w:type="dxa"/>
            <w:vAlign w:val="bottom"/>
          </w:tcPr>
          <w:p>
            <w:pPr>
              <w:spacing w:after="0"/>
              <w:rPr>
                <w:sz w:val="1"/>
                <w:szCs w:val="1"/>
                <w:color w:val="auto"/>
              </w:rPr>
            </w:pPr>
          </w:p>
        </w:tc>
      </w:tr>
      <w:tr>
        <w:trPr>
          <w:trHeight w:val="486"/>
        </w:trPr>
        <w:tc>
          <w:tcPr>
            <w:tcW w:w="700" w:type="dxa"/>
            <w:vAlign w:val="bottom"/>
            <w:vMerge w:val="restart"/>
          </w:tcPr>
          <w:p>
            <w:pPr>
              <w:spacing w:after="0"/>
              <w:rPr>
                <w:sz w:val="20"/>
                <w:szCs w:val="20"/>
                <w:color w:val="auto"/>
              </w:rPr>
            </w:pPr>
            <w:r>
              <w:rPr>
                <w:rFonts w:ascii="Arial" w:cs="Arial" w:eastAsia="Arial" w:hAnsi="Arial"/>
                <w:sz w:val="18"/>
                <w:szCs w:val="18"/>
                <w:color w:val="auto"/>
              </w:rPr>
              <w:t>Name:</w:t>
            </w:r>
          </w:p>
        </w:tc>
        <w:tc>
          <w:tcPr>
            <w:tcW w:w="28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/s/</w:t>
            </w:r>
          </w:p>
        </w:tc>
        <w:tc>
          <w:tcPr>
            <w:tcW w:w="596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B</w:t>
            </w:r>
            <w:r>
              <w:rPr>
                <w:rFonts w:ascii="Arial" w:cs="Arial" w:eastAsia="Arial" w:hAnsi="Arial"/>
                <w:sz w:val="14"/>
                <w:szCs w:val="14"/>
                <w:color w:val="auto"/>
              </w:rPr>
              <w:t>ERNICE</w:t>
            </w:r>
            <w:r>
              <w:rPr>
                <w:rFonts w:ascii="Arial" w:cs="Arial" w:eastAsia="Arial" w:hAnsi="Arial"/>
                <w:sz w:val="18"/>
                <w:szCs w:val="18"/>
                <w:color w:val="auto"/>
              </w:rPr>
              <w:t xml:space="preserve"> E. B</w:t>
            </w:r>
            <w:r>
              <w:rPr>
                <w:rFonts w:ascii="Arial" w:cs="Arial" w:eastAsia="Arial" w:hAnsi="Arial"/>
                <w:sz w:val="14"/>
                <w:szCs w:val="14"/>
                <w:color w:val="auto"/>
              </w:rPr>
              <w:t>ELL</w:t>
            </w:r>
          </w:p>
        </w:tc>
        <w:tc>
          <w:tcPr>
            <w:tcW w:w="0" w:type="dxa"/>
            <w:vAlign w:val="bottom"/>
          </w:tcPr>
          <w:p>
            <w:pPr>
              <w:spacing w:after="0"/>
              <w:rPr>
                <w:sz w:val="1"/>
                <w:szCs w:val="1"/>
                <w:color w:val="auto"/>
              </w:rPr>
            </w:pPr>
          </w:p>
        </w:tc>
      </w:tr>
      <w:tr>
        <w:trPr>
          <w:trHeight w:val="222"/>
        </w:trPr>
        <w:tc>
          <w:tcPr>
            <w:tcW w:w="700" w:type="dxa"/>
            <w:vAlign w:val="bottom"/>
            <w:vMerge w:val="continue"/>
          </w:tcPr>
          <w:p>
            <w:pPr>
              <w:spacing w:after="0"/>
              <w:rPr>
                <w:sz w:val="19"/>
                <w:szCs w:val="19"/>
                <w:color w:val="auto"/>
              </w:rPr>
            </w:pPr>
          </w:p>
        </w:tc>
        <w:tc>
          <w:tcPr>
            <w:tcW w:w="6240" w:type="dxa"/>
            <w:vAlign w:val="bottom"/>
            <w:gridSpan w:val="2"/>
          </w:tcPr>
          <w:p>
            <w:pPr>
              <w:ind w:left="20"/>
              <w:spacing w:after="0"/>
              <w:rPr>
                <w:sz w:val="20"/>
                <w:szCs w:val="20"/>
                <w:color w:val="auto"/>
              </w:rPr>
            </w:pPr>
            <w:r>
              <w:rPr>
                <w:rFonts w:ascii="Arial" w:cs="Arial" w:eastAsia="Arial" w:hAnsi="Arial"/>
                <w:sz w:val="18"/>
                <w:szCs w:val="18"/>
                <w:color w:val="auto"/>
              </w:rPr>
              <w:t>Bernice E. Bell</w:t>
            </w:r>
          </w:p>
        </w:tc>
        <w:tc>
          <w:tcPr>
            <w:tcW w:w="0" w:type="dxa"/>
            <w:vAlign w:val="bottom"/>
          </w:tcPr>
          <w:p>
            <w:pPr>
              <w:spacing w:after="0"/>
              <w:rPr>
                <w:sz w:val="1"/>
                <w:szCs w:val="1"/>
                <w:color w:val="auto"/>
              </w:rPr>
            </w:pPr>
          </w:p>
        </w:tc>
      </w:tr>
      <w:tr>
        <w:trPr>
          <w:trHeight w:val="176"/>
        </w:trPr>
        <w:tc>
          <w:tcPr>
            <w:tcW w:w="700" w:type="dxa"/>
            <w:vAlign w:val="bottom"/>
          </w:tcPr>
          <w:p>
            <w:pPr>
              <w:spacing w:after="0" w:line="176" w:lineRule="exact"/>
              <w:rPr>
                <w:sz w:val="20"/>
                <w:szCs w:val="20"/>
                <w:color w:val="auto"/>
              </w:rPr>
            </w:pPr>
            <w:r>
              <w:rPr>
                <w:rFonts w:ascii="Arial" w:cs="Arial" w:eastAsia="Arial" w:hAnsi="Arial"/>
                <w:sz w:val="18"/>
                <w:szCs w:val="18"/>
                <w:color w:val="auto"/>
              </w:rPr>
              <w:t>Title:</w:t>
            </w:r>
          </w:p>
        </w:tc>
        <w:tc>
          <w:tcPr>
            <w:tcW w:w="6240" w:type="dxa"/>
            <w:vAlign w:val="bottom"/>
            <w:gridSpan w:val="2"/>
          </w:tcPr>
          <w:p>
            <w:pPr>
              <w:ind w:left="20"/>
              <w:spacing w:after="0" w:line="176" w:lineRule="exact"/>
              <w:rPr>
                <w:sz w:val="20"/>
                <w:szCs w:val="20"/>
                <w:color w:val="auto"/>
              </w:rPr>
            </w:pPr>
            <w:r>
              <w:rPr>
                <w:rFonts w:ascii="Arial" w:cs="Arial" w:eastAsia="Arial" w:hAnsi="Arial"/>
                <w:sz w:val="18"/>
                <w:szCs w:val="18"/>
                <w:color w:val="auto"/>
              </w:rPr>
              <w:t>Executive Vice President and</w:t>
            </w:r>
          </w:p>
        </w:tc>
        <w:tc>
          <w:tcPr>
            <w:tcW w:w="0" w:type="dxa"/>
            <w:vAlign w:val="bottom"/>
          </w:tcPr>
          <w:p>
            <w:pPr>
              <w:spacing w:after="0"/>
              <w:rPr>
                <w:sz w:val="1"/>
                <w:szCs w:val="1"/>
                <w:color w:val="auto"/>
              </w:rPr>
            </w:pPr>
          </w:p>
        </w:tc>
      </w:tr>
      <w:tr>
        <w:trPr>
          <w:trHeight w:val="229"/>
        </w:trPr>
        <w:tc>
          <w:tcPr>
            <w:tcW w:w="700" w:type="dxa"/>
            <w:vAlign w:val="bottom"/>
          </w:tcPr>
          <w:p>
            <w:pPr>
              <w:spacing w:after="0"/>
              <w:rPr>
                <w:sz w:val="19"/>
                <w:szCs w:val="19"/>
                <w:color w:val="auto"/>
              </w:rPr>
            </w:pPr>
          </w:p>
        </w:tc>
        <w:tc>
          <w:tcPr>
            <w:tcW w:w="6240" w:type="dxa"/>
            <w:vAlign w:val="bottom"/>
            <w:gridSpan w:val="2"/>
          </w:tcPr>
          <w:p>
            <w:pPr>
              <w:ind w:left="20"/>
              <w:spacing w:after="0"/>
              <w:rPr>
                <w:sz w:val="20"/>
                <w:szCs w:val="20"/>
                <w:color w:val="auto"/>
              </w:rPr>
            </w:pPr>
            <w:r>
              <w:rPr>
                <w:rFonts w:ascii="Arial" w:cs="Arial" w:eastAsia="Arial" w:hAnsi="Arial"/>
                <w:sz w:val="18"/>
                <w:szCs w:val="18"/>
                <w:color w:val="auto"/>
              </w:rPr>
              <w:t>Chief Financial Officer (Principal Financial Officer)</w:t>
            </w:r>
          </w:p>
        </w:tc>
        <w:tc>
          <w:tcPr>
            <w:tcW w:w="0" w:type="dxa"/>
            <w:vAlign w:val="bottom"/>
          </w:tcPr>
          <w:p>
            <w:pPr>
              <w:spacing w:after="0"/>
              <w:rPr>
                <w:sz w:val="1"/>
                <w:szCs w:val="1"/>
                <w:color w:val="auto"/>
              </w:rPr>
            </w:pPr>
          </w:p>
        </w:tc>
      </w:tr>
      <w:tr>
        <w:trPr>
          <w:trHeight w:val="230"/>
        </w:trPr>
        <w:tc>
          <w:tcPr>
            <w:tcW w:w="700" w:type="dxa"/>
            <w:vAlign w:val="bottom"/>
          </w:tcPr>
          <w:p>
            <w:pPr>
              <w:spacing w:after="0"/>
              <w:rPr>
                <w:sz w:val="20"/>
                <w:szCs w:val="20"/>
                <w:color w:val="auto"/>
              </w:rPr>
            </w:pPr>
            <w:r>
              <w:rPr>
                <w:rFonts w:ascii="Arial" w:cs="Arial" w:eastAsia="Arial" w:hAnsi="Arial"/>
                <w:sz w:val="18"/>
                <w:szCs w:val="18"/>
                <w:color w:val="auto"/>
              </w:rPr>
              <w:t>Date:</w:t>
            </w:r>
          </w:p>
        </w:tc>
        <w:tc>
          <w:tcPr>
            <w:tcW w:w="6240" w:type="dxa"/>
            <w:vAlign w:val="bottom"/>
            <w:gridSpan w:val="2"/>
          </w:tcPr>
          <w:p>
            <w:pPr>
              <w:ind w:left="20"/>
              <w:spacing w:after="0"/>
              <w:rPr>
                <w:sz w:val="20"/>
                <w:szCs w:val="20"/>
                <w:color w:val="auto"/>
              </w:rPr>
            </w:pPr>
            <w:r>
              <w:rPr>
                <w:rFonts w:ascii="Arial" w:cs="Arial" w:eastAsia="Arial" w:hAnsi="Arial"/>
                <w:sz w:val="18"/>
                <w:szCs w:val="18"/>
                <w:color w:val="auto"/>
              </w:rPr>
              <w:t>August 4, 2022</w:t>
            </w:r>
          </w:p>
        </w:tc>
        <w:tc>
          <w:tcPr>
            <w:tcW w:w="0" w:type="dxa"/>
            <w:vAlign w:val="bottom"/>
          </w:tcPr>
          <w:p>
            <w:pPr>
              <w:spacing w:after="0"/>
              <w:rPr>
                <w:sz w:val="1"/>
                <w:szCs w:val="1"/>
                <w:color w:val="auto"/>
              </w:rPr>
            </w:pPr>
          </w:p>
        </w:tc>
      </w:tr>
    </w:tbl>
    <w:p>
      <w:pPr>
        <w:spacing w:after="0" w:line="94"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A signed original of this written statement required by Section 906 has been provided to the Company and will be retained by the Company and furnished to the Securities and Exchange Commission or its staff upon request.</w:t>
      </w:r>
    </w:p>
    <w:sectPr>
      <w:pgSz w:w="11900" w:h="16838" w:orient="portrait"/>
      <w:cols w:equalWidth="0" w:num="1">
        <w:col w:w="11240"/>
      </w:cols>
      <w:pgMar w:left="320" w:top="895"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443A858"/>
    <w:multiLevelType w:val="hybridMultilevel"/>
    <w:lvl w:ilvl="0">
      <w:lvlJc w:val="left"/>
      <w:lvlText w:val="•"/>
      <w:numFmt w:val="bullet"/>
      <w:start w:val="1"/>
    </w:lvl>
  </w:abstractNum>
  <w:abstractNum w:abstractNumId="1">
    <w:nsid w:val="2D1D5AE9"/>
    <w:multiLevelType w:val="hybridMultilevel"/>
    <w:lvl w:ilvl="0">
      <w:lvlJc w:val="left"/>
      <w:lvlText w:val="%1."/>
      <w:numFmt w:val="decimal"/>
      <w:start w:val="1"/>
    </w:lvl>
  </w:abstractNum>
  <w:abstractNum w:abstractNumId="2">
    <w:nsid w:val="6763845E"/>
    <w:multiLevelType w:val="hybridMultilevel"/>
    <w:lvl w:ilvl="0">
      <w:lvlJc w:val="left"/>
      <w:lvlText w:val="%1."/>
      <w:numFmt w:val="decimal"/>
      <w:start w:val="1"/>
    </w:lvl>
  </w:abstractNum>
  <w:abstractNum w:abstractNumId="3">
    <w:nsid w:val="75A2A8D4"/>
    <w:multiLevelType w:val="hybridMultilevel"/>
    <w:lvl w:ilvl="0">
      <w:lvlJc w:val="left"/>
      <w:lvlText w:val="%1."/>
      <w:numFmt w:val="decimal"/>
      <w:start w:val="1"/>
    </w:lvl>
  </w:abstractNum>
  <w:abstractNum w:abstractNumId="4">
    <w:nsid w:val="8EDBDAB"/>
    <w:multiLevelType w:val="hybridMultilevel"/>
    <w:lvl w:ilvl="0">
      <w:lvlJc w:val="left"/>
      <w:lvlText w:val="%1."/>
      <w:numFmt w:val="decimal"/>
      <w:start w:val="1"/>
    </w:lvl>
  </w:abstractNum>
  <w:abstractNum w:abstractNumId="5">
    <w:nsid w:val="79838CB2"/>
    <w:multiLevelType w:val="hybridMultilevel"/>
    <w:lvl w:ilvl="0">
      <w:lvlJc w:val="left"/>
      <w:lvlText w:val="%1."/>
      <w:numFmt w:val="decimal"/>
      <w:start w:val="1"/>
    </w:lvl>
  </w:abstractNum>
  <w:abstractNum w:abstractNumId="6">
    <w:nsid w:val="4353D0CD"/>
    <w:multiLevelType w:val="hybridMultilevel"/>
    <w:lvl w:ilvl="0">
      <w:lvlJc w:val="left"/>
      <w:lvlText w:val="%1."/>
      <w:numFmt w:val="decimal"/>
      <w:start w:val="1"/>
    </w:lvl>
  </w:abstractNum>
  <w:abstractNum w:abstractNumId="7">
    <w:nsid w:val="B03E0C6"/>
    <w:multiLevelType w:val="hybridMultilevel"/>
    <w:lvl w:ilvl="0">
      <w:lvlJc w:val="left"/>
      <w:lvlText w:val="%1."/>
      <w:numFmt w:val="decimal"/>
      <w:start w:val="1"/>
    </w:lvl>
  </w:abstractNum>
  <w:abstractNum w:abstractNumId="8">
    <w:nsid w:val="189A769B"/>
    <w:multiLevelType w:val="hybridMultilevel"/>
    <w:lvl w:ilvl="0">
      <w:lvlJc w:val="left"/>
      <w:lvlText w:val="%1."/>
      <w:numFmt w:val="decimal"/>
      <w:start w:val="1"/>
    </w:lvl>
  </w:abstractNum>
  <w:abstractNum w:abstractNumId="9">
    <w:nsid w:val="54E49EB4"/>
    <w:multiLevelType w:val="hybridMultilevel"/>
    <w:lvl w:ilvl="0">
      <w:lvlJc w:val="left"/>
      <w:lvlText w:val="%1."/>
      <w:numFmt w:val="decimal"/>
      <w:start w:val="1"/>
    </w:lvl>
  </w:abstractNum>
  <w:abstractNum w:abstractNumId="10">
    <w:nsid w:val="71F32454"/>
    <w:multiLevelType w:val="hybridMultilevel"/>
    <w:lvl w:ilvl="0">
      <w:lvlJc w:val="left"/>
      <w:lvlText w:val="%1."/>
      <w:numFmt w:val="decimal"/>
      <w:start w:val="1"/>
    </w:lvl>
  </w:abstractNum>
  <w:abstractNum w:abstractNumId="11">
    <w:nsid w:val="2CA88611"/>
    <w:multiLevelType w:val="hybridMultilevel"/>
    <w:lvl w:ilvl="0">
      <w:lvlJc w:val="left"/>
      <w:lvlText w:val="%1."/>
      <w:numFmt w:val="decimal"/>
      <w:start w:val="1"/>
    </w:lvl>
  </w:abstractNum>
  <w:abstractNum w:abstractNumId="12">
    <w:nsid w:val="836C40E"/>
    <w:multiLevelType w:val="hybridMultilevel"/>
    <w:lvl w:ilvl="0">
      <w:lvlJc w:val="left"/>
      <w:lvlText w:val="%1."/>
      <w:numFmt w:val="decimal"/>
      <w:start w:val="1"/>
    </w:lvl>
  </w:abstractNum>
  <w:abstractNum w:abstractNumId="13">
    <w:nsid w:val="2901D82"/>
    <w:multiLevelType w:val="hybridMultilevel"/>
    <w:lvl w:ilvl="0">
      <w:lvlJc w:val="left"/>
      <w:lvlText w:val="%1."/>
      <w:numFmt w:val="decimal"/>
      <w:start w:val="1"/>
    </w:lvl>
  </w:abstractNum>
  <w:abstractNum w:abstractNumId="14">
    <w:nsid w:val="3A95F874"/>
    <w:multiLevelType w:val="hybridMultilevel"/>
    <w:lvl w:ilvl="0">
      <w:lvlJc w:val="left"/>
      <w:lvlText w:val="%1."/>
      <w:numFmt w:val="decimal"/>
      <w:start w:val="1"/>
    </w:lvl>
  </w:abstractNum>
  <w:abstractNum w:abstractNumId="15">
    <w:nsid w:val="8138641"/>
    <w:multiLevelType w:val="hybridMultilevel"/>
    <w:lvl w:ilvl="0">
      <w:lvlJc w:val="left"/>
      <w:lvlText w:val="%1."/>
      <w:numFmt w:val="decimal"/>
      <w:start w:val="1"/>
    </w:lvl>
  </w:abstractNum>
  <w:abstractNum w:abstractNumId="16">
    <w:nsid w:val="1E7FF521"/>
    <w:multiLevelType w:val="hybridMultilevel"/>
    <w:lvl w:ilvl="0">
      <w:lvlJc w:val="left"/>
      <w:lvlText w:val="%1."/>
      <w:numFmt w:val="decimal"/>
      <w:start w:val="1"/>
    </w:lvl>
  </w:abstractNum>
  <w:abstractNum w:abstractNumId="17">
    <w:nsid w:val="7C3DBD3D"/>
    <w:multiLevelType w:val="hybridMultilevel"/>
    <w:lvl w:ilvl="0">
      <w:lvlJc w:val="left"/>
      <w:lvlText w:val="•"/>
      <w:numFmt w:val="bullet"/>
      <w:start w:val="1"/>
    </w:lvl>
  </w:abstractNum>
  <w:abstractNum w:abstractNumId="18">
    <w:nsid w:val="737B8DDC"/>
    <w:multiLevelType w:val="hybridMultilevel"/>
    <w:lvl w:ilvl="0">
      <w:lvlJc w:val="left"/>
      <w:lvlText w:val="%1."/>
      <w:numFmt w:val="decimal"/>
      <w:start w:val="1"/>
    </w:lvl>
  </w:abstractNum>
  <w:abstractNum w:abstractNumId="19">
    <w:nsid w:val="6CEAF087"/>
    <w:multiLevelType w:val="hybridMultilevel"/>
    <w:lvl w:ilvl="0">
      <w:lvlJc w:val="left"/>
      <w:lvlText w:val="%1."/>
      <w:numFmt w:val="decimal"/>
      <w:start w:val="1"/>
    </w:lvl>
  </w:abstractNum>
  <w:abstractNum w:abstractNumId="20">
    <w:nsid w:val="22221A70"/>
    <w:multiLevelType w:val="hybridMultilevel"/>
    <w:lvl w:ilvl="0">
      <w:lvlJc w:val="left"/>
      <w:lvlText w:val="%1."/>
      <w:numFmt w:val="decimal"/>
      <w:start w:val="1"/>
    </w:lvl>
  </w:abstractNum>
  <w:abstractNum w:abstractNumId="21">
    <w:nsid w:val="4516DDE9"/>
    <w:multiLevelType w:val="hybridMultilevel"/>
    <w:lvl w:ilvl="0">
      <w:lvlJc w:val="left"/>
      <w:lvlText w:val="%1."/>
      <w:numFmt w:val="decimal"/>
      <w:start w:val="1"/>
    </w:lvl>
  </w:abstractNum>
  <w:abstractNum w:abstractNumId="22">
    <w:nsid w:val="3006C83E"/>
    <w:multiLevelType w:val="hybridMultilevel"/>
    <w:lvl w:ilvl="0">
      <w:lvlJc w:val="left"/>
      <w:lvlText w:val="%1."/>
      <w:numFmt w:val="decimal"/>
      <w:start w:val="1"/>
    </w:lvl>
  </w:abstractNum>
  <w:abstractNum w:abstractNumId="23">
    <w:nsid w:val="614FD4A1"/>
    <w:multiLevelType w:val="hybridMultilevel"/>
    <w:lvl w:ilvl="0">
      <w:lvlJc w:val="left"/>
      <w:lvlText w:val="%1."/>
      <w:numFmt w:val="decimal"/>
      <w:start w:val="1"/>
    </w:lvl>
  </w:abstractNum>
  <w:abstractNum w:abstractNumId="24">
    <w:nsid w:val="419AC241"/>
    <w:multiLevelType w:val="hybridMultilevel"/>
    <w:lvl w:ilvl="0">
      <w:lvlJc w:val="left"/>
      <w:lvlText w:val="%1."/>
      <w:numFmt w:val="decimal"/>
      <w:start w:val="7"/>
    </w:lvl>
  </w:abstractNum>
  <w:abstractNum w:abstractNumId="25">
    <w:nsid w:val="5577F8E1"/>
    <w:multiLevelType w:val="hybridMultilevel"/>
    <w:lvl w:ilvl="0">
      <w:lvlJc w:val="left"/>
      <w:lvlText w:val="%1."/>
      <w:numFmt w:val="decimal"/>
      <w:start w:val="1"/>
    </w:lvl>
  </w:abstractNum>
  <w:abstractNum w:abstractNumId="26">
    <w:nsid w:val="440BADFC"/>
    <w:multiLevelType w:val="hybridMultilevel"/>
    <w:lvl w:ilvl="0">
      <w:lvlJc w:val="left"/>
      <w:lvlText w:val="%1."/>
      <w:numFmt w:val="decimal"/>
      <w:start w:val="1"/>
    </w:lvl>
  </w:abstractNum>
  <w:abstractNum w:abstractNumId="27">
    <w:nsid w:val="5072367"/>
    <w:multiLevelType w:val="hybridMultilevel"/>
    <w:lvl w:ilvl="0">
      <w:lvlJc w:val="left"/>
      <w:lvlText w:val="%1."/>
      <w:numFmt w:val="decimal"/>
      <w:start w:val="1"/>
    </w:lvl>
  </w:abstractNum>
  <w:abstractNum w:abstractNumId="28">
    <w:nsid w:val="3804823E"/>
    <w:multiLevelType w:val="hybridMultilevel"/>
    <w:lvl w:ilvl="0">
      <w:lvlJc w:val="left"/>
      <w:lvlText w:val="%1."/>
      <w:numFmt w:val="decimal"/>
      <w:start w:val="1"/>
    </w:lvl>
  </w:abstractNum>
  <w:abstractNum w:abstractNumId="29">
    <w:nsid w:val="77465F01"/>
    <w:multiLevelType w:val="hybridMultilevel"/>
    <w:lvl w:ilvl="0">
      <w:lvlJc w:val="left"/>
      <w:lvlText w:val="%1."/>
      <w:numFmt w:val="decimal"/>
      <w:start w:val="1"/>
    </w:lvl>
  </w:abstractNum>
  <w:abstractNum w:abstractNumId="30">
    <w:nsid w:val="7724C67E"/>
    <w:multiLevelType w:val="hybridMultilevel"/>
    <w:lvl w:ilvl="0">
      <w:lvlJc w:val="left"/>
      <w:lvlText w:val="(%1)"/>
      <w:numFmt w:val="lowerRoman"/>
      <w:start w:val="3"/>
    </w:lvl>
  </w:abstractNum>
  <w:abstractNum w:abstractNumId="31">
    <w:nsid w:val="5C482A97"/>
    <w:multiLevelType w:val="hybridMultilevel"/>
    <w:lvl w:ilvl="0">
      <w:lvlJc w:val="left"/>
      <w:lvlText w:val="%1."/>
      <w:numFmt w:val="decimal"/>
      <w:start w:val="3"/>
    </w:lvl>
  </w:abstractNum>
  <w:abstractNum w:abstractNumId="32">
    <w:nsid w:val="2463B9EA"/>
    <w:multiLevelType w:val="hybridMultilevel"/>
    <w:lvl w:ilvl="0">
      <w:lvlJc w:val="left"/>
      <w:lvlText w:val="%1."/>
      <w:numFmt w:val="decimal"/>
      <w:start w:val="1"/>
    </w:lvl>
  </w:abstractNum>
  <w:abstractNum w:abstractNumId="33">
    <w:nsid w:val="5E884ADC"/>
    <w:multiLevelType w:val="hybridMultilevel"/>
    <w:lvl w:ilvl="0">
      <w:lvlJc w:val="left"/>
      <w:lvlText w:val="•"/>
      <w:numFmt w:val="bullet"/>
      <w:start w:val="1"/>
    </w:lvl>
  </w:abstractNum>
  <w:abstractNum w:abstractNumId="34">
    <w:nsid w:val="51EAD36B"/>
    <w:multiLevelType w:val="hybridMultilevel"/>
    <w:lvl w:ilvl="0">
      <w:lvlJc w:val="left"/>
      <w:lvlText w:val="•"/>
      <w:numFmt w:val="bullet"/>
      <w:start w:val="1"/>
    </w:lvl>
  </w:abstractNum>
  <w:abstractNum w:abstractNumId="35">
    <w:nsid w:val="2D517796"/>
    <w:multiLevelType w:val="hybridMultilevel"/>
    <w:lvl w:ilvl="0">
      <w:lvlJc w:val="left"/>
      <w:lvlText w:val="%1."/>
      <w:numFmt w:val="decimal"/>
      <w:start w:val="1"/>
    </w:lvl>
  </w:abstractNum>
  <w:abstractNum w:abstractNumId="36">
    <w:nsid w:val="580BD78F"/>
    <w:multiLevelType w:val="hybridMultilevel"/>
    <w:lvl w:ilvl="0">
      <w:lvlJc w:val="left"/>
      <w:lvlText w:val="%1."/>
      <w:numFmt w:val="decimal"/>
      <w:start w:val="1"/>
    </w:lvl>
  </w:abstractNum>
  <w:abstractNum w:abstractNumId="37">
    <w:nsid w:val="153EA438"/>
    <w:multiLevelType w:val="hybridMultilevel"/>
    <w:lvl w:ilvl="0">
      <w:lvlJc w:val="left"/>
      <w:lvlText w:val="%1."/>
      <w:numFmt w:val="decimal"/>
      <w:start w:val="1"/>
    </w:lvl>
  </w:abstractNum>
  <w:abstractNum w:abstractNumId="38">
    <w:nsid w:val="3855585C"/>
    <w:multiLevelType w:val="hybridMultilevel"/>
    <w:lvl w:ilvl="0">
      <w:lvlJc w:val="left"/>
      <w:lvlText w:val="%1."/>
      <w:numFmt w:val="decimal"/>
      <w:start w:val="1"/>
    </w:lvl>
  </w:abstractNum>
  <w:abstractNum w:abstractNumId="39">
    <w:nsid w:val="70A64E2A"/>
    <w:multiLevelType w:val="hybridMultilevel"/>
    <w:lvl w:ilvl="0">
      <w:lvlJc w:val="left"/>
      <w:lvlText w:val="**"/>
      <w:numFmt w:val="bullet"/>
      <w:start w:val="1"/>
    </w:lvl>
  </w:abstractNum>
  <w:abstractNum w:abstractNumId="40">
    <w:nsid w:val="6A2342EC"/>
    <w:multiLevelType w:val="hybridMultilevel"/>
    <w:lvl w:ilvl="0">
      <w:lvlJc w:val="left"/>
      <w:lvlText w:val="(%1)"/>
      <w:numFmt w:val="lowerLetter"/>
      <w:start w:val="3"/>
    </w:lvl>
  </w:abstractNum>
  <w:abstractNum w:abstractNumId="41">
    <w:nsid w:val="2A487CB0"/>
    <w:multiLevelType w:val="hybridMultilevel"/>
    <w:lvl w:ilvl="0">
      <w:lvlJc w:val="left"/>
      <w:lvlText w:val="%1."/>
      <w:numFmt w:val="decimal"/>
      <w:start w:val="1"/>
    </w:lvl>
    <w:lvl w:ilvl="1">
      <w:lvlJc w:val="left"/>
      <w:lvlText w:val="(%2)"/>
      <w:numFmt w:val="lowerLetter"/>
      <w:start w:val="1"/>
    </w:lvl>
  </w:abstractNum>
  <w:abstractNum w:abstractNumId="42">
    <w:nsid w:val="1D4ED43B"/>
    <w:multiLevelType w:val="hybridMultilevel"/>
    <w:lvl w:ilvl="0">
      <w:lvlJc w:val="left"/>
      <w:lvlText w:val="%1."/>
      <w:numFmt w:val="decimal"/>
      <w:start w:val="1"/>
    </w:lvl>
    <w:lvl w:ilvl="1">
      <w:lvlJc w:val="left"/>
      <w:lvlText w:val="(%2)"/>
      <w:numFmt w:val="lowerLetter"/>
      <w:start w:val="1"/>
    </w:lvl>
  </w:abstractNum>
  <w:abstractNum w:abstractNumId="43">
    <w:nsid w:val="725A06F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71" Type="http://schemas.openxmlformats.org/officeDocument/2006/relationships/image" Target="media/image61.png"/><Relationship Id="rId85" Type="http://schemas.openxmlformats.org/officeDocument/2006/relationships/image" Target="media/image62.png"/><Relationship Id="rId87" Type="http://schemas.openxmlformats.org/officeDocument/2006/relationships/image" Target="media/image63.png"/><Relationship Id="rId88" Type="http://schemas.openxmlformats.org/officeDocument/2006/relationships/image" Target="media/image64.png"/><Relationship Id="rId89" Type="http://schemas.openxmlformats.org/officeDocument/2006/relationships/image" Target="media/image65.png"/><Relationship Id="rId90" Type="http://schemas.openxmlformats.org/officeDocument/2006/relationships/image" Target="media/image66.png"/><Relationship Id="rId91" Type="http://schemas.openxmlformats.org/officeDocument/2006/relationships/image" Target="media/image67.png"/><Relationship Id="rId68" Type="http://schemas.openxmlformats.org/officeDocument/2006/relationships/hyperlink" Target="http://www.sec.gov/Archives/edgar/data/1423689/000142368922000014/agncexhibit3112312110-k.htm" TargetMode="External"/><Relationship Id="rId69" Type="http://schemas.openxmlformats.org/officeDocument/2006/relationships/hyperlink" Target="http://www.sec.gov/Archives/edgar/data/1423689/000142368921000017/arbylaws-march2021vrevised.htm" TargetMode="External"/><Relationship Id="rId70" Type="http://schemas.openxmlformats.org/officeDocument/2006/relationships/hyperlink" Target="http://www.sec.gov/Archives/edgar/data/1423689/000142368917000044/ex35certificateofdesignati.htm" TargetMode="External"/><Relationship Id="rId72" Type="http://schemas.openxmlformats.org/officeDocument/2006/relationships/hyperlink" Target="http://www.sec.gov/Archives/edgar/data/1423689/000142368917000065/certificateofelimination.htm" TargetMode="External"/><Relationship Id="rId73" Type="http://schemas.openxmlformats.org/officeDocument/2006/relationships/hyperlink" Target="http://www.sec.gov/Archives/edgar/data/1423689/000142368919000019/certificateofdesignations.htm" TargetMode="External"/><Relationship Id="rId74" Type="http://schemas.openxmlformats.org/officeDocument/2006/relationships/hyperlink" Target="http://www.sec.gov/Archives/edgar/data/1423689/000142368919000064/certofdesignations.htm" TargetMode="External"/><Relationship Id="rId75" Type="http://schemas.openxmlformats.org/officeDocument/2006/relationships/hyperlink" Target="http://www.sec.gov/Archives/edgar/data/1423689/000142368919000078/certificateofeliminati.htm" TargetMode="External"/><Relationship Id="rId76" Type="http://schemas.openxmlformats.org/officeDocument/2006/relationships/hyperlink" Target="http://www.sec.gov/Archives/edgar/data/1423689/000142368920000012/certificateofdesignations-.htm" TargetMode="External"/><Relationship Id="rId77" Type="http://schemas.openxmlformats.org/officeDocument/2006/relationships/hyperlink" Target="http://www.sec.gov/Archives/edgar/data/1423689/000142368916000104/agncexhibit43.htm" TargetMode="External"/><Relationship Id="rId78" Type="http://schemas.openxmlformats.org/officeDocument/2006/relationships/hyperlink" Target="http://www.sec.gov/Archives/edgar/data/1423689/000142368917000044/exhibit41.htm" TargetMode="External"/><Relationship Id="rId79" Type="http://schemas.openxmlformats.org/officeDocument/2006/relationships/hyperlink" Target="http://www.sec.gov/Archives/edgar/data/1423689/000142368919000019/stockcertificateb98.htm" TargetMode="External"/><Relationship Id="rId80" Type="http://schemas.openxmlformats.org/officeDocument/2006/relationships/hyperlink" Target="http://www.sec.gov/Archives/edgar/data/1423689/000142368919000064/stockcertificate.htm" TargetMode="External"/><Relationship Id="rId81" Type="http://schemas.openxmlformats.org/officeDocument/2006/relationships/hyperlink" Target="http://www.sec.gov/Archives/edgar/data/1423689/000142368920000012/stockcertificate.htm" TargetMode="External"/><Relationship Id="rId82" Type="http://schemas.openxmlformats.org/officeDocument/2006/relationships/hyperlink" Target="http://www.sec.gov/Archives/edgar/data/1423689/000142368917000049/depositagreement.htm" TargetMode="External"/><Relationship Id="rId83" Type="http://schemas.openxmlformats.org/officeDocument/2006/relationships/hyperlink" Target="http://www.sec.gov/Archives/edgar/data/1423689/000142368919000021/prefddepositagmt.htm" TargetMode="External"/><Relationship Id="rId84" Type="http://schemas.openxmlformats.org/officeDocument/2006/relationships/hyperlink" Target="http://www.sec.gov/Archives/edgar/data/1423689/000142368919000068/depositagmt-prefe.htm" TargetMode="External"/><Relationship Id="rId86" Type="http://schemas.openxmlformats.org/officeDocument/2006/relationships/hyperlink" Target="http://www.sec.gov/Archives/edgar/data/1423689/000142368920000014/depositaryagmt-seriesf.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2022-08-04T15:31:36Z</dcterms:created>
  <dcterms:modified xsi:type="dcterms:W3CDTF">2022-08-04T15:31:36Z</dcterms:modified>
</cp:coreProperties>
</file>