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rPr>
          <w:rFonts w:ascii="Arial" w:cs="Arial" w:eastAsia="Arial" w:hAnsi="Arial"/>
          <w:sz w:val="18"/>
          <w:szCs w:val="18"/>
          <w:b w:val="1"/>
          <w:bCs w:val="1"/>
          <w:u w:val="single" w:color="auto"/>
          <w:color w:val="0000EE"/>
        </w:rPr>
      </w:pPr>
      <w:hyperlink w:anchor="page12">
        <w:r>
          <w:rPr>
            <w:rFonts w:ascii="Arial" w:cs="Arial" w:eastAsia="Arial" w:hAnsi="Arial"/>
            <w:sz w:val="18"/>
            <w:szCs w:val="18"/>
            <w:b w:val="1"/>
            <w:bCs w:val="1"/>
            <w:u w:val="single" w:color="auto"/>
            <w:color w:val="0000EE"/>
          </w:rPr>
          <w:t>Table of Contents</w:t>
        </w:r>
      </w:hyperlink>
    </w:p>
    <w:p>
      <w:pPr>
        <w:spacing w:after="0" w:line="301" w:lineRule="exact"/>
        <w:rPr>
          <w:sz w:val="24"/>
          <w:szCs w:val="24"/>
          <w:color w:val="auto"/>
        </w:rPr>
      </w:pPr>
    </w:p>
    <w:p>
      <w:pPr>
        <w:jc w:val="center"/>
        <w:ind w:right="-219"/>
        <w:spacing w:after="0"/>
        <w:rPr>
          <w:sz w:val="20"/>
          <w:szCs w:val="20"/>
          <w:color w:val="auto"/>
        </w:rPr>
      </w:pPr>
      <w:r>
        <w:rPr>
          <w:rFonts w:ascii="Arial" w:cs="Arial" w:eastAsia="Arial" w:hAnsi="Arial"/>
          <w:sz w:val="25"/>
          <w:szCs w:val="25"/>
          <w:b w:val="1"/>
          <w:bCs w:val="1"/>
          <w:color w:val="auto"/>
        </w:rPr>
        <w:t>SECURITIES AND EXCHANGE COMMISSION</w:t>
      </w:r>
    </w:p>
    <w:p>
      <w:pPr>
        <w:spacing w:after="0" w:line="113" w:lineRule="exact"/>
        <w:rPr>
          <w:sz w:val="24"/>
          <w:szCs w:val="24"/>
          <w:color w:val="auto"/>
        </w:rPr>
      </w:pPr>
    </w:p>
    <w:p>
      <w:pPr>
        <w:jc w:val="center"/>
        <w:ind w:right="-219"/>
        <w:spacing w:after="0"/>
        <w:rPr>
          <w:sz w:val="20"/>
          <w:szCs w:val="20"/>
          <w:color w:val="auto"/>
        </w:rPr>
      </w:pPr>
      <w:r>
        <w:rPr>
          <w:rFonts w:ascii="Arial" w:cs="Arial" w:eastAsia="Arial" w:hAnsi="Arial"/>
          <w:sz w:val="22"/>
          <w:szCs w:val="22"/>
          <w:b w:val="1"/>
          <w:bCs w:val="1"/>
          <w:color w:val="auto"/>
        </w:rPr>
        <w:t>WASHINGTON, D.C. 20549</w:t>
      </w:r>
    </w:p>
    <w:p>
      <w:pPr>
        <w:spacing w:after="0" w:line="84" w:lineRule="exact"/>
        <w:rPr>
          <w:sz w:val="24"/>
          <w:szCs w:val="24"/>
          <w:color w:val="auto"/>
        </w:rPr>
      </w:pPr>
    </w:p>
    <w:p>
      <w:pPr>
        <w:jc w:val="center"/>
        <w:ind w:right="-219"/>
        <w:spacing w:after="0"/>
        <w:rPr>
          <w:sz w:val="20"/>
          <w:szCs w:val="20"/>
          <w:color w:val="auto"/>
        </w:rPr>
      </w:pPr>
      <w:r>
        <w:rPr>
          <w:rFonts w:ascii="Arial" w:cs="Arial" w:eastAsia="Arial" w:hAnsi="Arial"/>
          <w:sz w:val="32"/>
          <w:szCs w:val="32"/>
          <w:b w:val="1"/>
          <w:bCs w:val="1"/>
          <w:color w:val="auto"/>
        </w:rPr>
        <w:t>SCHEDULE 14A</w:t>
      </w:r>
    </w:p>
    <w:p>
      <w:pPr>
        <w:spacing w:after="0" w:line="118" w:lineRule="exact"/>
        <w:rPr>
          <w:sz w:val="24"/>
          <w:szCs w:val="24"/>
          <w:color w:val="auto"/>
        </w:rPr>
      </w:pPr>
    </w:p>
    <w:p>
      <w:pPr>
        <w:jc w:val="center"/>
        <w:ind w:right="-219"/>
        <w:spacing w:after="0"/>
        <w:rPr>
          <w:sz w:val="20"/>
          <w:szCs w:val="20"/>
          <w:color w:val="auto"/>
        </w:rPr>
      </w:pPr>
      <w:r>
        <w:rPr>
          <w:rFonts w:ascii="Arial" w:cs="Arial" w:eastAsia="Arial" w:hAnsi="Arial"/>
          <w:sz w:val="22"/>
          <w:szCs w:val="22"/>
          <w:b w:val="1"/>
          <w:bCs w:val="1"/>
          <w:color w:val="auto"/>
        </w:rPr>
        <w:t>(Rule 14a-101)</w:t>
      </w:r>
    </w:p>
    <w:p>
      <w:pPr>
        <w:spacing w:after="0" w:line="98" w:lineRule="exact"/>
        <w:rPr>
          <w:sz w:val="24"/>
          <w:szCs w:val="24"/>
          <w:color w:val="auto"/>
        </w:rPr>
      </w:pPr>
    </w:p>
    <w:p>
      <w:pPr>
        <w:jc w:val="center"/>
        <w:ind w:right="-219"/>
        <w:spacing w:after="0"/>
        <w:rPr>
          <w:sz w:val="20"/>
          <w:szCs w:val="20"/>
          <w:color w:val="auto"/>
        </w:rPr>
      </w:pPr>
      <w:r>
        <w:rPr>
          <w:rFonts w:ascii="Arial" w:cs="Arial" w:eastAsia="Arial" w:hAnsi="Arial"/>
          <w:sz w:val="22"/>
          <w:szCs w:val="22"/>
          <w:b w:val="1"/>
          <w:bCs w:val="1"/>
          <w:color w:val="auto"/>
        </w:rPr>
        <w:t>INFORMATION REQUIRED IN PROXY STATEMENT</w:t>
      </w:r>
    </w:p>
    <w:p>
      <w:pPr>
        <w:spacing w:after="0" w:line="98" w:lineRule="exact"/>
        <w:rPr>
          <w:sz w:val="24"/>
          <w:szCs w:val="24"/>
          <w:color w:val="auto"/>
        </w:rPr>
      </w:pPr>
    </w:p>
    <w:p>
      <w:pPr>
        <w:jc w:val="center"/>
        <w:ind w:right="-219"/>
        <w:spacing w:after="0"/>
        <w:rPr>
          <w:sz w:val="20"/>
          <w:szCs w:val="20"/>
          <w:color w:val="auto"/>
        </w:rPr>
      </w:pPr>
      <w:r>
        <w:rPr>
          <w:rFonts w:ascii="Arial" w:cs="Arial" w:eastAsia="Arial" w:hAnsi="Arial"/>
          <w:sz w:val="22"/>
          <w:szCs w:val="22"/>
          <w:b w:val="1"/>
          <w:bCs w:val="1"/>
          <w:color w:val="auto"/>
        </w:rPr>
        <w:t>SCHEDULE 14A INFORMATION</w:t>
      </w:r>
    </w:p>
    <w:p>
      <w:pPr>
        <w:spacing w:after="0" w:line="98" w:lineRule="exact"/>
        <w:rPr>
          <w:sz w:val="24"/>
          <w:szCs w:val="24"/>
          <w:color w:val="auto"/>
        </w:rPr>
      </w:pPr>
    </w:p>
    <w:p>
      <w:pPr>
        <w:jc w:val="center"/>
        <w:ind w:right="-219"/>
        <w:spacing w:after="0"/>
        <w:rPr>
          <w:sz w:val="20"/>
          <w:szCs w:val="20"/>
          <w:color w:val="auto"/>
        </w:rPr>
      </w:pPr>
      <w:r>
        <w:rPr>
          <w:rFonts w:ascii="Arial" w:cs="Arial" w:eastAsia="Arial" w:hAnsi="Arial"/>
          <w:sz w:val="22"/>
          <w:szCs w:val="22"/>
          <w:b w:val="1"/>
          <w:bCs w:val="1"/>
          <w:color w:val="auto"/>
        </w:rPr>
        <w:t>Proxy Statement Pursuant to Section 14(a) of the</w:t>
      </w:r>
    </w:p>
    <w:p>
      <w:pPr>
        <w:spacing w:after="0" w:line="98" w:lineRule="exact"/>
        <w:rPr>
          <w:sz w:val="24"/>
          <w:szCs w:val="24"/>
          <w:color w:val="auto"/>
        </w:rPr>
      </w:pPr>
    </w:p>
    <w:p>
      <w:pPr>
        <w:jc w:val="center"/>
        <w:ind w:right="-219"/>
        <w:spacing w:after="0"/>
        <w:rPr>
          <w:sz w:val="20"/>
          <w:szCs w:val="20"/>
          <w:color w:val="auto"/>
        </w:rPr>
      </w:pPr>
      <w:r>
        <w:rPr>
          <w:rFonts w:ascii="Arial" w:cs="Arial" w:eastAsia="Arial" w:hAnsi="Arial"/>
          <w:sz w:val="22"/>
          <w:szCs w:val="22"/>
          <w:b w:val="1"/>
          <w:bCs w:val="1"/>
          <w:color w:val="auto"/>
        </w:rPr>
        <w:t>Securities Exchange Act of 1934</w:t>
      </w:r>
    </w:p>
    <w:p>
      <w:pPr>
        <w:spacing w:after="0" w:line="27" w:lineRule="exact"/>
        <w:rPr>
          <w:sz w:val="24"/>
          <w:szCs w:val="24"/>
          <w:color w:val="auto"/>
        </w:rPr>
      </w:pPr>
    </w:p>
    <w:p>
      <w:pPr>
        <w:ind w:left="120"/>
        <w:spacing w:after="0" w:line="207" w:lineRule="exact"/>
        <w:tabs>
          <w:tab w:leader="none" w:pos="3840" w:val="left"/>
        </w:tabs>
        <w:rPr>
          <w:sz w:val="20"/>
          <w:szCs w:val="20"/>
          <w:color w:val="auto"/>
        </w:rPr>
      </w:pPr>
      <w:r>
        <w:rPr>
          <w:rFonts w:ascii="Arial" w:cs="Arial" w:eastAsia="Arial" w:hAnsi="Arial"/>
          <w:sz w:val="18"/>
          <w:szCs w:val="18"/>
          <w:color w:val="auto"/>
        </w:rPr>
        <w:t xml:space="preserve">Filed by the Registrant </w:t>
      </w:r>
      <w:r>
        <w:rPr>
          <w:rFonts w:ascii="MS PGothic" w:cs="MS PGothic" w:eastAsia="MS PGothic" w:hAnsi="MS PGothic"/>
          <w:sz w:val="18"/>
          <w:szCs w:val="18"/>
          <w:color w:val="auto"/>
        </w:rPr>
        <w:t>☒</w:t>
      </w:r>
      <w:r>
        <w:rPr>
          <w:sz w:val="20"/>
          <w:szCs w:val="20"/>
          <w:color w:val="auto"/>
        </w:rPr>
        <w:tab/>
      </w:r>
      <w:r>
        <w:rPr>
          <w:rFonts w:ascii="Arial" w:cs="Arial" w:eastAsia="Arial" w:hAnsi="Arial"/>
          <w:sz w:val="16"/>
          <w:szCs w:val="16"/>
          <w:color w:val="auto"/>
        </w:rPr>
        <w:t xml:space="preserve">Filed by a Party other than the Registrant </w:t>
      </w:r>
      <w:r>
        <w:rPr>
          <w:rFonts w:ascii="MS PGothic" w:cs="MS PGothic" w:eastAsia="MS PGothic" w:hAnsi="MS PGothic"/>
          <w:sz w:val="16"/>
          <w:szCs w:val="16"/>
          <w:color w:val="auto"/>
        </w:rPr>
        <w:t>☐</w:t>
      </w:r>
    </w:p>
    <w:p>
      <w:pPr>
        <w:spacing w:after="0" w:line="93" w:lineRule="exact"/>
        <w:rPr>
          <w:sz w:val="24"/>
          <w:szCs w:val="24"/>
          <w:color w:val="auto"/>
        </w:rPr>
      </w:pPr>
    </w:p>
    <w:p>
      <w:pPr>
        <w:ind w:left="120"/>
        <w:spacing w:after="0"/>
        <w:rPr>
          <w:sz w:val="20"/>
          <w:szCs w:val="20"/>
          <w:color w:val="auto"/>
        </w:rPr>
      </w:pPr>
      <w:r>
        <w:rPr>
          <w:rFonts w:ascii="Arial" w:cs="Arial" w:eastAsia="Arial" w:hAnsi="Arial"/>
          <w:sz w:val="18"/>
          <w:szCs w:val="18"/>
          <w:color w:val="auto"/>
        </w:rPr>
        <w:t>Check the appropriate box:</w:t>
      </w:r>
    </w:p>
    <w:p>
      <w:pPr>
        <w:spacing w:after="0" w:line="77" w:lineRule="exact"/>
        <w:rPr>
          <w:sz w:val="24"/>
          <w:szCs w:val="24"/>
          <w:color w:val="auto"/>
        </w:rPr>
      </w:pPr>
    </w:p>
    <w:p>
      <w:pPr>
        <w:ind w:left="660" w:hanging="544"/>
        <w:spacing w:after="0"/>
        <w:tabs>
          <w:tab w:leader="none" w:pos="660" w:val="left"/>
        </w:tabs>
        <w:numPr>
          <w:ilvl w:val="0"/>
          <w:numId w:val="1"/>
        </w:numPr>
        <w:rPr>
          <w:rFonts w:ascii="MS PGothic" w:cs="MS PGothic" w:eastAsia="MS PGothic" w:hAnsi="MS PGothic"/>
          <w:sz w:val="18"/>
          <w:szCs w:val="18"/>
          <w:color w:val="auto"/>
        </w:rPr>
      </w:pPr>
      <w:r>
        <w:rPr>
          <w:rFonts w:ascii="Arial" w:cs="Arial" w:eastAsia="Arial" w:hAnsi="Arial"/>
          <w:sz w:val="18"/>
          <w:szCs w:val="18"/>
          <w:color w:val="auto"/>
        </w:rPr>
        <w:t>Preliminary Proxy Statement</w:t>
      </w:r>
    </w:p>
    <w:p>
      <w:pPr>
        <w:spacing w:after="0" w:line="59" w:lineRule="exact"/>
        <w:rPr>
          <w:rFonts w:ascii="MS PGothic" w:cs="MS PGothic" w:eastAsia="MS PGothic" w:hAnsi="MS PGothic"/>
          <w:sz w:val="18"/>
          <w:szCs w:val="18"/>
          <w:color w:val="auto"/>
        </w:rPr>
      </w:pPr>
    </w:p>
    <w:p>
      <w:pPr>
        <w:ind w:left="660" w:hanging="544"/>
        <w:spacing w:after="0"/>
        <w:tabs>
          <w:tab w:leader="none" w:pos="660" w:val="left"/>
        </w:tabs>
        <w:numPr>
          <w:ilvl w:val="0"/>
          <w:numId w:val="1"/>
        </w:numPr>
        <w:rPr>
          <w:rFonts w:ascii="MS PGothic" w:cs="MS PGothic" w:eastAsia="MS PGothic" w:hAnsi="MS PGothic"/>
          <w:sz w:val="18"/>
          <w:szCs w:val="18"/>
          <w:color w:val="auto"/>
        </w:rPr>
      </w:pPr>
      <w:r>
        <w:rPr>
          <w:rFonts w:ascii="Arial" w:cs="Arial" w:eastAsia="Arial" w:hAnsi="Arial"/>
          <w:sz w:val="18"/>
          <w:szCs w:val="18"/>
          <w:b w:val="1"/>
          <w:bCs w:val="1"/>
          <w:color w:val="auto"/>
        </w:rPr>
        <w:t>Confidential, for Use of the Commission Only (as permitted by Rule 14a-6(e)(2))</w:t>
      </w:r>
    </w:p>
    <w:p>
      <w:pPr>
        <w:spacing w:after="0" w:line="47" w:lineRule="exact"/>
        <w:rPr>
          <w:rFonts w:ascii="MS PGothic" w:cs="MS PGothic" w:eastAsia="MS PGothic" w:hAnsi="MS PGothic"/>
          <w:sz w:val="18"/>
          <w:szCs w:val="18"/>
          <w:color w:val="auto"/>
        </w:rPr>
      </w:pPr>
    </w:p>
    <w:p>
      <w:pPr>
        <w:ind w:left="120"/>
        <w:spacing w:after="0" w:line="207" w:lineRule="exact"/>
        <w:rPr>
          <w:rFonts w:ascii="MS PGothic" w:cs="MS PGothic" w:eastAsia="MS PGothic" w:hAnsi="MS PGothic"/>
          <w:sz w:val="18"/>
          <w:szCs w:val="18"/>
          <w:color w:val="auto"/>
        </w:rPr>
      </w:pPr>
      <w:r>
        <w:rPr>
          <w:rFonts w:ascii="MS PGothic" w:cs="MS PGothic" w:eastAsia="MS PGothic" w:hAnsi="MS PGothic"/>
          <w:sz w:val="18"/>
          <w:szCs w:val="18"/>
          <w:color w:val="auto"/>
        </w:rPr>
        <w:t>☒</w:t>
      </w:r>
      <w:r>
        <w:rPr>
          <w:rFonts w:ascii="Arial" w:cs="Arial" w:eastAsia="Arial" w:hAnsi="Arial"/>
          <w:sz w:val="16"/>
          <w:szCs w:val="16"/>
          <w:color w:val="auto"/>
        </w:rPr>
        <w:t>Definitive Proxy Statement</w:t>
      </w:r>
    </w:p>
    <w:p>
      <w:pPr>
        <w:spacing w:after="0" w:line="82" w:lineRule="exact"/>
        <w:rPr>
          <w:rFonts w:ascii="MS PGothic" w:cs="MS PGothic" w:eastAsia="MS PGothic" w:hAnsi="MS PGothic"/>
          <w:sz w:val="18"/>
          <w:szCs w:val="18"/>
          <w:color w:val="auto"/>
        </w:rPr>
      </w:pPr>
    </w:p>
    <w:p>
      <w:pPr>
        <w:ind w:left="660" w:hanging="544"/>
        <w:spacing w:after="0"/>
        <w:tabs>
          <w:tab w:leader="none" w:pos="660" w:val="left"/>
        </w:tabs>
        <w:numPr>
          <w:ilvl w:val="0"/>
          <w:numId w:val="1"/>
        </w:numPr>
        <w:rPr>
          <w:rFonts w:ascii="MS PGothic" w:cs="MS PGothic" w:eastAsia="MS PGothic" w:hAnsi="MS PGothic"/>
          <w:sz w:val="18"/>
          <w:szCs w:val="18"/>
          <w:color w:val="auto"/>
        </w:rPr>
      </w:pPr>
      <w:r>
        <w:rPr>
          <w:rFonts w:ascii="Arial" w:cs="Arial" w:eastAsia="Arial" w:hAnsi="Arial"/>
          <w:sz w:val="18"/>
          <w:szCs w:val="18"/>
          <w:color w:val="auto"/>
        </w:rPr>
        <w:t>Definitive Additional Materials</w:t>
      </w:r>
    </w:p>
    <w:p>
      <w:pPr>
        <w:spacing w:after="0" w:line="63" w:lineRule="exact"/>
        <w:rPr>
          <w:rFonts w:ascii="MS PGothic" w:cs="MS PGothic" w:eastAsia="MS PGothic" w:hAnsi="MS PGothic"/>
          <w:sz w:val="18"/>
          <w:szCs w:val="18"/>
          <w:color w:val="auto"/>
        </w:rPr>
      </w:pPr>
    </w:p>
    <w:p>
      <w:pPr>
        <w:ind w:left="660" w:hanging="544"/>
        <w:spacing w:after="0"/>
        <w:tabs>
          <w:tab w:leader="none" w:pos="660" w:val="left"/>
        </w:tabs>
        <w:numPr>
          <w:ilvl w:val="0"/>
          <w:numId w:val="1"/>
        </w:numPr>
        <w:rPr>
          <w:rFonts w:ascii="MS PGothic" w:cs="MS PGothic" w:eastAsia="MS PGothic" w:hAnsi="MS PGothic"/>
          <w:sz w:val="18"/>
          <w:szCs w:val="18"/>
          <w:color w:val="auto"/>
        </w:rPr>
      </w:pPr>
      <w:r>
        <w:rPr>
          <w:rFonts w:ascii="Arial" w:cs="Arial" w:eastAsia="Arial" w:hAnsi="Arial"/>
          <w:sz w:val="18"/>
          <w:szCs w:val="18"/>
          <w:color w:val="auto"/>
        </w:rPr>
        <w:t>Soliciting Material Pursuant to §240.14a-12</w:t>
      </w:r>
    </w:p>
    <w:p>
      <w:pPr>
        <w:spacing w:after="0" w:line="108" w:lineRule="exact"/>
        <w:rPr>
          <w:sz w:val="24"/>
          <w:szCs w:val="24"/>
          <w:color w:val="auto"/>
        </w:rPr>
      </w:pPr>
    </w:p>
    <w:p>
      <w:pPr>
        <w:jc w:val="center"/>
        <w:ind w:right="-219"/>
        <w:spacing w:after="0"/>
        <w:rPr>
          <w:sz w:val="20"/>
          <w:szCs w:val="20"/>
          <w:color w:val="auto"/>
        </w:rPr>
      </w:pPr>
      <w:r>
        <w:rPr>
          <w:rFonts w:ascii="Arial" w:cs="Arial" w:eastAsia="Arial" w:hAnsi="Arial"/>
          <w:sz w:val="25"/>
          <w:szCs w:val="25"/>
          <w:b w:val="1"/>
          <w:bCs w:val="1"/>
          <w:color w:val="auto"/>
        </w:rPr>
        <w:t>AGNC Investment Corp.</w:t>
      </w:r>
    </w:p>
    <w:p>
      <w:pPr>
        <w:spacing w:after="0" w:line="122" w:lineRule="exact"/>
        <w:rPr>
          <w:sz w:val="24"/>
          <w:szCs w:val="24"/>
          <w:color w:val="auto"/>
        </w:rPr>
      </w:pPr>
    </w:p>
    <w:p>
      <w:pPr>
        <w:ind w:left="3800"/>
        <w:spacing w:after="0"/>
        <w:rPr>
          <w:sz w:val="20"/>
          <w:szCs w:val="20"/>
          <w:color w:val="auto"/>
        </w:rPr>
      </w:pPr>
      <w:r>
        <w:rPr>
          <w:rFonts w:ascii="Arial" w:cs="Arial" w:eastAsia="Arial" w:hAnsi="Arial"/>
          <w:sz w:val="18"/>
          <w:szCs w:val="18"/>
          <w:b w:val="1"/>
          <w:bCs w:val="1"/>
          <w:color w:val="auto"/>
        </w:rPr>
        <w:t>(Name of Registrant as Specified in its Charter)</w:t>
      </w:r>
    </w:p>
    <w:p>
      <w:pPr>
        <w:spacing w:after="0" w:line="81" w:lineRule="exact"/>
        <w:rPr>
          <w:sz w:val="24"/>
          <w:szCs w:val="24"/>
          <w:color w:val="auto"/>
        </w:rPr>
      </w:pPr>
    </w:p>
    <w:p>
      <w:pPr>
        <w:ind w:left="680"/>
        <w:spacing w:after="0"/>
        <w:rPr>
          <w:sz w:val="20"/>
          <w:szCs w:val="20"/>
          <w:color w:val="auto"/>
        </w:rPr>
      </w:pPr>
      <w:r>
        <w:rPr>
          <w:rFonts w:ascii="Arial" w:cs="Arial" w:eastAsia="Arial" w:hAnsi="Arial"/>
          <w:sz w:val="18"/>
          <w:szCs w:val="18"/>
          <w:color w:val="auto"/>
        </w:rPr>
        <w:t>Payment of Filing Fee (Check the appropriate box):</w:t>
      </w:r>
    </w:p>
    <w:p>
      <w:pPr>
        <w:spacing w:after="0" w:line="63" w:lineRule="exact"/>
        <w:rPr>
          <w:sz w:val="24"/>
          <w:szCs w:val="24"/>
          <w:color w:val="auto"/>
        </w:rPr>
      </w:pPr>
    </w:p>
    <w:p>
      <w:pPr>
        <w:ind w:left="680" w:hanging="564"/>
        <w:spacing w:after="0"/>
        <w:tabs>
          <w:tab w:leader="none" w:pos="680" w:val="left"/>
        </w:tabs>
        <w:numPr>
          <w:ilvl w:val="0"/>
          <w:numId w:val="2"/>
        </w:numPr>
        <w:rPr>
          <w:rFonts w:ascii="MS PGothic" w:cs="MS PGothic" w:eastAsia="MS PGothic" w:hAnsi="MS PGothic"/>
          <w:sz w:val="18"/>
          <w:szCs w:val="18"/>
          <w:color w:val="auto"/>
        </w:rPr>
      </w:pPr>
      <w:r>
        <w:rPr>
          <w:rFonts w:ascii="Arial" w:cs="Arial" w:eastAsia="Arial" w:hAnsi="Arial"/>
          <w:sz w:val="18"/>
          <w:szCs w:val="18"/>
          <w:color w:val="auto"/>
        </w:rPr>
        <w:t>No fee required</w:t>
      </w:r>
    </w:p>
    <w:p>
      <w:pPr>
        <w:spacing w:after="0" w:line="63" w:lineRule="exact"/>
        <w:rPr>
          <w:sz w:val="24"/>
          <w:szCs w:val="24"/>
          <w:color w:val="auto"/>
        </w:rPr>
      </w:pPr>
    </w:p>
    <w:p>
      <w:pPr>
        <w:ind w:left="680" w:hanging="564"/>
        <w:spacing w:after="0"/>
        <w:tabs>
          <w:tab w:leader="none" w:pos="680" w:val="left"/>
        </w:tabs>
        <w:numPr>
          <w:ilvl w:val="0"/>
          <w:numId w:val="3"/>
        </w:numPr>
        <w:rPr>
          <w:rFonts w:ascii="MS PGothic" w:cs="MS PGothic" w:eastAsia="MS PGothic" w:hAnsi="MS PGothic"/>
          <w:sz w:val="18"/>
          <w:szCs w:val="18"/>
          <w:color w:val="auto"/>
        </w:rPr>
      </w:pPr>
      <w:r>
        <w:rPr>
          <w:rFonts w:ascii="Arial" w:cs="Arial" w:eastAsia="Arial" w:hAnsi="Arial"/>
          <w:sz w:val="18"/>
          <w:szCs w:val="18"/>
          <w:color w:val="auto"/>
        </w:rPr>
        <w:t>Fee computed on table below per Exchange Act Rules 14a-6(i)(4) and 0-11.</w:t>
      </w:r>
    </w:p>
    <w:p>
      <w:pPr>
        <w:spacing w:after="0" w:line="63" w:lineRule="exact"/>
        <w:rPr>
          <w:rFonts w:ascii="MS PGothic" w:cs="MS PGothic" w:eastAsia="MS PGothic" w:hAnsi="MS PGothic"/>
          <w:sz w:val="18"/>
          <w:szCs w:val="18"/>
          <w:color w:val="auto"/>
        </w:rPr>
      </w:pPr>
    </w:p>
    <w:p>
      <w:pPr>
        <w:ind w:left="1220" w:hanging="537"/>
        <w:spacing w:after="0"/>
        <w:tabs>
          <w:tab w:leader="none" w:pos="1220" w:val="left"/>
        </w:tabs>
        <w:numPr>
          <w:ilvl w:val="1"/>
          <w:numId w:val="3"/>
        </w:numPr>
        <w:rPr>
          <w:rFonts w:ascii="Arial" w:cs="Arial" w:eastAsia="Arial" w:hAnsi="Arial"/>
          <w:sz w:val="18"/>
          <w:szCs w:val="18"/>
          <w:color w:val="auto"/>
        </w:rPr>
      </w:pPr>
      <w:r>
        <w:rPr>
          <w:rFonts w:ascii="Arial" w:cs="Arial" w:eastAsia="Arial" w:hAnsi="Arial"/>
          <w:sz w:val="18"/>
          <w:szCs w:val="18"/>
          <w:color w:val="auto"/>
        </w:rPr>
        <w:t>Title of each class of securities to which transaction applies:</w:t>
      </w:r>
    </w:p>
    <w:p>
      <w:pPr>
        <w:spacing w:after="0" w:line="306" w:lineRule="exact"/>
        <w:rPr>
          <w:rFonts w:ascii="Arial" w:cs="Arial" w:eastAsia="Arial" w:hAnsi="Arial"/>
          <w:sz w:val="18"/>
          <w:szCs w:val="18"/>
          <w:color w:val="auto"/>
        </w:rPr>
      </w:pPr>
    </w:p>
    <w:p>
      <w:pPr>
        <w:ind w:left="1220" w:hanging="537"/>
        <w:spacing w:after="0"/>
        <w:tabs>
          <w:tab w:leader="none" w:pos="1220" w:val="left"/>
        </w:tabs>
        <w:numPr>
          <w:ilvl w:val="1"/>
          <w:numId w:val="3"/>
        </w:numPr>
        <w:rPr>
          <w:rFonts w:ascii="Arial" w:cs="Arial" w:eastAsia="Arial" w:hAnsi="Arial"/>
          <w:sz w:val="18"/>
          <w:szCs w:val="18"/>
          <w:color w:val="auto"/>
        </w:rPr>
      </w:pPr>
      <w:r>
        <w:rPr>
          <w:rFonts w:ascii="Arial" w:cs="Arial" w:eastAsia="Arial" w:hAnsi="Arial"/>
          <w:sz w:val="18"/>
          <w:szCs w:val="18"/>
          <w:color w:val="auto"/>
        </w:rPr>
        <w:t>Aggregate number of securities to which transaction applies:</w:t>
      </w:r>
    </w:p>
    <w:p>
      <w:pPr>
        <w:spacing w:after="0" w:line="306" w:lineRule="exact"/>
        <w:rPr>
          <w:rFonts w:ascii="Arial" w:cs="Arial" w:eastAsia="Arial" w:hAnsi="Arial"/>
          <w:sz w:val="18"/>
          <w:szCs w:val="18"/>
          <w:color w:val="auto"/>
        </w:rPr>
      </w:pPr>
    </w:p>
    <w:p>
      <w:pPr>
        <w:ind w:left="1220" w:hanging="537"/>
        <w:spacing w:after="0" w:line="277" w:lineRule="auto"/>
        <w:tabs>
          <w:tab w:leader="none" w:pos="1220" w:val="left"/>
        </w:tabs>
        <w:numPr>
          <w:ilvl w:val="1"/>
          <w:numId w:val="3"/>
        </w:numPr>
        <w:rPr>
          <w:rFonts w:ascii="Arial" w:cs="Arial" w:eastAsia="Arial" w:hAnsi="Arial"/>
          <w:sz w:val="18"/>
          <w:szCs w:val="18"/>
          <w:color w:val="auto"/>
        </w:rPr>
      </w:pPr>
      <w:r>
        <w:rPr>
          <w:rFonts w:ascii="Arial" w:cs="Arial" w:eastAsia="Arial" w:hAnsi="Arial"/>
          <w:sz w:val="18"/>
          <w:szCs w:val="18"/>
          <w:color w:val="auto"/>
        </w:rPr>
        <w:t>Per unit price or other underlying value of transaction computed pursuant to Exchange Act Rule 0-11 (set forth the amount on which the filing fee is calculated and state how it was determined):</w:t>
      </w:r>
    </w:p>
    <w:p>
      <w:pPr>
        <w:spacing w:after="0" w:line="251" w:lineRule="exact"/>
        <w:rPr>
          <w:rFonts w:ascii="Arial" w:cs="Arial" w:eastAsia="Arial" w:hAnsi="Arial"/>
          <w:sz w:val="18"/>
          <w:szCs w:val="18"/>
          <w:color w:val="auto"/>
        </w:rPr>
      </w:pPr>
    </w:p>
    <w:p>
      <w:pPr>
        <w:ind w:left="1220" w:hanging="537"/>
        <w:spacing w:after="0"/>
        <w:tabs>
          <w:tab w:leader="none" w:pos="1220" w:val="left"/>
        </w:tabs>
        <w:numPr>
          <w:ilvl w:val="1"/>
          <w:numId w:val="3"/>
        </w:numPr>
        <w:rPr>
          <w:rFonts w:ascii="Arial" w:cs="Arial" w:eastAsia="Arial" w:hAnsi="Arial"/>
          <w:sz w:val="18"/>
          <w:szCs w:val="18"/>
          <w:color w:val="auto"/>
        </w:rPr>
      </w:pPr>
      <w:r>
        <w:rPr>
          <w:rFonts w:ascii="Arial" w:cs="Arial" w:eastAsia="Arial" w:hAnsi="Arial"/>
          <w:sz w:val="18"/>
          <w:szCs w:val="18"/>
          <w:color w:val="auto"/>
        </w:rPr>
        <w:t>Proposed maximum aggregate value of transaction:</w:t>
      </w:r>
    </w:p>
    <w:p>
      <w:pPr>
        <w:spacing w:after="0" w:line="306" w:lineRule="exact"/>
        <w:rPr>
          <w:rFonts w:ascii="Arial" w:cs="Arial" w:eastAsia="Arial" w:hAnsi="Arial"/>
          <w:sz w:val="18"/>
          <w:szCs w:val="18"/>
          <w:color w:val="auto"/>
        </w:rPr>
      </w:pPr>
    </w:p>
    <w:p>
      <w:pPr>
        <w:ind w:left="1220" w:hanging="537"/>
        <w:spacing w:after="0"/>
        <w:tabs>
          <w:tab w:leader="none" w:pos="1220" w:val="left"/>
        </w:tabs>
        <w:numPr>
          <w:ilvl w:val="1"/>
          <w:numId w:val="3"/>
        </w:numPr>
        <w:rPr>
          <w:rFonts w:ascii="Arial" w:cs="Arial" w:eastAsia="Arial" w:hAnsi="Arial"/>
          <w:sz w:val="18"/>
          <w:szCs w:val="18"/>
          <w:color w:val="auto"/>
        </w:rPr>
      </w:pPr>
      <w:r>
        <w:rPr>
          <w:rFonts w:ascii="Arial" w:cs="Arial" w:eastAsia="Arial" w:hAnsi="Arial"/>
          <w:sz w:val="18"/>
          <w:szCs w:val="18"/>
          <w:color w:val="auto"/>
        </w:rPr>
        <w:t>Total fee paid:</w:t>
      </w:r>
    </w:p>
    <w:p>
      <w:pPr>
        <w:spacing w:after="0" w:line="306" w:lineRule="exact"/>
        <w:rPr>
          <w:rFonts w:ascii="Arial" w:cs="Arial" w:eastAsia="Arial" w:hAnsi="Arial"/>
          <w:sz w:val="18"/>
          <w:szCs w:val="18"/>
          <w:color w:val="auto"/>
        </w:rPr>
      </w:pPr>
    </w:p>
    <w:p>
      <w:pPr>
        <w:ind w:left="680" w:hanging="564"/>
        <w:spacing w:after="0"/>
        <w:tabs>
          <w:tab w:leader="none" w:pos="680" w:val="left"/>
        </w:tabs>
        <w:numPr>
          <w:ilvl w:val="0"/>
          <w:numId w:val="3"/>
        </w:numPr>
        <w:rPr>
          <w:rFonts w:ascii="MS PGothic" w:cs="MS PGothic" w:eastAsia="MS PGothic" w:hAnsi="MS PGothic"/>
          <w:sz w:val="18"/>
          <w:szCs w:val="18"/>
          <w:color w:val="auto"/>
        </w:rPr>
      </w:pPr>
      <w:r>
        <w:rPr>
          <w:rFonts w:ascii="Arial" w:cs="Arial" w:eastAsia="Arial" w:hAnsi="Arial"/>
          <w:sz w:val="18"/>
          <w:szCs w:val="18"/>
          <w:color w:val="auto"/>
        </w:rPr>
        <w:t>Fee paid previously with preliminary materials</w:t>
      </w:r>
    </w:p>
    <w:p>
      <w:pPr>
        <w:spacing w:after="0" w:line="63" w:lineRule="exact"/>
        <w:rPr>
          <w:rFonts w:ascii="MS PGothic" w:cs="MS PGothic" w:eastAsia="MS PGothic" w:hAnsi="MS PGothic"/>
          <w:sz w:val="18"/>
          <w:szCs w:val="18"/>
          <w:color w:val="auto"/>
        </w:rPr>
      </w:pPr>
    </w:p>
    <w:p>
      <w:pPr>
        <w:ind w:left="680" w:right="180" w:hanging="564"/>
        <w:spacing w:after="0" w:line="298" w:lineRule="auto"/>
        <w:tabs>
          <w:tab w:leader="none" w:pos="680" w:val="left"/>
        </w:tabs>
        <w:numPr>
          <w:ilvl w:val="0"/>
          <w:numId w:val="3"/>
        </w:numPr>
        <w:rPr>
          <w:rFonts w:ascii="MS PGothic" w:cs="MS PGothic" w:eastAsia="MS PGothic" w:hAnsi="MS PGothic"/>
          <w:sz w:val="17"/>
          <w:szCs w:val="17"/>
          <w:color w:val="auto"/>
        </w:rPr>
      </w:pPr>
      <w:r>
        <w:rPr>
          <w:rFonts w:ascii="Arial" w:cs="Arial" w:eastAsia="Arial" w:hAnsi="Arial"/>
          <w:sz w:val="17"/>
          <w:szCs w:val="17"/>
          <w:color w:val="auto"/>
        </w:rPr>
        <w:t>Check box if any part of the fee is offset as provided by Exchange Act Rule 0-11(a)(2) and identify the filing for which the offsetting fee was paid previously. Identify the previous filing by registration statement number, or the Form or Schedule and the date of its filing.</w:t>
      </w:r>
    </w:p>
    <w:p>
      <w:pPr>
        <w:ind w:left="1220" w:hanging="537"/>
        <w:spacing w:after="0"/>
        <w:tabs>
          <w:tab w:leader="none" w:pos="1220" w:val="left"/>
        </w:tabs>
        <w:numPr>
          <w:ilvl w:val="1"/>
          <w:numId w:val="3"/>
        </w:numPr>
        <w:rPr>
          <w:rFonts w:ascii="Arial" w:cs="Arial" w:eastAsia="Arial" w:hAnsi="Arial"/>
          <w:sz w:val="18"/>
          <w:szCs w:val="18"/>
          <w:color w:val="auto"/>
        </w:rPr>
      </w:pPr>
      <w:r>
        <w:rPr>
          <w:rFonts w:ascii="Arial" w:cs="Arial" w:eastAsia="Arial" w:hAnsi="Arial"/>
          <w:sz w:val="18"/>
          <w:szCs w:val="18"/>
          <w:color w:val="auto"/>
        </w:rPr>
        <w:t>Amount Previously Paid:</w:t>
      </w:r>
    </w:p>
    <w:p>
      <w:pPr>
        <w:spacing w:after="0" w:line="306" w:lineRule="exact"/>
        <w:rPr>
          <w:rFonts w:ascii="Arial" w:cs="Arial" w:eastAsia="Arial" w:hAnsi="Arial"/>
          <w:sz w:val="18"/>
          <w:szCs w:val="18"/>
          <w:color w:val="auto"/>
        </w:rPr>
      </w:pPr>
    </w:p>
    <w:p>
      <w:pPr>
        <w:ind w:left="1220" w:hanging="537"/>
        <w:spacing w:after="0"/>
        <w:tabs>
          <w:tab w:leader="none" w:pos="1220" w:val="left"/>
        </w:tabs>
        <w:numPr>
          <w:ilvl w:val="1"/>
          <w:numId w:val="3"/>
        </w:numPr>
        <w:rPr>
          <w:rFonts w:ascii="Arial" w:cs="Arial" w:eastAsia="Arial" w:hAnsi="Arial"/>
          <w:sz w:val="18"/>
          <w:szCs w:val="18"/>
          <w:color w:val="auto"/>
        </w:rPr>
      </w:pPr>
      <w:r>
        <w:rPr>
          <w:rFonts w:ascii="Arial" w:cs="Arial" w:eastAsia="Arial" w:hAnsi="Arial"/>
          <w:sz w:val="18"/>
          <w:szCs w:val="18"/>
          <w:color w:val="auto"/>
        </w:rPr>
        <w:t>Form, Schedule or Registration Statement No.:</w:t>
      </w:r>
    </w:p>
    <w:p>
      <w:pPr>
        <w:spacing w:after="0" w:line="306" w:lineRule="exact"/>
        <w:rPr>
          <w:rFonts w:ascii="Arial" w:cs="Arial" w:eastAsia="Arial" w:hAnsi="Arial"/>
          <w:sz w:val="18"/>
          <w:szCs w:val="18"/>
          <w:color w:val="auto"/>
        </w:rPr>
      </w:pPr>
    </w:p>
    <w:p>
      <w:pPr>
        <w:ind w:left="1220" w:hanging="537"/>
        <w:spacing w:after="0"/>
        <w:tabs>
          <w:tab w:leader="none" w:pos="1220" w:val="left"/>
        </w:tabs>
        <w:numPr>
          <w:ilvl w:val="1"/>
          <w:numId w:val="3"/>
        </w:numPr>
        <w:rPr>
          <w:rFonts w:ascii="Arial" w:cs="Arial" w:eastAsia="Arial" w:hAnsi="Arial"/>
          <w:sz w:val="18"/>
          <w:szCs w:val="18"/>
          <w:color w:val="auto"/>
        </w:rPr>
      </w:pPr>
      <w:r>
        <w:rPr>
          <w:rFonts w:ascii="Arial" w:cs="Arial" w:eastAsia="Arial" w:hAnsi="Arial"/>
          <w:sz w:val="18"/>
          <w:szCs w:val="18"/>
          <w:color w:val="auto"/>
        </w:rPr>
        <w:t>Filing Party:</w:t>
      </w:r>
    </w:p>
    <w:p>
      <w:pPr>
        <w:spacing w:after="0" w:line="306" w:lineRule="exact"/>
        <w:rPr>
          <w:rFonts w:ascii="Arial" w:cs="Arial" w:eastAsia="Arial" w:hAnsi="Arial"/>
          <w:sz w:val="18"/>
          <w:szCs w:val="18"/>
          <w:color w:val="auto"/>
        </w:rPr>
      </w:pPr>
    </w:p>
    <w:p>
      <w:pPr>
        <w:ind w:left="1220" w:hanging="537"/>
        <w:spacing w:after="0"/>
        <w:tabs>
          <w:tab w:leader="none" w:pos="1220" w:val="left"/>
        </w:tabs>
        <w:numPr>
          <w:ilvl w:val="1"/>
          <w:numId w:val="3"/>
        </w:numPr>
        <w:rPr>
          <w:rFonts w:ascii="Arial" w:cs="Arial" w:eastAsia="Arial" w:hAnsi="Arial"/>
          <w:sz w:val="18"/>
          <w:szCs w:val="18"/>
          <w:color w:val="auto"/>
        </w:rPr>
      </w:pPr>
      <w:r>
        <w:rPr>
          <w:rFonts w:ascii="Arial" w:cs="Arial" w:eastAsia="Arial" w:hAnsi="Arial"/>
          <w:sz w:val="18"/>
          <w:szCs w:val="18"/>
          <w:color w:val="auto"/>
        </w:rPr>
        <w:t>Date Filed:</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776605</wp:posOffset>
            </wp:positionH>
            <wp:positionV relativeFrom="paragraph">
              <wp:posOffset>-3070860</wp:posOffset>
            </wp:positionV>
            <wp:extent cx="6292215" cy="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6292215" cy="8890"/>
                    </a:xfrm>
                    <a:prstGeom prst="rect">
                      <a:avLst/>
                    </a:prstGeom>
                    <a:noFill/>
                  </pic:spPr>
                </pic:pic>
              </a:graphicData>
            </a:graphic>
          </wp:anchor>
        </w:drawing>
        <w:drawing>
          <wp:anchor simplePos="0" relativeHeight="251657728" behindDoc="1" locked="0" layoutInCell="0" allowOverlap="1">
            <wp:simplePos x="0" y="0"/>
            <wp:positionH relativeFrom="column">
              <wp:posOffset>776605</wp:posOffset>
            </wp:positionH>
            <wp:positionV relativeFrom="paragraph">
              <wp:posOffset>-2745105</wp:posOffset>
            </wp:positionV>
            <wp:extent cx="6292215" cy="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6292215" cy="8890"/>
                    </a:xfrm>
                    <a:prstGeom prst="rect">
                      <a:avLst/>
                    </a:prstGeom>
                    <a:noFill/>
                  </pic:spPr>
                </pic:pic>
              </a:graphicData>
            </a:graphic>
          </wp:anchor>
        </w:drawing>
        <w:drawing>
          <wp:anchor simplePos="0" relativeHeight="251657728" behindDoc="1" locked="0" layoutInCell="0" allowOverlap="1">
            <wp:simplePos x="0" y="0"/>
            <wp:positionH relativeFrom="column">
              <wp:posOffset>776605</wp:posOffset>
            </wp:positionH>
            <wp:positionV relativeFrom="paragraph">
              <wp:posOffset>-2282190</wp:posOffset>
            </wp:positionV>
            <wp:extent cx="6292215" cy="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6292215" cy="8255"/>
                    </a:xfrm>
                    <a:prstGeom prst="rect">
                      <a:avLst/>
                    </a:prstGeom>
                    <a:noFill/>
                  </pic:spPr>
                </pic:pic>
              </a:graphicData>
            </a:graphic>
          </wp:anchor>
        </w:drawing>
        <w:drawing>
          <wp:anchor simplePos="0" relativeHeight="251657728" behindDoc="1" locked="0" layoutInCell="0" allowOverlap="1">
            <wp:simplePos x="0" y="0"/>
            <wp:positionH relativeFrom="column">
              <wp:posOffset>776605</wp:posOffset>
            </wp:positionH>
            <wp:positionV relativeFrom="paragraph">
              <wp:posOffset>-1956435</wp:posOffset>
            </wp:positionV>
            <wp:extent cx="6292215" cy="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6292215" cy="8255"/>
                    </a:xfrm>
                    <a:prstGeom prst="rect">
                      <a:avLst/>
                    </a:prstGeom>
                    <a:noFill/>
                  </pic:spPr>
                </pic:pic>
              </a:graphicData>
            </a:graphic>
          </wp:anchor>
        </w:drawing>
        <w:drawing>
          <wp:anchor simplePos="0" relativeHeight="251657728" behindDoc="1" locked="0" layoutInCell="0" allowOverlap="1">
            <wp:simplePos x="0" y="0"/>
            <wp:positionH relativeFrom="column">
              <wp:posOffset>776605</wp:posOffset>
            </wp:positionH>
            <wp:positionV relativeFrom="paragraph">
              <wp:posOffset>-1630680</wp:posOffset>
            </wp:positionV>
            <wp:extent cx="6292215" cy="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6292215" cy="8255"/>
                    </a:xfrm>
                    <a:prstGeom prst="rect">
                      <a:avLst/>
                    </a:prstGeom>
                    <a:noFill/>
                  </pic:spPr>
                </pic:pic>
              </a:graphicData>
            </a:graphic>
          </wp:anchor>
        </w:drawing>
        <w:drawing>
          <wp:anchor simplePos="0" relativeHeight="251657728" behindDoc="1" locked="0" layoutInCell="0" allowOverlap="1">
            <wp:simplePos x="0" y="0"/>
            <wp:positionH relativeFrom="column">
              <wp:posOffset>776605</wp:posOffset>
            </wp:positionH>
            <wp:positionV relativeFrom="paragraph">
              <wp:posOffset>-824865</wp:posOffset>
            </wp:positionV>
            <wp:extent cx="6292215" cy="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6292215" cy="8890"/>
                    </a:xfrm>
                    <a:prstGeom prst="rect">
                      <a:avLst/>
                    </a:prstGeom>
                    <a:noFill/>
                  </pic:spPr>
                </pic:pic>
              </a:graphicData>
            </a:graphic>
          </wp:anchor>
        </w:drawing>
        <w:drawing>
          <wp:anchor simplePos="0" relativeHeight="251657728" behindDoc="1" locked="0" layoutInCell="0" allowOverlap="1">
            <wp:simplePos x="0" y="0"/>
            <wp:positionH relativeFrom="column">
              <wp:posOffset>776605</wp:posOffset>
            </wp:positionH>
            <wp:positionV relativeFrom="paragraph">
              <wp:posOffset>-499110</wp:posOffset>
            </wp:positionV>
            <wp:extent cx="6292215" cy="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6292215" cy="8890"/>
                    </a:xfrm>
                    <a:prstGeom prst="rect">
                      <a:avLst/>
                    </a:prstGeom>
                    <a:noFill/>
                  </pic:spPr>
                </pic:pic>
              </a:graphicData>
            </a:graphic>
          </wp:anchor>
        </w:drawing>
        <w:drawing>
          <wp:anchor simplePos="0" relativeHeight="251657728" behindDoc="1" locked="0" layoutInCell="0" allowOverlap="1">
            <wp:simplePos x="0" y="0"/>
            <wp:positionH relativeFrom="column">
              <wp:posOffset>776605</wp:posOffset>
            </wp:positionH>
            <wp:positionV relativeFrom="paragraph">
              <wp:posOffset>-173355</wp:posOffset>
            </wp:positionV>
            <wp:extent cx="6292215" cy="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6292215" cy="8890"/>
                    </a:xfrm>
                    <a:prstGeom prst="rect">
                      <a:avLst/>
                    </a:prstGeom>
                    <a:noFill/>
                  </pic:spPr>
                </pic:pic>
              </a:graphicData>
            </a:graphic>
          </wp:anchor>
        </w:drawing>
        <w:drawing>
          <wp:anchor simplePos="0" relativeHeight="251657728" behindDoc="1" locked="0" layoutInCell="0" allowOverlap="1">
            <wp:simplePos x="0" y="0"/>
            <wp:positionH relativeFrom="column">
              <wp:posOffset>776605</wp:posOffset>
            </wp:positionH>
            <wp:positionV relativeFrom="paragraph">
              <wp:posOffset>151765</wp:posOffset>
            </wp:positionV>
            <wp:extent cx="6292215" cy="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6292215" cy="8890"/>
                    </a:xfrm>
                    <a:prstGeom prst="rect">
                      <a:avLst/>
                    </a:prstGeom>
                    <a:noFill/>
                  </pic:spPr>
                </pic:pic>
              </a:graphicData>
            </a:graphic>
          </wp:anchor>
        </w:drawing>
      </w:r>
    </w:p>
    <w:p>
      <w:pPr>
        <w:sectPr>
          <w:pgSz w:w="11900" w:h="16838" w:orient="portrait"/>
          <w:cols w:equalWidth="0" w:num="1">
            <w:col w:w="11020"/>
          </w:cols>
          <w:pgMar w:left="320" w:top="230" w:right="559" w:bottom="1440" w:gutter="0" w:footer="0" w:header="0"/>
        </w:sectPr>
      </w:pPr>
    </w:p>
    <w:bookmarkStart w:id="1" w:name="page2"/>
    <w:bookmarkEnd w:id="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1530985</wp:posOffset>
            </wp:positionH>
            <wp:positionV relativeFrom="paragraph">
              <wp:posOffset>205740</wp:posOffset>
            </wp:positionV>
            <wp:extent cx="4080510" cy="124333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4080510" cy="12433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jc w:val="center"/>
        <w:ind w:right="-219"/>
        <w:spacing w:after="0"/>
        <w:rPr>
          <w:sz w:val="20"/>
          <w:szCs w:val="20"/>
          <w:color w:val="auto"/>
        </w:rPr>
      </w:pPr>
      <w:r>
        <w:rPr>
          <w:rFonts w:ascii="Arial" w:cs="Arial" w:eastAsia="Arial" w:hAnsi="Arial"/>
          <w:sz w:val="22"/>
          <w:szCs w:val="22"/>
          <w:b w:val="1"/>
          <w:bCs w:val="1"/>
          <w:color w:val="407CCA"/>
        </w:rPr>
        <w:t>AGNC INVESTMENT CORP.</w:t>
      </w:r>
    </w:p>
    <w:p>
      <w:pPr>
        <w:spacing w:after="0" w:line="4" w:lineRule="exact"/>
        <w:rPr>
          <w:sz w:val="20"/>
          <w:szCs w:val="20"/>
          <w:color w:val="auto"/>
        </w:rPr>
      </w:pPr>
    </w:p>
    <w:p>
      <w:pPr>
        <w:jc w:val="center"/>
        <w:ind w:right="-219"/>
        <w:spacing w:after="0"/>
        <w:rPr>
          <w:sz w:val="20"/>
          <w:szCs w:val="20"/>
          <w:color w:val="auto"/>
        </w:rPr>
      </w:pPr>
      <w:r>
        <w:rPr>
          <w:rFonts w:ascii="Arial" w:cs="Arial" w:eastAsia="Arial" w:hAnsi="Arial"/>
          <w:sz w:val="22"/>
          <w:szCs w:val="22"/>
          <w:b w:val="1"/>
          <w:bCs w:val="1"/>
          <w:color w:val="407CCA"/>
        </w:rPr>
        <w:t>NOTICE OF 2020 ANNUAL MEETING OF</w:t>
      </w:r>
    </w:p>
    <w:p>
      <w:pPr>
        <w:jc w:val="center"/>
        <w:ind w:right="-219"/>
        <w:spacing w:after="0"/>
        <w:rPr>
          <w:sz w:val="20"/>
          <w:szCs w:val="20"/>
          <w:color w:val="auto"/>
        </w:rPr>
      </w:pPr>
      <w:r>
        <w:rPr>
          <w:rFonts w:ascii="Arial" w:cs="Arial" w:eastAsia="Arial" w:hAnsi="Arial"/>
          <w:sz w:val="21"/>
          <w:szCs w:val="21"/>
          <w:b w:val="1"/>
          <w:bCs w:val="1"/>
          <w:color w:val="407CCA"/>
        </w:rPr>
        <w:t>STOCKHOLDERS TO BE HELD ON APRIL 23, 2020</w:t>
      </w:r>
    </w:p>
    <w:p>
      <w:pPr>
        <w:sectPr>
          <w:pgSz w:w="11900" w:h="16838" w:orient="portrait"/>
          <w:cols w:equalWidth="0" w:num="1">
            <w:col w:w="11020"/>
          </w:cols>
          <w:pgMar w:left="320" w:top="459" w:right="559" w:bottom="1440" w:gutter="0" w:footer="0" w:header="0"/>
        </w:sectPr>
      </w:pPr>
    </w:p>
    <w:p>
      <w:pPr>
        <w:spacing w:after="0" w:line="230"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DATE AND TIME:</w:t>
      </w:r>
    </w:p>
    <w:p>
      <w:pPr>
        <w:spacing w:after="0" w:line="20" w:lineRule="exact"/>
        <w:rPr>
          <w:sz w:val="20"/>
          <w:szCs w:val="20"/>
          <w:color w:val="auto"/>
        </w:rPr>
      </w:pPr>
      <w:r>
        <w:rPr>
          <w:sz w:val="20"/>
          <w:szCs w:val="20"/>
          <w:color w:val="auto"/>
        </w:rPr>
        <w:br w:type="column"/>
      </w:r>
    </w:p>
    <w:p>
      <w:pPr>
        <w:spacing w:after="0" w:line="214" w:lineRule="exact"/>
        <w:rPr>
          <w:sz w:val="20"/>
          <w:szCs w:val="20"/>
          <w:color w:val="auto"/>
        </w:rPr>
      </w:pPr>
    </w:p>
    <w:p>
      <w:pPr>
        <w:spacing w:after="0"/>
        <w:rPr>
          <w:sz w:val="20"/>
          <w:szCs w:val="20"/>
          <w:color w:val="auto"/>
        </w:rPr>
      </w:pPr>
      <w:r>
        <w:rPr>
          <w:rFonts w:ascii="Arial" w:cs="Arial" w:eastAsia="Arial" w:hAnsi="Arial"/>
          <w:sz w:val="16"/>
          <w:szCs w:val="16"/>
          <w:color w:val="auto"/>
        </w:rPr>
        <w:t>Thursday, April 23, 2020, at 9:00 a.m., Eastern Time</w:t>
      </w:r>
    </w:p>
    <w:p>
      <w:pPr>
        <w:spacing w:after="0" w:line="135" w:lineRule="exact"/>
        <w:rPr>
          <w:sz w:val="20"/>
          <w:szCs w:val="20"/>
          <w:color w:val="auto"/>
        </w:rPr>
      </w:pPr>
    </w:p>
    <w:p>
      <w:pPr>
        <w:sectPr>
          <w:pgSz w:w="11900" w:h="16838" w:orient="portrait"/>
          <w:cols w:equalWidth="0" w:num="2">
            <w:col w:w="2300" w:space="720"/>
            <w:col w:w="8000"/>
          </w:cols>
          <w:pgMar w:left="320" w:top="459" w:right="559" w:bottom="1440" w:gutter="0" w:footer="0" w:header="0"/>
          <w:type w:val="continuous"/>
        </w:sectPr>
      </w:pPr>
    </w:p>
    <w:p>
      <w:pPr>
        <w:ind w:left="120"/>
        <w:spacing w:after="0"/>
        <w:rPr>
          <w:sz w:val="20"/>
          <w:szCs w:val="20"/>
          <w:color w:val="auto"/>
        </w:rPr>
      </w:pPr>
      <w:r>
        <w:rPr>
          <w:rFonts w:ascii="Arial" w:cs="Arial" w:eastAsia="Arial" w:hAnsi="Arial"/>
          <w:sz w:val="17"/>
          <w:szCs w:val="17"/>
          <w:b w:val="1"/>
          <w:bCs w:val="1"/>
          <w:color w:val="auto"/>
        </w:rPr>
        <w:t>PLACE:</w:t>
      </w:r>
    </w:p>
    <w:p>
      <w:pPr>
        <w:spacing w:after="0" w:line="20" w:lineRule="exact"/>
        <w:rPr>
          <w:sz w:val="20"/>
          <w:szCs w:val="20"/>
          <w:color w:val="auto"/>
        </w:rPr>
      </w:pPr>
      <w:r>
        <w:rPr>
          <w:sz w:val="20"/>
          <w:szCs w:val="20"/>
          <w:color w:val="auto"/>
        </w:rPr>
        <w:br w:type="column"/>
      </w:r>
    </w:p>
    <w:p>
      <w:pPr>
        <w:jc w:val="center"/>
        <w:ind w:right="2360"/>
        <w:spacing w:after="0"/>
        <w:rPr>
          <w:sz w:val="20"/>
          <w:szCs w:val="20"/>
          <w:color w:val="auto"/>
        </w:rPr>
      </w:pPr>
      <w:r>
        <w:rPr>
          <w:rFonts w:ascii="Arial" w:cs="Arial" w:eastAsia="Arial" w:hAnsi="Arial"/>
          <w:sz w:val="16"/>
          <w:szCs w:val="16"/>
          <w:color w:val="auto"/>
        </w:rPr>
        <w:t>Hyatt Regency Bethesda, 7400 Wisconsin Avenue, Bethesda, Maryland 20814</w:t>
      </w:r>
    </w:p>
    <w:p>
      <w:pPr>
        <w:spacing w:after="0" w:line="136" w:lineRule="exact"/>
        <w:rPr>
          <w:sz w:val="20"/>
          <w:szCs w:val="20"/>
          <w:color w:val="auto"/>
        </w:rPr>
      </w:pPr>
    </w:p>
    <w:p>
      <w:pPr>
        <w:sectPr>
          <w:pgSz w:w="11900" w:h="16838" w:orient="portrait"/>
          <w:cols w:equalWidth="0" w:num="2">
            <w:col w:w="2300" w:space="720"/>
            <w:col w:w="8000"/>
          </w:cols>
          <w:pgMar w:left="320" w:top="459" w:right="559" w:bottom="1440" w:gutter="0" w:footer="0" w:header="0"/>
          <w:type w:val="continuous"/>
        </w:sectPr>
      </w:pPr>
    </w:p>
    <w:p>
      <w:pPr>
        <w:ind w:left="120"/>
        <w:spacing w:after="0"/>
        <w:rPr>
          <w:sz w:val="20"/>
          <w:szCs w:val="20"/>
          <w:color w:val="auto"/>
        </w:rPr>
      </w:pPr>
      <w:r>
        <w:rPr>
          <w:rFonts w:ascii="Arial" w:cs="Arial" w:eastAsia="Arial" w:hAnsi="Arial"/>
          <w:sz w:val="17"/>
          <w:szCs w:val="17"/>
          <w:b w:val="1"/>
          <w:bCs w:val="1"/>
          <w:color w:val="auto"/>
        </w:rPr>
        <w:t>ITEMS OF BUSINESS:</w:t>
      </w:r>
    </w:p>
    <w:p>
      <w:pPr>
        <w:spacing w:after="0" w:line="20" w:lineRule="exact"/>
        <w:rPr>
          <w:sz w:val="20"/>
          <w:szCs w:val="20"/>
          <w:color w:val="auto"/>
        </w:rPr>
      </w:pPr>
      <w:r>
        <w:rPr>
          <w:sz w:val="20"/>
          <w:szCs w:val="20"/>
          <w:color w:val="auto"/>
        </w:rPr>
        <w:br w:type="column"/>
      </w:r>
    </w:p>
    <w:p>
      <w:pPr>
        <w:ind w:hanging="319"/>
        <w:spacing w:after="0" w:line="277" w:lineRule="auto"/>
        <w:rPr>
          <w:sz w:val="20"/>
          <w:szCs w:val="20"/>
          <w:color w:val="auto"/>
        </w:rPr>
      </w:pPr>
      <w:r>
        <w:rPr>
          <w:rFonts w:ascii="Arial" w:cs="Arial" w:eastAsia="Arial" w:hAnsi="Arial"/>
          <w:sz w:val="18"/>
          <w:szCs w:val="18"/>
          <w:color w:val="auto"/>
        </w:rPr>
        <w:t>1)</w:t>
      </w:r>
      <w:r>
        <w:rPr>
          <w:sz w:val="20"/>
          <w:szCs w:val="20"/>
          <w:color w:val="auto"/>
        </w:rPr>
        <w:t xml:space="preserve"> </w:t>
      </w:r>
      <w:r>
        <w:rPr>
          <w:rFonts w:ascii="Arial" w:cs="Arial" w:eastAsia="Arial" w:hAnsi="Arial"/>
          <w:sz w:val="18"/>
          <w:szCs w:val="18"/>
          <w:color w:val="auto"/>
        </w:rPr>
        <w:t>To elect the Board of Directors, with each director serving a one-year term and until his or her successor is elected and qualified;</w:t>
      </w:r>
    </w:p>
    <w:p>
      <w:pPr>
        <w:spacing w:after="0" w:line="62" w:lineRule="exact"/>
        <w:rPr>
          <w:sz w:val="20"/>
          <w:szCs w:val="20"/>
          <w:color w:val="auto"/>
        </w:rPr>
      </w:pPr>
    </w:p>
    <w:p>
      <w:pPr>
        <w:sectPr>
          <w:pgSz w:w="11900" w:h="16838" w:orient="portrait"/>
          <w:cols w:equalWidth="0" w:num="2">
            <w:col w:w="2620" w:space="720"/>
            <w:col w:w="7680"/>
          </w:cols>
          <w:pgMar w:left="320" w:top="459" w:right="559" w:bottom="1440" w:gutter="0" w:footer="0" w:header="0"/>
          <w:type w:val="continuous"/>
        </w:sectPr>
      </w:pPr>
    </w:p>
    <w:p>
      <w:pPr>
        <w:ind w:left="3340" w:right="280" w:hanging="299"/>
        <w:spacing w:after="0" w:line="342" w:lineRule="auto"/>
        <w:tabs>
          <w:tab w:leader="none" w:pos="3320" w:val="left"/>
        </w:tabs>
        <w:rPr>
          <w:sz w:val="20"/>
          <w:szCs w:val="20"/>
          <w:color w:val="auto"/>
        </w:rPr>
      </w:pPr>
      <w:r>
        <w:rPr>
          <w:rFonts w:ascii="Arial" w:cs="Arial" w:eastAsia="Arial" w:hAnsi="Arial"/>
          <w:sz w:val="16"/>
          <w:szCs w:val="16"/>
          <w:color w:val="auto"/>
        </w:rPr>
        <w:t>2)</w:t>
        <w:tab/>
        <w:t>To consider and vote upon an amendment to our Amended and Restated Certificate of Incorporation to increase the total authorized number of shares of common stock from 900,000,000 to 1,500,000,000;</w:t>
      </w:r>
    </w:p>
    <w:p>
      <w:pPr>
        <w:spacing w:after="0" w:line="16" w:lineRule="exact"/>
        <w:rPr>
          <w:sz w:val="20"/>
          <w:szCs w:val="20"/>
          <w:color w:val="auto"/>
        </w:rPr>
      </w:pPr>
    </w:p>
    <w:p>
      <w:pPr>
        <w:ind w:left="3040"/>
        <w:spacing w:after="0"/>
        <w:tabs>
          <w:tab w:leader="none" w:pos="3320" w:val="left"/>
        </w:tabs>
        <w:rPr>
          <w:sz w:val="20"/>
          <w:szCs w:val="20"/>
          <w:color w:val="auto"/>
        </w:rPr>
      </w:pPr>
      <w:r>
        <w:rPr>
          <w:rFonts w:ascii="Arial" w:cs="Arial" w:eastAsia="Arial" w:hAnsi="Arial"/>
          <w:sz w:val="18"/>
          <w:szCs w:val="18"/>
          <w:color w:val="auto"/>
        </w:rPr>
        <w:t>3)</w:t>
      </w:r>
      <w:r>
        <w:rPr>
          <w:sz w:val="20"/>
          <w:szCs w:val="20"/>
          <w:color w:val="auto"/>
        </w:rPr>
        <w:tab/>
      </w:r>
      <w:r>
        <w:rPr>
          <w:rFonts w:ascii="Arial" w:cs="Arial" w:eastAsia="Arial" w:hAnsi="Arial"/>
          <w:sz w:val="16"/>
          <w:szCs w:val="16"/>
          <w:color w:val="auto"/>
        </w:rPr>
        <w:t>To approve an advisory resolution on executive compensation;</w:t>
      </w:r>
    </w:p>
    <w:p>
      <w:pPr>
        <w:spacing w:after="0" w:line="117" w:lineRule="exact"/>
        <w:rPr>
          <w:sz w:val="20"/>
          <w:szCs w:val="20"/>
          <w:color w:val="auto"/>
        </w:rPr>
      </w:pPr>
    </w:p>
    <w:p>
      <w:pPr>
        <w:ind w:left="3340" w:right="500" w:hanging="299"/>
        <w:spacing w:after="0" w:line="277" w:lineRule="auto"/>
        <w:tabs>
          <w:tab w:leader="none" w:pos="3320" w:val="left"/>
        </w:tabs>
        <w:rPr>
          <w:sz w:val="20"/>
          <w:szCs w:val="20"/>
          <w:color w:val="auto"/>
        </w:rPr>
      </w:pPr>
      <w:r>
        <w:rPr>
          <w:rFonts w:ascii="Arial" w:cs="Arial" w:eastAsia="Arial" w:hAnsi="Arial"/>
          <w:sz w:val="18"/>
          <w:szCs w:val="18"/>
          <w:color w:val="auto"/>
        </w:rPr>
        <w:t>4)</w:t>
        <w:tab/>
        <w:t>To consider and vote upon the ratification of the appointment of Ernst &amp; Young LLP to serve as our independent public accountant for the year ending December 31, 2020; and</w:t>
      </w:r>
    </w:p>
    <w:p>
      <w:pPr>
        <w:spacing w:after="0" w:line="62" w:lineRule="exact"/>
        <w:rPr>
          <w:sz w:val="20"/>
          <w:szCs w:val="20"/>
          <w:color w:val="auto"/>
        </w:rPr>
      </w:pPr>
    </w:p>
    <w:p>
      <w:pPr>
        <w:ind w:left="3340" w:right="660" w:hanging="299"/>
        <w:spacing w:after="0" w:line="277" w:lineRule="auto"/>
        <w:tabs>
          <w:tab w:leader="none" w:pos="3320" w:val="left"/>
        </w:tabs>
        <w:rPr>
          <w:sz w:val="20"/>
          <w:szCs w:val="20"/>
          <w:color w:val="auto"/>
        </w:rPr>
      </w:pPr>
      <w:r>
        <w:rPr>
          <w:rFonts w:ascii="Arial" w:cs="Arial" w:eastAsia="Arial" w:hAnsi="Arial"/>
          <w:sz w:val="18"/>
          <w:szCs w:val="18"/>
          <w:color w:val="auto"/>
        </w:rPr>
        <w:t>5)</w:t>
        <w:tab/>
        <w:t>To transact such other business as may properly come before the meeting or any postponement or adjournment thereof.</w:t>
      </w:r>
    </w:p>
    <w:p>
      <w:pPr>
        <w:spacing w:after="0" w:line="62" w:lineRule="exact"/>
        <w:rPr>
          <w:sz w:val="20"/>
          <w:szCs w:val="20"/>
          <w:color w:val="auto"/>
        </w:rPr>
      </w:pPr>
    </w:p>
    <w:p>
      <w:pPr>
        <w:ind w:left="3020" w:right="1780"/>
        <w:spacing w:after="0" w:line="277" w:lineRule="auto"/>
        <w:rPr>
          <w:sz w:val="20"/>
          <w:szCs w:val="20"/>
          <w:color w:val="auto"/>
        </w:rPr>
      </w:pPr>
      <w:r>
        <w:rPr>
          <w:rFonts w:ascii="Arial" w:cs="Arial" w:eastAsia="Arial" w:hAnsi="Arial"/>
          <w:sz w:val="18"/>
          <w:szCs w:val="18"/>
          <w:color w:val="auto"/>
        </w:rPr>
        <w:t>In addition, there will be a presentation on our business, and stockholders will have an opportunity to ask questions.</w:t>
      </w:r>
    </w:p>
    <w:p>
      <w:pPr>
        <w:sectPr>
          <w:pgSz w:w="11900" w:h="16838" w:orient="portrait"/>
          <w:cols w:equalWidth="0" w:num="1">
            <w:col w:w="11020"/>
          </w:cols>
          <w:pgMar w:left="320" w:top="459" w:right="559" w:bottom="1440" w:gutter="0" w:footer="0" w:header="0"/>
          <w:type w:val="continuous"/>
        </w:sectPr>
      </w:pPr>
    </w:p>
    <w:p>
      <w:pPr>
        <w:spacing w:after="0" w:line="58"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WHO CAN VOTE:</w:t>
      </w:r>
    </w:p>
    <w:p>
      <w:pPr>
        <w:spacing w:after="0" w:line="20" w:lineRule="exact"/>
        <w:rPr>
          <w:sz w:val="20"/>
          <w:szCs w:val="20"/>
          <w:color w:val="auto"/>
        </w:rPr>
      </w:pPr>
      <w:r>
        <w:rPr>
          <w:sz w:val="20"/>
          <w:szCs w:val="20"/>
          <w:color w:val="auto"/>
        </w:rPr>
        <w:br w:type="column"/>
      </w:r>
    </w:p>
    <w:p>
      <w:pPr>
        <w:spacing w:after="0" w:line="42" w:lineRule="exact"/>
        <w:rPr>
          <w:sz w:val="20"/>
          <w:szCs w:val="20"/>
          <w:color w:val="auto"/>
        </w:rPr>
      </w:pPr>
    </w:p>
    <w:p>
      <w:pPr>
        <w:ind w:right="1120"/>
        <w:spacing w:after="0" w:line="263" w:lineRule="auto"/>
        <w:rPr>
          <w:sz w:val="20"/>
          <w:szCs w:val="20"/>
          <w:color w:val="auto"/>
        </w:rPr>
      </w:pPr>
      <w:r>
        <w:rPr>
          <w:rFonts w:ascii="Arial" w:cs="Arial" w:eastAsia="Arial" w:hAnsi="Arial"/>
          <w:sz w:val="18"/>
          <w:szCs w:val="18"/>
          <w:color w:val="auto"/>
        </w:rPr>
        <w:t>You are entitled to notice of, and to vote at, the Annual Meeting and any postponement or adjournment of the Annual Meeting if you were a common stockholder of record at the close of business on February 24, 2020.</w:t>
      </w:r>
    </w:p>
    <w:p>
      <w:pPr>
        <w:spacing w:after="0" w:line="72" w:lineRule="exact"/>
        <w:rPr>
          <w:sz w:val="20"/>
          <w:szCs w:val="20"/>
          <w:color w:val="auto"/>
        </w:rPr>
      </w:pPr>
    </w:p>
    <w:p>
      <w:pPr>
        <w:sectPr>
          <w:pgSz w:w="11900" w:h="16838" w:orient="portrait"/>
          <w:cols w:equalWidth="0" w:num="2">
            <w:col w:w="2300" w:space="720"/>
            <w:col w:w="8000"/>
          </w:cols>
          <w:pgMar w:left="320" w:top="459" w:right="559" w:bottom="1440" w:gutter="0" w:footer="0" w:header="0"/>
          <w:type w:val="continuous"/>
        </w:sectPr>
      </w:pPr>
    </w:p>
    <w:p>
      <w:pPr>
        <w:ind w:left="120"/>
        <w:spacing w:after="0"/>
        <w:rPr>
          <w:sz w:val="20"/>
          <w:szCs w:val="20"/>
          <w:color w:val="auto"/>
        </w:rPr>
      </w:pPr>
      <w:r>
        <w:rPr>
          <w:rFonts w:ascii="Arial" w:cs="Arial" w:eastAsia="Arial" w:hAnsi="Arial"/>
          <w:sz w:val="18"/>
          <w:szCs w:val="18"/>
          <w:b w:val="1"/>
          <w:bCs w:val="1"/>
          <w:color w:val="auto"/>
        </w:rPr>
        <w:t>VOTING:</w:t>
      </w:r>
    </w:p>
    <w:p>
      <w:pPr>
        <w:spacing w:after="0" w:line="20" w:lineRule="exact"/>
        <w:rPr>
          <w:sz w:val="20"/>
          <w:szCs w:val="20"/>
          <w:color w:val="auto"/>
        </w:rPr>
      </w:pPr>
      <w:r>
        <w:rPr>
          <w:sz w:val="20"/>
          <w:szCs w:val="20"/>
          <w:color w:val="auto"/>
        </w:rPr>
        <w:br w:type="column"/>
      </w:r>
    </w:p>
    <w:p>
      <w:pPr>
        <w:ind w:right="1060"/>
        <w:spacing w:after="0" w:line="296" w:lineRule="auto"/>
        <w:rPr>
          <w:sz w:val="20"/>
          <w:szCs w:val="20"/>
          <w:color w:val="auto"/>
        </w:rPr>
      </w:pPr>
      <w:r>
        <w:rPr>
          <w:rFonts w:ascii="Arial" w:cs="Arial" w:eastAsia="Arial" w:hAnsi="Arial"/>
          <w:sz w:val="16"/>
          <w:szCs w:val="16"/>
          <w:color w:val="auto"/>
        </w:rPr>
        <w:t xml:space="preserve">Your vote is important, and we urge you to vote. You may vote in person at the Annual Meeting, or authorize a proxy to vote, by telephone, through the internet, or by mailing your completed proxy card (or voting instruction form, if you hold your shares through a broker, bank, or other nominee). </w:t>
      </w:r>
      <w:r>
        <w:rPr>
          <w:rFonts w:ascii="Arial" w:cs="Arial" w:eastAsia="Arial" w:hAnsi="Arial"/>
          <w:sz w:val="16"/>
          <w:szCs w:val="16"/>
          <w:i w:val="1"/>
          <w:iCs w:val="1"/>
          <w:color w:val="auto"/>
        </w:rPr>
        <w:t>See</w:t>
      </w:r>
      <w:r>
        <w:rPr>
          <w:rFonts w:ascii="Arial" w:cs="Arial" w:eastAsia="Arial" w:hAnsi="Arial"/>
          <w:sz w:val="16"/>
          <w:szCs w:val="16"/>
          <w:color w:val="auto"/>
        </w:rPr>
        <w:t xml:space="preserve"> Question 6 of “Questions and Answers About the 2020 Annual Meeting and Voting” in the accompanying proxy statement for additional information regarding voting.</w:t>
      </w:r>
    </w:p>
    <w:p>
      <w:pPr>
        <w:spacing w:after="0" w:line="49" w:lineRule="exact"/>
        <w:rPr>
          <w:sz w:val="20"/>
          <w:szCs w:val="20"/>
          <w:color w:val="auto"/>
        </w:rPr>
      </w:pPr>
    </w:p>
    <w:p>
      <w:pPr>
        <w:sectPr>
          <w:pgSz w:w="11900" w:h="16838" w:orient="portrait"/>
          <w:cols w:equalWidth="0" w:num="2">
            <w:col w:w="2300" w:space="720"/>
            <w:col w:w="8000"/>
          </w:cols>
          <w:pgMar w:left="320" w:top="459" w:right="559" w:bottom="1440" w:gutter="0" w:footer="0" w:header="0"/>
          <w:type w:val="continuous"/>
        </w:sectPr>
      </w:pPr>
    </w:p>
    <w:p>
      <w:pPr>
        <w:ind w:left="120"/>
        <w:spacing w:after="0"/>
        <w:rPr>
          <w:sz w:val="20"/>
          <w:szCs w:val="20"/>
          <w:color w:val="auto"/>
        </w:rPr>
      </w:pPr>
      <w:r>
        <w:rPr>
          <w:rFonts w:ascii="Arial" w:cs="Arial" w:eastAsia="Arial" w:hAnsi="Arial"/>
          <w:sz w:val="18"/>
          <w:szCs w:val="18"/>
          <w:b w:val="1"/>
          <w:bCs w:val="1"/>
          <w:color w:val="auto"/>
        </w:rPr>
        <w:t>MEETING ADMISSION:</w:t>
      </w:r>
    </w:p>
    <w:p>
      <w:pPr>
        <w:spacing w:after="0" w:line="20" w:lineRule="exact"/>
        <w:rPr>
          <w:sz w:val="20"/>
          <w:szCs w:val="20"/>
          <w:color w:val="auto"/>
        </w:rPr>
      </w:pPr>
      <w:r>
        <w:rPr>
          <w:sz w:val="20"/>
          <w:szCs w:val="20"/>
          <w:color w:val="auto"/>
        </w:rPr>
        <w:br w:type="column"/>
      </w:r>
    </w:p>
    <w:p>
      <w:pPr>
        <w:ind w:right="1060"/>
        <w:spacing w:after="0" w:line="259" w:lineRule="auto"/>
        <w:rPr>
          <w:sz w:val="20"/>
          <w:szCs w:val="20"/>
          <w:color w:val="auto"/>
        </w:rPr>
      </w:pPr>
      <w:r>
        <w:rPr>
          <w:rFonts w:ascii="Arial" w:cs="Arial" w:eastAsia="Arial" w:hAnsi="Arial"/>
          <w:sz w:val="18"/>
          <w:szCs w:val="18"/>
          <w:color w:val="auto"/>
        </w:rPr>
        <w:t>If you wish to attend the Annual Meeting in person, we request that you register in advance with our Investor Relations department by following the instructions set forth in response to Question 14 of “Questions and Answers About the 2020 Annual Meeting and Voting” in the accompanying proxy statement.</w:t>
      </w:r>
    </w:p>
    <w:p>
      <w:pPr>
        <w:spacing w:after="0" w:line="75" w:lineRule="exact"/>
        <w:rPr>
          <w:sz w:val="20"/>
          <w:szCs w:val="20"/>
          <w:color w:val="auto"/>
        </w:rPr>
      </w:pPr>
    </w:p>
    <w:p>
      <w:pPr>
        <w:sectPr>
          <w:pgSz w:w="11900" w:h="16838" w:orient="portrait"/>
          <w:cols w:equalWidth="0" w:num="2">
            <w:col w:w="2300" w:space="720"/>
            <w:col w:w="8000"/>
          </w:cols>
          <w:pgMar w:left="320" w:top="459" w:right="559" w:bottom="1440" w:gutter="0" w:footer="0" w:header="0"/>
          <w:type w:val="continuous"/>
        </w:sectPr>
      </w:pPr>
    </w:p>
    <w:p>
      <w:pPr>
        <w:ind w:left="120"/>
        <w:spacing w:after="0"/>
        <w:rPr>
          <w:sz w:val="20"/>
          <w:szCs w:val="20"/>
          <w:color w:val="auto"/>
        </w:rPr>
      </w:pPr>
      <w:r>
        <w:rPr>
          <w:rFonts w:ascii="Arial" w:cs="Arial" w:eastAsia="Arial" w:hAnsi="Arial"/>
          <w:sz w:val="18"/>
          <w:szCs w:val="18"/>
          <w:b w:val="1"/>
          <w:bCs w:val="1"/>
          <w:color w:val="auto"/>
        </w:rPr>
        <w:t>DATE OF DISTRIBUTION:</w:t>
      </w:r>
    </w:p>
    <w:p>
      <w:pPr>
        <w:spacing w:after="0" w:line="20" w:lineRule="exact"/>
        <w:rPr>
          <w:sz w:val="20"/>
          <w:szCs w:val="20"/>
          <w:color w:val="auto"/>
        </w:rPr>
      </w:pPr>
      <w:r>
        <w:rPr>
          <w:sz w:val="20"/>
          <w:szCs w:val="20"/>
          <w:color w:val="auto"/>
        </w:rPr>
        <w:br w:type="column"/>
      </w:r>
    </w:p>
    <w:p>
      <w:pPr>
        <w:ind w:right="1140"/>
        <w:spacing w:after="0" w:line="259" w:lineRule="auto"/>
        <w:rPr>
          <w:sz w:val="20"/>
          <w:szCs w:val="20"/>
          <w:color w:val="auto"/>
        </w:rPr>
      </w:pPr>
      <w:r>
        <w:rPr>
          <w:rFonts w:ascii="Arial" w:cs="Arial" w:eastAsia="Arial" w:hAnsi="Arial"/>
          <w:sz w:val="18"/>
          <w:szCs w:val="18"/>
          <w:color w:val="auto"/>
        </w:rPr>
        <w:t>This notice, the proxy statement, the accompanying proxy card, and our annual report to stockholders, which includes our annual report on Form 10-K with audited financial statements for the year ended December 31, 2019, are first being sent to our common stockholders on or about March 13, 2020.</w:t>
      </w:r>
    </w:p>
    <w:p>
      <w:pPr>
        <w:spacing w:after="0" w:line="79" w:lineRule="exact"/>
        <w:rPr>
          <w:sz w:val="20"/>
          <w:szCs w:val="20"/>
          <w:color w:val="auto"/>
        </w:rPr>
      </w:pPr>
    </w:p>
    <w:p>
      <w:pPr>
        <w:sectPr>
          <w:pgSz w:w="11900" w:h="16838" w:orient="portrait"/>
          <w:cols w:equalWidth="0" w:num="2">
            <w:col w:w="2320" w:space="700"/>
            <w:col w:w="8000"/>
          </w:cols>
          <w:pgMar w:left="320" w:top="459" w:right="559" w:bottom="1440" w:gutter="0" w:footer="0" w:header="0"/>
          <w:type w:val="continuous"/>
        </w:sectPr>
      </w:pPr>
    </w:p>
    <w:p>
      <w:pPr>
        <w:ind w:left="7380"/>
        <w:spacing w:after="0"/>
        <w:rPr>
          <w:sz w:val="20"/>
          <w:szCs w:val="20"/>
          <w:color w:val="auto"/>
        </w:rPr>
      </w:pPr>
      <w:r>
        <w:rPr>
          <w:rFonts w:ascii="Arial" w:cs="Arial" w:eastAsia="Arial" w:hAnsi="Arial"/>
          <w:sz w:val="17"/>
          <w:szCs w:val="17"/>
          <w:color w:val="auto"/>
        </w:rPr>
        <w:t>BY ORDER OF THE BOARD OF</w:t>
      </w:r>
    </w:p>
    <w:p>
      <w:pPr>
        <w:spacing w:after="0" w:line="35" w:lineRule="exact"/>
        <w:rPr>
          <w:sz w:val="20"/>
          <w:szCs w:val="20"/>
          <w:color w:val="auto"/>
        </w:rPr>
      </w:pPr>
    </w:p>
    <w:p>
      <w:pPr>
        <w:ind w:left="7380"/>
        <w:spacing w:after="0"/>
        <w:rPr>
          <w:sz w:val="20"/>
          <w:szCs w:val="20"/>
          <w:color w:val="auto"/>
        </w:rPr>
      </w:pPr>
      <w:r>
        <w:rPr>
          <w:rFonts w:ascii="Arial" w:cs="Arial" w:eastAsia="Arial" w:hAnsi="Arial"/>
          <w:sz w:val="18"/>
          <w:szCs w:val="18"/>
          <w:color w:val="auto"/>
        </w:rPr>
        <w:t>DIRECTORS,</w:t>
      </w:r>
    </w:p>
    <w:p>
      <w:pPr>
        <w:spacing w:after="0" w:line="9" w:lineRule="exact"/>
        <w:rPr>
          <w:sz w:val="20"/>
          <w:szCs w:val="20"/>
          <w:color w:val="auto"/>
        </w:rPr>
      </w:pPr>
    </w:p>
    <w:p>
      <w:pPr>
        <w:ind w:left="7380"/>
        <w:spacing w:after="0"/>
        <w:rPr>
          <w:sz w:val="20"/>
          <w:szCs w:val="20"/>
          <w:color w:val="auto"/>
        </w:rPr>
      </w:pPr>
      <w:r>
        <w:rPr>
          <w:rFonts w:ascii="Arial" w:cs="Arial" w:eastAsia="Arial" w:hAnsi="Arial"/>
          <w:sz w:val="18"/>
          <w:szCs w:val="18"/>
          <w:color w:val="auto"/>
        </w:rPr>
        <w:t>Kenneth L. Pollack</w:t>
      </w:r>
    </w:p>
    <w:p>
      <w:pPr>
        <w:spacing w:after="0" w:line="9" w:lineRule="exact"/>
        <w:rPr>
          <w:sz w:val="20"/>
          <w:szCs w:val="20"/>
          <w:color w:val="auto"/>
        </w:rPr>
      </w:pPr>
    </w:p>
    <w:p>
      <w:pPr>
        <w:ind w:left="7380"/>
        <w:spacing w:after="0"/>
        <w:rPr>
          <w:sz w:val="20"/>
          <w:szCs w:val="20"/>
          <w:color w:val="auto"/>
        </w:rPr>
      </w:pPr>
      <w:r>
        <w:rPr>
          <w:rFonts w:ascii="Arial" w:cs="Arial" w:eastAsia="Arial" w:hAnsi="Arial"/>
          <w:sz w:val="16"/>
          <w:szCs w:val="16"/>
          <w:i w:val="1"/>
          <w:iCs w:val="1"/>
          <w:color w:val="auto"/>
        </w:rPr>
        <w:t>Senior Vice President and Secretary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56515</wp:posOffset>
            </wp:positionH>
            <wp:positionV relativeFrom="paragraph">
              <wp:posOffset>174625</wp:posOffset>
            </wp:positionV>
            <wp:extent cx="7029450" cy="7804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7029450" cy="780415"/>
                    </a:xfrm>
                    <a:prstGeom prst="rect">
                      <a:avLst/>
                    </a:prstGeom>
                    <a:noFill/>
                  </pic:spPr>
                </pic:pic>
              </a:graphicData>
            </a:graphic>
          </wp:anchor>
        </w:drawing>
      </w:r>
    </w:p>
    <w:p>
      <w:pPr>
        <w:sectPr>
          <w:pgSz w:w="11900" w:h="16838" w:orient="portrait"/>
          <w:cols w:equalWidth="0" w:num="1">
            <w:col w:w="11020"/>
          </w:cols>
          <w:pgMar w:left="320" w:top="459" w:right="559" w:bottom="1440" w:gutter="0" w:footer="0" w:header="0"/>
          <w:type w:val="continuous"/>
        </w:sectPr>
      </w:pPr>
    </w:p>
    <w:p>
      <w:pPr>
        <w:spacing w:after="0" w:line="351" w:lineRule="exact"/>
        <w:rPr>
          <w:sz w:val="20"/>
          <w:szCs w:val="20"/>
          <w:color w:val="auto"/>
        </w:rPr>
      </w:pPr>
    </w:p>
    <w:p>
      <w:pPr>
        <w:jc w:val="center"/>
        <w:ind w:right="-339"/>
        <w:spacing w:after="0"/>
        <w:rPr>
          <w:sz w:val="20"/>
          <w:szCs w:val="20"/>
          <w:color w:val="auto"/>
        </w:rPr>
      </w:pPr>
      <w:r>
        <w:rPr>
          <w:rFonts w:ascii="Arial" w:cs="Arial" w:eastAsia="Arial" w:hAnsi="Arial"/>
          <w:sz w:val="18"/>
          <w:szCs w:val="18"/>
          <w:b w:val="1"/>
          <w:bCs w:val="1"/>
          <w:color w:val="407CCA"/>
        </w:rPr>
        <w:t>IMPORTANT NOTICE REGARDING THE AVAILABILITY OF PROXY MATERIALS FOR THE</w:t>
      </w:r>
    </w:p>
    <w:p>
      <w:pPr>
        <w:spacing w:after="0" w:line="27" w:lineRule="exact"/>
        <w:rPr>
          <w:sz w:val="20"/>
          <w:szCs w:val="20"/>
          <w:color w:val="auto"/>
        </w:rPr>
      </w:pPr>
    </w:p>
    <w:p>
      <w:pPr>
        <w:jc w:val="center"/>
        <w:ind w:right="-339"/>
        <w:spacing w:after="0"/>
        <w:rPr>
          <w:sz w:val="20"/>
          <w:szCs w:val="20"/>
          <w:color w:val="auto"/>
        </w:rPr>
      </w:pPr>
      <w:r>
        <w:rPr>
          <w:rFonts w:ascii="Arial" w:cs="Arial" w:eastAsia="Arial" w:hAnsi="Arial"/>
          <w:sz w:val="18"/>
          <w:szCs w:val="18"/>
          <w:b w:val="1"/>
          <w:bCs w:val="1"/>
          <w:color w:val="407CCA"/>
        </w:rPr>
        <w:t>ANNUAL MEETING OF STOCKHOLDERS TO BE HELD ON APRIL 23, 2020</w:t>
      </w:r>
    </w:p>
    <w:p>
      <w:pPr>
        <w:spacing w:after="0" w:line="116" w:lineRule="exact"/>
        <w:rPr>
          <w:sz w:val="20"/>
          <w:szCs w:val="20"/>
          <w:color w:val="auto"/>
        </w:rPr>
      </w:pPr>
    </w:p>
    <w:p>
      <w:pPr>
        <w:ind w:left="380" w:right="20"/>
        <w:spacing w:after="0" w:line="277" w:lineRule="auto"/>
        <w:rPr>
          <w:sz w:val="20"/>
          <w:szCs w:val="20"/>
          <w:color w:val="auto"/>
        </w:rPr>
      </w:pPr>
      <w:r>
        <w:rPr>
          <w:rFonts w:ascii="Arial" w:cs="Arial" w:eastAsia="Arial" w:hAnsi="Arial"/>
          <w:sz w:val="18"/>
          <w:szCs w:val="18"/>
          <w:color w:val="407CCA"/>
        </w:rPr>
        <w:t xml:space="preserve">This proxy statement and our annual report to stockholders, which includes our annual report on Form 10-K for the fiscal year ended December 31, 2019, are available free of charge on the internet at </w:t>
      </w:r>
      <w:r>
        <w:rPr>
          <w:rFonts w:ascii="Arial" w:cs="Arial" w:eastAsia="Arial" w:hAnsi="Arial"/>
          <w:sz w:val="18"/>
          <w:szCs w:val="18"/>
          <w:i w:val="1"/>
          <w:iCs w:val="1"/>
          <w:color w:val="407CCA"/>
        </w:rPr>
        <w:t>www.AGNC.com/2020proxymaterials.</w:t>
      </w:r>
    </w:p>
    <w:p>
      <w:pPr>
        <w:sectPr>
          <w:pgSz w:w="11900" w:h="16838" w:orient="portrait"/>
          <w:cols w:equalWidth="0" w:num="1">
            <w:col w:w="11020"/>
          </w:cols>
          <w:pgMar w:left="320" w:top="459" w:right="559" w:bottom="1440" w:gutter="0" w:footer="0" w:header="0"/>
          <w:type w:val="continuous"/>
        </w:sectPr>
      </w:pPr>
    </w:p>
    <w:bookmarkStart w:id="2" w:name="page3"/>
    <w:bookmarkEnd w:id="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AGNC INVESTMENT CORP. AT A GLANCE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75" w:lineRule="exact"/>
        <w:rPr>
          <w:sz w:val="20"/>
          <w:szCs w:val="20"/>
          <w:color w:val="auto"/>
        </w:rPr>
      </w:pPr>
    </w:p>
    <w:p>
      <w:pPr>
        <w:jc w:val="center"/>
        <w:ind w:right="-99"/>
        <w:spacing w:after="0"/>
        <w:rPr>
          <w:sz w:val="20"/>
          <w:szCs w:val="20"/>
          <w:color w:val="auto"/>
        </w:rPr>
      </w:pPr>
      <w:r>
        <w:rPr>
          <w:rFonts w:ascii="Arial" w:cs="Arial" w:eastAsia="Arial" w:hAnsi="Arial"/>
          <w:sz w:val="22"/>
          <w:szCs w:val="22"/>
          <w:b w:val="1"/>
          <w:bCs w:val="1"/>
          <w:color w:val="407CCA"/>
        </w:rPr>
        <w:t>PROXY SUMMARY</w:t>
      </w:r>
    </w:p>
    <w:p>
      <w:pPr>
        <w:spacing w:after="0" w:line="206" w:lineRule="exact"/>
        <w:rPr>
          <w:sz w:val="20"/>
          <w:szCs w:val="20"/>
          <w:color w:val="auto"/>
        </w:rPr>
      </w:pPr>
    </w:p>
    <w:p>
      <w:pPr>
        <w:jc w:val="center"/>
        <w:ind w:right="-99"/>
        <w:spacing w:after="0"/>
        <w:rPr>
          <w:sz w:val="20"/>
          <w:szCs w:val="20"/>
          <w:color w:val="auto"/>
        </w:rPr>
      </w:pPr>
      <w:r>
        <w:rPr>
          <w:rFonts w:ascii="Arial" w:cs="Arial" w:eastAsia="Arial" w:hAnsi="Arial"/>
          <w:sz w:val="22"/>
          <w:szCs w:val="22"/>
          <w:b w:val="1"/>
          <w:bCs w:val="1"/>
          <w:color w:val="407CCA"/>
        </w:rPr>
        <w:t>Items to Be Voted</w:t>
      </w:r>
    </w:p>
    <w:p>
      <w:pPr>
        <w:spacing w:after="0" w:line="260" w:lineRule="exact"/>
        <w:rPr>
          <w:sz w:val="20"/>
          <w:szCs w:val="20"/>
          <w:color w:val="auto"/>
        </w:rPr>
      </w:pPr>
    </w:p>
    <w:tbl>
      <w:tblPr>
        <w:tblLayout w:type="fixed"/>
        <w:tblInd w:w="120" w:type="dxa"/>
        <w:tblCellMar>
          <w:top w:w="0" w:type="dxa"/>
          <w:left w:w="0" w:type="dxa"/>
          <w:bottom w:w="0" w:type="dxa"/>
          <w:right w:w="0" w:type="dxa"/>
        </w:tblCellMar>
      </w:tblPr>
      <w:tr>
        <w:trPr>
          <w:trHeight w:val="337"/>
        </w:trPr>
        <w:tc>
          <w:tcPr>
            <w:tcW w:w="6440" w:type="dxa"/>
            <w:vAlign w:val="bottom"/>
            <w:shd w:val="clear" w:color="auto" w:fill="407CCA"/>
          </w:tcPr>
          <w:p>
            <w:pPr>
              <w:ind w:left="100"/>
              <w:spacing w:after="0"/>
              <w:rPr>
                <w:sz w:val="20"/>
                <w:szCs w:val="20"/>
                <w:color w:val="auto"/>
              </w:rPr>
            </w:pPr>
            <w:r>
              <w:rPr>
                <w:rFonts w:ascii="Arial" w:cs="Arial" w:eastAsia="Arial" w:hAnsi="Arial"/>
                <w:sz w:val="22"/>
                <w:szCs w:val="22"/>
                <w:b w:val="1"/>
                <w:bCs w:val="1"/>
                <w:color w:val="F2F4F9"/>
              </w:rPr>
              <w:t>Proposal</w:t>
            </w:r>
          </w:p>
        </w:tc>
        <w:tc>
          <w:tcPr>
            <w:tcW w:w="2620" w:type="dxa"/>
            <w:vAlign w:val="bottom"/>
            <w:shd w:val="clear" w:color="auto" w:fill="407CCA"/>
          </w:tcPr>
          <w:p>
            <w:pPr>
              <w:jc w:val="center"/>
              <w:ind w:right="172"/>
              <w:spacing w:after="0"/>
              <w:rPr>
                <w:sz w:val="20"/>
                <w:szCs w:val="20"/>
                <w:color w:val="auto"/>
              </w:rPr>
            </w:pPr>
            <w:r>
              <w:rPr>
                <w:rFonts w:ascii="Arial" w:cs="Arial" w:eastAsia="Arial" w:hAnsi="Arial"/>
                <w:sz w:val="22"/>
                <w:szCs w:val="22"/>
                <w:b w:val="1"/>
                <w:bCs w:val="1"/>
                <w:color w:val="F2F4F9"/>
                <w:w w:val="91"/>
              </w:rPr>
              <w:t>Board</w:t>
            </w:r>
          </w:p>
        </w:tc>
        <w:tc>
          <w:tcPr>
            <w:tcW w:w="1960" w:type="dxa"/>
            <w:vAlign w:val="bottom"/>
            <w:vMerge w:val="restart"/>
            <w:shd w:val="clear" w:color="auto" w:fill="407CCA"/>
          </w:tcPr>
          <w:p>
            <w:pPr>
              <w:jc w:val="center"/>
              <w:ind w:right="152"/>
              <w:spacing w:after="0"/>
              <w:rPr>
                <w:sz w:val="20"/>
                <w:szCs w:val="20"/>
                <w:color w:val="auto"/>
              </w:rPr>
            </w:pPr>
            <w:r>
              <w:rPr>
                <w:rFonts w:ascii="Arial" w:cs="Arial" w:eastAsia="Arial" w:hAnsi="Arial"/>
                <w:sz w:val="22"/>
                <w:szCs w:val="22"/>
                <w:b w:val="1"/>
                <w:bCs w:val="1"/>
                <w:color w:val="F2F4F9"/>
                <w:w w:val="87"/>
              </w:rPr>
              <w:t>Page</w:t>
            </w:r>
          </w:p>
        </w:tc>
        <w:tc>
          <w:tcPr>
            <w:tcW w:w="0" w:type="dxa"/>
            <w:vAlign w:val="bottom"/>
          </w:tcPr>
          <w:p>
            <w:pPr>
              <w:spacing w:after="0"/>
              <w:rPr>
                <w:sz w:val="1"/>
                <w:szCs w:val="1"/>
                <w:color w:val="auto"/>
              </w:rPr>
            </w:pPr>
          </w:p>
        </w:tc>
      </w:tr>
      <w:tr>
        <w:trPr>
          <w:trHeight w:val="159"/>
        </w:trPr>
        <w:tc>
          <w:tcPr>
            <w:tcW w:w="6440" w:type="dxa"/>
            <w:vAlign w:val="bottom"/>
            <w:shd w:val="clear" w:color="auto" w:fill="407CCA"/>
          </w:tcPr>
          <w:p>
            <w:pPr>
              <w:spacing w:after="0"/>
              <w:rPr>
                <w:sz w:val="13"/>
                <w:szCs w:val="13"/>
                <w:color w:val="auto"/>
              </w:rPr>
            </w:pPr>
          </w:p>
        </w:tc>
        <w:tc>
          <w:tcPr>
            <w:tcW w:w="2620" w:type="dxa"/>
            <w:vAlign w:val="bottom"/>
            <w:vMerge w:val="restart"/>
            <w:shd w:val="clear" w:color="auto" w:fill="407CCA"/>
          </w:tcPr>
          <w:p>
            <w:pPr>
              <w:jc w:val="center"/>
              <w:ind w:right="172"/>
              <w:spacing w:after="0"/>
              <w:rPr>
                <w:sz w:val="20"/>
                <w:szCs w:val="20"/>
                <w:color w:val="auto"/>
              </w:rPr>
            </w:pPr>
            <w:r>
              <w:rPr>
                <w:rFonts w:ascii="Arial" w:cs="Arial" w:eastAsia="Arial" w:hAnsi="Arial"/>
                <w:sz w:val="22"/>
                <w:szCs w:val="22"/>
                <w:b w:val="1"/>
                <w:bCs w:val="1"/>
                <w:color w:val="F2F4F9"/>
                <w:w w:val="87"/>
              </w:rPr>
              <w:t>Recommendation</w:t>
            </w:r>
          </w:p>
        </w:tc>
        <w:tc>
          <w:tcPr>
            <w:tcW w:w="1960" w:type="dxa"/>
            <w:vAlign w:val="bottom"/>
            <w:vMerge w:val="continue"/>
            <w:shd w:val="clear" w:color="auto" w:fill="407CCA"/>
          </w:tcPr>
          <w:p>
            <w:pPr>
              <w:spacing w:after="0"/>
              <w:rPr>
                <w:sz w:val="13"/>
                <w:szCs w:val="13"/>
                <w:color w:val="auto"/>
              </w:rPr>
            </w:pPr>
          </w:p>
        </w:tc>
        <w:tc>
          <w:tcPr>
            <w:tcW w:w="0" w:type="dxa"/>
            <w:vAlign w:val="bottom"/>
          </w:tcPr>
          <w:p>
            <w:pPr>
              <w:spacing w:after="0"/>
              <w:rPr>
                <w:sz w:val="1"/>
                <w:szCs w:val="1"/>
                <w:color w:val="auto"/>
              </w:rPr>
            </w:pPr>
          </w:p>
        </w:tc>
      </w:tr>
      <w:tr>
        <w:trPr>
          <w:trHeight w:val="125"/>
        </w:trPr>
        <w:tc>
          <w:tcPr>
            <w:tcW w:w="6440" w:type="dxa"/>
            <w:vAlign w:val="bottom"/>
            <w:shd w:val="clear" w:color="auto" w:fill="407CCA"/>
          </w:tcPr>
          <w:p>
            <w:pPr>
              <w:spacing w:after="0"/>
              <w:rPr>
                <w:sz w:val="10"/>
                <w:szCs w:val="10"/>
                <w:color w:val="auto"/>
              </w:rPr>
            </w:pPr>
          </w:p>
        </w:tc>
        <w:tc>
          <w:tcPr>
            <w:tcW w:w="2620" w:type="dxa"/>
            <w:vAlign w:val="bottom"/>
            <w:vMerge w:val="continue"/>
            <w:shd w:val="clear" w:color="auto" w:fill="407CCA"/>
          </w:tcPr>
          <w:p>
            <w:pPr>
              <w:spacing w:after="0"/>
              <w:rPr>
                <w:sz w:val="10"/>
                <w:szCs w:val="10"/>
                <w:color w:val="auto"/>
              </w:rPr>
            </w:pPr>
          </w:p>
        </w:tc>
        <w:tc>
          <w:tcPr>
            <w:tcW w:w="1960" w:type="dxa"/>
            <w:vAlign w:val="bottom"/>
            <w:shd w:val="clear" w:color="auto" w:fill="407CCA"/>
          </w:tcPr>
          <w:p>
            <w:pPr>
              <w:spacing w:after="0"/>
              <w:rPr>
                <w:sz w:val="10"/>
                <w:szCs w:val="10"/>
                <w:color w:val="auto"/>
              </w:rPr>
            </w:pPr>
          </w:p>
        </w:tc>
        <w:tc>
          <w:tcPr>
            <w:tcW w:w="0" w:type="dxa"/>
            <w:vAlign w:val="bottom"/>
          </w:tcPr>
          <w:p>
            <w:pPr>
              <w:spacing w:after="0"/>
              <w:rPr>
                <w:sz w:val="1"/>
                <w:szCs w:val="1"/>
                <w:color w:val="auto"/>
              </w:rPr>
            </w:pPr>
          </w:p>
        </w:tc>
      </w:tr>
      <w:tr>
        <w:trPr>
          <w:trHeight w:val="294"/>
        </w:trPr>
        <w:tc>
          <w:tcPr>
            <w:tcW w:w="6440" w:type="dxa"/>
            <w:vAlign w:val="bottom"/>
          </w:tcPr>
          <w:p>
            <w:pPr>
              <w:ind w:left="100"/>
              <w:spacing w:after="0"/>
              <w:rPr>
                <w:sz w:val="20"/>
                <w:szCs w:val="20"/>
                <w:color w:val="auto"/>
              </w:rPr>
            </w:pPr>
            <w:r>
              <w:rPr>
                <w:rFonts w:ascii="Arial" w:cs="Arial" w:eastAsia="Arial" w:hAnsi="Arial"/>
                <w:sz w:val="22"/>
                <w:szCs w:val="22"/>
                <w:b w:val="1"/>
                <w:bCs w:val="1"/>
                <w:color w:val="auto"/>
              </w:rPr>
              <w:t xml:space="preserve">Proposal 1: </w:t>
            </w:r>
            <w:r>
              <w:rPr>
                <w:rFonts w:ascii="Arial" w:cs="Arial" w:eastAsia="Arial" w:hAnsi="Arial"/>
                <w:sz w:val="22"/>
                <w:szCs w:val="22"/>
                <w:color w:val="auto"/>
              </w:rPr>
              <w:t>Election of Directors</w:t>
            </w:r>
          </w:p>
        </w:tc>
        <w:tc>
          <w:tcPr>
            <w:tcW w:w="2620" w:type="dxa"/>
            <w:vAlign w:val="bottom"/>
          </w:tcPr>
          <w:p>
            <w:pPr>
              <w:jc w:val="center"/>
              <w:ind w:right="172"/>
              <w:spacing w:after="0"/>
              <w:rPr>
                <w:sz w:val="20"/>
                <w:szCs w:val="20"/>
                <w:color w:val="auto"/>
              </w:rPr>
            </w:pPr>
            <w:r>
              <w:rPr>
                <w:rFonts w:ascii="Arial" w:cs="Arial" w:eastAsia="Arial" w:hAnsi="Arial"/>
                <w:sz w:val="22"/>
                <w:szCs w:val="22"/>
                <w:b w:val="1"/>
                <w:bCs w:val="1"/>
                <w:color w:val="0AA04F"/>
                <w:w w:val="98"/>
              </w:rPr>
              <w:t>FOR</w:t>
            </w:r>
          </w:p>
        </w:tc>
        <w:tc>
          <w:tcPr>
            <w:tcW w:w="1960" w:type="dxa"/>
            <w:vAlign w:val="bottom"/>
          </w:tcPr>
          <w:p>
            <w:pPr>
              <w:jc w:val="center"/>
              <w:ind w:right="152"/>
              <w:spacing w:after="0"/>
              <w:rPr>
                <w:sz w:val="20"/>
                <w:szCs w:val="20"/>
                <w:color w:val="auto"/>
              </w:rPr>
            </w:pPr>
            <w:r>
              <w:rPr>
                <w:rFonts w:ascii="Arial" w:cs="Arial" w:eastAsia="Arial" w:hAnsi="Arial"/>
                <w:sz w:val="22"/>
                <w:szCs w:val="22"/>
                <w:color w:val="auto"/>
                <w:w w:val="89"/>
              </w:rPr>
              <w:t>14</w:t>
            </w:r>
          </w:p>
        </w:tc>
        <w:tc>
          <w:tcPr>
            <w:tcW w:w="0" w:type="dxa"/>
            <w:vAlign w:val="bottom"/>
          </w:tcPr>
          <w:p>
            <w:pPr>
              <w:spacing w:after="0"/>
              <w:rPr>
                <w:sz w:val="1"/>
                <w:szCs w:val="1"/>
                <w:color w:val="auto"/>
              </w:rPr>
            </w:pPr>
          </w:p>
        </w:tc>
      </w:tr>
      <w:tr>
        <w:trPr>
          <w:trHeight w:val="333"/>
        </w:trPr>
        <w:tc>
          <w:tcPr>
            <w:tcW w:w="6440" w:type="dxa"/>
            <w:vAlign w:val="bottom"/>
          </w:tcPr>
          <w:p>
            <w:pPr>
              <w:ind w:left="100"/>
              <w:spacing w:after="0"/>
              <w:rPr>
                <w:sz w:val="20"/>
                <w:szCs w:val="20"/>
                <w:color w:val="auto"/>
              </w:rPr>
            </w:pPr>
            <w:r>
              <w:rPr>
                <w:rFonts w:ascii="Arial" w:cs="Arial" w:eastAsia="Arial" w:hAnsi="Arial"/>
                <w:sz w:val="22"/>
                <w:szCs w:val="22"/>
                <w:b w:val="1"/>
                <w:bCs w:val="1"/>
                <w:color w:val="auto"/>
                <w:w w:val="93"/>
              </w:rPr>
              <w:t xml:space="preserve">Proposal 2: </w:t>
            </w:r>
            <w:r>
              <w:rPr>
                <w:rFonts w:ascii="Arial" w:cs="Arial" w:eastAsia="Arial" w:hAnsi="Arial"/>
                <w:sz w:val="22"/>
                <w:szCs w:val="22"/>
                <w:color w:val="auto"/>
                <w:w w:val="93"/>
              </w:rPr>
              <w:t>Amendment to our Amended and Restated Certificate of</w:t>
            </w:r>
          </w:p>
        </w:tc>
        <w:tc>
          <w:tcPr>
            <w:tcW w:w="2620" w:type="dxa"/>
            <w:vAlign w:val="bottom"/>
          </w:tcPr>
          <w:p>
            <w:pPr>
              <w:jc w:val="center"/>
              <w:ind w:right="172"/>
              <w:spacing w:after="0"/>
              <w:rPr>
                <w:sz w:val="20"/>
                <w:szCs w:val="20"/>
                <w:color w:val="auto"/>
              </w:rPr>
            </w:pPr>
            <w:r>
              <w:rPr>
                <w:rFonts w:ascii="Arial" w:cs="Arial" w:eastAsia="Arial" w:hAnsi="Arial"/>
                <w:sz w:val="22"/>
                <w:szCs w:val="22"/>
                <w:b w:val="1"/>
                <w:bCs w:val="1"/>
                <w:color w:val="0AA04F"/>
                <w:w w:val="98"/>
              </w:rPr>
              <w:t>FOR</w:t>
            </w:r>
          </w:p>
        </w:tc>
        <w:tc>
          <w:tcPr>
            <w:tcW w:w="1960" w:type="dxa"/>
            <w:vAlign w:val="bottom"/>
          </w:tcPr>
          <w:p>
            <w:pPr>
              <w:jc w:val="center"/>
              <w:ind w:right="152"/>
              <w:spacing w:after="0"/>
              <w:rPr>
                <w:sz w:val="20"/>
                <w:szCs w:val="20"/>
                <w:color w:val="auto"/>
              </w:rPr>
            </w:pPr>
            <w:r>
              <w:rPr>
                <w:rFonts w:ascii="Arial" w:cs="Arial" w:eastAsia="Arial" w:hAnsi="Arial"/>
                <w:sz w:val="22"/>
                <w:szCs w:val="22"/>
                <w:color w:val="auto"/>
                <w:w w:val="89"/>
              </w:rPr>
              <w:t>21</w:t>
            </w:r>
          </w:p>
        </w:tc>
        <w:tc>
          <w:tcPr>
            <w:tcW w:w="0" w:type="dxa"/>
            <w:vAlign w:val="bottom"/>
          </w:tcPr>
          <w:p>
            <w:pPr>
              <w:spacing w:after="0"/>
              <w:rPr>
                <w:sz w:val="1"/>
                <w:szCs w:val="1"/>
                <w:color w:val="auto"/>
              </w:rPr>
            </w:pPr>
          </w:p>
        </w:tc>
      </w:tr>
      <w:tr>
        <w:trPr>
          <w:trHeight w:val="274"/>
        </w:trPr>
        <w:tc>
          <w:tcPr>
            <w:tcW w:w="6440" w:type="dxa"/>
            <w:vAlign w:val="bottom"/>
          </w:tcPr>
          <w:p>
            <w:pPr>
              <w:ind w:left="100"/>
              <w:spacing w:after="0"/>
              <w:rPr>
                <w:sz w:val="20"/>
                <w:szCs w:val="20"/>
                <w:color w:val="auto"/>
              </w:rPr>
            </w:pPr>
            <w:r>
              <w:rPr>
                <w:rFonts w:ascii="Arial" w:cs="Arial" w:eastAsia="Arial" w:hAnsi="Arial"/>
                <w:sz w:val="22"/>
                <w:szCs w:val="22"/>
                <w:color w:val="auto"/>
              </w:rPr>
              <w:t>Incorporation</w:t>
            </w:r>
          </w:p>
        </w:tc>
        <w:tc>
          <w:tcPr>
            <w:tcW w:w="2620" w:type="dxa"/>
            <w:vAlign w:val="bottom"/>
          </w:tcPr>
          <w:p>
            <w:pPr>
              <w:spacing w:after="0"/>
              <w:rPr>
                <w:sz w:val="23"/>
                <w:szCs w:val="23"/>
                <w:color w:val="auto"/>
              </w:rPr>
            </w:pPr>
          </w:p>
        </w:tc>
        <w:tc>
          <w:tcPr>
            <w:tcW w:w="196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351"/>
        </w:trPr>
        <w:tc>
          <w:tcPr>
            <w:tcW w:w="6440" w:type="dxa"/>
            <w:vAlign w:val="bottom"/>
          </w:tcPr>
          <w:p>
            <w:pPr>
              <w:ind w:left="100"/>
              <w:spacing w:after="0"/>
              <w:rPr>
                <w:sz w:val="20"/>
                <w:szCs w:val="20"/>
                <w:color w:val="auto"/>
              </w:rPr>
            </w:pPr>
            <w:r>
              <w:rPr>
                <w:rFonts w:ascii="Arial" w:cs="Arial" w:eastAsia="Arial" w:hAnsi="Arial"/>
                <w:sz w:val="22"/>
                <w:szCs w:val="22"/>
                <w:b w:val="1"/>
                <w:bCs w:val="1"/>
                <w:color w:val="auto"/>
              </w:rPr>
              <w:t xml:space="preserve">Proposal 3: </w:t>
            </w:r>
            <w:r>
              <w:rPr>
                <w:rFonts w:ascii="Arial" w:cs="Arial" w:eastAsia="Arial" w:hAnsi="Arial"/>
                <w:sz w:val="22"/>
                <w:szCs w:val="22"/>
                <w:color w:val="auto"/>
              </w:rPr>
              <w:t>Advisory Resolution on Executive Compensation</w:t>
            </w:r>
          </w:p>
        </w:tc>
        <w:tc>
          <w:tcPr>
            <w:tcW w:w="2620" w:type="dxa"/>
            <w:vAlign w:val="bottom"/>
          </w:tcPr>
          <w:p>
            <w:pPr>
              <w:jc w:val="center"/>
              <w:ind w:right="172"/>
              <w:spacing w:after="0"/>
              <w:rPr>
                <w:sz w:val="20"/>
                <w:szCs w:val="20"/>
                <w:color w:val="auto"/>
              </w:rPr>
            </w:pPr>
            <w:r>
              <w:rPr>
                <w:rFonts w:ascii="Arial" w:cs="Arial" w:eastAsia="Arial" w:hAnsi="Arial"/>
                <w:sz w:val="22"/>
                <w:szCs w:val="22"/>
                <w:b w:val="1"/>
                <w:bCs w:val="1"/>
                <w:color w:val="0AA04F"/>
                <w:w w:val="98"/>
              </w:rPr>
              <w:t>FOR</w:t>
            </w:r>
          </w:p>
        </w:tc>
        <w:tc>
          <w:tcPr>
            <w:tcW w:w="1960" w:type="dxa"/>
            <w:vAlign w:val="bottom"/>
          </w:tcPr>
          <w:p>
            <w:pPr>
              <w:jc w:val="center"/>
              <w:ind w:right="152"/>
              <w:spacing w:after="0"/>
              <w:rPr>
                <w:sz w:val="20"/>
                <w:szCs w:val="20"/>
                <w:color w:val="auto"/>
              </w:rPr>
            </w:pPr>
            <w:r>
              <w:rPr>
                <w:rFonts w:ascii="Arial" w:cs="Arial" w:eastAsia="Arial" w:hAnsi="Arial"/>
                <w:sz w:val="22"/>
                <w:szCs w:val="22"/>
                <w:color w:val="auto"/>
                <w:w w:val="89"/>
              </w:rPr>
              <w:t>24</w:t>
            </w:r>
          </w:p>
        </w:tc>
        <w:tc>
          <w:tcPr>
            <w:tcW w:w="0" w:type="dxa"/>
            <w:vAlign w:val="bottom"/>
          </w:tcPr>
          <w:p>
            <w:pPr>
              <w:spacing w:after="0"/>
              <w:rPr>
                <w:sz w:val="1"/>
                <w:szCs w:val="1"/>
                <w:color w:val="auto"/>
              </w:rPr>
            </w:pPr>
          </w:p>
        </w:tc>
      </w:tr>
      <w:tr>
        <w:trPr>
          <w:trHeight w:val="320"/>
        </w:trPr>
        <w:tc>
          <w:tcPr>
            <w:tcW w:w="6440" w:type="dxa"/>
            <w:vAlign w:val="bottom"/>
          </w:tcPr>
          <w:p>
            <w:pPr>
              <w:ind w:left="100"/>
              <w:spacing w:after="0"/>
              <w:rPr>
                <w:sz w:val="20"/>
                <w:szCs w:val="20"/>
                <w:color w:val="auto"/>
              </w:rPr>
            </w:pPr>
            <w:r>
              <w:rPr>
                <w:rFonts w:ascii="Arial" w:cs="Arial" w:eastAsia="Arial" w:hAnsi="Arial"/>
                <w:sz w:val="22"/>
                <w:szCs w:val="22"/>
                <w:b w:val="1"/>
                <w:bCs w:val="1"/>
                <w:color w:val="auto"/>
              </w:rPr>
              <w:t xml:space="preserve">Proposal 4: </w:t>
            </w:r>
            <w:r>
              <w:rPr>
                <w:rFonts w:ascii="Arial" w:cs="Arial" w:eastAsia="Arial" w:hAnsi="Arial"/>
                <w:sz w:val="22"/>
                <w:szCs w:val="22"/>
                <w:color w:val="auto"/>
              </w:rPr>
              <w:t>Ratification of Appointment of Independent Public</w:t>
            </w:r>
          </w:p>
        </w:tc>
        <w:tc>
          <w:tcPr>
            <w:tcW w:w="2620" w:type="dxa"/>
            <w:vAlign w:val="bottom"/>
          </w:tcPr>
          <w:p>
            <w:pPr>
              <w:jc w:val="center"/>
              <w:ind w:right="172"/>
              <w:spacing w:after="0"/>
              <w:rPr>
                <w:sz w:val="20"/>
                <w:szCs w:val="20"/>
                <w:color w:val="auto"/>
              </w:rPr>
            </w:pPr>
            <w:r>
              <w:rPr>
                <w:rFonts w:ascii="Arial" w:cs="Arial" w:eastAsia="Arial" w:hAnsi="Arial"/>
                <w:sz w:val="22"/>
                <w:szCs w:val="22"/>
                <w:b w:val="1"/>
                <w:bCs w:val="1"/>
                <w:color w:val="0AA04F"/>
                <w:w w:val="98"/>
              </w:rPr>
              <w:t>FOR</w:t>
            </w:r>
          </w:p>
        </w:tc>
        <w:tc>
          <w:tcPr>
            <w:tcW w:w="1960" w:type="dxa"/>
            <w:vAlign w:val="bottom"/>
          </w:tcPr>
          <w:p>
            <w:pPr>
              <w:jc w:val="center"/>
              <w:ind w:right="152"/>
              <w:spacing w:after="0"/>
              <w:rPr>
                <w:sz w:val="20"/>
                <w:szCs w:val="20"/>
                <w:color w:val="auto"/>
              </w:rPr>
            </w:pPr>
            <w:r>
              <w:rPr>
                <w:rFonts w:ascii="Arial" w:cs="Arial" w:eastAsia="Arial" w:hAnsi="Arial"/>
                <w:sz w:val="22"/>
                <w:szCs w:val="22"/>
                <w:color w:val="auto"/>
                <w:w w:val="89"/>
              </w:rPr>
              <w:t>25</w:t>
            </w:r>
          </w:p>
        </w:tc>
        <w:tc>
          <w:tcPr>
            <w:tcW w:w="0" w:type="dxa"/>
            <w:vAlign w:val="bottom"/>
          </w:tcPr>
          <w:p>
            <w:pPr>
              <w:spacing w:after="0"/>
              <w:rPr>
                <w:sz w:val="1"/>
                <w:szCs w:val="1"/>
                <w:color w:val="auto"/>
              </w:rPr>
            </w:pPr>
          </w:p>
        </w:tc>
      </w:tr>
      <w:tr>
        <w:trPr>
          <w:trHeight w:val="274"/>
        </w:trPr>
        <w:tc>
          <w:tcPr>
            <w:tcW w:w="6440" w:type="dxa"/>
            <w:vAlign w:val="bottom"/>
          </w:tcPr>
          <w:p>
            <w:pPr>
              <w:ind w:left="100"/>
              <w:spacing w:after="0"/>
              <w:rPr>
                <w:sz w:val="20"/>
                <w:szCs w:val="20"/>
                <w:color w:val="auto"/>
              </w:rPr>
            </w:pPr>
            <w:r>
              <w:rPr>
                <w:rFonts w:ascii="Arial" w:cs="Arial" w:eastAsia="Arial" w:hAnsi="Arial"/>
                <w:sz w:val="22"/>
                <w:szCs w:val="22"/>
                <w:color w:val="auto"/>
              </w:rPr>
              <w:t>Accountant</w:t>
            </w:r>
          </w:p>
        </w:tc>
        <w:tc>
          <w:tcPr>
            <w:tcW w:w="2620" w:type="dxa"/>
            <w:vAlign w:val="bottom"/>
          </w:tcPr>
          <w:p>
            <w:pPr>
              <w:spacing w:after="0"/>
              <w:rPr>
                <w:sz w:val="23"/>
                <w:szCs w:val="23"/>
                <w:color w:val="auto"/>
              </w:rPr>
            </w:pPr>
          </w:p>
        </w:tc>
        <w:tc>
          <w:tcPr>
            <w:tcW w:w="1960" w:type="dxa"/>
            <w:vAlign w:val="bottom"/>
          </w:tcPr>
          <w:p>
            <w:pPr>
              <w:spacing w:after="0"/>
              <w:rPr>
                <w:sz w:val="23"/>
                <w:szCs w:val="23"/>
                <w:color w:val="auto"/>
              </w:rPr>
            </w:pPr>
          </w:p>
        </w:tc>
        <w:tc>
          <w:tcPr>
            <w:tcW w:w="0" w:type="dxa"/>
            <w:vAlign w:val="bottom"/>
          </w:tcPr>
          <w:p>
            <w:pPr>
              <w:spacing w:after="0"/>
              <w:rPr>
                <w:sz w:val="1"/>
                <w:szCs w:val="1"/>
                <w:color w:val="auto"/>
              </w:rPr>
            </w:pPr>
          </w:p>
        </w:tc>
      </w:tr>
    </w:tbl>
    <w:p>
      <w:pPr>
        <w:spacing w:after="0" w:line="327" w:lineRule="exact"/>
        <w:rPr>
          <w:sz w:val="20"/>
          <w:szCs w:val="20"/>
          <w:color w:val="auto"/>
        </w:rPr>
      </w:pPr>
    </w:p>
    <w:p>
      <w:pPr>
        <w:jc w:val="center"/>
        <w:ind w:right="-99"/>
        <w:spacing w:after="0"/>
        <w:rPr>
          <w:sz w:val="20"/>
          <w:szCs w:val="20"/>
          <w:color w:val="auto"/>
        </w:rPr>
      </w:pPr>
      <w:r>
        <w:rPr>
          <w:rFonts w:ascii="Arial" w:cs="Arial" w:eastAsia="Arial" w:hAnsi="Arial"/>
          <w:sz w:val="22"/>
          <w:szCs w:val="22"/>
          <w:b w:val="1"/>
          <w:bCs w:val="1"/>
          <w:color w:val="407CCA"/>
        </w:rPr>
        <w:t>AGNC INVESTMENT CORP. AT A GLANCE</w:t>
      </w:r>
    </w:p>
    <w:p>
      <w:pPr>
        <w:spacing w:after="0" w:line="219" w:lineRule="exact"/>
        <w:rPr>
          <w:sz w:val="20"/>
          <w:szCs w:val="20"/>
          <w:color w:val="auto"/>
        </w:rPr>
      </w:pPr>
    </w:p>
    <w:p>
      <w:pPr>
        <w:ind w:left="120" w:right="120" w:firstLine="881"/>
        <w:spacing w:after="0" w:line="272" w:lineRule="auto"/>
        <w:rPr>
          <w:sz w:val="20"/>
          <w:szCs w:val="20"/>
          <w:color w:val="auto"/>
        </w:rPr>
      </w:pPr>
      <w:r>
        <w:rPr>
          <w:rFonts w:ascii="Arial" w:cs="Arial" w:eastAsia="Arial" w:hAnsi="Arial"/>
          <w:sz w:val="17"/>
          <w:szCs w:val="17"/>
          <w:color w:val="auto"/>
        </w:rPr>
        <w:t>AGNC Investment Corp. (“AGNC,” the “Company,” “we,” “our,” and “us”) is an internally-managed real estate investment trust (“REIT”) that invests primarily in residential mortgage-backed securities for which the principal and interest payments are guaranteed by a U.S. Government-sponsored enterprise (“GSE”) or a U.S. Government agency (referred to as “Agency” securities). We also invest in other types of mortgage and mortgage-related residential and commercial mortgage-based securities where repayment of principal and interest is not guaranteed by a GSE or other U.S. Government agency and in other investments in, or related to, the housing, mortgage, or real estate markets. AGNC provides an important source of private capital to the U.S. housing market. AGNC’s internal management structure, Agency MBS investment focus, and scale are significant differentiators relative to other potential comparative public companies.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139065</wp:posOffset>
            </wp:positionV>
            <wp:extent cx="7029450" cy="390906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7029450" cy="39090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6" w:lineRule="exact"/>
        <w:rPr>
          <w:sz w:val="20"/>
          <w:szCs w:val="20"/>
          <w:color w:val="auto"/>
        </w:rPr>
      </w:pPr>
    </w:p>
    <w:p>
      <w:pPr>
        <w:ind w:left="880" w:hanging="764"/>
        <w:spacing w:after="0"/>
        <w:tabs>
          <w:tab w:leader="none" w:pos="880" w:val="left"/>
        </w:tabs>
        <w:numPr>
          <w:ilvl w:val="0"/>
          <w:numId w:val="4"/>
        </w:numPr>
        <w:rPr>
          <w:rFonts w:ascii="Arial" w:cs="Arial" w:eastAsia="Arial" w:hAnsi="Arial"/>
          <w:sz w:val="14"/>
          <w:szCs w:val="14"/>
          <w:color w:val="auto"/>
        </w:rPr>
      </w:pPr>
      <w:r>
        <w:rPr>
          <w:rFonts w:ascii="Arial" w:cs="Arial" w:eastAsia="Arial" w:hAnsi="Arial"/>
          <w:sz w:val="14"/>
          <w:szCs w:val="14"/>
          <w:color w:val="auto"/>
        </w:rPr>
        <w:t>Data as of December 31, 2019.</w:t>
      </w:r>
    </w:p>
    <w:p>
      <w:pPr>
        <w:spacing w:after="0" w:line="136" w:lineRule="exact"/>
        <w:rPr>
          <w:sz w:val="20"/>
          <w:szCs w:val="20"/>
          <w:color w:val="auto"/>
        </w:rPr>
      </w:pPr>
    </w:p>
    <w:p>
      <w:pPr>
        <w:jc w:val="right"/>
        <w:spacing w:after="0"/>
        <w:tabs>
          <w:tab w:leader="none" w:pos="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i</w:t>
      </w:r>
    </w:p>
    <w:p>
      <w:pPr>
        <w:sectPr>
          <w:pgSz w:w="11900" w:h="16838" w:orient="portrait"/>
          <w:cols w:equalWidth="0" w:num="1">
            <w:col w:w="11140"/>
          </w:cols>
          <w:pgMar w:left="320" w:top="459" w:right="439" w:bottom="1440" w:gutter="0" w:footer="0" w:header="0"/>
        </w:sectPr>
      </w:pPr>
    </w:p>
    <w:bookmarkStart w:id="3" w:name="page4"/>
    <w:bookmarkEnd w:id="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AGNC INVESTMENT CORP. AT A GLANCE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6995160" cy="8890"/>
                    </a:xfrm>
                    <a:prstGeom prst="rect">
                      <a:avLst/>
                    </a:prstGeom>
                    <a:noFill/>
                  </pic:spPr>
                </pic:pic>
              </a:graphicData>
            </a:graphic>
          </wp:anchor>
        </w:drawing>
      </w:r>
    </w:p>
    <w:p>
      <w:pPr>
        <w:spacing w:after="0" w:line="184"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Industry-Leading Performance</w:t>
      </w:r>
    </w:p>
    <w:p>
      <w:pPr>
        <w:spacing w:after="0" w:line="121" w:lineRule="exact"/>
        <w:rPr>
          <w:sz w:val="20"/>
          <w:szCs w:val="20"/>
          <w:color w:val="auto"/>
        </w:rPr>
      </w:pPr>
    </w:p>
    <w:p>
      <w:pPr>
        <w:ind w:left="120" w:right="20" w:firstLine="881"/>
        <w:spacing w:after="0" w:line="255" w:lineRule="auto"/>
        <w:rPr>
          <w:sz w:val="20"/>
          <w:szCs w:val="20"/>
          <w:color w:val="auto"/>
        </w:rPr>
      </w:pPr>
      <w:r>
        <w:rPr>
          <w:rFonts w:ascii="Arial" w:cs="Arial" w:eastAsia="Arial" w:hAnsi="Arial"/>
          <w:sz w:val="18"/>
          <w:szCs w:val="18"/>
          <w:color w:val="auto"/>
        </w:rPr>
        <w:t>AGNC combines a track-record of strong financial performance with the lowest operating cost structure in the residential mortgage REIT industry. We have generated strong returns since our initial public offering (“IPO”), outperforming residential mortgage REIT peers and the broader market utilizing our active portfolio management strategy. This active portfolio management strategy is comprised of three critical components: prudent asset selection, dynamic funding and liability management, and disciplined risk management. In addition, our low-cost operating structure—the lowest among residential mortgage REITs as a percentage of stockholders’ equity—provides an inherent benefit to our performance relative to our higher cost peers.</w:t>
      </w:r>
    </w:p>
    <w:p>
      <w:pPr>
        <w:spacing w:after="0" w:line="192" w:lineRule="exact"/>
        <w:rPr>
          <w:sz w:val="20"/>
          <w:szCs w:val="20"/>
          <w:color w:val="auto"/>
        </w:rPr>
      </w:pPr>
    </w:p>
    <w:p>
      <w:pPr>
        <w:ind w:left="120" w:right="60" w:firstLine="881"/>
        <w:spacing w:after="0" w:line="259" w:lineRule="auto"/>
        <w:rPr>
          <w:sz w:val="20"/>
          <w:szCs w:val="20"/>
          <w:color w:val="auto"/>
        </w:rPr>
      </w:pPr>
      <w:r>
        <w:rPr>
          <w:rFonts w:ascii="Arial" w:cs="Arial" w:eastAsia="Arial" w:hAnsi="Arial"/>
          <w:sz w:val="18"/>
          <w:szCs w:val="18"/>
          <w:color w:val="auto"/>
        </w:rPr>
        <w:t>From our May 2008 IPO through December 31, 2019, AGNC has declared $9.6 billion in common stock dividends, or $41.32 per common share, and has generated an annualized total stock return of 14.9%, compared to 7.7% for the Bloomberg Mortgage REIT Index, 5.3% for the S&amp;P 500 Financials Index and 9.7% for the S&amp;P 500. AGNC generated strong returns for stockholders in 2019, with an economic return of 18.7% and a total stock return of 13.3%.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144780</wp:posOffset>
            </wp:positionV>
            <wp:extent cx="5511800" cy="25292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5511800" cy="25292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2" w:lineRule="exact"/>
        <w:rPr>
          <w:sz w:val="20"/>
          <w:szCs w:val="20"/>
          <w:color w:val="auto"/>
        </w:rPr>
      </w:pPr>
    </w:p>
    <w:p>
      <w:pPr>
        <w:ind w:left="880" w:right="120" w:hanging="764"/>
        <w:spacing w:after="0" w:line="253" w:lineRule="auto"/>
        <w:tabs>
          <w:tab w:leader="none" w:pos="880" w:val="left"/>
        </w:tabs>
        <w:numPr>
          <w:ilvl w:val="0"/>
          <w:numId w:val="5"/>
        </w:numPr>
        <w:rPr>
          <w:rFonts w:ascii="Arial" w:cs="Arial" w:eastAsia="Arial" w:hAnsi="Arial"/>
          <w:sz w:val="14"/>
          <w:szCs w:val="14"/>
          <w:color w:val="auto"/>
        </w:rPr>
      </w:pPr>
      <w:r>
        <w:rPr>
          <w:rFonts w:ascii="Arial" w:cs="Arial" w:eastAsia="Arial" w:hAnsi="Arial"/>
          <w:sz w:val="14"/>
          <w:szCs w:val="14"/>
          <w:color w:val="auto"/>
        </w:rPr>
        <w:t>Stock return is measured from AGNC’s IPO through December 31, 2019. Total stock return over a period includes price appreciation and dividend reinvestment; dividends are assumed to be reinvested at the closing price of the security on the ex-dividend date. Source: S&amp;P Global Market Intelligence and Bloomberg.</w:t>
      </w:r>
    </w:p>
    <w:p>
      <w:pPr>
        <w:spacing w:after="0" w:line="282"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Qualified Leadership</w:t>
      </w:r>
    </w:p>
    <w:p>
      <w:pPr>
        <w:spacing w:after="0" w:line="121" w:lineRule="exact"/>
        <w:rPr>
          <w:sz w:val="20"/>
          <w:szCs w:val="20"/>
          <w:color w:val="auto"/>
        </w:rPr>
      </w:pPr>
    </w:p>
    <w:p>
      <w:pPr>
        <w:ind w:left="120" w:firstLine="881"/>
        <w:spacing w:after="0" w:line="257" w:lineRule="auto"/>
        <w:rPr>
          <w:sz w:val="20"/>
          <w:szCs w:val="20"/>
          <w:color w:val="auto"/>
        </w:rPr>
      </w:pPr>
      <w:r>
        <w:rPr>
          <w:rFonts w:ascii="Arial" w:cs="Arial" w:eastAsia="Arial" w:hAnsi="Arial"/>
          <w:sz w:val="18"/>
          <w:szCs w:val="18"/>
          <w:color w:val="auto"/>
        </w:rPr>
        <w:t>The AGNC management team is led by Gary Kain, our Chief Executive Officer and Chief Investment Officer, and includes a broad mix of mortgage investment experts and industry thought leaders. This management team has a strong track record of success, as reflected in our outperformance since our IPO. Additionally, we recognize the importance of strong independent leadership on our Board of Directors (the “Board”) and believe that separating the positions of Chair and CEO is the best corporate governance leadership structure for us at this time. Prue Larocca, an independent director, serves as our Board Chair.</w:t>
      </w:r>
    </w:p>
    <w:p>
      <w:pPr>
        <w:spacing w:after="0" w:line="188" w:lineRule="exact"/>
        <w:rPr>
          <w:sz w:val="20"/>
          <w:szCs w:val="20"/>
          <w:color w:val="auto"/>
        </w:rPr>
      </w:pPr>
    </w:p>
    <w:p>
      <w:pPr>
        <w:ind w:left="120" w:right="460" w:firstLine="881"/>
        <w:spacing w:after="0" w:line="277" w:lineRule="auto"/>
        <w:rPr>
          <w:sz w:val="20"/>
          <w:szCs w:val="20"/>
          <w:color w:val="auto"/>
        </w:rPr>
      </w:pPr>
      <w:r>
        <w:rPr>
          <w:rFonts w:ascii="Arial" w:cs="Arial" w:eastAsia="Arial" w:hAnsi="Arial"/>
          <w:sz w:val="18"/>
          <w:szCs w:val="18"/>
          <w:color w:val="auto"/>
        </w:rPr>
        <w:t>AGNC’s Board is currently comprised of seven members, including six independent directors, whose diverse range of experience and backgrounds makes them highly qualified to oversee our strategy, operations,</w:t>
      </w:r>
    </w:p>
    <w:p>
      <w:pPr>
        <w:spacing w:after="0" w:line="98" w:lineRule="exact"/>
        <w:rPr>
          <w:sz w:val="20"/>
          <w:szCs w:val="20"/>
          <w:color w:val="auto"/>
        </w:rPr>
      </w:pPr>
    </w:p>
    <w:p>
      <w:pPr>
        <w:ind w:left="120"/>
        <w:spacing w:after="0"/>
        <w:tabs>
          <w:tab w:leader="none" w:pos="320" w:val="left"/>
        </w:tabs>
        <w:rPr>
          <w:sz w:val="20"/>
          <w:szCs w:val="20"/>
          <w:color w:val="auto"/>
        </w:rPr>
      </w:pPr>
      <w:r>
        <w:rPr>
          <w:rFonts w:ascii="Arial" w:cs="Arial" w:eastAsia="Arial" w:hAnsi="Arial"/>
          <w:sz w:val="14"/>
          <w:szCs w:val="14"/>
          <w:color w:val="407CCA"/>
        </w:rPr>
        <w:t>ii</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080"/>
          </w:cols>
          <w:pgMar w:left="320" w:top="459" w:right="499" w:bottom="1440" w:gutter="0" w:footer="0" w:header="0"/>
        </w:sectPr>
      </w:pPr>
    </w:p>
    <w:bookmarkStart w:id="4" w:name="page5"/>
    <w:bookmarkEnd w:id="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8360"/>
        <w:spacing w:after="0"/>
        <w:rPr>
          <w:sz w:val="20"/>
          <w:szCs w:val="20"/>
          <w:color w:val="auto"/>
        </w:rPr>
      </w:pPr>
      <w:r>
        <w:rPr>
          <w:rFonts w:ascii="Arial" w:cs="Arial" w:eastAsia="Arial" w:hAnsi="Arial"/>
          <w:sz w:val="13"/>
          <w:szCs w:val="13"/>
          <w:color w:val="407CCA"/>
        </w:rPr>
        <w:t>AGNC INVESTMENT CORP. AT A GLANCE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28575</wp:posOffset>
            </wp:positionV>
            <wp:extent cx="6995160" cy="82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99" w:lineRule="exact"/>
        <w:rPr>
          <w:sz w:val="20"/>
          <w:szCs w:val="20"/>
          <w:color w:val="auto"/>
        </w:rPr>
      </w:pPr>
    </w:p>
    <w:p>
      <w:pPr>
        <w:ind w:left="120" w:right="280"/>
        <w:spacing w:after="0" w:line="279" w:lineRule="auto"/>
        <w:rPr>
          <w:sz w:val="20"/>
          <w:szCs w:val="20"/>
          <w:color w:val="auto"/>
        </w:rPr>
      </w:pPr>
      <w:r>
        <w:rPr>
          <w:rFonts w:ascii="Arial" w:cs="Arial" w:eastAsia="Arial" w:hAnsi="Arial"/>
          <w:sz w:val="17"/>
          <w:szCs w:val="17"/>
          <w:color w:val="auto"/>
        </w:rPr>
        <w:t>and risk management. We evaluate our Board’s backgrounds, skill sets, experience, and diversity on an ongoing basis, including as part of our annual evaluation process, to ensure they align with the Company’s go-forward strategy. In September 2019, we increased the size of our Board with the appointment of independent directors Frances Spark and John Fisk. Ms. Spark and Mr. Fisk bring additional expertise in public company accounting, risk management, the U.S. housing sector, and human capital management to our Board.</w:t>
      </w:r>
    </w:p>
    <w:p>
      <w:pPr>
        <w:spacing w:after="0" w:line="383" w:lineRule="exact"/>
        <w:rPr>
          <w:sz w:val="20"/>
          <w:szCs w:val="20"/>
          <w:color w:val="auto"/>
        </w:rPr>
      </w:pPr>
    </w:p>
    <w:p>
      <w:pPr>
        <w:jc w:val="center"/>
        <w:ind w:right="-99"/>
        <w:spacing w:after="0"/>
        <w:rPr>
          <w:sz w:val="20"/>
          <w:szCs w:val="20"/>
          <w:color w:val="auto"/>
        </w:rPr>
      </w:pPr>
      <w:r>
        <w:rPr>
          <w:rFonts w:ascii="Arial" w:cs="Arial" w:eastAsia="Arial" w:hAnsi="Arial"/>
          <w:sz w:val="18"/>
          <w:szCs w:val="18"/>
          <w:b w:val="1"/>
          <w:bCs w:val="1"/>
          <w:color w:val="407CCA"/>
        </w:rPr>
        <w:t>Director Nominees</w:t>
      </w:r>
    </w:p>
    <w:p>
      <w:pPr>
        <w:spacing w:after="0" w:line="250" w:lineRule="exact"/>
        <w:rPr>
          <w:sz w:val="20"/>
          <w:szCs w:val="20"/>
          <w:color w:val="auto"/>
        </w:rPr>
      </w:pPr>
    </w:p>
    <w:tbl>
      <w:tblPr>
        <w:tblLayout w:type="fixed"/>
        <w:tblInd w:w="120" w:type="dxa"/>
        <w:tblCellMar>
          <w:top w:w="0" w:type="dxa"/>
          <w:left w:w="0" w:type="dxa"/>
          <w:bottom w:w="0" w:type="dxa"/>
          <w:right w:w="0" w:type="dxa"/>
        </w:tblCellMar>
      </w:tblPr>
      <w:tr>
        <w:trPr>
          <w:trHeight w:val="148"/>
        </w:trPr>
        <w:tc>
          <w:tcPr>
            <w:tcW w:w="4020" w:type="dxa"/>
            <w:vAlign w:val="bottom"/>
            <w:tcBorders>
              <w:top w:val="single" w:sz="8" w:color="304963"/>
            </w:tcBorders>
          </w:tcPr>
          <w:p>
            <w:pPr>
              <w:spacing w:after="0"/>
              <w:rPr>
                <w:sz w:val="12"/>
                <w:szCs w:val="12"/>
                <w:color w:val="auto"/>
              </w:rPr>
            </w:pPr>
          </w:p>
        </w:tc>
        <w:tc>
          <w:tcPr>
            <w:tcW w:w="2280" w:type="dxa"/>
            <w:vAlign w:val="bottom"/>
            <w:tcBorders>
              <w:top w:val="single" w:sz="8" w:color="304963"/>
            </w:tcBorders>
          </w:tcPr>
          <w:p>
            <w:pPr>
              <w:spacing w:after="0"/>
              <w:rPr>
                <w:sz w:val="12"/>
                <w:szCs w:val="12"/>
                <w:color w:val="auto"/>
              </w:rPr>
            </w:pPr>
          </w:p>
        </w:tc>
        <w:tc>
          <w:tcPr>
            <w:tcW w:w="1480" w:type="dxa"/>
            <w:vAlign w:val="bottom"/>
            <w:tcBorders>
              <w:top w:val="single" w:sz="8" w:color="304963"/>
            </w:tcBorders>
          </w:tcPr>
          <w:p>
            <w:pPr>
              <w:spacing w:after="0"/>
              <w:rPr>
                <w:sz w:val="12"/>
                <w:szCs w:val="12"/>
                <w:color w:val="auto"/>
              </w:rPr>
            </w:pPr>
          </w:p>
        </w:tc>
        <w:tc>
          <w:tcPr>
            <w:tcW w:w="800" w:type="dxa"/>
            <w:vAlign w:val="bottom"/>
            <w:tcBorders>
              <w:top w:val="single" w:sz="8" w:color="304963"/>
              <w:bottom w:val="single" w:sz="8" w:color="auto"/>
            </w:tcBorders>
          </w:tcPr>
          <w:p>
            <w:pPr>
              <w:spacing w:after="0"/>
              <w:rPr>
                <w:sz w:val="12"/>
                <w:szCs w:val="12"/>
                <w:color w:val="auto"/>
              </w:rPr>
            </w:pPr>
          </w:p>
        </w:tc>
        <w:tc>
          <w:tcPr>
            <w:tcW w:w="1160" w:type="dxa"/>
            <w:vAlign w:val="bottom"/>
            <w:tcBorders>
              <w:top w:val="single" w:sz="8" w:color="304963"/>
              <w:bottom w:val="single" w:sz="8" w:color="auto"/>
            </w:tcBorders>
          </w:tcPr>
          <w:p>
            <w:pPr>
              <w:ind w:left="520"/>
              <w:spacing w:after="0"/>
              <w:rPr>
                <w:sz w:val="20"/>
                <w:szCs w:val="20"/>
                <w:color w:val="auto"/>
              </w:rPr>
            </w:pPr>
            <w:r>
              <w:rPr>
                <w:rFonts w:ascii="Arial" w:cs="Arial" w:eastAsia="Arial" w:hAnsi="Arial"/>
                <w:sz w:val="13"/>
                <w:szCs w:val="13"/>
                <w:b w:val="1"/>
                <w:bCs w:val="1"/>
                <w:color w:val="auto"/>
                <w:w w:val="92"/>
              </w:rPr>
              <w:t>Committee</w:t>
            </w:r>
          </w:p>
        </w:tc>
        <w:tc>
          <w:tcPr>
            <w:tcW w:w="1280" w:type="dxa"/>
            <w:vAlign w:val="bottom"/>
            <w:tcBorders>
              <w:top w:val="single" w:sz="8" w:color="304963"/>
              <w:bottom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10"/>
        </w:trPr>
        <w:tc>
          <w:tcPr>
            <w:tcW w:w="4020" w:type="dxa"/>
            <w:vAlign w:val="bottom"/>
            <w:vMerge w:val="restart"/>
          </w:tcPr>
          <w:p>
            <w:pPr>
              <w:ind w:left="80"/>
              <w:spacing w:after="0"/>
              <w:rPr>
                <w:sz w:val="20"/>
                <w:szCs w:val="20"/>
                <w:color w:val="auto"/>
              </w:rPr>
            </w:pPr>
            <w:r>
              <w:rPr>
                <w:rFonts w:ascii="Arial" w:cs="Arial" w:eastAsia="Arial" w:hAnsi="Arial"/>
                <w:sz w:val="18"/>
                <w:szCs w:val="18"/>
                <w:b w:val="1"/>
                <w:bCs w:val="1"/>
                <w:color w:val="auto"/>
              </w:rPr>
              <w:t>Name</w:t>
            </w:r>
          </w:p>
        </w:tc>
        <w:tc>
          <w:tcPr>
            <w:tcW w:w="2280" w:type="dxa"/>
            <w:vAlign w:val="bottom"/>
          </w:tcPr>
          <w:p>
            <w:pPr>
              <w:spacing w:after="0"/>
              <w:rPr>
                <w:sz w:val="9"/>
                <w:szCs w:val="9"/>
                <w:color w:val="auto"/>
              </w:rPr>
            </w:pPr>
          </w:p>
        </w:tc>
        <w:tc>
          <w:tcPr>
            <w:tcW w:w="1480" w:type="dxa"/>
            <w:vAlign w:val="bottom"/>
          </w:tcPr>
          <w:p>
            <w:pPr>
              <w:spacing w:after="0"/>
              <w:rPr>
                <w:sz w:val="9"/>
                <w:szCs w:val="9"/>
                <w:color w:val="auto"/>
              </w:rPr>
            </w:pPr>
          </w:p>
        </w:tc>
        <w:tc>
          <w:tcPr>
            <w:tcW w:w="800" w:type="dxa"/>
            <w:vAlign w:val="bottom"/>
          </w:tcPr>
          <w:p>
            <w:pPr>
              <w:spacing w:after="0"/>
              <w:rPr>
                <w:sz w:val="9"/>
                <w:szCs w:val="9"/>
                <w:color w:val="auto"/>
              </w:rPr>
            </w:pPr>
          </w:p>
        </w:tc>
        <w:tc>
          <w:tcPr>
            <w:tcW w:w="1160" w:type="dxa"/>
            <w:vAlign w:val="bottom"/>
          </w:tcPr>
          <w:p>
            <w:pPr>
              <w:spacing w:after="0"/>
              <w:rPr>
                <w:sz w:val="9"/>
                <w:szCs w:val="9"/>
                <w:color w:val="auto"/>
              </w:rPr>
            </w:pPr>
          </w:p>
        </w:tc>
        <w:tc>
          <w:tcPr>
            <w:tcW w:w="1280" w:type="dxa"/>
            <w:vAlign w:val="bottom"/>
          </w:tcPr>
          <w:p>
            <w:pPr>
              <w:jc w:val="center"/>
              <w:spacing w:after="0" w:line="110" w:lineRule="exact"/>
              <w:rPr>
                <w:sz w:val="20"/>
                <w:szCs w:val="20"/>
                <w:color w:val="auto"/>
              </w:rPr>
            </w:pPr>
            <w:r>
              <w:rPr>
                <w:rFonts w:ascii="Arial" w:cs="Arial" w:eastAsia="Arial" w:hAnsi="Arial"/>
                <w:sz w:val="12"/>
                <w:szCs w:val="12"/>
                <w:b w:val="1"/>
                <w:bCs w:val="1"/>
                <w:color w:val="auto"/>
                <w:w w:val="94"/>
              </w:rPr>
              <w:t>Compensation &amp;</w:t>
            </w:r>
          </w:p>
        </w:tc>
        <w:tc>
          <w:tcPr>
            <w:tcW w:w="0" w:type="dxa"/>
            <w:vAlign w:val="bottom"/>
          </w:tcPr>
          <w:p>
            <w:pPr>
              <w:spacing w:after="0"/>
              <w:rPr>
                <w:sz w:val="1"/>
                <w:szCs w:val="1"/>
                <w:color w:val="auto"/>
              </w:rPr>
            </w:pPr>
          </w:p>
        </w:tc>
      </w:tr>
      <w:tr>
        <w:trPr>
          <w:trHeight w:val="167"/>
        </w:trPr>
        <w:tc>
          <w:tcPr>
            <w:tcW w:w="4020" w:type="dxa"/>
            <w:vAlign w:val="bottom"/>
            <w:tcBorders>
              <w:bottom w:val="single" w:sz="8" w:color="304963"/>
            </w:tcBorders>
            <w:vMerge w:val="continue"/>
          </w:tcPr>
          <w:p>
            <w:pPr>
              <w:spacing w:after="0"/>
              <w:rPr>
                <w:sz w:val="14"/>
                <w:szCs w:val="14"/>
                <w:color w:val="auto"/>
              </w:rPr>
            </w:pPr>
          </w:p>
        </w:tc>
        <w:tc>
          <w:tcPr>
            <w:tcW w:w="2280" w:type="dxa"/>
            <w:vAlign w:val="bottom"/>
            <w:tcBorders>
              <w:bottom w:val="single" w:sz="8" w:color="304963"/>
            </w:tcBorders>
          </w:tcPr>
          <w:p>
            <w:pPr>
              <w:jc w:val="center"/>
              <w:ind w:left="913"/>
              <w:spacing w:after="0"/>
              <w:rPr>
                <w:sz w:val="20"/>
                <w:szCs w:val="20"/>
                <w:color w:val="auto"/>
              </w:rPr>
            </w:pPr>
            <w:r>
              <w:rPr>
                <w:rFonts w:ascii="Arial" w:cs="Arial" w:eastAsia="Arial" w:hAnsi="Arial"/>
                <w:sz w:val="13"/>
                <w:szCs w:val="13"/>
                <w:b w:val="1"/>
                <w:bCs w:val="1"/>
                <w:color w:val="auto"/>
                <w:w w:val="86"/>
              </w:rPr>
              <w:t>Director Since</w:t>
            </w:r>
          </w:p>
        </w:tc>
        <w:tc>
          <w:tcPr>
            <w:tcW w:w="1480" w:type="dxa"/>
            <w:vAlign w:val="bottom"/>
            <w:tcBorders>
              <w:bottom w:val="single" w:sz="8" w:color="304963"/>
            </w:tcBorders>
          </w:tcPr>
          <w:p>
            <w:pPr>
              <w:jc w:val="center"/>
              <w:ind w:right="154"/>
              <w:spacing w:after="0"/>
              <w:rPr>
                <w:sz w:val="20"/>
                <w:szCs w:val="20"/>
                <w:color w:val="auto"/>
              </w:rPr>
            </w:pPr>
            <w:r>
              <w:rPr>
                <w:rFonts w:ascii="Arial" w:cs="Arial" w:eastAsia="Arial" w:hAnsi="Arial"/>
                <w:sz w:val="13"/>
                <w:szCs w:val="13"/>
                <w:b w:val="1"/>
                <w:bCs w:val="1"/>
                <w:color w:val="auto"/>
                <w:w w:val="87"/>
              </w:rPr>
              <w:t>Independent</w:t>
            </w:r>
          </w:p>
        </w:tc>
        <w:tc>
          <w:tcPr>
            <w:tcW w:w="800" w:type="dxa"/>
            <w:vAlign w:val="bottom"/>
            <w:tcBorders>
              <w:bottom w:val="single" w:sz="8" w:color="304963"/>
            </w:tcBorders>
          </w:tcPr>
          <w:p>
            <w:pPr>
              <w:jc w:val="center"/>
              <w:ind w:right="177"/>
              <w:spacing w:after="0"/>
              <w:rPr>
                <w:sz w:val="20"/>
                <w:szCs w:val="20"/>
                <w:color w:val="auto"/>
              </w:rPr>
            </w:pPr>
            <w:r>
              <w:rPr>
                <w:rFonts w:ascii="Arial" w:cs="Arial" w:eastAsia="Arial" w:hAnsi="Arial"/>
                <w:sz w:val="13"/>
                <w:szCs w:val="13"/>
                <w:b w:val="1"/>
                <w:bCs w:val="1"/>
                <w:color w:val="auto"/>
                <w:w w:val="88"/>
              </w:rPr>
              <w:t>Executive</w:t>
            </w:r>
          </w:p>
        </w:tc>
        <w:tc>
          <w:tcPr>
            <w:tcW w:w="1160" w:type="dxa"/>
            <w:vAlign w:val="bottom"/>
            <w:tcBorders>
              <w:bottom w:val="single" w:sz="8" w:color="304963"/>
            </w:tcBorders>
          </w:tcPr>
          <w:p>
            <w:pPr>
              <w:jc w:val="center"/>
              <w:ind w:right="159"/>
              <w:spacing w:after="0"/>
              <w:rPr>
                <w:sz w:val="20"/>
                <w:szCs w:val="20"/>
                <w:color w:val="auto"/>
              </w:rPr>
            </w:pPr>
            <w:r>
              <w:rPr>
                <w:rFonts w:ascii="Arial" w:cs="Arial" w:eastAsia="Arial" w:hAnsi="Arial"/>
                <w:sz w:val="13"/>
                <w:szCs w:val="13"/>
                <w:b w:val="1"/>
                <w:bCs w:val="1"/>
                <w:color w:val="auto"/>
                <w:w w:val="96"/>
              </w:rPr>
              <w:t>Audit</w:t>
            </w:r>
          </w:p>
        </w:tc>
        <w:tc>
          <w:tcPr>
            <w:tcW w:w="1280" w:type="dxa"/>
            <w:vAlign w:val="bottom"/>
            <w:tcBorders>
              <w:bottom w:val="single" w:sz="8" w:color="304963"/>
            </w:tcBorders>
          </w:tcPr>
          <w:p>
            <w:pPr>
              <w:jc w:val="center"/>
              <w:spacing w:after="0"/>
              <w:rPr>
                <w:sz w:val="20"/>
                <w:szCs w:val="20"/>
                <w:color w:val="auto"/>
              </w:rPr>
            </w:pPr>
            <w:r>
              <w:rPr>
                <w:rFonts w:ascii="Arial" w:cs="Arial" w:eastAsia="Arial" w:hAnsi="Arial"/>
                <w:sz w:val="13"/>
                <w:szCs w:val="13"/>
                <w:b w:val="1"/>
                <w:bCs w:val="1"/>
                <w:color w:val="auto"/>
                <w:w w:val="87"/>
              </w:rPr>
              <w:t>Corporate Governance</w:t>
            </w:r>
          </w:p>
        </w:tc>
        <w:tc>
          <w:tcPr>
            <w:tcW w:w="0" w:type="dxa"/>
            <w:vAlign w:val="bottom"/>
          </w:tcPr>
          <w:p>
            <w:pPr>
              <w:spacing w:after="0"/>
              <w:rPr>
                <w:sz w:val="1"/>
                <w:szCs w:val="1"/>
                <w:color w:val="auto"/>
              </w:rPr>
            </w:pPr>
          </w:p>
        </w:tc>
      </w:tr>
      <w:tr>
        <w:trPr>
          <w:trHeight w:val="277"/>
        </w:trPr>
        <w:tc>
          <w:tcPr>
            <w:tcW w:w="4020" w:type="dxa"/>
            <w:vAlign w:val="bottom"/>
            <w:shd w:val="clear" w:color="auto" w:fill="CCEEFF"/>
          </w:tcPr>
          <w:p>
            <w:pPr>
              <w:ind w:left="80"/>
              <w:spacing w:after="0"/>
              <w:rPr>
                <w:sz w:val="20"/>
                <w:szCs w:val="20"/>
                <w:color w:val="auto"/>
              </w:rPr>
            </w:pPr>
            <w:r>
              <w:rPr>
                <w:rFonts w:ascii="Arial" w:cs="Arial" w:eastAsia="Arial" w:hAnsi="Arial"/>
                <w:sz w:val="18"/>
                <w:szCs w:val="18"/>
                <w:color w:val="auto"/>
              </w:rPr>
              <w:t xml:space="preserve">Prue B. Larocca </w:t>
            </w:r>
            <w:r>
              <w:rPr>
                <w:rFonts w:ascii="Arial" w:cs="Arial" w:eastAsia="Arial" w:hAnsi="Arial"/>
                <w:sz w:val="18"/>
                <w:szCs w:val="18"/>
                <w:i w:val="1"/>
                <w:iCs w:val="1"/>
                <w:color w:val="407CCA"/>
              </w:rPr>
              <w:t>(Independent Chair)</w:t>
            </w:r>
          </w:p>
        </w:tc>
        <w:tc>
          <w:tcPr>
            <w:tcW w:w="2280" w:type="dxa"/>
            <w:vAlign w:val="bottom"/>
            <w:shd w:val="clear" w:color="auto" w:fill="CCEEFF"/>
          </w:tcPr>
          <w:p>
            <w:pPr>
              <w:jc w:val="center"/>
              <w:ind w:left="913"/>
              <w:spacing w:after="0"/>
              <w:rPr>
                <w:sz w:val="20"/>
                <w:szCs w:val="20"/>
                <w:color w:val="auto"/>
              </w:rPr>
            </w:pPr>
            <w:r>
              <w:rPr>
                <w:rFonts w:ascii="Arial" w:cs="Arial" w:eastAsia="Arial" w:hAnsi="Arial"/>
                <w:sz w:val="18"/>
                <w:szCs w:val="18"/>
                <w:color w:val="auto"/>
                <w:w w:val="89"/>
              </w:rPr>
              <w:t>2013</w:t>
            </w:r>
          </w:p>
        </w:tc>
        <w:tc>
          <w:tcPr>
            <w:tcW w:w="1480" w:type="dxa"/>
            <w:vAlign w:val="bottom"/>
            <w:shd w:val="clear" w:color="auto" w:fill="CCEEFF"/>
          </w:tcPr>
          <w:p>
            <w:pPr>
              <w:jc w:val="center"/>
              <w:ind w:right="154"/>
              <w:spacing w:after="0" w:line="181" w:lineRule="exact"/>
              <w:rPr>
                <w:sz w:val="20"/>
                <w:szCs w:val="20"/>
                <w:color w:val="auto"/>
              </w:rPr>
            </w:pPr>
            <w:r>
              <w:rPr>
                <w:rFonts w:ascii="MS PGothic" w:cs="MS PGothic" w:eastAsia="MS PGothic" w:hAnsi="MS PGothic"/>
                <w:sz w:val="18"/>
                <w:szCs w:val="18"/>
                <w:color w:val="auto"/>
                <w:w w:val="88"/>
              </w:rPr>
              <w:t>✓</w:t>
            </w:r>
          </w:p>
        </w:tc>
        <w:tc>
          <w:tcPr>
            <w:tcW w:w="800" w:type="dxa"/>
            <w:vAlign w:val="bottom"/>
            <w:shd w:val="clear" w:color="auto" w:fill="CCEEFF"/>
          </w:tcPr>
          <w:p>
            <w:pPr>
              <w:jc w:val="center"/>
              <w:ind w:right="197"/>
              <w:spacing w:after="0"/>
              <w:rPr>
                <w:sz w:val="20"/>
                <w:szCs w:val="20"/>
                <w:color w:val="auto"/>
              </w:rPr>
            </w:pPr>
            <w:r>
              <w:rPr>
                <w:rFonts w:ascii="Arial" w:cs="Arial" w:eastAsia="Arial" w:hAnsi="Arial"/>
                <w:sz w:val="18"/>
                <w:szCs w:val="18"/>
                <w:color w:val="auto"/>
                <w:w w:val="92"/>
              </w:rPr>
              <w:t>Chair</w:t>
            </w:r>
          </w:p>
        </w:tc>
        <w:tc>
          <w:tcPr>
            <w:tcW w:w="1160" w:type="dxa"/>
            <w:vAlign w:val="bottom"/>
            <w:shd w:val="clear" w:color="auto" w:fill="CCEEFF"/>
          </w:tcPr>
          <w:p>
            <w:pPr>
              <w:jc w:val="center"/>
              <w:ind w:right="159"/>
              <w:spacing w:after="0" w:line="181" w:lineRule="exact"/>
              <w:rPr>
                <w:sz w:val="20"/>
                <w:szCs w:val="20"/>
                <w:color w:val="auto"/>
              </w:rPr>
            </w:pPr>
            <w:r>
              <w:rPr>
                <w:rFonts w:ascii="MS PGothic" w:cs="MS PGothic" w:eastAsia="MS PGothic" w:hAnsi="MS PGothic"/>
                <w:sz w:val="18"/>
                <w:szCs w:val="18"/>
                <w:color w:val="auto"/>
                <w:w w:val="88"/>
              </w:rPr>
              <w:t>✓</w:t>
            </w:r>
          </w:p>
        </w:tc>
        <w:tc>
          <w:tcPr>
            <w:tcW w:w="1280" w:type="dxa"/>
            <w:vAlign w:val="bottom"/>
            <w:shd w:val="clear" w:color="auto" w:fill="CCEEFF"/>
          </w:tcPr>
          <w:p>
            <w:pPr>
              <w:jc w:val="center"/>
              <w:spacing w:after="0" w:line="181" w:lineRule="exact"/>
              <w:rPr>
                <w:sz w:val="20"/>
                <w:szCs w:val="20"/>
                <w:color w:val="auto"/>
              </w:rPr>
            </w:pPr>
            <w:r>
              <w:rPr>
                <w:rFonts w:ascii="MS PGothic" w:cs="MS PGothic" w:eastAsia="MS PGothic" w:hAnsi="MS PGothic"/>
                <w:sz w:val="18"/>
                <w:szCs w:val="18"/>
                <w:color w:val="auto"/>
                <w:w w:val="77"/>
              </w:rPr>
              <w:t>✓</w:t>
            </w:r>
          </w:p>
        </w:tc>
        <w:tc>
          <w:tcPr>
            <w:tcW w:w="0" w:type="dxa"/>
            <w:vAlign w:val="bottom"/>
          </w:tcPr>
          <w:p>
            <w:pPr>
              <w:spacing w:after="0"/>
              <w:rPr>
                <w:sz w:val="1"/>
                <w:szCs w:val="1"/>
                <w:color w:val="auto"/>
              </w:rPr>
            </w:pPr>
          </w:p>
        </w:tc>
      </w:tr>
      <w:tr>
        <w:trPr>
          <w:trHeight w:val="283"/>
        </w:trPr>
        <w:tc>
          <w:tcPr>
            <w:tcW w:w="4020" w:type="dxa"/>
            <w:vAlign w:val="bottom"/>
          </w:tcPr>
          <w:p>
            <w:pPr>
              <w:ind w:left="80"/>
              <w:spacing w:after="0"/>
              <w:rPr>
                <w:sz w:val="20"/>
                <w:szCs w:val="20"/>
                <w:color w:val="auto"/>
              </w:rPr>
            </w:pPr>
            <w:r>
              <w:rPr>
                <w:rFonts w:ascii="Arial" w:cs="Arial" w:eastAsia="Arial" w:hAnsi="Arial"/>
                <w:sz w:val="18"/>
                <w:szCs w:val="18"/>
                <w:color w:val="auto"/>
              </w:rPr>
              <w:t>Donna J. Blank</w:t>
            </w:r>
          </w:p>
        </w:tc>
        <w:tc>
          <w:tcPr>
            <w:tcW w:w="2280" w:type="dxa"/>
            <w:vAlign w:val="bottom"/>
          </w:tcPr>
          <w:p>
            <w:pPr>
              <w:jc w:val="center"/>
              <w:ind w:left="913"/>
              <w:spacing w:after="0"/>
              <w:rPr>
                <w:sz w:val="20"/>
                <w:szCs w:val="20"/>
                <w:color w:val="auto"/>
              </w:rPr>
            </w:pPr>
            <w:r>
              <w:rPr>
                <w:rFonts w:ascii="Arial" w:cs="Arial" w:eastAsia="Arial" w:hAnsi="Arial"/>
                <w:sz w:val="18"/>
                <w:szCs w:val="18"/>
                <w:color w:val="auto"/>
                <w:w w:val="89"/>
              </w:rPr>
              <w:t>2018</w:t>
            </w:r>
          </w:p>
        </w:tc>
        <w:tc>
          <w:tcPr>
            <w:tcW w:w="1480" w:type="dxa"/>
            <w:vAlign w:val="bottom"/>
          </w:tcPr>
          <w:p>
            <w:pPr>
              <w:jc w:val="center"/>
              <w:ind w:right="154"/>
              <w:spacing w:after="0" w:line="181" w:lineRule="exact"/>
              <w:rPr>
                <w:sz w:val="20"/>
                <w:szCs w:val="20"/>
                <w:color w:val="auto"/>
              </w:rPr>
            </w:pPr>
            <w:r>
              <w:rPr>
                <w:rFonts w:ascii="MS PGothic" w:cs="MS PGothic" w:eastAsia="MS PGothic" w:hAnsi="MS PGothic"/>
                <w:sz w:val="18"/>
                <w:szCs w:val="18"/>
                <w:color w:val="auto"/>
                <w:w w:val="88"/>
              </w:rPr>
              <w:t>✓</w:t>
            </w:r>
          </w:p>
        </w:tc>
        <w:tc>
          <w:tcPr>
            <w:tcW w:w="800" w:type="dxa"/>
            <w:vAlign w:val="bottom"/>
          </w:tcPr>
          <w:p>
            <w:pPr>
              <w:jc w:val="center"/>
              <w:ind w:right="177"/>
              <w:spacing w:after="0" w:line="181" w:lineRule="exact"/>
              <w:rPr>
                <w:sz w:val="20"/>
                <w:szCs w:val="20"/>
                <w:color w:val="auto"/>
              </w:rPr>
            </w:pPr>
            <w:r>
              <w:rPr>
                <w:rFonts w:ascii="MS PGothic" w:cs="MS PGothic" w:eastAsia="MS PGothic" w:hAnsi="MS PGothic"/>
                <w:sz w:val="18"/>
                <w:szCs w:val="18"/>
                <w:color w:val="auto"/>
                <w:w w:val="77"/>
              </w:rPr>
              <w:t>✓</w:t>
            </w:r>
          </w:p>
        </w:tc>
        <w:tc>
          <w:tcPr>
            <w:tcW w:w="1160" w:type="dxa"/>
            <w:vAlign w:val="bottom"/>
          </w:tcPr>
          <w:p>
            <w:pPr>
              <w:jc w:val="center"/>
              <w:ind w:right="159"/>
              <w:spacing w:after="0"/>
              <w:rPr>
                <w:sz w:val="20"/>
                <w:szCs w:val="20"/>
                <w:color w:val="auto"/>
              </w:rPr>
            </w:pPr>
            <w:r>
              <w:rPr>
                <w:rFonts w:ascii="Arial" w:cs="Arial" w:eastAsia="Arial" w:hAnsi="Arial"/>
                <w:sz w:val="18"/>
                <w:szCs w:val="18"/>
                <w:color w:val="auto"/>
                <w:w w:val="92"/>
              </w:rPr>
              <w:t>Chair</w:t>
            </w:r>
          </w:p>
        </w:tc>
        <w:tc>
          <w:tcPr>
            <w:tcW w:w="12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84"/>
        </w:trPr>
        <w:tc>
          <w:tcPr>
            <w:tcW w:w="4020" w:type="dxa"/>
            <w:vAlign w:val="bottom"/>
            <w:shd w:val="clear" w:color="auto" w:fill="CCEEFF"/>
          </w:tcPr>
          <w:p>
            <w:pPr>
              <w:ind w:left="80"/>
              <w:spacing w:after="0"/>
              <w:rPr>
                <w:sz w:val="20"/>
                <w:szCs w:val="20"/>
                <w:color w:val="auto"/>
              </w:rPr>
            </w:pPr>
            <w:r>
              <w:rPr>
                <w:rFonts w:ascii="Arial" w:cs="Arial" w:eastAsia="Arial" w:hAnsi="Arial"/>
                <w:sz w:val="18"/>
                <w:szCs w:val="18"/>
                <w:color w:val="auto"/>
              </w:rPr>
              <w:t>Morris A. Davis</w:t>
            </w:r>
          </w:p>
        </w:tc>
        <w:tc>
          <w:tcPr>
            <w:tcW w:w="2280" w:type="dxa"/>
            <w:vAlign w:val="bottom"/>
            <w:shd w:val="clear" w:color="auto" w:fill="CCEEFF"/>
          </w:tcPr>
          <w:p>
            <w:pPr>
              <w:jc w:val="center"/>
              <w:ind w:left="913"/>
              <w:spacing w:after="0"/>
              <w:rPr>
                <w:sz w:val="20"/>
                <w:szCs w:val="20"/>
                <w:color w:val="auto"/>
              </w:rPr>
            </w:pPr>
            <w:r>
              <w:rPr>
                <w:rFonts w:ascii="Arial" w:cs="Arial" w:eastAsia="Arial" w:hAnsi="Arial"/>
                <w:sz w:val="18"/>
                <w:szCs w:val="18"/>
                <w:color w:val="auto"/>
                <w:w w:val="89"/>
              </w:rPr>
              <w:t>2008</w:t>
            </w:r>
          </w:p>
        </w:tc>
        <w:tc>
          <w:tcPr>
            <w:tcW w:w="1480" w:type="dxa"/>
            <w:vAlign w:val="bottom"/>
            <w:shd w:val="clear" w:color="auto" w:fill="CCEEFF"/>
          </w:tcPr>
          <w:p>
            <w:pPr>
              <w:jc w:val="center"/>
              <w:ind w:right="154"/>
              <w:spacing w:after="0" w:line="181" w:lineRule="exact"/>
              <w:rPr>
                <w:sz w:val="20"/>
                <w:szCs w:val="20"/>
                <w:color w:val="auto"/>
              </w:rPr>
            </w:pPr>
            <w:r>
              <w:rPr>
                <w:rFonts w:ascii="MS PGothic" w:cs="MS PGothic" w:eastAsia="MS PGothic" w:hAnsi="MS PGothic"/>
                <w:sz w:val="18"/>
                <w:szCs w:val="18"/>
                <w:color w:val="auto"/>
                <w:w w:val="88"/>
              </w:rPr>
              <w:t>✓</w:t>
            </w:r>
          </w:p>
        </w:tc>
        <w:tc>
          <w:tcPr>
            <w:tcW w:w="800" w:type="dxa"/>
            <w:vAlign w:val="bottom"/>
            <w:shd w:val="clear" w:color="auto" w:fill="CCEEFF"/>
          </w:tcPr>
          <w:p>
            <w:pPr>
              <w:spacing w:after="0"/>
              <w:rPr>
                <w:sz w:val="24"/>
                <w:szCs w:val="24"/>
                <w:color w:val="auto"/>
              </w:rPr>
            </w:pPr>
          </w:p>
        </w:tc>
        <w:tc>
          <w:tcPr>
            <w:tcW w:w="1160" w:type="dxa"/>
            <w:vAlign w:val="bottom"/>
            <w:shd w:val="clear" w:color="auto" w:fill="CCEEFF"/>
          </w:tcPr>
          <w:p>
            <w:pPr>
              <w:spacing w:after="0"/>
              <w:rPr>
                <w:sz w:val="24"/>
                <w:szCs w:val="24"/>
                <w:color w:val="auto"/>
              </w:rPr>
            </w:pPr>
          </w:p>
        </w:tc>
        <w:tc>
          <w:tcPr>
            <w:tcW w:w="128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2"/>
              </w:rPr>
              <w:t>Chair</w:t>
            </w:r>
          </w:p>
        </w:tc>
        <w:tc>
          <w:tcPr>
            <w:tcW w:w="0" w:type="dxa"/>
            <w:vAlign w:val="bottom"/>
          </w:tcPr>
          <w:p>
            <w:pPr>
              <w:spacing w:after="0"/>
              <w:rPr>
                <w:sz w:val="1"/>
                <w:szCs w:val="1"/>
                <w:color w:val="auto"/>
              </w:rPr>
            </w:pPr>
          </w:p>
        </w:tc>
      </w:tr>
      <w:tr>
        <w:trPr>
          <w:trHeight w:val="283"/>
        </w:trPr>
        <w:tc>
          <w:tcPr>
            <w:tcW w:w="4020" w:type="dxa"/>
            <w:vAlign w:val="bottom"/>
          </w:tcPr>
          <w:p>
            <w:pPr>
              <w:ind w:left="80"/>
              <w:spacing w:after="0"/>
              <w:rPr>
                <w:sz w:val="20"/>
                <w:szCs w:val="20"/>
                <w:color w:val="auto"/>
              </w:rPr>
            </w:pPr>
            <w:r>
              <w:rPr>
                <w:rFonts w:ascii="Arial" w:cs="Arial" w:eastAsia="Arial" w:hAnsi="Arial"/>
                <w:sz w:val="18"/>
                <w:szCs w:val="18"/>
                <w:color w:val="auto"/>
              </w:rPr>
              <w:t>John D. Fisk</w:t>
            </w:r>
          </w:p>
        </w:tc>
        <w:tc>
          <w:tcPr>
            <w:tcW w:w="2280" w:type="dxa"/>
            <w:vAlign w:val="bottom"/>
          </w:tcPr>
          <w:p>
            <w:pPr>
              <w:jc w:val="center"/>
              <w:ind w:left="913"/>
              <w:spacing w:after="0"/>
              <w:rPr>
                <w:sz w:val="20"/>
                <w:szCs w:val="20"/>
                <w:color w:val="auto"/>
              </w:rPr>
            </w:pPr>
            <w:r>
              <w:rPr>
                <w:rFonts w:ascii="Arial" w:cs="Arial" w:eastAsia="Arial" w:hAnsi="Arial"/>
                <w:sz w:val="18"/>
                <w:szCs w:val="18"/>
                <w:color w:val="auto"/>
                <w:w w:val="89"/>
              </w:rPr>
              <w:t>2019</w:t>
            </w:r>
          </w:p>
        </w:tc>
        <w:tc>
          <w:tcPr>
            <w:tcW w:w="1480" w:type="dxa"/>
            <w:vAlign w:val="bottom"/>
          </w:tcPr>
          <w:p>
            <w:pPr>
              <w:jc w:val="center"/>
              <w:ind w:right="154"/>
              <w:spacing w:after="0" w:line="181" w:lineRule="exact"/>
              <w:rPr>
                <w:sz w:val="20"/>
                <w:szCs w:val="20"/>
                <w:color w:val="auto"/>
              </w:rPr>
            </w:pPr>
            <w:r>
              <w:rPr>
                <w:rFonts w:ascii="MS PGothic" w:cs="MS PGothic" w:eastAsia="MS PGothic" w:hAnsi="MS PGothic"/>
                <w:sz w:val="18"/>
                <w:szCs w:val="18"/>
                <w:color w:val="auto"/>
                <w:w w:val="88"/>
              </w:rPr>
              <w:t>✓</w:t>
            </w:r>
          </w:p>
        </w:tc>
        <w:tc>
          <w:tcPr>
            <w:tcW w:w="80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1280" w:type="dxa"/>
            <w:vAlign w:val="bottom"/>
          </w:tcPr>
          <w:p>
            <w:pPr>
              <w:jc w:val="center"/>
              <w:spacing w:after="0" w:line="181" w:lineRule="exact"/>
              <w:rPr>
                <w:sz w:val="20"/>
                <w:szCs w:val="20"/>
                <w:color w:val="auto"/>
              </w:rPr>
            </w:pPr>
            <w:r>
              <w:rPr>
                <w:rFonts w:ascii="MS PGothic" w:cs="MS PGothic" w:eastAsia="MS PGothic" w:hAnsi="MS PGothic"/>
                <w:sz w:val="18"/>
                <w:szCs w:val="18"/>
                <w:color w:val="auto"/>
                <w:w w:val="77"/>
              </w:rPr>
              <w:t>✓</w:t>
            </w:r>
          </w:p>
        </w:tc>
        <w:tc>
          <w:tcPr>
            <w:tcW w:w="0" w:type="dxa"/>
            <w:vAlign w:val="bottom"/>
          </w:tcPr>
          <w:p>
            <w:pPr>
              <w:spacing w:after="0"/>
              <w:rPr>
                <w:sz w:val="1"/>
                <w:szCs w:val="1"/>
                <w:color w:val="auto"/>
              </w:rPr>
            </w:pPr>
          </w:p>
        </w:tc>
      </w:tr>
      <w:tr>
        <w:trPr>
          <w:trHeight w:val="284"/>
        </w:trPr>
        <w:tc>
          <w:tcPr>
            <w:tcW w:w="4020" w:type="dxa"/>
            <w:vAlign w:val="bottom"/>
            <w:shd w:val="clear" w:color="auto" w:fill="CCEEFF"/>
          </w:tcPr>
          <w:p>
            <w:pPr>
              <w:ind w:left="80"/>
              <w:spacing w:after="0"/>
              <w:rPr>
                <w:sz w:val="20"/>
                <w:szCs w:val="20"/>
                <w:color w:val="auto"/>
              </w:rPr>
            </w:pPr>
            <w:r>
              <w:rPr>
                <w:rFonts w:ascii="Arial" w:cs="Arial" w:eastAsia="Arial" w:hAnsi="Arial"/>
                <w:sz w:val="18"/>
                <w:szCs w:val="18"/>
                <w:color w:val="auto"/>
              </w:rPr>
              <w:t xml:space="preserve">Gary D. Kain </w:t>
            </w:r>
            <w:r>
              <w:rPr>
                <w:rFonts w:ascii="Arial" w:cs="Arial" w:eastAsia="Arial" w:hAnsi="Arial"/>
                <w:sz w:val="18"/>
                <w:szCs w:val="18"/>
                <w:i w:val="1"/>
                <w:iCs w:val="1"/>
                <w:color w:val="407CCA"/>
              </w:rPr>
              <w:t>(CEO)</w:t>
            </w:r>
          </w:p>
        </w:tc>
        <w:tc>
          <w:tcPr>
            <w:tcW w:w="2280" w:type="dxa"/>
            <w:vAlign w:val="bottom"/>
            <w:shd w:val="clear" w:color="auto" w:fill="CCEEFF"/>
          </w:tcPr>
          <w:p>
            <w:pPr>
              <w:jc w:val="center"/>
              <w:ind w:left="913"/>
              <w:spacing w:after="0"/>
              <w:rPr>
                <w:sz w:val="20"/>
                <w:szCs w:val="20"/>
                <w:color w:val="auto"/>
              </w:rPr>
            </w:pPr>
            <w:r>
              <w:rPr>
                <w:rFonts w:ascii="Arial" w:cs="Arial" w:eastAsia="Arial" w:hAnsi="Arial"/>
                <w:sz w:val="18"/>
                <w:szCs w:val="18"/>
                <w:color w:val="auto"/>
                <w:w w:val="89"/>
              </w:rPr>
              <w:t>2016</w:t>
            </w:r>
          </w:p>
        </w:tc>
        <w:tc>
          <w:tcPr>
            <w:tcW w:w="1480" w:type="dxa"/>
            <w:vAlign w:val="bottom"/>
            <w:shd w:val="clear" w:color="auto" w:fill="CCEEFF"/>
          </w:tcPr>
          <w:p>
            <w:pPr>
              <w:spacing w:after="0"/>
              <w:rPr>
                <w:sz w:val="24"/>
                <w:szCs w:val="24"/>
                <w:color w:val="auto"/>
              </w:rPr>
            </w:pPr>
          </w:p>
        </w:tc>
        <w:tc>
          <w:tcPr>
            <w:tcW w:w="800" w:type="dxa"/>
            <w:vAlign w:val="bottom"/>
            <w:shd w:val="clear" w:color="auto" w:fill="CCEEFF"/>
          </w:tcPr>
          <w:p>
            <w:pPr>
              <w:jc w:val="center"/>
              <w:ind w:right="177"/>
              <w:spacing w:after="0" w:line="181" w:lineRule="exact"/>
              <w:rPr>
                <w:sz w:val="20"/>
                <w:szCs w:val="20"/>
                <w:color w:val="auto"/>
              </w:rPr>
            </w:pPr>
            <w:r>
              <w:rPr>
                <w:rFonts w:ascii="MS PGothic" w:cs="MS PGothic" w:eastAsia="MS PGothic" w:hAnsi="MS PGothic"/>
                <w:sz w:val="18"/>
                <w:szCs w:val="18"/>
                <w:color w:val="auto"/>
                <w:w w:val="77"/>
              </w:rPr>
              <w:t>✓</w:t>
            </w:r>
          </w:p>
        </w:tc>
        <w:tc>
          <w:tcPr>
            <w:tcW w:w="1160" w:type="dxa"/>
            <w:vAlign w:val="bottom"/>
            <w:shd w:val="clear" w:color="auto" w:fill="CCEEFF"/>
          </w:tcPr>
          <w:p>
            <w:pPr>
              <w:spacing w:after="0"/>
              <w:rPr>
                <w:sz w:val="24"/>
                <w:szCs w:val="24"/>
                <w:color w:val="auto"/>
              </w:rPr>
            </w:pPr>
          </w:p>
        </w:tc>
        <w:tc>
          <w:tcPr>
            <w:tcW w:w="128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83"/>
        </w:trPr>
        <w:tc>
          <w:tcPr>
            <w:tcW w:w="4020" w:type="dxa"/>
            <w:vAlign w:val="bottom"/>
          </w:tcPr>
          <w:p>
            <w:pPr>
              <w:ind w:left="80"/>
              <w:spacing w:after="0"/>
              <w:rPr>
                <w:sz w:val="20"/>
                <w:szCs w:val="20"/>
                <w:color w:val="auto"/>
              </w:rPr>
            </w:pPr>
            <w:r>
              <w:rPr>
                <w:rFonts w:ascii="Arial" w:cs="Arial" w:eastAsia="Arial" w:hAnsi="Arial"/>
                <w:sz w:val="18"/>
                <w:szCs w:val="18"/>
                <w:color w:val="auto"/>
              </w:rPr>
              <w:t>Paul E. Mullings</w:t>
            </w:r>
          </w:p>
        </w:tc>
        <w:tc>
          <w:tcPr>
            <w:tcW w:w="2280" w:type="dxa"/>
            <w:vAlign w:val="bottom"/>
          </w:tcPr>
          <w:p>
            <w:pPr>
              <w:jc w:val="center"/>
              <w:ind w:left="913"/>
              <w:spacing w:after="0"/>
              <w:rPr>
                <w:sz w:val="20"/>
                <w:szCs w:val="20"/>
                <w:color w:val="auto"/>
              </w:rPr>
            </w:pPr>
            <w:r>
              <w:rPr>
                <w:rFonts w:ascii="Arial" w:cs="Arial" w:eastAsia="Arial" w:hAnsi="Arial"/>
                <w:sz w:val="18"/>
                <w:szCs w:val="18"/>
                <w:color w:val="auto"/>
                <w:w w:val="89"/>
              </w:rPr>
              <w:t>2016</w:t>
            </w:r>
          </w:p>
        </w:tc>
        <w:tc>
          <w:tcPr>
            <w:tcW w:w="1480" w:type="dxa"/>
            <w:vAlign w:val="bottom"/>
          </w:tcPr>
          <w:p>
            <w:pPr>
              <w:jc w:val="center"/>
              <w:ind w:right="154"/>
              <w:spacing w:after="0" w:line="181" w:lineRule="exact"/>
              <w:rPr>
                <w:sz w:val="20"/>
                <w:szCs w:val="20"/>
                <w:color w:val="auto"/>
              </w:rPr>
            </w:pPr>
            <w:r>
              <w:rPr>
                <w:rFonts w:ascii="MS PGothic" w:cs="MS PGothic" w:eastAsia="MS PGothic" w:hAnsi="MS PGothic"/>
                <w:sz w:val="18"/>
                <w:szCs w:val="18"/>
                <w:color w:val="auto"/>
                <w:w w:val="88"/>
              </w:rPr>
              <w:t>✓</w:t>
            </w:r>
          </w:p>
        </w:tc>
        <w:tc>
          <w:tcPr>
            <w:tcW w:w="800" w:type="dxa"/>
            <w:vAlign w:val="bottom"/>
          </w:tcPr>
          <w:p>
            <w:pPr>
              <w:spacing w:after="0"/>
              <w:rPr>
                <w:sz w:val="24"/>
                <w:szCs w:val="24"/>
                <w:color w:val="auto"/>
              </w:rPr>
            </w:pPr>
          </w:p>
        </w:tc>
        <w:tc>
          <w:tcPr>
            <w:tcW w:w="1160" w:type="dxa"/>
            <w:vAlign w:val="bottom"/>
          </w:tcPr>
          <w:p>
            <w:pPr>
              <w:jc w:val="center"/>
              <w:ind w:right="159"/>
              <w:spacing w:after="0" w:line="181" w:lineRule="exact"/>
              <w:rPr>
                <w:sz w:val="20"/>
                <w:szCs w:val="20"/>
                <w:color w:val="auto"/>
              </w:rPr>
            </w:pPr>
            <w:r>
              <w:rPr>
                <w:rFonts w:ascii="MS PGothic" w:cs="MS PGothic" w:eastAsia="MS PGothic" w:hAnsi="MS PGothic"/>
                <w:sz w:val="18"/>
                <w:szCs w:val="18"/>
                <w:color w:val="auto"/>
                <w:w w:val="88"/>
              </w:rPr>
              <w:t>✓</w:t>
            </w:r>
          </w:p>
        </w:tc>
        <w:tc>
          <w:tcPr>
            <w:tcW w:w="12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84"/>
        </w:trPr>
        <w:tc>
          <w:tcPr>
            <w:tcW w:w="4020" w:type="dxa"/>
            <w:vAlign w:val="bottom"/>
            <w:tcBorders>
              <w:bottom w:val="single" w:sz="8" w:color="304963"/>
            </w:tcBorders>
            <w:shd w:val="clear" w:color="auto" w:fill="CCEEFF"/>
          </w:tcPr>
          <w:p>
            <w:pPr>
              <w:ind w:left="80"/>
              <w:spacing w:after="0"/>
              <w:rPr>
                <w:sz w:val="20"/>
                <w:szCs w:val="20"/>
                <w:color w:val="auto"/>
              </w:rPr>
            </w:pPr>
            <w:r>
              <w:rPr>
                <w:rFonts w:ascii="Arial" w:cs="Arial" w:eastAsia="Arial" w:hAnsi="Arial"/>
                <w:sz w:val="18"/>
                <w:szCs w:val="18"/>
                <w:color w:val="auto"/>
              </w:rPr>
              <w:t>Frances R. Spark</w:t>
            </w:r>
          </w:p>
        </w:tc>
        <w:tc>
          <w:tcPr>
            <w:tcW w:w="2280" w:type="dxa"/>
            <w:vAlign w:val="bottom"/>
            <w:tcBorders>
              <w:bottom w:val="single" w:sz="8" w:color="304963"/>
            </w:tcBorders>
            <w:shd w:val="clear" w:color="auto" w:fill="CCEEFF"/>
          </w:tcPr>
          <w:p>
            <w:pPr>
              <w:jc w:val="center"/>
              <w:ind w:left="913"/>
              <w:spacing w:after="0"/>
              <w:rPr>
                <w:sz w:val="20"/>
                <w:szCs w:val="20"/>
                <w:color w:val="auto"/>
              </w:rPr>
            </w:pPr>
            <w:r>
              <w:rPr>
                <w:rFonts w:ascii="Arial" w:cs="Arial" w:eastAsia="Arial" w:hAnsi="Arial"/>
                <w:sz w:val="18"/>
                <w:szCs w:val="18"/>
                <w:color w:val="auto"/>
                <w:w w:val="89"/>
              </w:rPr>
              <w:t>2019</w:t>
            </w:r>
          </w:p>
        </w:tc>
        <w:tc>
          <w:tcPr>
            <w:tcW w:w="1480" w:type="dxa"/>
            <w:vAlign w:val="bottom"/>
            <w:tcBorders>
              <w:bottom w:val="single" w:sz="8" w:color="304963"/>
            </w:tcBorders>
            <w:shd w:val="clear" w:color="auto" w:fill="CCEEFF"/>
          </w:tcPr>
          <w:p>
            <w:pPr>
              <w:jc w:val="center"/>
              <w:ind w:right="154"/>
              <w:spacing w:after="0" w:line="181" w:lineRule="exact"/>
              <w:rPr>
                <w:sz w:val="20"/>
                <w:szCs w:val="20"/>
                <w:color w:val="auto"/>
              </w:rPr>
            </w:pPr>
            <w:r>
              <w:rPr>
                <w:rFonts w:ascii="MS PGothic" w:cs="MS PGothic" w:eastAsia="MS PGothic" w:hAnsi="MS PGothic"/>
                <w:sz w:val="18"/>
                <w:szCs w:val="18"/>
                <w:color w:val="auto"/>
                <w:w w:val="88"/>
              </w:rPr>
              <w:t>✓</w:t>
            </w:r>
          </w:p>
        </w:tc>
        <w:tc>
          <w:tcPr>
            <w:tcW w:w="800" w:type="dxa"/>
            <w:vAlign w:val="bottom"/>
            <w:tcBorders>
              <w:bottom w:val="single" w:sz="8" w:color="304963"/>
            </w:tcBorders>
            <w:shd w:val="clear" w:color="auto" w:fill="CCEEFF"/>
          </w:tcPr>
          <w:p>
            <w:pPr>
              <w:spacing w:after="0"/>
              <w:rPr>
                <w:sz w:val="24"/>
                <w:szCs w:val="24"/>
                <w:color w:val="auto"/>
              </w:rPr>
            </w:pPr>
          </w:p>
        </w:tc>
        <w:tc>
          <w:tcPr>
            <w:tcW w:w="1160" w:type="dxa"/>
            <w:vAlign w:val="bottom"/>
            <w:tcBorders>
              <w:bottom w:val="single" w:sz="8" w:color="304963"/>
            </w:tcBorders>
            <w:shd w:val="clear" w:color="auto" w:fill="CCEEFF"/>
          </w:tcPr>
          <w:p>
            <w:pPr>
              <w:jc w:val="center"/>
              <w:ind w:right="159"/>
              <w:spacing w:after="0" w:line="181" w:lineRule="exact"/>
              <w:rPr>
                <w:sz w:val="20"/>
                <w:szCs w:val="20"/>
                <w:color w:val="auto"/>
              </w:rPr>
            </w:pPr>
            <w:r>
              <w:rPr>
                <w:rFonts w:ascii="MS PGothic" w:cs="MS PGothic" w:eastAsia="MS PGothic" w:hAnsi="MS PGothic"/>
                <w:sz w:val="18"/>
                <w:szCs w:val="18"/>
                <w:color w:val="auto"/>
                <w:w w:val="88"/>
              </w:rPr>
              <w:t>✓</w:t>
            </w:r>
          </w:p>
        </w:tc>
        <w:tc>
          <w:tcPr>
            <w:tcW w:w="1280" w:type="dxa"/>
            <w:vAlign w:val="bottom"/>
            <w:tcBorders>
              <w:bottom w:val="single" w:sz="8" w:color="304963"/>
            </w:tcBorders>
            <w:shd w:val="clear" w:color="auto" w:fill="CCEEFF"/>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1462405</wp:posOffset>
            </wp:positionH>
            <wp:positionV relativeFrom="paragraph">
              <wp:posOffset>317500</wp:posOffset>
            </wp:positionV>
            <wp:extent cx="4217670" cy="18345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4217670" cy="18345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8" w:lineRule="exact"/>
        <w:rPr>
          <w:sz w:val="20"/>
          <w:szCs w:val="20"/>
          <w:color w:val="auto"/>
        </w:rPr>
      </w:pPr>
    </w:p>
    <w:p>
      <w:pPr>
        <w:jc w:val="right"/>
        <w:spacing w:after="0"/>
        <w:tabs>
          <w:tab w:leader="none" w:pos="10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iii</w:t>
      </w:r>
    </w:p>
    <w:p>
      <w:pPr>
        <w:sectPr>
          <w:pgSz w:w="11900" w:h="16838" w:orient="portrait"/>
          <w:cols w:equalWidth="0" w:num="1">
            <w:col w:w="11140"/>
          </w:cols>
          <w:pgMar w:left="320" w:top="459" w:right="439" w:bottom="1440" w:gutter="0" w:footer="0" w:header="0"/>
        </w:sectPr>
      </w:pPr>
    </w:p>
    <w:bookmarkStart w:id="5" w:name="page6"/>
    <w:bookmarkEnd w:id="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AGNC INVESTMENT CORP. AT A GLANCE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6995160" cy="8255"/>
                    </a:xfrm>
                    <a:prstGeom prst="rect">
                      <a:avLst/>
                    </a:prstGeom>
                    <a:noFill/>
                  </pic:spPr>
                </pic:pic>
              </a:graphicData>
            </a:graphic>
          </wp:anchor>
        </w:drawing>
        <w:drawing>
          <wp:anchor simplePos="0" relativeHeight="251657728" behindDoc="1" locked="0" layoutInCell="0" allowOverlap="1">
            <wp:simplePos x="0" y="0"/>
            <wp:positionH relativeFrom="column">
              <wp:posOffset>982345</wp:posOffset>
            </wp:positionH>
            <wp:positionV relativeFrom="paragraph">
              <wp:posOffset>1247140</wp:posOffset>
            </wp:positionV>
            <wp:extent cx="5186045" cy="48863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5186045" cy="48863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9" w:lineRule="exact"/>
        <w:rPr>
          <w:sz w:val="20"/>
          <w:szCs w:val="20"/>
          <w:color w:val="auto"/>
        </w:rPr>
      </w:pPr>
    </w:p>
    <w:p>
      <w:pPr>
        <w:ind w:left="120"/>
        <w:spacing w:after="0"/>
        <w:tabs>
          <w:tab w:leader="none" w:pos="340" w:val="left"/>
        </w:tabs>
        <w:rPr>
          <w:sz w:val="20"/>
          <w:szCs w:val="20"/>
          <w:color w:val="auto"/>
        </w:rPr>
      </w:pPr>
      <w:r>
        <w:rPr>
          <w:rFonts w:ascii="Arial" w:cs="Arial" w:eastAsia="Arial" w:hAnsi="Arial"/>
          <w:sz w:val="14"/>
          <w:szCs w:val="14"/>
          <w:color w:val="407CCA"/>
        </w:rPr>
        <w:t>iv</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0139"/>
          </w:cols>
          <w:pgMar w:left="320" w:top="459" w:right="1440" w:bottom="1440" w:gutter="0" w:footer="0" w:header="0"/>
        </w:sectPr>
      </w:pPr>
    </w:p>
    <w:bookmarkStart w:id="6" w:name="page7"/>
    <w:bookmarkEnd w:id="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AGNC INVESTMENT CORP. AT A GLANCE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4"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Strong Stockholder Focus</w:t>
      </w:r>
    </w:p>
    <w:p>
      <w:pPr>
        <w:spacing w:after="0" w:line="121" w:lineRule="exact"/>
        <w:rPr>
          <w:sz w:val="20"/>
          <w:szCs w:val="20"/>
          <w:color w:val="auto"/>
        </w:rPr>
      </w:pPr>
    </w:p>
    <w:p>
      <w:pPr>
        <w:ind w:left="120" w:right="440" w:firstLine="881"/>
        <w:spacing w:after="0" w:line="342" w:lineRule="auto"/>
        <w:rPr>
          <w:sz w:val="20"/>
          <w:szCs w:val="20"/>
          <w:color w:val="auto"/>
        </w:rPr>
      </w:pPr>
      <w:r>
        <w:rPr>
          <w:rFonts w:ascii="Arial" w:cs="Arial" w:eastAsia="Arial" w:hAnsi="Arial"/>
          <w:sz w:val="16"/>
          <w:szCs w:val="16"/>
          <w:color w:val="auto"/>
        </w:rPr>
        <w:t>Our internal management structure provides us a differentiated platform that is closely aligned with stockholder interests. We stand out among mortgage REITs for our transparency, focus on financial disclosure, and our high-quality governance and compensation practices.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982345</wp:posOffset>
            </wp:positionH>
            <wp:positionV relativeFrom="paragraph">
              <wp:posOffset>104775</wp:posOffset>
            </wp:positionV>
            <wp:extent cx="5186045" cy="324866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5186045" cy="32486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3"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Stockholder Engagement</w:t>
      </w:r>
    </w:p>
    <w:p>
      <w:pPr>
        <w:spacing w:after="0" w:line="117" w:lineRule="exact"/>
        <w:rPr>
          <w:sz w:val="20"/>
          <w:szCs w:val="20"/>
          <w:color w:val="auto"/>
        </w:rPr>
      </w:pPr>
    </w:p>
    <w:p>
      <w:pPr>
        <w:ind w:left="120" w:right="120" w:firstLine="881"/>
        <w:spacing w:after="0" w:line="259" w:lineRule="auto"/>
        <w:rPr>
          <w:sz w:val="20"/>
          <w:szCs w:val="20"/>
          <w:color w:val="auto"/>
        </w:rPr>
      </w:pPr>
      <w:r>
        <w:rPr>
          <w:rFonts w:ascii="Arial" w:cs="Arial" w:eastAsia="Arial" w:hAnsi="Arial"/>
          <w:sz w:val="18"/>
          <w:szCs w:val="18"/>
          <w:color w:val="auto"/>
        </w:rPr>
        <w:t>Consistent with our focus on and commitment to our stockholders, we actively engage with and value the opinions of our stockholders, which have influenced the continuing evolution of our compensation program and corporate governance practices. Following our 2019 annual meeting, we continued our extensive stockholder engagement, which included participation by our independent Board chair and the chair of our Compensation and Corporate Governance Committee (the “Compensation Committee”).</w:t>
      </w:r>
    </w:p>
    <w:p>
      <w:pPr>
        <w:spacing w:after="0" w:line="115" w:lineRule="exact"/>
        <w:rPr>
          <w:sz w:val="20"/>
          <w:szCs w:val="20"/>
          <w:color w:val="auto"/>
        </w:rPr>
      </w:pPr>
    </w:p>
    <w:p>
      <w:pPr>
        <w:ind w:left="8040"/>
        <w:spacing w:after="0"/>
        <w:tabs>
          <w:tab w:leader="none" w:pos="1104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v</w:t>
      </w:r>
    </w:p>
    <w:p>
      <w:pPr>
        <w:sectPr>
          <w:pgSz w:w="11900" w:h="16838" w:orient="portrait"/>
          <w:cols w:equalWidth="0" w:num="1">
            <w:col w:w="11140"/>
          </w:cols>
          <w:pgMar w:left="320" w:top="459" w:right="439" w:bottom="1440" w:gutter="0" w:footer="0" w:header="0"/>
        </w:sectPr>
      </w:pPr>
    </w:p>
    <w:bookmarkStart w:id="7" w:name="page8"/>
    <w:bookmarkEnd w:id="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AGNC INVESTMENT CORP. AT A GLANCE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120" w:right="60" w:firstLine="881"/>
        <w:spacing w:after="0" w:line="259" w:lineRule="auto"/>
        <w:rPr>
          <w:sz w:val="20"/>
          <w:szCs w:val="20"/>
          <w:color w:val="auto"/>
        </w:rPr>
      </w:pPr>
      <w:r>
        <w:rPr>
          <w:rFonts w:ascii="Arial" w:cs="Arial" w:eastAsia="Arial" w:hAnsi="Arial"/>
          <w:sz w:val="18"/>
          <w:szCs w:val="18"/>
          <w:color w:val="auto"/>
        </w:rPr>
        <w:t>We sought meetings with institutional stockholders holding 84% of our institutionally-held common stock and comprising 57% of our outstanding common stock. We ultimately had conversations with investors holding 43% of our institutionally-held common stock and 29% of our total outstanding common stock in addition to meeting with proxy advisory firms. We engaged with our retail investors, who own 31% of our outstanding common stock, at their request and as facilitated through collaboration with our proxy solicitor.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982345</wp:posOffset>
            </wp:positionH>
            <wp:positionV relativeFrom="paragraph">
              <wp:posOffset>221615</wp:posOffset>
            </wp:positionV>
            <wp:extent cx="5186045" cy="185991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5186045" cy="18599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ind w:left="120" w:firstLine="881"/>
        <w:spacing w:after="0" w:line="273" w:lineRule="auto"/>
        <w:rPr>
          <w:sz w:val="20"/>
          <w:szCs w:val="20"/>
          <w:color w:val="auto"/>
        </w:rPr>
      </w:pPr>
      <w:r>
        <w:rPr>
          <w:rFonts w:ascii="Arial" w:cs="Arial" w:eastAsia="Arial" w:hAnsi="Arial"/>
          <w:sz w:val="17"/>
          <w:szCs w:val="17"/>
          <w:color w:val="auto"/>
        </w:rPr>
        <w:t>Our Board was particularly focused on investor feedback regarding our executive compensation program as we continue to work to increase stockholder satisfaction and support for it. During our Fall 2019 stockholder outreach efforts, investors generally expressed strong support for the direction of our compensation program given the changes implemented in 2019 and the program’s evolution since we internalized our management in July 2016 (the “Internalization”). In addition to reviewing the steps we have taken to address the major concerns expressed previously by our stockholders, we also discussed their thoughts and questions on other aspects of our program and additional topics for consideration and continued evaluation, including our Board refreshment efforts and our corporate governance practices.</w:t>
      </w:r>
    </w:p>
    <w:p>
      <w:pPr>
        <w:spacing w:after="0" w:line="178" w:lineRule="exact"/>
        <w:rPr>
          <w:sz w:val="20"/>
          <w:szCs w:val="20"/>
          <w:color w:val="auto"/>
        </w:rPr>
      </w:pPr>
    </w:p>
    <w:p>
      <w:pPr>
        <w:ind w:left="120" w:right="520" w:firstLine="881"/>
        <w:spacing w:after="0" w:line="259" w:lineRule="auto"/>
        <w:rPr>
          <w:sz w:val="20"/>
          <w:szCs w:val="20"/>
          <w:color w:val="auto"/>
        </w:rPr>
      </w:pPr>
      <w:r>
        <w:rPr>
          <w:rFonts w:ascii="Arial" w:cs="Arial" w:eastAsia="Arial" w:hAnsi="Arial"/>
          <w:sz w:val="18"/>
          <w:szCs w:val="18"/>
          <w:color w:val="auto"/>
        </w:rPr>
        <w:t>The following table provides an overview of the common themes and areas of feedback that emerged during these conversations and describes the changes we have implemented as a direct response to concerns voiced by our stockholders. Further discussion of our stockholder engagement is included on pages 36 through 38, and recent changes to our compensation program are discussed on pages 43 and 52 of this proxy statement.</w:t>
      </w:r>
    </w:p>
    <w:p>
      <w:pPr>
        <w:spacing w:after="0" w:line="115" w:lineRule="exact"/>
        <w:rPr>
          <w:sz w:val="20"/>
          <w:szCs w:val="20"/>
          <w:color w:val="auto"/>
        </w:rPr>
      </w:pPr>
    </w:p>
    <w:p>
      <w:pPr>
        <w:ind w:left="120"/>
        <w:spacing w:after="0"/>
        <w:tabs>
          <w:tab w:leader="none" w:pos="340" w:val="left"/>
        </w:tabs>
        <w:rPr>
          <w:sz w:val="20"/>
          <w:szCs w:val="20"/>
          <w:color w:val="auto"/>
        </w:rPr>
      </w:pPr>
      <w:r>
        <w:rPr>
          <w:rFonts w:ascii="Arial" w:cs="Arial" w:eastAsia="Arial" w:hAnsi="Arial"/>
          <w:sz w:val="14"/>
          <w:szCs w:val="14"/>
          <w:color w:val="407CCA"/>
        </w:rPr>
        <w:t>vi</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00"/>
          </w:cols>
          <w:pgMar w:left="320" w:top="459" w:right="479" w:bottom="1440" w:gutter="0" w:footer="0" w:header="0"/>
        </w:sectPr>
      </w:pPr>
    </w:p>
    <w:bookmarkStart w:id="8" w:name="page9"/>
    <w:bookmarkEnd w:id="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AGNC INVESTMENT CORP. AT A GLANCE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6995160" cy="8255"/>
                    </a:xfrm>
                    <a:prstGeom prst="rect">
                      <a:avLst/>
                    </a:prstGeom>
                    <a:noFill/>
                  </pic:spPr>
                </pic:pic>
              </a:graphicData>
            </a:graphic>
          </wp:anchor>
        </w:drawing>
        <w:drawing>
          <wp:anchor simplePos="0" relativeHeight="251657728" behindDoc="1" locked="0" layoutInCell="0" allowOverlap="1">
            <wp:simplePos x="0" y="0"/>
            <wp:positionH relativeFrom="column">
              <wp:posOffset>73660</wp:posOffset>
            </wp:positionH>
            <wp:positionV relativeFrom="paragraph">
              <wp:posOffset>140970</wp:posOffset>
            </wp:positionV>
            <wp:extent cx="6995160" cy="26606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6995160" cy="266065"/>
                    </a:xfrm>
                    <a:prstGeom prst="rect">
                      <a:avLst/>
                    </a:prstGeom>
                    <a:noFill/>
                  </pic:spPr>
                </pic:pic>
              </a:graphicData>
            </a:graphic>
          </wp:anchor>
        </w:drawing>
      </w:r>
    </w:p>
    <w:p>
      <w:pPr>
        <w:spacing w:after="0" w:line="305" w:lineRule="exact"/>
        <w:rPr>
          <w:sz w:val="20"/>
          <w:szCs w:val="20"/>
          <w:color w:val="auto"/>
        </w:rPr>
      </w:pPr>
    </w:p>
    <w:p>
      <w:pPr>
        <w:jc w:val="center"/>
        <w:ind w:right="-119"/>
        <w:spacing w:after="0"/>
        <w:rPr>
          <w:sz w:val="20"/>
          <w:szCs w:val="20"/>
          <w:color w:val="auto"/>
        </w:rPr>
      </w:pPr>
      <w:r>
        <w:rPr>
          <w:rFonts w:ascii="Arial" w:cs="Arial" w:eastAsia="Arial" w:hAnsi="Arial"/>
          <w:sz w:val="18"/>
          <w:szCs w:val="18"/>
          <w:b w:val="1"/>
          <w:bCs w:val="1"/>
          <w:color w:val="FFFFFF"/>
        </w:rPr>
        <w:t>Common Themes and Feedback from our Stockholder Engagement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68580</wp:posOffset>
            </wp:positionV>
            <wp:extent cx="6995160" cy="1968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6995160" cy="196850"/>
                    </a:xfrm>
                    <a:prstGeom prst="rect">
                      <a:avLst/>
                    </a:prstGeom>
                    <a:noFill/>
                  </pic:spPr>
                </pic:pic>
              </a:graphicData>
            </a:graphic>
          </wp:anchor>
        </w:drawing>
      </w:r>
    </w:p>
    <w:p>
      <w:pPr>
        <w:spacing w:after="0" w:line="111" w:lineRule="exact"/>
        <w:rPr>
          <w:sz w:val="20"/>
          <w:szCs w:val="20"/>
          <w:color w:val="auto"/>
        </w:rPr>
      </w:pPr>
    </w:p>
    <w:p>
      <w:pPr>
        <w:ind w:left="2060"/>
        <w:spacing w:after="0"/>
        <w:tabs>
          <w:tab w:leader="none" w:pos="7720" w:val="left"/>
        </w:tabs>
        <w:rPr>
          <w:sz w:val="20"/>
          <w:szCs w:val="20"/>
          <w:color w:val="auto"/>
        </w:rPr>
      </w:pPr>
      <w:r>
        <w:rPr>
          <w:rFonts w:ascii="Arial" w:cs="Arial" w:eastAsia="Arial" w:hAnsi="Arial"/>
          <w:sz w:val="18"/>
          <w:szCs w:val="18"/>
          <w:b w:val="1"/>
          <w:bCs w:val="1"/>
          <w:color w:val="auto"/>
        </w:rPr>
        <w:t>What We Heard</w:t>
      </w:r>
      <w:r>
        <w:rPr>
          <w:sz w:val="20"/>
          <w:szCs w:val="20"/>
          <w:color w:val="auto"/>
        </w:rPr>
        <w:tab/>
      </w:r>
      <w:r>
        <w:rPr>
          <w:rFonts w:ascii="Arial" w:cs="Arial" w:eastAsia="Arial" w:hAnsi="Arial"/>
          <w:sz w:val="16"/>
          <w:szCs w:val="16"/>
          <w:b w:val="1"/>
          <w:bCs w:val="1"/>
          <w:color w:val="auto"/>
        </w:rPr>
        <w:t>How We Addressed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51435</wp:posOffset>
            </wp:positionV>
            <wp:extent cx="6995160" cy="55753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6995160" cy="557530"/>
                    </a:xfrm>
                    <a:prstGeom prst="rect">
                      <a:avLst/>
                    </a:prstGeom>
                    <a:noFill/>
                  </pic:spPr>
                </pic:pic>
              </a:graphicData>
            </a:graphic>
          </wp:anchor>
        </w:drawing>
      </w:r>
    </w:p>
    <w:p>
      <w:pPr>
        <w:sectPr>
          <w:pgSz w:w="11900" w:h="16838" w:orient="portrait"/>
          <w:cols w:equalWidth="0" w:num="1">
            <w:col w:w="11140"/>
          </w:cols>
          <w:pgMar w:left="320" w:top="459" w:right="439" w:bottom="1440" w:gutter="0" w:footer="0" w:header="0"/>
        </w:sectPr>
      </w:pPr>
    </w:p>
    <w:p>
      <w:pPr>
        <w:spacing w:after="0" w:line="135" w:lineRule="exact"/>
        <w:rPr>
          <w:sz w:val="20"/>
          <w:szCs w:val="20"/>
          <w:color w:val="auto"/>
        </w:rPr>
      </w:pPr>
    </w:p>
    <w:p>
      <w:pPr>
        <w:ind w:left="200" w:right="80"/>
        <w:spacing w:after="0" w:line="277" w:lineRule="auto"/>
        <w:rPr>
          <w:sz w:val="20"/>
          <w:szCs w:val="20"/>
          <w:color w:val="auto"/>
        </w:rPr>
      </w:pPr>
      <w:r>
        <w:rPr>
          <w:rFonts w:ascii="Arial" w:cs="Arial" w:eastAsia="Arial" w:hAnsi="Arial"/>
          <w:sz w:val="18"/>
          <w:szCs w:val="18"/>
          <w:color w:val="auto"/>
        </w:rPr>
        <w:t>Desire to better understand rationale for including economic return as a metric in both short- and long-term incentives</w:t>
      </w:r>
    </w:p>
    <w:p>
      <w:pPr>
        <w:spacing w:after="0" w:line="400" w:lineRule="exact"/>
        <w:rPr>
          <w:sz w:val="20"/>
          <w:szCs w:val="20"/>
          <w:color w:val="auto"/>
        </w:rPr>
      </w:pPr>
    </w:p>
    <w:p>
      <w:pPr>
        <w:ind w:left="200"/>
        <w:spacing w:after="0"/>
        <w:rPr>
          <w:sz w:val="20"/>
          <w:szCs w:val="20"/>
          <w:color w:val="auto"/>
        </w:rPr>
      </w:pPr>
      <w:r>
        <w:rPr>
          <w:rFonts w:ascii="Arial" w:cs="Arial" w:eastAsia="Arial" w:hAnsi="Arial"/>
          <w:sz w:val="18"/>
          <w:szCs w:val="18"/>
          <w:color w:val="auto"/>
        </w:rPr>
        <w:t>Desire to better understand how performance metrics are set</w:t>
      </w:r>
    </w:p>
    <w:p>
      <w:pPr>
        <w:spacing w:after="0" w:line="20" w:lineRule="exact"/>
        <w:rPr>
          <w:sz w:val="20"/>
          <w:szCs w:val="20"/>
          <w:color w:val="auto"/>
        </w:rPr>
      </w:pPr>
      <w:r>
        <w:rPr>
          <w:sz w:val="20"/>
          <w:szCs w:val="20"/>
          <w:color w:val="auto"/>
        </w:rPr>
        <w:br w:type="column"/>
      </w:r>
    </w:p>
    <w:p>
      <w:pPr>
        <w:spacing w:after="0" w:line="115" w:lineRule="exact"/>
        <w:rPr>
          <w:sz w:val="20"/>
          <w:szCs w:val="20"/>
          <w:color w:val="auto"/>
        </w:rPr>
      </w:pPr>
    </w:p>
    <w:p>
      <w:pPr>
        <w:ind w:right="320"/>
        <w:spacing w:after="0" w:line="263" w:lineRule="auto"/>
        <w:rPr>
          <w:sz w:val="20"/>
          <w:szCs w:val="20"/>
          <w:color w:val="auto"/>
        </w:rPr>
      </w:pPr>
      <w:r>
        <w:rPr>
          <w:rFonts w:ascii="Arial" w:cs="Arial" w:eastAsia="Arial" w:hAnsi="Arial"/>
          <w:sz w:val="18"/>
          <w:szCs w:val="18"/>
          <w:color w:val="auto"/>
        </w:rPr>
        <w:t>Provided enhanced disclosure in the proxy statement regarding the elements of our scorecard and the overlap of certain financial metrics (see pages 45-46).</w:t>
      </w:r>
    </w:p>
    <w:p>
      <w:pPr>
        <w:spacing w:after="0" w:line="130" w:lineRule="exact"/>
        <w:rPr>
          <w:sz w:val="20"/>
          <w:szCs w:val="20"/>
          <w:color w:val="auto"/>
        </w:rPr>
      </w:pPr>
    </w:p>
    <w:p>
      <w:pPr>
        <w:ind w:right="240"/>
        <w:spacing w:after="0" w:line="257" w:lineRule="auto"/>
        <w:rPr>
          <w:sz w:val="20"/>
          <w:szCs w:val="20"/>
          <w:color w:val="auto"/>
        </w:rPr>
      </w:pPr>
      <w:r>
        <w:rPr>
          <w:rFonts w:ascii="Arial" w:cs="Arial" w:eastAsia="Arial" w:hAnsi="Arial"/>
          <w:sz w:val="18"/>
          <w:szCs w:val="18"/>
          <w:color w:val="auto"/>
        </w:rPr>
        <w:t>Disclosed that performance measures continue to be evaluated annually. Certain performance metrics were made more challenging in 2019 and 2020 with greater weight assigned to financial performance in the annual corporate performance scorecard starting in 2019 (see page 44).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-362585</wp:posOffset>
            </wp:positionH>
            <wp:positionV relativeFrom="paragraph">
              <wp:posOffset>-402590</wp:posOffset>
            </wp:positionV>
            <wp:extent cx="248920" cy="19748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248920" cy="197485"/>
                    </a:xfrm>
                    <a:prstGeom prst="rect">
                      <a:avLst/>
                    </a:prstGeom>
                    <a:noFill/>
                  </pic:spPr>
                </pic:pic>
              </a:graphicData>
            </a:graphic>
          </wp:anchor>
        </w:drawing>
      </w:r>
    </w:p>
    <w:p>
      <w:pPr>
        <w:spacing w:after="0" w:line="134" w:lineRule="exact"/>
        <w:rPr>
          <w:sz w:val="20"/>
          <w:szCs w:val="20"/>
          <w:color w:val="auto"/>
        </w:rPr>
      </w:pPr>
    </w:p>
    <w:p>
      <w:pPr>
        <w:sectPr>
          <w:pgSz w:w="11900" w:h="16838" w:orient="portrait"/>
          <w:cols w:equalWidth="0" w:num="2">
            <w:col w:w="5300" w:space="720"/>
            <w:col w:w="5120"/>
          </w:cols>
          <w:pgMar w:left="320" w:top="459" w:right="439" w:bottom="1440" w:gutter="0" w:footer="0" w:header="0"/>
          <w:type w:val="continuous"/>
        </w:sectPr>
      </w:pPr>
    </w:p>
    <w:p>
      <w:pPr>
        <w:spacing w:after="0" w:line="67" w:lineRule="exact"/>
        <w:rPr>
          <w:sz w:val="20"/>
          <w:szCs w:val="20"/>
          <w:color w:val="auto"/>
        </w:rPr>
      </w:pPr>
    </w:p>
    <w:p>
      <w:pPr>
        <w:ind w:left="200" w:right="300"/>
        <w:spacing w:after="0" w:line="311" w:lineRule="auto"/>
        <w:rPr>
          <w:sz w:val="20"/>
          <w:szCs w:val="20"/>
          <w:color w:val="auto"/>
        </w:rPr>
      </w:pPr>
      <w:r>
        <w:rPr>
          <w:rFonts w:ascii="Arial" w:cs="Arial" w:eastAsia="Arial" w:hAnsi="Arial"/>
          <w:sz w:val="16"/>
          <w:szCs w:val="16"/>
          <w:color w:val="auto"/>
        </w:rPr>
        <w:t>Preference for a greater portion of all NEO compensation to be allocated to incentive compensation and, within that component, a greater portion in the form of performance-based incentive awards</w:t>
      </w:r>
    </w:p>
    <w:p>
      <w:pPr>
        <w:spacing w:after="0" w:line="20" w:lineRule="exact"/>
        <w:rPr>
          <w:sz w:val="20"/>
          <w:szCs w:val="20"/>
          <w:color w:val="auto"/>
        </w:rPr>
      </w:pPr>
      <w:r>
        <w:rPr>
          <w:sz w:val="20"/>
          <w:szCs w:val="20"/>
          <w:color w:val="auto"/>
        </w:rPr>
        <w:br w:type="column"/>
      </w:r>
    </w:p>
    <w:p>
      <w:pPr>
        <w:jc w:val="both"/>
        <w:ind w:right="360"/>
        <w:spacing w:after="0" w:line="263" w:lineRule="auto"/>
        <w:rPr>
          <w:sz w:val="20"/>
          <w:szCs w:val="20"/>
          <w:color w:val="auto"/>
        </w:rPr>
      </w:pPr>
      <w:r>
        <w:rPr>
          <w:rFonts w:ascii="Arial" w:cs="Arial" w:eastAsia="Arial" w:hAnsi="Arial"/>
          <w:sz w:val="18"/>
          <w:szCs w:val="18"/>
          <w:color w:val="auto"/>
        </w:rPr>
        <w:t>Made compensation adjustments for all NEOs other than the CEO for 2020 such that more than 87% of total target compensation for our NEOs will be incentive-based.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-3748405</wp:posOffset>
            </wp:positionH>
            <wp:positionV relativeFrom="paragraph">
              <wp:posOffset>-422275</wp:posOffset>
            </wp:positionV>
            <wp:extent cx="6995160" cy="102044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6995160" cy="1020445"/>
                    </a:xfrm>
                    <a:prstGeom prst="rect">
                      <a:avLst/>
                    </a:prstGeom>
                    <a:noFill/>
                  </pic:spPr>
                </pic:pic>
              </a:graphicData>
            </a:graphic>
          </wp:anchor>
        </w:drawing>
      </w:r>
    </w:p>
    <w:p>
      <w:pPr>
        <w:spacing w:after="0" w:line="96" w:lineRule="exact"/>
        <w:rPr>
          <w:sz w:val="20"/>
          <w:szCs w:val="20"/>
          <w:color w:val="auto"/>
        </w:rPr>
      </w:pPr>
    </w:p>
    <w:p>
      <w:pPr>
        <w:ind w:right="360"/>
        <w:spacing w:after="0" w:line="311" w:lineRule="auto"/>
        <w:rPr>
          <w:sz w:val="20"/>
          <w:szCs w:val="20"/>
          <w:color w:val="auto"/>
        </w:rPr>
      </w:pPr>
      <w:r>
        <w:rPr>
          <w:rFonts w:ascii="Arial" w:cs="Arial" w:eastAsia="Arial" w:hAnsi="Arial"/>
          <w:sz w:val="16"/>
          <w:szCs w:val="16"/>
          <w:color w:val="auto"/>
        </w:rPr>
        <w:t>These changes for 2020 build on changes made to our CEO’s pay mix in 2019 such that 56% of his target compensation is in long-term incentives (“LTI”) and 67% of his LTI is performance-based.</w:t>
      </w:r>
    </w:p>
    <w:p>
      <w:pPr>
        <w:spacing w:after="0" w:line="95" w:lineRule="exact"/>
        <w:rPr>
          <w:sz w:val="20"/>
          <w:szCs w:val="20"/>
          <w:color w:val="auto"/>
        </w:rPr>
      </w:pPr>
    </w:p>
    <w:p>
      <w:pPr>
        <w:sectPr>
          <w:pgSz w:w="11900" w:h="16838" w:orient="portrait"/>
          <w:cols w:equalWidth="0" w:num="2">
            <w:col w:w="5300" w:space="720"/>
            <w:col w:w="5120"/>
          </w:cols>
          <w:pgMar w:left="320" w:top="459" w:right="439" w:bottom="1440" w:gutter="0" w:footer="0" w:header="0"/>
          <w:type w:val="continuous"/>
        </w:sectPr>
      </w:pPr>
    </w:p>
    <w:p>
      <w:pPr>
        <w:spacing w:after="0" w:line="67" w:lineRule="exact"/>
        <w:rPr>
          <w:sz w:val="20"/>
          <w:szCs w:val="20"/>
          <w:color w:val="auto"/>
        </w:rPr>
      </w:pPr>
    </w:p>
    <w:p>
      <w:pPr>
        <w:ind w:left="200"/>
        <w:spacing w:after="0"/>
        <w:rPr>
          <w:sz w:val="20"/>
          <w:szCs w:val="20"/>
          <w:color w:val="auto"/>
        </w:rPr>
      </w:pPr>
      <w:r>
        <w:rPr>
          <w:rFonts w:ascii="Arial" w:cs="Arial" w:eastAsia="Arial" w:hAnsi="Arial"/>
          <w:sz w:val="17"/>
          <w:szCs w:val="17"/>
          <w:color w:val="auto"/>
        </w:rPr>
        <w:t>Inquired about the pay gap between the CEO and other NEOs</w:t>
      </w:r>
    </w:p>
    <w:p>
      <w:pPr>
        <w:spacing w:after="0" w:line="399" w:lineRule="exact"/>
        <w:rPr>
          <w:sz w:val="20"/>
          <w:szCs w:val="20"/>
          <w:color w:val="auto"/>
        </w:rPr>
      </w:pPr>
    </w:p>
    <w:p>
      <w:pPr>
        <w:ind w:left="200" w:right="420"/>
        <w:spacing w:after="0" w:line="277" w:lineRule="auto"/>
        <w:rPr>
          <w:sz w:val="20"/>
          <w:szCs w:val="20"/>
          <w:color w:val="auto"/>
        </w:rPr>
      </w:pPr>
      <w:r>
        <w:rPr>
          <w:rFonts w:ascii="Arial" w:cs="Arial" w:eastAsia="Arial" w:hAnsi="Arial"/>
          <w:sz w:val="18"/>
          <w:szCs w:val="18"/>
          <w:color w:val="auto"/>
        </w:rPr>
        <w:t>Discussion regarding the quantum of CEO compensation and the relationship of quantum and pay mix</w:t>
      </w:r>
    </w:p>
    <w:p>
      <w:pPr>
        <w:spacing w:after="0" w:line="20" w:lineRule="exact"/>
        <w:rPr>
          <w:sz w:val="20"/>
          <w:szCs w:val="20"/>
          <w:color w:val="auto"/>
        </w:rPr>
      </w:pPr>
      <w:r>
        <w:rPr>
          <w:sz w:val="20"/>
          <w:szCs w:val="20"/>
          <w:color w:val="auto"/>
        </w:rPr>
        <w:br w:type="column"/>
      </w:r>
    </w:p>
    <w:p>
      <w:pPr>
        <w:ind w:right="360"/>
        <w:spacing w:after="0" w:line="342" w:lineRule="auto"/>
        <w:rPr>
          <w:sz w:val="20"/>
          <w:szCs w:val="20"/>
          <w:color w:val="auto"/>
        </w:rPr>
      </w:pPr>
      <w:r>
        <w:rPr>
          <w:rFonts w:ascii="Arial" w:cs="Arial" w:eastAsia="Arial" w:hAnsi="Arial"/>
          <w:sz w:val="16"/>
          <w:szCs w:val="16"/>
          <w:color w:val="auto"/>
        </w:rPr>
        <w:t>Adjustments to NEO compensation opportunities for 2020 narrow the pay gap among our CEO and other NEOs (see page 52).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-362585</wp:posOffset>
            </wp:positionH>
            <wp:positionV relativeFrom="paragraph">
              <wp:posOffset>-237490</wp:posOffset>
            </wp:positionV>
            <wp:extent cx="248920" cy="19748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248920" cy="197485"/>
                    </a:xfrm>
                    <a:prstGeom prst="rect">
                      <a:avLst/>
                    </a:prstGeom>
                    <a:noFill/>
                  </pic:spPr>
                </pic:pic>
              </a:graphicData>
            </a:graphic>
          </wp:anchor>
        </w:drawing>
      </w:r>
    </w:p>
    <w:p>
      <w:pPr>
        <w:spacing w:after="0" w:line="50" w:lineRule="exact"/>
        <w:rPr>
          <w:sz w:val="20"/>
          <w:szCs w:val="20"/>
          <w:color w:val="auto"/>
        </w:rPr>
      </w:pPr>
    </w:p>
    <w:p>
      <w:pPr>
        <w:ind w:right="380"/>
        <w:spacing w:after="0" w:line="257" w:lineRule="auto"/>
        <w:rPr>
          <w:sz w:val="20"/>
          <w:szCs w:val="20"/>
          <w:color w:val="auto"/>
        </w:rPr>
      </w:pPr>
      <w:r>
        <w:rPr>
          <w:rFonts w:ascii="Arial" w:cs="Arial" w:eastAsia="Arial" w:hAnsi="Arial"/>
          <w:sz w:val="18"/>
          <w:szCs w:val="18"/>
          <w:color w:val="auto"/>
        </w:rPr>
        <w:t>Additional disclosure in the proxy statement regarding peer compensation practices and our performance-based compensation program. CEO target compensation in 2019 was over 93% at risk compensation, including 67% of LTI in the form of performance-based RSUs.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-3748405</wp:posOffset>
            </wp:positionH>
            <wp:positionV relativeFrom="paragraph">
              <wp:posOffset>-694055</wp:posOffset>
            </wp:positionV>
            <wp:extent cx="6995160" cy="78867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6995160" cy="788670"/>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5300" w:space="720"/>
            <w:col w:w="5120"/>
          </w:cols>
          <w:pgMar w:left="320" w:top="459" w:right="439" w:bottom="1440" w:gutter="0" w:footer="0" w:header="0"/>
          <w:type w:val="continuous"/>
        </w:sectPr>
      </w:pPr>
    </w:p>
    <w:p>
      <w:pPr>
        <w:spacing w:after="0" w:line="1" w:lineRule="exact"/>
        <w:rPr>
          <w:sz w:val="20"/>
          <w:szCs w:val="20"/>
          <w:color w:val="auto"/>
        </w:rPr>
      </w:pPr>
    </w:p>
    <w:p>
      <w:pPr>
        <w:ind w:left="200" w:right="140"/>
        <w:spacing w:after="0" w:line="277" w:lineRule="auto"/>
        <w:rPr>
          <w:sz w:val="20"/>
          <w:szCs w:val="20"/>
          <w:color w:val="auto"/>
        </w:rPr>
      </w:pPr>
      <w:r>
        <w:rPr>
          <w:rFonts w:ascii="Arial" w:cs="Arial" w:eastAsia="Arial" w:hAnsi="Arial"/>
          <w:sz w:val="18"/>
          <w:szCs w:val="18"/>
          <w:color w:val="auto"/>
        </w:rPr>
        <w:t>Desire to better understand AGNC’s business, peer construction, and industry</w:t>
      </w: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ind w:left="200" w:right="200"/>
        <w:spacing w:after="0" w:line="277" w:lineRule="auto"/>
        <w:rPr>
          <w:sz w:val="20"/>
          <w:szCs w:val="20"/>
          <w:color w:val="auto"/>
        </w:rPr>
      </w:pPr>
      <w:r>
        <w:rPr>
          <w:rFonts w:ascii="Arial" w:cs="Arial" w:eastAsia="Arial" w:hAnsi="Arial"/>
          <w:sz w:val="18"/>
          <w:szCs w:val="18"/>
          <w:color w:val="auto"/>
        </w:rPr>
        <w:t>Discussion regarding the size and composition of AGNC’s Board of Directors</w:t>
      </w:r>
    </w:p>
    <w:p>
      <w:pPr>
        <w:spacing w:after="0" w:line="20" w:lineRule="exact"/>
        <w:rPr>
          <w:sz w:val="20"/>
          <w:szCs w:val="20"/>
          <w:color w:val="auto"/>
        </w:rPr>
      </w:pPr>
      <w:r>
        <w:rPr>
          <w:sz w:val="20"/>
          <w:szCs w:val="20"/>
          <w:color w:val="auto"/>
        </w:rPr>
        <w:br w:type="column"/>
      </w:r>
    </w:p>
    <w:p>
      <w:pPr>
        <w:ind w:right="300"/>
        <w:spacing w:after="0" w:line="259" w:lineRule="auto"/>
        <w:rPr>
          <w:sz w:val="20"/>
          <w:szCs w:val="20"/>
          <w:color w:val="auto"/>
        </w:rPr>
      </w:pPr>
      <w:r>
        <w:rPr>
          <w:rFonts w:ascii="Arial" w:cs="Arial" w:eastAsia="Arial" w:hAnsi="Arial"/>
          <w:sz w:val="18"/>
          <w:szCs w:val="18"/>
          <w:color w:val="auto"/>
        </w:rPr>
        <w:t>Continually evaluate and revise disclosures in our proxy statement, our public filings, and on our website to provide stockholders with clear and relevant information on our business, value proposition, and investment strategy.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-362585</wp:posOffset>
            </wp:positionH>
            <wp:positionV relativeFrom="paragraph">
              <wp:posOffset>-351790</wp:posOffset>
            </wp:positionV>
            <wp:extent cx="248920" cy="19685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248920" cy="196850"/>
                    </a:xfrm>
                    <a:prstGeom prst="rect">
                      <a:avLst/>
                    </a:prstGeom>
                    <a:noFill/>
                  </pic:spPr>
                </pic:pic>
              </a:graphicData>
            </a:graphic>
          </wp:anchor>
        </w:drawing>
      </w:r>
    </w:p>
    <w:p>
      <w:pPr>
        <w:spacing w:after="0" w:line="113" w:lineRule="exact"/>
        <w:rPr>
          <w:sz w:val="20"/>
          <w:szCs w:val="20"/>
          <w:color w:val="auto"/>
        </w:rPr>
      </w:pPr>
    </w:p>
    <w:p>
      <w:pPr>
        <w:ind w:right="240"/>
        <w:spacing w:after="0" w:line="342" w:lineRule="auto"/>
        <w:rPr>
          <w:sz w:val="20"/>
          <w:szCs w:val="20"/>
          <w:color w:val="auto"/>
        </w:rPr>
      </w:pPr>
      <w:r>
        <w:rPr>
          <w:rFonts w:ascii="Arial" w:cs="Arial" w:eastAsia="Arial" w:hAnsi="Arial"/>
          <w:sz w:val="16"/>
          <w:szCs w:val="16"/>
          <w:color w:val="auto"/>
        </w:rPr>
        <w:t>Two new independent directors appointed in 2019 supplement the skills and experience and further enhance the diversity of our Board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-3748405</wp:posOffset>
            </wp:positionH>
            <wp:positionV relativeFrom="paragraph">
              <wp:posOffset>-323215</wp:posOffset>
            </wp:positionV>
            <wp:extent cx="6995160" cy="37719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6995160" cy="377190"/>
                    </a:xfrm>
                    <a:prstGeom prst="rect">
                      <a:avLst/>
                    </a:prstGeom>
                    <a:noFill/>
                  </pic:spPr>
                </pic:pic>
              </a:graphicData>
            </a:graphic>
          </wp:anchor>
        </w:drawing>
      </w:r>
    </w:p>
    <w:p>
      <w:pPr>
        <w:spacing w:after="0" w:line="213" w:lineRule="exact"/>
        <w:rPr>
          <w:sz w:val="20"/>
          <w:szCs w:val="20"/>
          <w:color w:val="auto"/>
        </w:rPr>
      </w:pPr>
    </w:p>
    <w:p>
      <w:pPr>
        <w:sectPr>
          <w:pgSz w:w="11900" w:h="16838" w:orient="portrait"/>
          <w:cols w:equalWidth="0" w:num="2">
            <w:col w:w="5300" w:space="720"/>
            <w:col w:w="5120"/>
          </w:cols>
          <w:pgMar w:left="320" w:top="459" w:right="439" w:bottom="1440" w:gutter="0" w:footer="0" w:header="0"/>
          <w:type w:val="continuous"/>
        </w:sectPr>
      </w:pPr>
    </w:p>
    <w:p>
      <w:pPr>
        <w:ind w:left="7960"/>
        <w:spacing w:after="0"/>
        <w:tabs>
          <w:tab w:leader="none" w:pos="109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vii</w:t>
      </w:r>
    </w:p>
    <w:p>
      <w:pPr>
        <w:sectPr>
          <w:pgSz w:w="11900" w:h="16838" w:orient="portrait"/>
          <w:cols w:equalWidth="0" w:num="1">
            <w:col w:w="11140"/>
          </w:cols>
          <w:pgMar w:left="320" w:top="459" w:right="439" w:bottom="1440" w:gutter="0" w:footer="0" w:header="0"/>
          <w:type w:val="continuous"/>
        </w:sectPr>
      </w:pPr>
    </w:p>
    <w:bookmarkStart w:id="9" w:name="page10"/>
    <w:bookmarkEnd w:id="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AGNC INVESTMENT CORP. AT A GLANCE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4"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Executive Compensation Program Overview and Evolution</w:t>
      </w:r>
    </w:p>
    <w:p>
      <w:pPr>
        <w:spacing w:after="0" w:line="121"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Philosophy and Structure</w:t>
      </w:r>
    </w:p>
    <w:p>
      <w:pPr>
        <w:spacing w:after="0" w:line="117" w:lineRule="exact"/>
        <w:rPr>
          <w:sz w:val="20"/>
          <w:szCs w:val="20"/>
          <w:color w:val="auto"/>
        </w:rPr>
      </w:pPr>
    </w:p>
    <w:p>
      <w:pPr>
        <w:ind w:left="120" w:right="80" w:firstLine="881"/>
        <w:spacing w:after="0" w:line="259" w:lineRule="auto"/>
        <w:rPr>
          <w:sz w:val="20"/>
          <w:szCs w:val="20"/>
          <w:color w:val="auto"/>
        </w:rPr>
      </w:pPr>
      <w:r>
        <w:rPr>
          <w:rFonts w:ascii="Arial" w:cs="Arial" w:eastAsia="Arial" w:hAnsi="Arial"/>
          <w:sz w:val="18"/>
          <w:szCs w:val="18"/>
          <w:color w:val="auto"/>
        </w:rPr>
        <w:t>Following our Internalization in July 2016 through the acquisition of the parent of our external manager from American Capital, Ltd. (“American Capital”), our Compensation Committee implemented a compensation program that aligns executive compensation to our stockholders and our financial and strategic objectives, is highly incentive-based, fully transparent, reduces operating expenses through elimination of management fees, and is competitive given AGNC’s size, scale, and management structure.</w:t>
      </w:r>
    </w:p>
    <w:p>
      <w:pPr>
        <w:spacing w:after="0" w:line="187" w:lineRule="exact"/>
        <w:rPr>
          <w:sz w:val="20"/>
          <w:szCs w:val="20"/>
          <w:color w:val="auto"/>
        </w:rPr>
      </w:pPr>
    </w:p>
    <w:p>
      <w:pPr>
        <w:ind w:left="120" w:firstLine="881"/>
        <w:spacing w:after="0" w:line="296" w:lineRule="auto"/>
        <w:rPr>
          <w:sz w:val="20"/>
          <w:szCs w:val="20"/>
          <w:color w:val="auto"/>
        </w:rPr>
      </w:pPr>
      <w:r>
        <w:rPr>
          <w:rFonts w:ascii="Arial" w:cs="Arial" w:eastAsia="Arial" w:hAnsi="Arial"/>
          <w:sz w:val="16"/>
          <w:szCs w:val="16"/>
          <w:color w:val="auto"/>
        </w:rPr>
        <w:t>We compensate our named executive officers (“NEOs”) through a combination of base salary, short-term incentives in the form of an annual cash bonus, and long-term equity incentives in the form of performance-based restricted stock units (“RSUs”) and time-based RSUs. Since our Internalization, the composition of our NEOs’ total target compensation has shifted significantly, with a greater emphasis on performance-based compensation and long-term equity. In 2019, 86% of average NEO target compensation was incentive-based, compared to 76% in 2017 and 82% in 2018 for our current NEOs. With the changes to NEO compensation in 2020, 87% of average NEO target compensation is now incentive-based.</w:t>
      </w:r>
    </w:p>
    <w:p>
      <w:pPr>
        <w:spacing w:after="0" w:line="269"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Compensation Changes and Program Enhancements</w:t>
      </w:r>
    </w:p>
    <w:p>
      <w:pPr>
        <w:spacing w:after="0" w:line="117" w:lineRule="exact"/>
        <w:rPr>
          <w:sz w:val="20"/>
          <w:szCs w:val="20"/>
          <w:color w:val="auto"/>
        </w:rPr>
      </w:pPr>
    </w:p>
    <w:p>
      <w:pPr>
        <w:ind w:left="120" w:firstLine="881"/>
        <w:spacing w:after="0" w:line="263" w:lineRule="auto"/>
        <w:rPr>
          <w:sz w:val="20"/>
          <w:szCs w:val="20"/>
          <w:color w:val="auto"/>
        </w:rPr>
      </w:pPr>
      <w:r>
        <w:rPr>
          <w:rFonts w:ascii="Arial" w:cs="Arial" w:eastAsia="Arial" w:hAnsi="Arial"/>
          <w:sz w:val="18"/>
          <w:szCs w:val="18"/>
          <w:color w:val="auto"/>
        </w:rPr>
        <w:t>As part of its ongoing evaluation of our compensation practices and in response to feedback we heard from stockholders during our outreach efforts since the Internalization, the Compensation Committee has made a number of meaningful changes to our compensation program and the corporate scorecard used to evaluate performance, including the following:</w:t>
      </w:r>
    </w:p>
    <w:p>
      <w:pPr>
        <w:spacing w:after="0" w:line="89" w:lineRule="exact"/>
        <w:rPr>
          <w:sz w:val="20"/>
          <w:szCs w:val="20"/>
          <w:color w:val="auto"/>
        </w:rPr>
      </w:pPr>
    </w:p>
    <w:p>
      <w:pPr>
        <w:ind w:left="980" w:right="140" w:hanging="432"/>
        <w:spacing w:after="0" w:line="263" w:lineRule="auto"/>
        <w:tabs>
          <w:tab w:leader="none" w:pos="980" w:val="left"/>
        </w:tabs>
        <w:numPr>
          <w:ilvl w:val="1"/>
          <w:numId w:val="6"/>
        </w:numPr>
        <w:rPr>
          <w:rFonts w:ascii="Arial" w:cs="Arial" w:eastAsia="Arial" w:hAnsi="Arial"/>
          <w:sz w:val="18"/>
          <w:szCs w:val="18"/>
          <w:color w:val="auto"/>
        </w:rPr>
      </w:pPr>
      <w:r>
        <w:rPr>
          <w:rFonts w:ascii="Arial" w:cs="Arial" w:eastAsia="Arial" w:hAnsi="Arial"/>
          <w:sz w:val="18"/>
          <w:szCs w:val="18"/>
          <w:color w:val="auto"/>
        </w:rPr>
        <w:t>Amended employment contracts that were inherited as part of the Internalization to align NEO interests with those of our stockholders by shifting compensation towards incentive-based compensation with an emphasis on performance-based awards and away from ties to assets under management.</w:t>
      </w:r>
    </w:p>
    <w:p>
      <w:pPr>
        <w:spacing w:after="0" w:line="89" w:lineRule="exact"/>
        <w:rPr>
          <w:rFonts w:ascii="Arial" w:cs="Arial" w:eastAsia="Arial" w:hAnsi="Arial"/>
          <w:sz w:val="18"/>
          <w:szCs w:val="18"/>
          <w:color w:val="auto"/>
        </w:rPr>
      </w:pPr>
    </w:p>
    <w:p>
      <w:pPr>
        <w:ind w:left="1860" w:right="60" w:hanging="435"/>
        <w:spacing w:after="0" w:line="277" w:lineRule="auto"/>
        <w:tabs>
          <w:tab w:leader="none" w:pos="1860" w:val="left"/>
        </w:tabs>
        <w:numPr>
          <w:ilvl w:val="2"/>
          <w:numId w:val="6"/>
        </w:numPr>
        <w:rPr>
          <w:rFonts w:ascii="Arial" w:cs="Arial" w:eastAsia="Arial" w:hAnsi="Arial"/>
          <w:sz w:val="18"/>
          <w:szCs w:val="18"/>
          <w:color w:val="auto"/>
        </w:rPr>
      </w:pPr>
      <w:r>
        <w:rPr>
          <w:rFonts w:ascii="Arial" w:cs="Arial" w:eastAsia="Arial" w:hAnsi="Arial"/>
          <w:sz w:val="18"/>
          <w:szCs w:val="18"/>
          <w:color w:val="auto"/>
        </w:rPr>
        <w:t>Restructured our CEO’s target compensation to significantly reduce base salary and annual bonus and reallocated compensation to long-term equity awards, 67% being performance-based.</w:t>
      </w:r>
    </w:p>
    <w:p>
      <w:pPr>
        <w:spacing w:after="0" w:line="75" w:lineRule="exact"/>
        <w:rPr>
          <w:rFonts w:ascii="Arial" w:cs="Arial" w:eastAsia="Arial" w:hAnsi="Arial"/>
          <w:sz w:val="18"/>
          <w:szCs w:val="18"/>
          <w:color w:val="auto"/>
        </w:rPr>
      </w:pPr>
    </w:p>
    <w:p>
      <w:pPr>
        <w:ind w:left="1860" w:right="120" w:hanging="435"/>
        <w:spacing w:after="0" w:line="277" w:lineRule="auto"/>
        <w:tabs>
          <w:tab w:leader="none" w:pos="1860" w:val="left"/>
        </w:tabs>
        <w:numPr>
          <w:ilvl w:val="2"/>
          <w:numId w:val="6"/>
        </w:numPr>
        <w:rPr>
          <w:rFonts w:ascii="Arial" w:cs="Arial" w:eastAsia="Arial" w:hAnsi="Arial"/>
          <w:sz w:val="18"/>
          <w:szCs w:val="18"/>
          <w:color w:val="auto"/>
        </w:rPr>
      </w:pPr>
      <w:r>
        <w:rPr>
          <w:rFonts w:ascii="Arial" w:cs="Arial" w:eastAsia="Arial" w:hAnsi="Arial"/>
          <w:sz w:val="18"/>
          <w:szCs w:val="18"/>
          <w:color w:val="auto"/>
        </w:rPr>
        <w:t>Revised the target compensation provided to our other NEOs to increase incentive-based compensation as a percentage of total compensation, with at least 50% of long-term incentive awards being performance-based.</w:t>
      </w:r>
    </w:p>
    <w:p>
      <w:pPr>
        <w:spacing w:after="0" w:line="75" w:lineRule="exact"/>
        <w:rPr>
          <w:rFonts w:ascii="Arial" w:cs="Arial" w:eastAsia="Arial" w:hAnsi="Arial"/>
          <w:sz w:val="18"/>
          <w:szCs w:val="18"/>
          <w:color w:val="auto"/>
        </w:rPr>
      </w:pPr>
    </w:p>
    <w:p>
      <w:pPr>
        <w:ind w:left="980" w:hanging="432"/>
        <w:spacing w:after="0"/>
        <w:tabs>
          <w:tab w:leader="none" w:pos="980" w:val="left"/>
        </w:tabs>
        <w:numPr>
          <w:ilvl w:val="1"/>
          <w:numId w:val="6"/>
        </w:numPr>
        <w:rPr>
          <w:rFonts w:ascii="Arial" w:cs="Arial" w:eastAsia="Arial" w:hAnsi="Arial"/>
          <w:sz w:val="18"/>
          <w:szCs w:val="18"/>
          <w:color w:val="auto"/>
        </w:rPr>
      </w:pPr>
      <w:r>
        <w:rPr>
          <w:rFonts w:ascii="Arial" w:cs="Arial" w:eastAsia="Arial" w:hAnsi="Arial"/>
          <w:sz w:val="18"/>
          <w:szCs w:val="18"/>
          <w:color w:val="auto"/>
        </w:rPr>
        <w:t>Simplified our corporate scorecard and increased the percentage weighting assigned to the financial metrics.</w:t>
      </w:r>
    </w:p>
    <w:p>
      <w:pPr>
        <w:spacing w:after="0" w:line="130" w:lineRule="exact"/>
        <w:rPr>
          <w:rFonts w:ascii="Arial" w:cs="Arial" w:eastAsia="Arial" w:hAnsi="Arial"/>
          <w:sz w:val="18"/>
          <w:szCs w:val="18"/>
          <w:color w:val="auto"/>
        </w:rPr>
      </w:pPr>
    </w:p>
    <w:p>
      <w:pPr>
        <w:ind w:left="980" w:hanging="432"/>
        <w:spacing w:after="0"/>
        <w:tabs>
          <w:tab w:leader="none" w:pos="980" w:val="left"/>
        </w:tabs>
        <w:numPr>
          <w:ilvl w:val="1"/>
          <w:numId w:val="6"/>
        </w:numPr>
        <w:rPr>
          <w:rFonts w:ascii="Arial" w:cs="Arial" w:eastAsia="Arial" w:hAnsi="Arial"/>
          <w:sz w:val="18"/>
          <w:szCs w:val="18"/>
          <w:color w:val="auto"/>
        </w:rPr>
      </w:pPr>
      <w:r>
        <w:rPr>
          <w:rFonts w:ascii="Arial" w:cs="Arial" w:eastAsia="Arial" w:hAnsi="Arial"/>
          <w:sz w:val="18"/>
          <w:szCs w:val="18"/>
          <w:color w:val="auto"/>
        </w:rPr>
        <w:t>Increased the level of challenge of the financial metrics included in our corporate scorecard and performance-vesting RSUs.</w:t>
      </w:r>
    </w:p>
    <w:p>
      <w:pPr>
        <w:spacing w:after="0" w:line="153" w:lineRule="exact"/>
        <w:rPr>
          <w:rFonts w:ascii="Arial" w:cs="Arial" w:eastAsia="Arial" w:hAnsi="Arial"/>
          <w:sz w:val="18"/>
          <w:szCs w:val="18"/>
          <w:color w:val="auto"/>
        </w:rPr>
      </w:pPr>
    </w:p>
    <w:p>
      <w:pPr>
        <w:ind w:left="440" w:hanging="324"/>
        <w:spacing w:after="0"/>
        <w:tabs>
          <w:tab w:leader="none" w:pos="440" w:val="left"/>
        </w:tabs>
        <w:numPr>
          <w:ilvl w:val="0"/>
          <w:numId w:val="6"/>
        </w:numPr>
        <w:rPr>
          <w:rFonts w:ascii="Arial" w:cs="Arial" w:eastAsia="Arial" w:hAnsi="Arial"/>
          <w:sz w:val="14"/>
          <w:szCs w:val="14"/>
          <w:color w:val="407CCA"/>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p>
    <w:p>
      <w:pPr>
        <w:sectPr>
          <w:pgSz w:w="11900" w:h="16838" w:orient="portrait"/>
          <w:cols w:equalWidth="0" w:num="1">
            <w:col w:w="11120"/>
          </w:cols>
          <w:pgMar w:left="320" w:top="459" w:right="459" w:bottom="1440" w:gutter="0" w:footer="0" w:header="0"/>
        </w:sectPr>
      </w:pPr>
    </w:p>
    <w:bookmarkStart w:id="10" w:name="page11"/>
    <w:bookmarkEnd w:id="1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8360"/>
        <w:spacing w:after="0"/>
        <w:rPr>
          <w:sz w:val="20"/>
          <w:szCs w:val="20"/>
          <w:color w:val="auto"/>
        </w:rPr>
      </w:pPr>
      <w:r>
        <w:rPr>
          <w:rFonts w:ascii="Arial" w:cs="Arial" w:eastAsia="Arial" w:hAnsi="Arial"/>
          <w:sz w:val="13"/>
          <w:szCs w:val="13"/>
          <w:color w:val="407CCA"/>
        </w:rPr>
        <w:t>AGNC INVESTMENT CORP. AT A GLANCE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28575</wp:posOffset>
            </wp:positionV>
            <wp:extent cx="6995160" cy="889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6995160" cy="8890"/>
                    </a:xfrm>
                    <a:prstGeom prst="rect">
                      <a:avLst/>
                    </a:prstGeom>
                    <a:noFill/>
                  </pic:spPr>
                </pic:pic>
              </a:graphicData>
            </a:graphic>
          </wp:anchor>
        </w:drawing>
      </w:r>
    </w:p>
    <w:p>
      <w:pPr>
        <w:spacing w:after="0" w:line="199" w:lineRule="exact"/>
        <w:rPr>
          <w:sz w:val="20"/>
          <w:szCs w:val="20"/>
          <w:color w:val="auto"/>
        </w:rPr>
      </w:pPr>
    </w:p>
    <w:p>
      <w:pPr>
        <w:ind w:left="120" w:right="320" w:firstLine="881"/>
        <w:spacing w:after="0" w:line="277" w:lineRule="auto"/>
        <w:rPr>
          <w:sz w:val="20"/>
          <w:szCs w:val="20"/>
          <w:color w:val="auto"/>
        </w:rPr>
      </w:pPr>
      <w:r>
        <w:rPr>
          <w:rFonts w:ascii="Arial" w:cs="Arial" w:eastAsia="Arial" w:hAnsi="Arial"/>
          <w:sz w:val="18"/>
          <w:szCs w:val="18"/>
          <w:color w:val="auto"/>
        </w:rPr>
        <w:t>The following graphic illustrates the shift in our CEO’s total compensation at target since our Internalization, with a greater emphasis on long-term equity and performance-based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1153795</wp:posOffset>
            </wp:positionH>
            <wp:positionV relativeFrom="paragraph">
              <wp:posOffset>134620</wp:posOffset>
            </wp:positionV>
            <wp:extent cx="4834890" cy="192913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4834890" cy="19291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9" w:lineRule="exact"/>
        <w:rPr>
          <w:sz w:val="20"/>
          <w:szCs w:val="20"/>
          <w:color w:val="auto"/>
        </w:rPr>
      </w:pPr>
    </w:p>
    <w:p>
      <w:pPr>
        <w:jc w:val="right"/>
        <w:spacing w:after="0"/>
        <w:tabs>
          <w:tab w:leader="none" w:pos="10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ix</w:t>
      </w:r>
    </w:p>
    <w:p>
      <w:pPr>
        <w:sectPr>
          <w:pgSz w:w="11900" w:h="16838" w:orient="portrait"/>
          <w:cols w:equalWidth="0" w:num="1">
            <w:col w:w="11140"/>
          </w:cols>
          <w:pgMar w:left="320" w:top="459" w:right="439" w:bottom="1440" w:gutter="0" w:footer="0" w:header="0"/>
        </w:sectPr>
      </w:pPr>
    </w:p>
    <w:bookmarkStart w:id="11" w:name="page12"/>
    <w:bookmarkEnd w:id="1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296" w:lineRule="exact"/>
        <w:rPr>
          <w:sz w:val="20"/>
          <w:szCs w:val="20"/>
          <w:color w:val="auto"/>
        </w:rPr>
      </w:pPr>
    </w:p>
    <w:tbl>
      <w:tblPr>
        <w:tblLayout w:type="fixed"/>
        <w:tblInd w:w="120" w:type="dxa"/>
        <w:tblCellMar>
          <w:top w:w="0" w:type="dxa"/>
          <w:left w:w="0" w:type="dxa"/>
          <w:bottom w:w="0" w:type="dxa"/>
          <w:right w:w="0" w:type="dxa"/>
        </w:tblCellMar>
      </w:tblPr>
      <w:tr>
        <w:trPr>
          <w:trHeight w:val="280"/>
        </w:trPr>
        <w:tc>
          <w:tcPr>
            <w:tcW w:w="14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540" w:type="dxa"/>
            <w:vAlign w:val="bottom"/>
            <w:gridSpan w:val="3"/>
          </w:tcPr>
          <w:p>
            <w:pPr>
              <w:ind w:left="160"/>
              <w:spacing w:after="0"/>
              <w:rPr>
                <w:sz w:val="20"/>
                <w:szCs w:val="20"/>
                <w:color w:val="auto"/>
              </w:rPr>
            </w:pPr>
            <w:r>
              <w:rPr>
                <w:rFonts w:ascii="Arial" w:cs="Arial" w:eastAsia="Arial" w:hAnsi="Arial"/>
                <w:sz w:val="22"/>
                <w:szCs w:val="22"/>
                <w:b w:val="1"/>
                <w:bCs w:val="1"/>
                <w:color w:val="407CCA"/>
              </w:rPr>
              <w:t>TABLE OF CONTENTS</w:t>
            </w:r>
          </w:p>
        </w:tc>
        <w:tc>
          <w:tcPr>
            <w:tcW w:w="2300" w:type="dxa"/>
            <w:vAlign w:val="bottom"/>
          </w:tcPr>
          <w:p>
            <w:pPr>
              <w:spacing w:after="0"/>
              <w:rPr>
                <w:sz w:val="24"/>
                <w:szCs w:val="24"/>
                <w:color w:val="auto"/>
              </w:rPr>
            </w:pPr>
          </w:p>
        </w:tc>
      </w:tr>
      <w:tr>
        <w:trPr>
          <w:trHeight w:val="408"/>
        </w:trPr>
        <w:tc>
          <w:tcPr>
            <w:tcW w:w="140" w:type="dxa"/>
            <w:vAlign w:val="bottom"/>
          </w:tcPr>
          <w:p>
            <w:pPr>
              <w:spacing w:after="0"/>
              <w:rPr>
                <w:sz w:val="24"/>
                <w:szCs w:val="24"/>
                <w:color w:val="auto"/>
              </w:rPr>
            </w:pPr>
          </w:p>
        </w:tc>
        <w:tc>
          <w:tcPr>
            <w:tcW w:w="8580" w:type="dxa"/>
            <w:vAlign w:val="bottom"/>
            <w:gridSpan w:val="19"/>
          </w:tcPr>
          <w:p>
            <w:pPr>
              <w:spacing w:after="0"/>
              <w:rPr>
                <w:rFonts w:ascii="Arial" w:cs="Arial" w:eastAsia="Arial" w:hAnsi="Arial"/>
                <w:sz w:val="18"/>
                <w:szCs w:val="18"/>
                <w:b w:val="1"/>
                <w:bCs w:val="1"/>
                <w:color w:val="0000EE"/>
              </w:rPr>
            </w:pPr>
            <w:hyperlink w:anchor="page3">
              <w:r>
                <w:rPr>
                  <w:rFonts w:ascii="Arial" w:cs="Arial" w:eastAsia="Arial" w:hAnsi="Arial"/>
                  <w:sz w:val="18"/>
                  <w:szCs w:val="18"/>
                  <w:b w:val="1"/>
                  <w:bCs w:val="1"/>
                  <w:color w:val="0000EE"/>
                </w:rPr>
                <w:t>Proxy Summary</w:t>
              </w:r>
            </w:hyperlink>
          </w:p>
        </w:tc>
        <w:tc>
          <w:tcPr>
            <w:tcW w:w="2300" w:type="dxa"/>
            <w:vAlign w:val="bottom"/>
          </w:tcPr>
          <w:p>
            <w:pPr>
              <w:jc w:val="right"/>
              <w:spacing w:after="0"/>
              <w:rPr>
                <w:sz w:val="20"/>
                <w:szCs w:val="20"/>
                <w:color w:val="auto"/>
              </w:rPr>
            </w:pPr>
            <w:r>
              <w:rPr>
                <w:rFonts w:ascii="Arial" w:cs="Arial" w:eastAsia="Arial" w:hAnsi="Arial"/>
                <w:sz w:val="18"/>
                <w:szCs w:val="18"/>
                <w:color w:val="auto"/>
              </w:rPr>
              <w:t>i</w:t>
            </w:r>
          </w:p>
        </w:tc>
      </w:tr>
      <w:tr>
        <w:trPr>
          <w:trHeight w:val="74"/>
        </w:trPr>
        <w:tc>
          <w:tcPr>
            <w:tcW w:w="140" w:type="dxa"/>
            <w:vAlign w:val="bottom"/>
            <w:tcBorders>
              <w:bottom w:val="single" w:sz="8" w:color="407CCA"/>
            </w:tcBorders>
          </w:tcPr>
          <w:p>
            <w:pPr>
              <w:spacing w:after="0"/>
              <w:rPr>
                <w:sz w:val="6"/>
                <w:szCs w:val="6"/>
                <w:color w:val="auto"/>
              </w:rPr>
            </w:pPr>
          </w:p>
        </w:tc>
        <w:tc>
          <w:tcPr>
            <w:tcW w:w="440" w:type="dxa"/>
            <w:vAlign w:val="bottom"/>
            <w:tcBorders>
              <w:top w:val="single" w:sz="8" w:color="0000EE"/>
              <w:bottom w:val="single" w:sz="8" w:color="407CCA"/>
            </w:tcBorders>
          </w:tcPr>
          <w:p>
            <w:pPr>
              <w:spacing w:after="0"/>
              <w:rPr>
                <w:sz w:val="6"/>
                <w:szCs w:val="6"/>
                <w:color w:val="auto"/>
              </w:rPr>
            </w:pPr>
          </w:p>
        </w:tc>
        <w:tc>
          <w:tcPr>
            <w:tcW w:w="820" w:type="dxa"/>
            <w:vAlign w:val="bottom"/>
            <w:tcBorders>
              <w:top w:val="single" w:sz="8" w:color="0000EE"/>
              <w:bottom w:val="single" w:sz="8" w:color="407CCA"/>
            </w:tcBorders>
          </w:tcPr>
          <w:p>
            <w:pPr>
              <w:spacing w:after="0"/>
              <w:rPr>
                <w:sz w:val="6"/>
                <w:szCs w:val="6"/>
                <w:color w:val="auto"/>
              </w:rPr>
            </w:pPr>
          </w:p>
        </w:tc>
        <w:tc>
          <w:tcPr>
            <w:tcW w:w="820" w:type="dxa"/>
            <w:vAlign w:val="bottom"/>
            <w:tcBorders>
              <w:bottom w:val="single" w:sz="8" w:color="407CCA"/>
            </w:tcBorders>
          </w:tcPr>
          <w:p>
            <w:pPr>
              <w:spacing w:after="0"/>
              <w:rPr>
                <w:sz w:val="6"/>
                <w:szCs w:val="6"/>
                <w:color w:val="auto"/>
              </w:rPr>
            </w:pPr>
          </w:p>
        </w:tc>
        <w:tc>
          <w:tcPr>
            <w:tcW w:w="60" w:type="dxa"/>
            <w:vAlign w:val="bottom"/>
            <w:tcBorders>
              <w:bottom w:val="single" w:sz="8" w:color="407CCA"/>
            </w:tcBorders>
          </w:tcPr>
          <w:p>
            <w:pPr>
              <w:spacing w:after="0"/>
              <w:rPr>
                <w:sz w:val="6"/>
                <w:szCs w:val="6"/>
                <w:color w:val="auto"/>
              </w:rPr>
            </w:pPr>
          </w:p>
        </w:tc>
        <w:tc>
          <w:tcPr>
            <w:tcW w:w="120" w:type="dxa"/>
            <w:vAlign w:val="bottom"/>
            <w:tcBorders>
              <w:bottom w:val="single" w:sz="8" w:color="407CCA"/>
            </w:tcBorders>
          </w:tcPr>
          <w:p>
            <w:pPr>
              <w:spacing w:after="0"/>
              <w:rPr>
                <w:sz w:val="6"/>
                <w:szCs w:val="6"/>
                <w:color w:val="auto"/>
              </w:rPr>
            </w:pPr>
          </w:p>
        </w:tc>
        <w:tc>
          <w:tcPr>
            <w:tcW w:w="180" w:type="dxa"/>
            <w:vAlign w:val="bottom"/>
            <w:tcBorders>
              <w:bottom w:val="single" w:sz="8" w:color="407CCA"/>
            </w:tcBorders>
          </w:tcPr>
          <w:p>
            <w:pPr>
              <w:spacing w:after="0"/>
              <w:rPr>
                <w:sz w:val="6"/>
                <w:szCs w:val="6"/>
                <w:color w:val="auto"/>
              </w:rPr>
            </w:pPr>
          </w:p>
        </w:tc>
        <w:tc>
          <w:tcPr>
            <w:tcW w:w="20" w:type="dxa"/>
            <w:vAlign w:val="bottom"/>
            <w:tcBorders>
              <w:bottom w:val="single" w:sz="8" w:color="407CCA"/>
            </w:tcBorders>
          </w:tcPr>
          <w:p>
            <w:pPr>
              <w:spacing w:after="0"/>
              <w:rPr>
                <w:sz w:val="6"/>
                <w:szCs w:val="6"/>
                <w:color w:val="auto"/>
              </w:rPr>
            </w:pPr>
          </w:p>
        </w:tc>
        <w:tc>
          <w:tcPr>
            <w:tcW w:w="40" w:type="dxa"/>
            <w:vAlign w:val="bottom"/>
            <w:tcBorders>
              <w:bottom w:val="single" w:sz="8" w:color="407CCA"/>
            </w:tcBorders>
          </w:tcPr>
          <w:p>
            <w:pPr>
              <w:spacing w:after="0"/>
              <w:rPr>
                <w:sz w:val="6"/>
                <w:szCs w:val="6"/>
                <w:color w:val="auto"/>
              </w:rPr>
            </w:pPr>
          </w:p>
        </w:tc>
        <w:tc>
          <w:tcPr>
            <w:tcW w:w="20" w:type="dxa"/>
            <w:vAlign w:val="bottom"/>
            <w:tcBorders>
              <w:bottom w:val="single" w:sz="8" w:color="407CCA"/>
            </w:tcBorders>
          </w:tcPr>
          <w:p>
            <w:pPr>
              <w:spacing w:after="0"/>
              <w:rPr>
                <w:sz w:val="6"/>
                <w:szCs w:val="6"/>
                <w:color w:val="auto"/>
              </w:rPr>
            </w:pPr>
          </w:p>
        </w:tc>
        <w:tc>
          <w:tcPr>
            <w:tcW w:w="20" w:type="dxa"/>
            <w:vAlign w:val="bottom"/>
            <w:tcBorders>
              <w:bottom w:val="single" w:sz="8" w:color="407CCA"/>
            </w:tcBorders>
          </w:tcPr>
          <w:p>
            <w:pPr>
              <w:spacing w:after="0"/>
              <w:rPr>
                <w:sz w:val="6"/>
                <w:szCs w:val="6"/>
                <w:color w:val="auto"/>
              </w:rPr>
            </w:pPr>
          </w:p>
        </w:tc>
        <w:tc>
          <w:tcPr>
            <w:tcW w:w="220" w:type="dxa"/>
            <w:vAlign w:val="bottom"/>
            <w:tcBorders>
              <w:bottom w:val="single" w:sz="8" w:color="407CCA"/>
            </w:tcBorders>
          </w:tcPr>
          <w:p>
            <w:pPr>
              <w:spacing w:after="0"/>
              <w:rPr>
                <w:sz w:val="6"/>
                <w:szCs w:val="6"/>
                <w:color w:val="auto"/>
              </w:rPr>
            </w:pPr>
          </w:p>
        </w:tc>
        <w:tc>
          <w:tcPr>
            <w:tcW w:w="340" w:type="dxa"/>
            <w:vAlign w:val="bottom"/>
            <w:tcBorders>
              <w:bottom w:val="single" w:sz="8" w:color="407CCA"/>
            </w:tcBorders>
          </w:tcPr>
          <w:p>
            <w:pPr>
              <w:spacing w:after="0"/>
              <w:rPr>
                <w:sz w:val="6"/>
                <w:szCs w:val="6"/>
                <w:color w:val="auto"/>
              </w:rPr>
            </w:pPr>
          </w:p>
        </w:tc>
        <w:tc>
          <w:tcPr>
            <w:tcW w:w="80" w:type="dxa"/>
            <w:vAlign w:val="bottom"/>
            <w:tcBorders>
              <w:bottom w:val="single" w:sz="8" w:color="407CCA"/>
            </w:tcBorders>
          </w:tcPr>
          <w:p>
            <w:pPr>
              <w:spacing w:after="0"/>
              <w:rPr>
                <w:sz w:val="6"/>
                <w:szCs w:val="6"/>
                <w:color w:val="auto"/>
              </w:rPr>
            </w:pPr>
          </w:p>
        </w:tc>
        <w:tc>
          <w:tcPr>
            <w:tcW w:w="320" w:type="dxa"/>
            <w:vAlign w:val="bottom"/>
            <w:tcBorders>
              <w:bottom w:val="single" w:sz="8" w:color="407CCA"/>
            </w:tcBorders>
          </w:tcPr>
          <w:p>
            <w:pPr>
              <w:spacing w:after="0"/>
              <w:rPr>
                <w:sz w:val="6"/>
                <w:szCs w:val="6"/>
                <w:color w:val="auto"/>
              </w:rPr>
            </w:pPr>
          </w:p>
        </w:tc>
        <w:tc>
          <w:tcPr>
            <w:tcW w:w="520" w:type="dxa"/>
            <w:vAlign w:val="bottom"/>
            <w:tcBorders>
              <w:bottom w:val="single" w:sz="8" w:color="407CCA"/>
            </w:tcBorders>
          </w:tcPr>
          <w:p>
            <w:pPr>
              <w:spacing w:after="0"/>
              <w:rPr>
                <w:sz w:val="6"/>
                <w:szCs w:val="6"/>
                <w:color w:val="auto"/>
              </w:rPr>
            </w:pPr>
          </w:p>
        </w:tc>
        <w:tc>
          <w:tcPr>
            <w:tcW w:w="20" w:type="dxa"/>
            <w:vAlign w:val="bottom"/>
            <w:tcBorders>
              <w:bottom w:val="single" w:sz="8" w:color="407CCA"/>
            </w:tcBorders>
          </w:tcPr>
          <w:p>
            <w:pPr>
              <w:spacing w:after="0"/>
              <w:rPr>
                <w:sz w:val="6"/>
                <w:szCs w:val="6"/>
                <w:color w:val="auto"/>
              </w:rPr>
            </w:pPr>
          </w:p>
        </w:tc>
        <w:tc>
          <w:tcPr>
            <w:tcW w:w="680" w:type="dxa"/>
            <w:vAlign w:val="bottom"/>
            <w:tcBorders>
              <w:bottom w:val="single" w:sz="8" w:color="407CCA"/>
            </w:tcBorders>
          </w:tcPr>
          <w:p>
            <w:pPr>
              <w:spacing w:after="0"/>
              <w:rPr>
                <w:sz w:val="6"/>
                <w:szCs w:val="6"/>
                <w:color w:val="auto"/>
              </w:rPr>
            </w:pPr>
          </w:p>
        </w:tc>
        <w:tc>
          <w:tcPr>
            <w:tcW w:w="200" w:type="dxa"/>
            <w:vAlign w:val="bottom"/>
            <w:tcBorders>
              <w:bottom w:val="single" w:sz="8" w:color="407CCA"/>
            </w:tcBorders>
          </w:tcPr>
          <w:p>
            <w:pPr>
              <w:spacing w:after="0"/>
              <w:rPr>
                <w:sz w:val="6"/>
                <w:szCs w:val="6"/>
                <w:color w:val="auto"/>
              </w:rPr>
            </w:pPr>
          </w:p>
        </w:tc>
        <w:tc>
          <w:tcPr>
            <w:tcW w:w="3660" w:type="dxa"/>
            <w:vAlign w:val="bottom"/>
            <w:tcBorders>
              <w:bottom w:val="single" w:sz="8" w:color="407CCA"/>
            </w:tcBorders>
          </w:tcPr>
          <w:p>
            <w:pPr>
              <w:spacing w:after="0"/>
              <w:rPr>
                <w:sz w:val="6"/>
                <w:szCs w:val="6"/>
                <w:color w:val="auto"/>
              </w:rPr>
            </w:pPr>
          </w:p>
        </w:tc>
        <w:tc>
          <w:tcPr>
            <w:tcW w:w="2300" w:type="dxa"/>
            <w:vAlign w:val="bottom"/>
            <w:tcBorders>
              <w:bottom w:val="single" w:sz="8" w:color="407CCA"/>
            </w:tcBorders>
          </w:tcPr>
          <w:p>
            <w:pPr>
              <w:spacing w:after="0"/>
              <w:rPr>
                <w:sz w:val="6"/>
                <w:szCs w:val="6"/>
                <w:color w:val="auto"/>
              </w:rPr>
            </w:pPr>
          </w:p>
        </w:tc>
      </w:tr>
      <w:tr>
        <w:trPr>
          <w:trHeight w:val="291"/>
        </w:trPr>
        <w:tc>
          <w:tcPr>
            <w:tcW w:w="140" w:type="dxa"/>
            <w:vAlign w:val="bottom"/>
          </w:tcPr>
          <w:p>
            <w:pPr>
              <w:spacing w:after="0"/>
              <w:rPr>
                <w:sz w:val="24"/>
                <w:szCs w:val="24"/>
                <w:color w:val="auto"/>
              </w:rPr>
            </w:pPr>
          </w:p>
        </w:tc>
        <w:tc>
          <w:tcPr>
            <w:tcW w:w="2440" w:type="dxa"/>
            <w:vAlign w:val="bottom"/>
            <w:tcBorders>
              <w:bottom w:val="single" w:sz="8" w:color="0000EE"/>
            </w:tcBorders>
            <w:gridSpan w:val="6"/>
          </w:tcPr>
          <w:p>
            <w:pPr>
              <w:spacing w:after="0"/>
              <w:rPr>
                <w:rFonts w:ascii="Arial" w:cs="Arial" w:eastAsia="Arial" w:hAnsi="Arial"/>
                <w:sz w:val="18"/>
                <w:szCs w:val="18"/>
                <w:b w:val="1"/>
                <w:bCs w:val="1"/>
                <w:color w:val="0000EE"/>
                <w:w w:val="90"/>
              </w:rPr>
            </w:pPr>
            <w:hyperlink w:anchor="page14">
              <w:r>
                <w:rPr>
                  <w:rFonts w:ascii="Arial" w:cs="Arial" w:eastAsia="Arial" w:hAnsi="Arial"/>
                  <w:sz w:val="18"/>
                  <w:szCs w:val="18"/>
                  <w:b w:val="1"/>
                  <w:bCs w:val="1"/>
                  <w:color w:val="0000EE"/>
                  <w:w w:val="90"/>
                </w:rPr>
                <w:t>Board and Governance Matters</w:t>
              </w:r>
            </w:hyperlink>
          </w:p>
        </w:tc>
        <w:tc>
          <w:tcPr>
            <w:tcW w:w="6140" w:type="dxa"/>
            <w:vAlign w:val="bottom"/>
            <w:gridSpan w:val="13"/>
          </w:tcPr>
          <w:p>
            <w:pPr>
              <w:spacing w:after="0"/>
              <w:rPr>
                <w:sz w:val="24"/>
                <w:szCs w:val="24"/>
                <w:color w:val="auto"/>
              </w:rPr>
            </w:pPr>
          </w:p>
        </w:tc>
        <w:tc>
          <w:tcPr>
            <w:tcW w:w="2300" w:type="dxa"/>
            <w:vAlign w:val="bottom"/>
          </w:tcPr>
          <w:p>
            <w:pPr>
              <w:jc w:val="right"/>
              <w:spacing w:after="0"/>
              <w:rPr>
                <w:sz w:val="20"/>
                <w:szCs w:val="20"/>
                <w:color w:val="auto"/>
              </w:rPr>
            </w:pPr>
            <w:r>
              <w:rPr>
                <w:rFonts w:ascii="Arial" w:cs="Arial" w:eastAsia="Arial" w:hAnsi="Arial"/>
                <w:sz w:val="18"/>
                <w:szCs w:val="18"/>
                <w:color w:val="auto"/>
              </w:rPr>
              <w:t>1</w:t>
            </w:r>
          </w:p>
        </w:tc>
      </w:tr>
      <w:tr>
        <w:trPr>
          <w:trHeight w:val="331"/>
        </w:trPr>
        <w:tc>
          <w:tcPr>
            <w:tcW w:w="14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2000" w:type="dxa"/>
            <w:vAlign w:val="bottom"/>
            <w:tcBorders>
              <w:bottom w:val="single" w:sz="8" w:color="0000EE"/>
            </w:tcBorders>
            <w:gridSpan w:val="5"/>
          </w:tcPr>
          <w:p>
            <w:pPr>
              <w:ind w:left="20"/>
              <w:spacing w:after="0"/>
              <w:rPr>
                <w:rFonts w:ascii="Arial" w:cs="Arial" w:eastAsia="Arial" w:hAnsi="Arial"/>
                <w:sz w:val="18"/>
                <w:szCs w:val="18"/>
                <w:color w:val="0000EE"/>
                <w:w w:val="89"/>
              </w:rPr>
            </w:pPr>
            <w:hyperlink w:anchor="page14">
              <w:r>
                <w:rPr>
                  <w:rFonts w:ascii="Arial" w:cs="Arial" w:eastAsia="Arial" w:hAnsi="Arial"/>
                  <w:sz w:val="18"/>
                  <w:szCs w:val="18"/>
                  <w:color w:val="0000EE"/>
                  <w:w w:val="89"/>
                </w:rPr>
                <w:t>Board Leadership Structure</w:t>
              </w:r>
            </w:hyperlink>
          </w:p>
        </w:tc>
        <w:tc>
          <w:tcPr>
            <w:tcW w:w="6140" w:type="dxa"/>
            <w:vAlign w:val="bottom"/>
            <w:gridSpan w:val="13"/>
          </w:tcPr>
          <w:p>
            <w:pPr>
              <w:spacing w:after="0"/>
              <w:rPr>
                <w:sz w:val="24"/>
                <w:szCs w:val="24"/>
                <w:color w:val="auto"/>
              </w:rPr>
            </w:pPr>
          </w:p>
        </w:tc>
        <w:tc>
          <w:tcPr>
            <w:tcW w:w="2300" w:type="dxa"/>
            <w:vAlign w:val="bottom"/>
          </w:tcPr>
          <w:p>
            <w:pPr>
              <w:jc w:val="right"/>
              <w:spacing w:after="0"/>
              <w:rPr>
                <w:sz w:val="20"/>
                <w:szCs w:val="20"/>
                <w:color w:val="auto"/>
              </w:rPr>
            </w:pPr>
            <w:r>
              <w:rPr>
                <w:rFonts w:ascii="Arial" w:cs="Arial" w:eastAsia="Arial" w:hAnsi="Arial"/>
                <w:sz w:val="18"/>
                <w:szCs w:val="18"/>
                <w:color w:val="auto"/>
              </w:rPr>
              <w:t>1</w:t>
            </w:r>
          </w:p>
        </w:tc>
      </w:tr>
      <w:tr>
        <w:trPr>
          <w:trHeight w:val="250"/>
        </w:trPr>
        <w:tc>
          <w:tcPr>
            <w:tcW w:w="14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8140" w:type="dxa"/>
            <w:vAlign w:val="bottom"/>
            <w:gridSpan w:val="18"/>
          </w:tcPr>
          <w:p>
            <w:pPr>
              <w:ind w:left="20"/>
              <w:spacing w:after="0"/>
              <w:rPr>
                <w:rFonts w:ascii="Arial" w:cs="Arial" w:eastAsia="Arial" w:hAnsi="Arial"/>
                <w:sz w:val="18"/>
                <w:szCs w:val="18"/>
                <w:color w:val="0000EE"/>
              </w:rPr>
            </w:pPr>
            <w:hyperlink w:anchor="page14">
              <w:r>
                <w:rPr>
                  <w:rFonts w:ascii="Arial" w:cs="Arial" w:eastAsia="Arial" w:hAnsi="Arial"/>
                  <w:sz w:val="18"/>
                  <w:szCs w:val="18"/>
                  <w:color w:val="0000EE"/>
                </w:rPr>
                <w:t>Corporate Governance</w:t>
              </w:r>
            </w:hyperlink>
          </w:p>
        </w:tc>
        <w:tc>
          <w:tcPr>
            <w:tcW w:w="2300" w:type="dxa"/>
            <w:vAlign w:val="bottom"/>
          </w:tcPr>
          <w:p>
            <w:pPr>
              <w:jc w:val="right"/>
              <w:spacing w:after="0"/>
              <w:rPr>
                <w:sz w:val="20"/>
                <w:szCs w:val="20"/>
                <w:color w:val="auto"/>
              </w:rPr>
            </w:pPr>
            <w:r>
              <w:rPr>
                <w:rFonts w:ascii="Arial" w:cs="Arial" w:eastAsia="Arial" w:hAnsi="Arial"/>
                <w:sz w:val="18"/>
                <w:szCs w:val="18"/>
                <w:color w:val="auto"/>
              </w:rPr>
              <w:t>1</w:t>
            </w:r>
          </w:p>
        </w:tc>
      </w:tr>
      <w:tr>
        <w:trPr>
          <w:trHeight w:val="20"/>
        </w:trPr>
        <w:tc>
          <w:tcPr>
            <w:tcW w:w="14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640" w:type="dxa"/>
            <w:vAlign w:val="bottom"/>
            <w:gridSpan w:val="2"/>
            <w:shd w:val="clear" w:color="auto" w:fill="0000EE"/>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660" w:type="dxa"/>
            <w:vAlign w:val="bottom"/>
          </w:tcPr>
          <w:p>
            <w:pPr>
              <w:spacing w:after="0" w:line="20" w:lineRule="exact"/>
              <w:rPr>
                <w:sz w:val="1"/>
                <w:szCs w:val="1"/>
                <w:color w:val="auto"/>
              </w:rPr>
            </w:pPr>
          </w:p>
        </w:tc>
        <w:tc>
          <w:tcPr>
            <w:tcW w:w="2300" w:type="dxa"/>
            <w:vAlign w:val="bottom"/>
          </w:tcPr>
          <w:p>
            <w:pPr>
              <w:spacing w:after="0" w:line="20" w:lineRule="exact"/>
              <w:rPr>
                <w:sz w:val="1"/>
                <w:szCs w:val="1"/>
                <w:color w:val="auto"/>
              </w:rPr>
            </w:pPr>
          </w:p>
        </w:tc>
      </w:tr>
      <w:tr>
        <w:trPr>
          <w:trHeight w:val="250"/>
        </w:trPr>
        <w:tc>
          <w:tcPr>
            <w:tcW w:w="14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2740" w:type="dxa"/>
            <w:vAlign w:val="bottom"/>
            <w:tcBorders>
              <w:bottom w:val="single" w:sz="8" w:color="0000EE"/>
            </w:tcBorders>
            <w:gridSpan w:val="12"/>
          </w:tcPr>
          <w:p>
            <w:pPr>
              <w:ind w:left="20"/>
              <w:spacing w:after="0"/>
              <w:rPr>
                <w:rFonts w:ascii="Arial" w:cs="Arial" w:eastAsia="Arial" w:hAnsi="Arial"/>
                <w:sz w:val="18"/>
                <w:szCs w:val="18"/>
                <w:color w:val="0000EE"/>
                <w:w w:val="91"/>
              </w:rPr>
            </w:pPr>
            <w:hyperlink w:anchor="page15">
              <w:r>
                <w:rPr>
                  <w:rFonts w:ascii="Arial" w:cs="Arial" w:eastAsia="Arial" w:hAnsi="Arial"/>
                  <w:sz w:val="18"/>
                  <w:szCs w:val="18"/>
                  <w:color w:val="0000EE"/>
                  <w:w w:val="91"/>
                </w:rPr>
                <w:t>Committees of the Board of Directors</w:t>
              </w:r>
            </w:hyperlink>
          </w:p>
        </w:tc>
        <w:tc>
          <w:tcPr>
            <w:tcW w:w="5400" w:type="dxa"/>
            <w:vAlign w:val="bottom"/>
            <w:gridSpan w:val="6"/>
          </w:tcPr>
          <w:p>
            <w:pPr>
              <w:spacing w:after="0"/>
              <w:rPr>
                <w:sz w:val="21"/>
                <w:szCs w:val="21"/>
                <w:color w:val="auto"/>
              </w:rPr>
            </w:pPr>
          </w:p>
        </w:tc>
        <w:tc>
          <w:tcPr>
            <w:tcW w:w="2300" w:type="dxa"/>
            <w:vAlign w:val="bottom"/>
          </w:tcPr>
          <w:p>
            <w:pPr>
              <w:jc w:val="right"/>
              <w:spacing w:after="0"/>
              <w:rPr>
                <w:sz w:val="20"/>
                <w:szCs w:val="20"/>
                <w:color w:val="auto"/>
              </w:rPr>
            </w:pPr>
            <w:r>
              <w:rPr>
                <w:rFonts w:ascii="Arial" w:cs="Arial" w:eastAsia="Arial" w:hAnsi="Arial"/>
                <w:sz w:val="18"/>
                <w:szCs w:val="18"/>
                <w:color w:val="auto"/>
              </w:rPr>
              <w:t>2</w:t>
            </w:r>
          </w:p>
        </w:tc>
      </w:tr>
      <w:tr>
        <w:trPr>
          <w:trHeight w:val="250"/>
        </w:trPr>
        <w:tc>
          <w:tcPr>
            <w:tcW w:w="14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2320" w:type="dxa"/>
            <w:vAlign w:val="bottom"/>
            <w:tcBorders>
              <w:bottom w:val="single" w:sz="8" w:color="0000EE"/>
            </w:tcBorders>
            <w:gridSpan w:val="10"/>
          </w:tcPr>
          <w:p>
            <w:pPr>
              <w:ind w:left="20"/>
              <w:spacing w:after="0"/>
              <w:rPr>
                <w:rFonts w:ascii="Arial" w:cs="Arial" w:eastAsia="Arial" w:hAnsi="Arial"/>
                <w:sz w:val="18"/>
                <w:szCs w:val="18"/>
                <w:color w:val="0000EE"/>
                <w:w w:val="90"/>
              </w:rPr>
            </w:pPr>
            <w:hyperlink w:anchor="page16">
              <w:r>
                <w:rPr>
                  <w:rFonts w:ascii="Arial" w:cs="Arial" w:eastAsia="Arial" w:hAnsi="Arial"/>
                  <w:sz w:val="18"/>
                  <w:szCs w:val="18"/>
                  <w:color w:val="0000EE"/>
                  <w:w w:val="90"/>
                </w:rPr>
                <w:t>Board and Committee Meetings</w:t>
              </w:r>
            </w:hyperlink>
          </w:p>
        </w:tc>
        <w:tc>
          <w:tcPr>
            <w:tcW w:w="5820" w:type="dxa"/>
            <w:vAlign w:val="bottom"/>
            <w:gridSpan w:val="8"/>
          </w:tcPr>
          <w:p>
            <w:pPr>
              <w:spacing w:after="0"/>
              <w:rPr>
                <w:sz w:val="21"/>
                <w:szCs w:val="21"/>
                <w:color w:val="auto"/>
              </w:rPr>
            </w:pPr>
          </w:p>
        </w:tc>
        <w:tc>
          <w:tcPr>
            <w:tcW w:w="2300" w:type="dxa"/>
            <w:vAlign w:val="bottom"/>
          </w:tcPr>
          <w:p>
            <w:pPr>
              <w:jc w:val="right"/>
              <w:spacing w:after="0"/>
              <w:rPr>
                <w:sz w:val="20"/>
                <w:szCs w:val="20"/>
                <w:color w:val="auto"/>
              </w:rPr>
            </w:pPr>
            <w:r>
              <w:rPr>
                <w:rFonts w:ascii="Arial" w:cs="Arial" w:eastAsia="Arial" w:hAnsi="Arial"/>
                <w:sz w:val="18"/>
                <w:szCs w:val="18"/>
                <w:color w:val="auto"/>
              </w:rPr>
              <w:t>3</w:t>
            </w:r>
          </w:p>
        </w:tc>
      </w:tr>
      <w:tr>
        <w:trPr>
          <w:trHeight w:val="250"/>
        </w:trPr>
        <w:tc>
          <w:tcPr>
            <w:tcW w:w="14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8140" w:type="dxa"/>
            <w:vAlign w:val="bottom"/>
            <w:gridSpan w:val="18"/>
          </w:tcPr>
          <w:p>
            <w:pPr>
              <w:ind w:left="20"/>
              <w:spacing w:after="0"/>
              <w:rPr>
                <w:rFonts w:ascii="Arial" w:cs="Arial" w:eastAsia="Arial" w:hAnsi="Arial"/>
                <w:sz w:val="18"/>
                <w:szCs w:val="18"/>
                <w:color w:val="0000EE"/>
              </w:rPr>
            </w:pPr>
            <w:hyperlink w:anchor="page17">
              <w:r>
                <w:rPr>
                  <w:rFonts w:ascii="Arial" w:cs="Arial" w:eastAsia="Arial" w:hAnsi="Arial"/>
                  <w:sz w:val="18"/>
                  <w:szCs w:val="18"/>
                  <w:color w:val="0000EE"/>
                </w:rPr>
                <w:t>Director Nomination Process</w:t>
              </w:r>
            </w:hyperlink>
          </w:p>
        </w:tc>
        <w:tc>
          <w:tcPr>
            <w:tcW w:w="2300" w:type="dxa"/>
            <w:vAlign w:val="bottom"/>
          </w:tcPr>
          <w:p>
            <w:pPr>
              <w:jc w:val="right"/>
              <w:spacing w:after="0"/>
              <w:rPr>
                <w:sz w:val="20"/>
                <w:szCs w:val="20"/>
                <w:color w:val="auto"/>
              </w:rPr>
            </w:pPr>
            <w:r>
              <w:rPr>
                <w:rFonts w:ascii="Arial" w:cs="Arial" w:eastAsia="Arial" w:hAnsi="Arial"/>
                <w:sz w:val="18"/>
                <w:szCs w:val="18"/>
                <w:color w:val="auto"/>
              </w:rPr>
              <w:t>4</w:t>
            </w:r>
          </w:p>
        </w:tc>
      </w:tr>
      <w:tr>
        <w:trPr>
          <w:trHeight w:val="250"/>
        </w:trPr>
        <w:tc>
          <w:tcPr>
            <w:tcW w:w="14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2000" w:type="dxa"/>
            <w:vAlign w:val="bottom"/>
            <w:tcBorders>
              <w:top w:val="single" w:sz="8" w:color="0000EE"/>
              <w:bottom w:val="single" w:sz="8" w:color="0000EE"/>
            </w:tcBorders>
            <w:gridSpan w:val="5"/>
          </w:tcPr>
          <w:p>
            <w:pPr>
              <w:ind w:left="20"/>
              <w:spacing w:after="0"/>
              <w:rPr>
                <w:rFonts w:ascii="Arial" w:cs="Arial" w:eastAsia="Arial" w:hAnsi="Arial"/>
                <w:sz w:val="18"/>
                <w:szCs w:val="18"/>
                <w:color w:val="0000EE"/>
                <w:w w:val="91"/>
              </w:rPr>
            </w:pPr>
            <w:hyperlink w:anchor="page17">
              <w:r>
                <w:rPr>
                  <w:rFonts w:ascii="Arial" w:cs="Arial" w:eastAsia="Arial" w:hAnsi="Arial"/>
                  <w:sz w:val="18"/>
                  <w:szCs w:val="18"/>
                  <w:color w:val="0000EE"/>
                  <w:w w:val="91"/>
                </w:rPr>
                <w:t>Board Membership Criteria</w:t>
              </w:r>
            </w:hyperlink>
          </w:p>
        </w:tc>
        <w:tc>
          <w:tcPr>
            <w:tcW w:w="100" w:type="dxa"/>
            <w:vAlign w:val="bottom"/>
            <w:tcBorders>
              <w:top w:val="single" w:sz="8" w:color="0000EE"/>
            </w:tcBorders>
            <w:gridSpan w:val="4"/>
          </w:tcPr>
          <w:p>
            <w:pPr>
              <w:spacing w:after="0"/>
              <w:rPr>
                <w:sz w:val="21"/>
                <w:szCs w:val="21"/>
                <w:color w:val="auto"/>
              </w:rPr>
            </w:pPr>
          </w:p>
        </w:tc>
        <w:tc>
          <w:tcPr>
            <w:tcW w:w="6040" w:type="dxa"/>
            <w:vAlign w:val="bottom"/>
            <w:gridSpan w:val="9"/>
          </w:tcPr>
          <w:p>
            <w:pPr>
              <w:spacing w:after="0"/>
              <w:rPr>
                <w:sz w:val="21"/>
                <w:szCs w:val="21"/>
                <w:color w:val="auto"/>
              </w:rPr>
            </w:pPr>
          </w:p>
        </w:tc>
        <w:tc>
          <w:tcPr>
            <w:tcW w:w="2300" w:type="dxa"/>
            <w:vAlign w:val="bottom"/>
          </w:tcPr>
          <w:p>
            <w:pPr>
              <w:jc w:val="right"/>
              <w:spacing w:after="0"/>
              <w:rPr>
                <w:sz w:val="20"/>
                <w:szCs w:val="20"/>
                <w:color w:val="auto"/>
              </w:rPr>
            </w:pPr>
            <w:r>
              <w:rPr>
                <w:rFonts w:ascii="Arial" w:cs="Arial" w:eastAsia="Arial" w:hAnsi="Arial"/>
                <w:sz w:val="18"/>
                <w:szCs w:val="18"/>
                <w:color w:val="auto"/>
              </w:rPr>
              <w:t>4</w:t>
            </w:r>
          </w:p>
        </w:tc>
      </w:tr>
      <w:tr>
        <w:trPr>
          <w:trHeight w:val="250"/>
        </w:trPr>
        <w:tc>
          <w:tcPr>
            <w:tcW w:w="14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2660" w:type="dxa"/>
            <w:vAlign w:val="bottom"/>
            <w:tcBorders>
              <w:bottom w:val="single" w:sz="8" w:color="0000EE"/>
            </w:tcBorders>
            <w:gridSpan w:val="11"/>
          </w:tcPr>
          <w:p>
            <w:pPr>
              <w:ind w:left="20"/>
              <w:spacing w:after="0"/>
              <w:rPr>
                <w:rFonts w:ascii="Arial" w:cs="Arial" w:eastAsia="Arial" w:hAnsi="Arial"/>
                <w:sz w:val="18"/>
                <w:szCs w:val="18"/>
                <w:color w:val="0000EE"/>
                <w:w w:val="90"/>
              </w:rPr>
            </w:pPr>
            <w:hyperlink w:anchor="page18">
              <w:r>
                <w:rPr>
                  <w:rFonts w:ascii="Arial" w:cs="Arial" w:eastAsia="Arial" w:hAnsi="Arial"/>
                  <w:sz w:val="18"/>
                  <w:szCs w:val="18"/>
                  <w:color w:val="0000EE"/>
                  <w:w w:val="90"/>
                </w:rPr>
                <w:t>Oversight of Strategy and Key Risks</w:t>
              </w:r>
            </w:hyperlink>
          </w:p>
        </w:tc>
        <w:tc>
          <w:tcPr>
            <w:tcW w:w="5480" w:type="dxa"/>
            <w:vAlign w:val="bottom"/>
            <w:gridSpan w:val="7"/>
          </w:tcPr>
          <w:p>
            <w:pPr>
              <w:spacing w:after="0"/>
              <w:rPr>
                <w:sz w:val="21"/>
                <w:szCs w:val="21"/>
                <w:color w:val="auto"/>
              </w:rPr>
            </w:pPr>
          </w:p>
        </w:tc>
        <w:tc>
          <w:tcPr>
            <w:tcW w:w="2300" w:type="dxa"/>
            <w:vAlign w:val="bottom"/>
          </w:tcPr>
          <w:p>
            <w:pPr>
              <w:jc w:val="right"/>
              <w:spacing w:after="0"/>
              <w:rPr>
                <w:sz w:val="20"/>
                <w:szCs w:val="20"/>
                <w:color w:val="auto"/>
              </w:rPr>
            </w:pPr>
            <w:r>
              <w:rPr>
                <w:rFonts w:ascii="Arial" w:cs="Arial" w:eastAsia="Arial" w:hAnsi="Arial"/>
                <w:sz w:val="18"/>
                <w:szCs w:val="18"/>
                <w:color w:val="auto"/>
              </w:rPr>
              <w:t>5</w:t>
            </w:r>
          </w:p>
        </w:tc>
      </w:tr>
      <w:tr>
        <w:trPr>
          <w:trHeight w:val="250"/>
        </w:trPr>
        <w:tc>
          <w:tcPr>
            <w:tcW w:w="14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1820" w:type="dxa"/>
            <w:vAlign w:val="bottom"/>
            <w:tcBorders>
              <w:bottom w:val="single" w:sz="8" w:color="0000EE"/>
            </w:tcBorders>
            <w:gridSpan w:val="4"/>
          </w:tcPr>
          <w:p>
            <w:pPr>
              <w:ind w:left="20"/>
              <w:spacing w:after="0"/>
              <w:rPr>
                <w:rFonts w:ascii="Arial" w:cs="Arial" w:eastAsia="Arial" w:hAnsi="Arial"/>
                <w:sz w:val="18"/>
                <w:szCs w:val="18"/>
                <w:color w:val="0000EE"/>
                <w:w w:val="90"/>
              </w:rPr>
            </w:pPr>
            <w:hyperlink w:anchor="page20">
              <w:r>
                <w:rPr>
                  <w:rFonts w:ascii="Arial" w:cs="Arial" w:eastAsia="Arial" w:hAnsi="Arial"/>
                  <w:sz w:val="18"/>
                  <w:szCs w:val="18"/>
                  <w:color w:val="0000EE"/>
                  <w:w w:val="90"/>
                </w:rPr>
                <w:t>Corporate Responsibility</w:t>
              </w:r>
            </w:hyperlink>
          </w:p>
        </w:tc>
        <w:tc>
          <w:tcPr>
            <w:tcW w:w="6320" w:type="dxa"/>
            <w:vAlign w:val="bottom"/>
            <w:gridSpan w:val="14"/>
          </w:tcPr>
          <w:p>
            <w:pPr>
              <w:spacing w:after="0"/>
              <w:rPr>
                <w:sz w:val="21"/>
                <w:szCs w:val="21"/>
                <w:color w:val="auto"/>
              </w:rPr>
            </w:pPr>
          </w:p>
        </w:tc>
        <w:tc>
          <w:tcPr>
            <w:tcW w:w="2300" w:type="dxa"/>
            <w:vAlign w:val="bottom"/>
          </w:tcPr>
          <w:p>
            <w:pPr>
              <w:jc w:val="right"/>
              <w:spacing w:after="0"/>
              <w:rPr>
                <w:sz w:val="20"/>
                <w:szCs w:val="20"/>
                <w:color w:val="auto"/>
              </w:rPr>
            </w:pPr>
            <w:r>
              <w:rPr>
                <w:rFonts w:ascii="Arial" w:cs="Arial" w:eastAsia="Arial" w:hAnsi="Arial"/>
                <w:sz w:val="18"/>
                <w:szCs w:val="18"/>
                <w:color w:val="auto"/>
              </w:rPr>
              <w:t>7</w:t>
            </w:r>
          </w:p>
        </w:tc>
      </w:tr>
      <w:tr>
        <w:trPr>
          <w:trHeight w:val="250"/>
        </w:trPr>
        <w:tc>
          <w:tcPr>
            <w:tcW w:w="14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1700" w:type="dxa"/>
            <w:vAlign w:val="bottom"/>
            <w:tcBorders>
              <w:bottom w:val="single" w:sz="8" w:color="0000EE"/>
            </w:tcBorders>
            <w:gridSpan w:val="3"/>
          </w:tcPr>
          <w:p>
            <w:pPr>
              <w:ind w:left="20"/>
              <w:spacing w:after="0"/>
              <w:rPr>
                <w:rFonts w:ascii="Arial" w:cs="Arial" w:eastAsia="Arial" w:hAnsi="Arial"/>
                <w:sz w:val="18"/>
                <w:szCs w:val="18"/>
                <w:color w:val="0000EE"/>
                <w:w w:val="90"/>
              </w:rPr>
            </w:pPr>
            <w:hyperlink w:anchor="page22">
              <w:r>
                <w:rPr>
                  <w:rFonts w:ascii="Arial" w:cs="Arial" w:eastAsia="Arial" w:hAnsi="Arial"/>
                  <w:sz w:val="18"/>
                  <w:szCs w:val="18"/>
                  <w:color w:val="0000EE"/>
                  <w:w w:val="90"/>
                </w:rPr>
                <w:t>Director Compensation</w:t>
              </w:r>
            </w:hyperlink>
          </w:p>
        </w:tc>
        <w:tc>
          <w:tcPr>
            <w:tcW w:w="6440" w:type="dxa"/>
            <w:vAlign w:val="bottom"/>
            <w:gridSpan w:val="15"/>
          </w:tcPr>
          <w:p>
            <w:pPr>
              <w:spacing w:after="0"/>
              <w:rPr>
                <w:sz w:val="21"/>
                <w:szCs w:val="21"/>
                <w:color w:val="auto"/>
              </w:rPr>
            </w:pPr>
          </w:p>
        </w:tc>
        <w:tc>
          <w:tcPr>
            <w:tcW w:w="2300" w:type="dxa"/>
            <w:vAlign w:val="bottom"/>
          </w:tcPr>
          <w:p>
            <w:pPr>
              <w:jc w:val="right"/>
              <w:spacing w:after="0"/>
              <w:rPr>
                <w:sz w:val="20"/>
                <w:szCs w:val="20"/>
                <w:color w:val="auto"/>
              </w:rPr>
            </w:pPr>
            <w:r>
              <w:rPr>
                <w:rFonts w:ascii="Arial" w:cs="Arial" w:eastAsia="Arial" w:hAnsi="Arial"/>
                <w:sz w:val="18"/>
                <w:szCs w:val="18"/>
                <w:color w:val="auto"/>
              </w:rPr>
              <w:t>9</w:t>
            </w:r>
          </w:p>
        </w:tc>
      </w:tr>
      <w:tr>
        <w:trPr>
          <w:trHeight w:val="250"/>
        </w:trPr>
        <w:tc>
          <w:tcPr>
            <w:tcW w:w="14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2080" w:type="dxa"/>
            <w:vAlign w:val="bottom"/>
            <w:tcBorders>
              <w:bottom w:val="single" w:sz="8" w:color="0000EE"/>
            </w:tcBorders>
            <w:gridSpan w:val="8"/>
          </w:tcPr>
          <w:p>
            <w:pPr>
              <w:ind w:left="20"/>
              <w:spacing w:after="0"/>
              <w:rPr>
                <w:rFonts w:ascii="Arial" w:cs="Arial" w:eastAsia="Arial" w:hAnsi="Arial"/>
                <w:sz w:val="18"/>
                <w:szCs w:val="18"/>
                <w:color w:val="0000EE"/>
                <w:w w:val="90"/>
              </w:rPr>
            </w:pPr>
            <w:hyperlink w:anchor="page24">
              <w:r>
                <w:rPr>
                  <w:rFonts w:ascii="Arial" w:cs="Arial" w:eastAsia="Arial" w:hAnsi="Arial"/>
                  <w:sz w:val="18"/>
                  <w:szCs w:val="18"/>
                  <w:color w:val="0000EE"/>
                  <w:w w:val="90"/>
                </w:rPr>
                <w:t>Stock Ownership Guidelines</w:t>
              </w:r>
            </w:hyperlink>
          </w:p>
        </w:tc>
        <w:tc>
          <w:tcPr>
            <w:tcW w:w="6060" w:type="dxa"/>
            <w:vAlign w:val="bottom"/>
            <w:gridSpan w:val="10"/>
          </w:tcPr>
          <w:p>
            <w:pPr>
              <w:spacing w:after="0"/>
              <w:rPr>
                <w:sz w:val="21"/>
                <w:szCs w:val="21"/>
                <w:color w:val="auto"/>
              </w:rPr>
            </w:pPr>
          </w:p>
        </w:tc>
        <w:tc>
          <w:tcPr>
            <w:tcW w:w="2300" w:type="dxa"/>
            <w:vAlign w:val="bottom"/>
          </w:tcPr>
          <w:p>
            <w:pPr>
              <w:jc w:val="right"/>
              <w:spacing w:after="0"/>
              <w:rPr>
                <w:sz w:val="20"/>
                <w:szCs w:val="20"/>
                <w:color w:val="auto"/>
              </w:rPr>
            </w:pPr>
            <w:r>
              <w:rPr>
                <w:rFonts w:ascii="Arial" w:cs="Arial" w:eastAsia="Arial" w:hAnsi="Arial"/>
                <w:sz w:val="18"/>
                <w:szCs w:val="18"/>
                <w:color w:val="auto"/>
              </w:rPr>
              <w:t>11</w:t>
            </w:r>
          </w:p>
        </w:tc>
      </w:tr>
      <w:tr>
        <w:trPr>
          <w:trHeight w:val="250"/>
        </w:trPr>
        <w:tc>
          <w:tcPr>
            <w:tcW w:w="14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2020" w:type="dxa"/>
            <w:vAlign w:val="bottom"/>
            <w:tcBorders>
              <w:bottom w:val="single" w:sz="8" w:color="0000EE"/>
            </w:tcBorders>
            <w:gridSpan w:val="6"/>
          </w:tcPr>
          <w:p>
            <w:pPr>
              <w:ind w:left="20"/>
              <w:spacing w:after="0"/>
              <w:rPr>
                <w:rFonts w:ascii="Arial" w:cs="Arial" w:eastAsia="Arial" w:hAnsi="Arial"/>
                <w:sz w:val="18"/>
                <w:szCs w:val="18"/>
                <w:color w:val="0000EE"/>
                <w:w w:val="91"/>
              </w:rPr>
            </w:pPr>
            <w:hyperlink w:anchor="page24">
              <w:r>
                <w:rPr>
                  <w:rFonts w:ascii="Arial" w:cs="Arial" w:eastAsia="Arial" w:hAnsi="Arial"/>
                  <w:sz w:val="18"/>
                  <w:szCs w:val="18"/>
                  <w:color w:val="0000EE"/>
                  <w:w w:val="91"/>
                </w:rPr>
                <w:t>Director Resignation Policy</w:t>
              </w:r>
            </w:hyperlink>
          </w:p>
        </w:tc>
        <w:tc>
          <w:tcPr>
            <w:tcW w:w="6120" w:type="dxa"/>
            <w:vAlign w:val="bottom"/>
            <w:gridSpan w:val="12"/>
          </w:tcPr>
          <w:p>
            <w:pPr>
              <w:spacing w:after="0"/>
              <w:rPr>
                <w:sz w:val="21"/>
                <w:szCs w:val="21"/>
                <w:color w:val="auto"/>
              </w:rPr>
            </w:pPr>
          </w:p>
        </w:tc>
        <w:tc>
          <w:tcPr>
            <w:tcW w:w="2300" w:type="dxa"/>
            <w:vAlign w:val="bottom"/>
          </w:tcPr>
          <w:p>
            <w:pPr>
              <w:jc w:val="right"/>
              <w:spacing w:after="0"/>
              <w:rPr>
                <w:sz w:val="20"/>
                <w:szCs w:val="20"/>
                <w:color w:val="auto"/>
              </w:rPr>
            </w:pPr>
            <w:r>
              <w:rPr>
                <w:rFonts w:ascii="Arial" w:cs="Arial" w:eastAsia="Arial" w:hAnsi="Arial"/>
                <w:sz w:val="18"/>
                <w:szCs w:val="18"/>
                <w:color w:val="auto"/>
              </w:rPr>
              <w:t>11</w:t>
            </w:r>
          </w:p>
        </w:tc>
      </w:tr>
      <w:tr>
        <w:trPr>
          <w:trHeight w:val="250"/>
        </w:trPr>
        <w:tc>
          <w:tcPr>
            <w:tcW w:w="14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8140" w:type="dxa"/>
            <w:vAlign w:val="bottom"/>
            <w:gridSpan w:val="18"/>
          </w:tcPr>
          <w:p>
            <w:pPr>
              <w:ind w:left="20"/>
              <w:spacing w:after="0"/>
              <w:rPr>
                <w:rFonts w:ascii="Arial" w:cs="Arial" w:eastAsia="Arial" w:hAnsi="Arial"/>
                <w:sz w:val="18"/>
                <w:szCs w:val="18"/>
                <w:color w:val="0000EE"/>
              </w:rPr>
            </w:pPr>
            <w:hyperlink w:anchor="page25">
              <w:r>
                <w:rPr>
                  <w:rFonts w:ascii="Arial" w:cs="Arial" w:eastAsia="Arial" w:hAnsi="Arial"/>
                  <w:sz w:val="18"/>
                  <w:szCs w:val="18"/>
                  <w:color w:val="0000EE"/>
                </w:rPr>
                <w:t>Certain Transactions with Related Persons</w:t>
              </w:r>
            </w:hyperlink>
          </w:p>
        </w:tc>
        <w:tc>
          <w:tcPr>
            <w:tcW w:w="2300" w:type="dxa"/>
            <w:vAlign w:val="bottom"/>
          </w:tcPr>
          <w:p>
            <w:pPr>
              <w:jc w:val="right"/>
              <w:spacing w:after="0"/>
              <w:rPr>
                <w:sz w:val="20"/>
                <w:szCs w:val="20"/>
                <w:color w:val="auto"/>
              </w:rPr>
            </w:pPr>
            <w:r>
              <w:rPr>
                <w:rFonts w:ascii="Arial" w:cs="Arial" w:eastAsia="Arial" w:hAnsi="Arial"/>
                <w:sz w:val="18"/>
                <w:szCs w:val="18"/>
                <w:color w:val="auto"/>
              </w:rPr>
              <w:t>12</w:t>
            </w:r>
          </w:p>
        </w:tc>
      </w:tr>
      <w:tr>
        <w:trPr>
          <w:trHeight w:val="20"/>
        </w:trPr>
        <w:tc>
          <w:tcPr>
            <w:tcW w:w="14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2060" w:type="dxa"/>
            <w:vAlign w:val="bottom"/>
            <w:gridSpan w:val="7"/>
            <w:shd w:val="clear" w:color="auto" w:fill="0000EE"/>
          </w:tcPr>
          <w:p>
            <w:pPr>
              <w:spacing w:after="0" w:line="20" w:lineRule="exact"/>
              <w:rPr>
                <w:sz w:val="1"/>
                <w:szCs w:val="1"/>
                <w:color w:val="auto"/>
              </w:rPr>
            </w:pPr>
          </w:p>
        </w:tc>
        <w:tc>
          <w:tcPr>
            <w:tcW w:w="1000" w:type="dxa"/>
            <w:vAlign w:val="bottom"/>
            <w:gridSpan w:val="6"/>
            <w:shd w:val="clear" w:color="auto" w:fill="0000EE"/>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660" w:type="dxa"/>
            <w:vAlign w:val="bottom"/>
          </w:tcPr>
          <w:p>
            <w:pPr>
              <w:spacing w:after="0" w:line="20" w:lineRule="exact"/>
              <w:rPr>
                <w:sz w:val="1"/>
                <w:szCs w:val="1"/>
                <w:color w:val="auto"/>
              </w:rPr>
            </w:pPr>
          </w:p>
        </w:tc>
        <w:tc>
          <w:tcPr>
            <w:tcW w:w="2300" w:type="dxa"/>
            <w:vAlign w:val="bottom"/>
          </w:tcPr>
          <w:p>
            <w:pPr>
              <w:spacing w:after="0" w:line="20" w:lineRule="exact"/>
              <w:rPr>
                <w:sz w:val="1"/>
                <w:szCs w:val="1"/>
                <w:color w:val="auto"/>
              </w:rPr>
            </w:pPr>
          </w:p>
        </w:tc>
      </w:tr>
      <w:tr>
        <w:trPr>
          <w:trHeight w:val="250"/>
        </w:trPr>
        <w:tc>
          <w:tcPr>
            <w:tcW w:w="14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8140" w:type="dxa"/>
            <w:vAlign w:val="bottom"/>
            <w:gridSpan w:val="18"/>
          </w:tcPr>
          <w:p>
            <w:pPr>
              <w:ind w:left="20"/>
              <w:spacing w:after="0"/>
              <w:rPr>
                <w:rFonts w:ascii="Arial" w:cs="Arial" w:eastAsia="Arial" w:hAnsi="Arial"/>
                <w:sz w:val="18"/>
                <w:szCs w:val="18"/>
                <w:color w:val="0000EE"/>
              </w:rPr>
            </w:pPr>
            <w:hyperlink w:anchor="page26">
              <w:r>
                <w:rPr>
                  <w:rFonts w:ascii="Arial" w:cs="Arial" w:eastAsia="Arial" w:hAnsi="Arial"/>
                  <w:sz w:val="18"/>
                  <w:szCs w:val="18"/>
                  <w:color w:val="0000EE"/>
                </w:rPr>
                <w:t>Compensation Committee Interlocks and Insider Participation</w:t>
              </w:r>
            </w:hyperlink>
          </w:p>
        </w:tc>
        <w:tc>
          <w:tcPr>
            <w:tcW w:w="2300" w:type="dxa"/>
            <w:vAlign w:val="bottom"/>
          </w:tcPr>
          <w:p>
            <w:pPr>
              <w:jc w:val="right"/>
              <w:spacing w:after="0"/>
              <w:rPr>
                <w:sz w:val="20"/>
                <w:szCs w:val="20"/>
                <w:color w:val="auto"/>
              </w:rPr>
            </w:pPr>
            <w:r>
              <w:rPr>
                <w:rFonts w:ascii="Arial" w:cs="Arial" w:eastAsia="Arial" w:hAnsi="Arial"/>
                <w:sz w:val="18"/>
                <w:szCs w:val="18"/>
                <w:color w:val="auto"/>
              </w:rPr>
              <w:t>13</w:t>
            </w:r>
          </w:p>
        </w:tc>
      </w:tr>
      <w:tr>
        <w:trPr>
          <w:trHeight w:val="34"/>
        </w:trPr>
        <w:tc>
          <w:tcPr>
            <w:tcW w:w="140" w:type="dxa"/>
            <w:vAlign w:val="bottom"/>
            <w:tcBorders>
              <w:bottom w:val="single" w:sz="8" w:color="407CCA"/>
            </w:tcBorders>
          </w:tcPr>
          <w:p>
            <w:pPr>
              <w:spacing w:after="0"/>
              <w:rPr>
                <w:sz w:val="2"/>
                <w:szCs w:val="2"/>
                <w:color w:val="auto"/>
              </w:rPr>
            </w:pPr>
          </w:p>
        </w:tc>
        <w:tc>
          <w:tcPr>
            <w:tcW w:w="440" w:type="dxa"/>
            <w:vAlign w:val="bottom"/>
            <w:tcBorders>
              <w:bottom w:val="single" w:sz="8" w:color="407CCA"/>
            </w:tcBorders>
          </w:tcPr>
          <w:p>
            <w:pPr>
              <w:spacing w:after="0"/>
              <w:rPr>
                <w:sz w:val="2"/>
                <w:szCs w:val="2"/>
                <w:color w:val="auto"/>
              </w:rPr>
            </w:pPr>
          </w:p>
        </w:tc>
        <w:tc>
          <w:tcPr>
            <w:tcW w:w="820" w:type="dxa"/>
            <w:vAlign w:val="bottom"/>
            <w:tcBorders>
              <w:top w:val="single" w:sz="8" w:color="0000EE"/>
              <w:bottom w:val="single" w:sz="8" w:color="407CCA"/>
            </w:tcBorders>
          </w:tcPr>
          <w:p>
            <w:pPr>
              <w:spacing w:after="0"/>
              <w:rPr>
                <w:sz w:val="2"/>
                <w:szCs w:val="2"/>
                <w:color w:val="auto"/>
              </w:rPr>
            </w:pPr>
          </w:p>
        </w:tc>
        <w:tc>
          <w:tcPr>
            <w:tcW w:w="820" w:type="dxa"/>
            <w:vAlign w:val="bottom"/>
            <w:tcBorders>
              <w:top w:val="single" w:sz="8" w:color="0000EE"/>
              <w:bottom w:val="single" w:sz="8" w:color="407CCA"/>
            </w:tcBorders>
          </w:tcPr>
          <w:p>
            <w:pPr>
              <w:spacing w:after="0"/>
              <w:rPr>
                <w:sz w:val="2"/>
                <w:szCs w:val="2"/>
                <w:color w:val="auto"/>
              </w:rPr>
            </w:pPr>
          </w:p>
        </w:tc>
        <w:tc>
          <w:tcPr>
            <w:tcW w:w="60" w:type="dxa"/>
            <w:vAlign w:val="bottom"/>
            <w:tcBorders>
              <w:top w:val="single" w:sz="8" w:color="0000EE"/>
              <w:bottom w:val="single" w:sz="8" w:color="407CCA"/>
            </w:tcBorders>
          </w:tcPr>
          <w:p>
            <w:pPr>
              <w:spacing w:after="0"/>
              <w:rPr>
                <w:sz w:val="2"/>
                <w:szCs w:val="2"/>
                <w:color w:val="auto"/>
              </w:rPr>
            </w:pPr>
          </w:p>
        </w:tc>
        <w:tc>
          <w:tcPr>
            <w:tcW w:w="120" w:type="dxa"/>
            <w:vAlign w:val="bottom"/>
            <w:tcBorders>
              <w:top w:val="single" w:sz="8" w:color="0000EE"/>
              <w:bottom w:val="single" w:sz="8" w:color="407CCA"/>
            </w:tcBorders>
          </w:tcPr>
          <w:p>
            <w:pPr>
              <w:spacing w:after="0"/>
              <w:rPr>
                <w:sz w:val="2"/>
                <w:szCs w:val="2"/>
                <w:color w:val="auto"/>
              </w:rPr>
            </w:pPr>
          </w:p>
        </w:tc>
        <w:tc>
          <w:tcPr>
            <w:tcW w:w="180" w:type="dxa"/>
            <w:vAlign w:val="bottom"/>
            <w:tcBorders>
              <w:top w:val="single" w:sz="8" w:color="0000EE"/>
              <w:bottom w:val="single" w:sz="8" w:color="407CCA"/>
            </w:tcBorders>
          </w:tcPr>
          <w:p>
            <w:pPr>
              <w:spacing w:after="0"/>
              <w:rPr>
                <w:sz w:val="2"/>
                <w:szCs w:val="2"/>
                <w:color w:val="auto"/>
              </w:rPr>
            </w:pPr>
          </w:p>
        </w:tc>
        <w:tc>
          <w:tcPr>
            <w:tcW w:w="20" w:type="dxa"/>
            <w:vAlign w:val="bottom"/>
            <w:tcBorders>
              <w:top w:val="single" w:sz="8" w:color="0000EE"/>
              <w:bottom w:val="single" w:sz="8" w:color="407CCA"/>
            </w:tcBorders>
          </w:tcPr>
          <w:p>
            <w:pPr>
              <w:spacing w:after="0"/>
              <w:rPr>
                <w:sz w:val="2"/>
                <w:szCs w:val="2"/>
                <w:color w:val="auto"/>
              </w:rPr>
            </w:pPr>
          </w:p>
        </w:tc>
        <w:tc>
          <w:tcPr>
            <w:tcW w:w="40" w:type="dxa"/>
            <w:vAlign w:val="bottom"/>
            <w:tcBorders>
              <w:top w:val="single" w:sz="8" w:color="0000EE"/>
              <w:bottom w:val="single" w:sz="8" w:color="407CCA"/>
            </w:tcBorders>
          </w:tcPr>
          <w:p>
            <w:pPr>
              <w:spacing w:after="0"/>
              <w:rPr>
                <w:sz w:val="2"/>
                <w:szCs w:val="2"/>
                <w:color w:val="auto"/>
              </w:rPr>
            </w:pPr>
          </w:p>
        </w:tc>
        <w:tc>
          <w:tcPr>
            <w:tcW w:w="20" w:type="dxa"/>
            <w:vAlign w:val="bottom"/>
            <w:tcBorders>
              <w:top w:val="single" w:sz="8" w:color="0000EE"/>
              <w:bottom w:val="single" w:sz="8" w:color="407CCA"/>
            </w:tcBorders>
          </w:tcPr>
          <w:p>
            <w:pPr>
              <w:spacing w:after="0"/>
              <w:rPr>
                <w:sz w:val="2"/>
                <w:szCs w:val="2"/>
                <w:color w:val="auto"/>
              </w:rPr>
            </w:pPr>
          </w:p>
        </w:tc>
        <w:tc>
          <w:tcPr>
            <w:tcW w:w="20" w:type="dxa"/>
            <w:vAlign w:val="bottom"/>
            <w:tcBorders>
              <w:top w:val="single" w:sz="8" w:color="0000EE"/>
              <w:bottom w:val="single" w:sz="8" w:color="407CCA"/>
            </w:tcBorders>
          </w:tcPr>
          <w:p>
            <w:pPr>
              <w:spacing w:after="0"/>
              <w:rPr>
                <w:sz w:val="2"/>
                <w:szCs w:val="2"/>
                <w:color w:val="auto"/>
              </w:rPr>
            </w:pPr>
          </w:p>
        </w:tc>
        <w:tc>
          <w:tcPr>
            <w:tcW w:w="220" w:type="dxa"/>
            <w:vAlign w:val="bottom"/>
            <w:tcBorders>
              <w:top w:val="single" w:sz="8" w:color="0000EE"/>
              <w:bottom w:val="single" w:sz="8" w:color="407CCA"/>
            </w:tcBorders>
          </w:tcPr>
          <w:p>
            <w:pPr>
              <w:spacing w:after="0"/>
              <w:rPr>
                <w:sz w:val="2"/>
                <w:szCs w:val="2"/>
                <w:color w:val="auto"/>
              </w:rPr>
            </w:pPr>
          </w:p>
        </w:tc>
        <w:tc>
          <w:tcPr>
            <w:tcW w:w="340" w:type="dxa"/>
            <w:vAlign w:val="bottom"/>
            <w:tcBorders>
              <w:top w:val="single" w:sz="8" w:color="0000EE"/>
              <w:bottom w:val="single" w:sz="8" w:color="407CCA"/>
            </w:tcBorders>
          </w:tcPr>
          <w:p>
            <w:pPr>
              <w:spacing w:after="0"/>
              <w:rPr>
                <w:sz w:val="2"/>
                <w:szCs w:val="2"/>
                <w:color w:val="auto"/>
              </w:rPr>
            </w:pPr>
          </w:p>
        </w:tc>
        <w:tc>
          <w:tcPr>
            <w:tcW w:w="80" w:type="dxa"/>
            <w:vAlign w:val="bottom"/>
            <w:tcBorders>
              <w:top w:val="single" w:sz="8" w:color="0000EE"/>
              <w:bottom w:val="single" w:sz="8" w:color="407CCA"/>
            </w:tcBorders>
          </w:tcPr>
          <w:p>
            <w:pPr>
              <w:spacing w:after="0"/>
              <w:rPr>
                <w:sz w:val="2"/>
                <w:szCs w:val="2"/>
                <w:color w:val="auto"/>
              </w:rPr>
            </w:pPr>
          </w:p>
        </w:tc>
        <w:tc>
          <w:tcPr>
            <w:tcW w:w="320" w:type="dxa"/>
            <w:vAlign w:val="bottom"/>
            <w:tcBorders>
              <w:top w:val="single" w:sz="8" w:color="0000EE"/>
              <w:bottom w:val="single" w:sz="8" w:color="407CCA"/>
            </w:tcBorders>
          </w:tcPr>
          <w:p>
            <w:pPr>
              <w:spacing w:after="0"/>
              <w:rPr>
                <w:sz w:val="2"/>
                <w:szCs w:val="2"/>
                <w:color w:val="auto"/>
              </w:rPr>
            </w:pPr>
          </w:p>
        </w:tc>
        <w:tc>
          <w:tcPr>
            <w:tcW w:w="520" w:type="dxa"/>
            <w:vAlign w:val="bottom"/>
            <w:tcBorders>
              <w:top w:val="single" w:sz="8" w:color="0000EE"/>
              <w:bottom w:val="single" w:sz="8" w:color="407CCA"/>
            </w:tcBorders>
          </w:tcPr>
          <w:p>
            <w:pPr>
              <w:spacing w:after="0"/>
              <w:rPr>
                <w:sz w:val="2"/>
                <w:szCs w:val="2"/>
                <w:color w:val="auto"/>
              </w:rPr>
            </w:pPr>
          </w:p>
        </w:tc>
        <w:tc>
          <w:tcPr>
            <w:tcW w:w="20" w:type="dxa"/>
            <w:vAlign w:val="bottom"/>
            <w:tcBorders>
              <w:top w:val="single" w:sz="8" w:color="0000EE"/>
              <w:bottom w:val="single" w:sz="8" w:color="407CCA"/>
            </w:tcBorders>
          </w:tcPr>
          <w:p>
            <w:pPr>
              <w:spacing w:after="0"/>
              <w:rPr>
                <w:sz w:val="2"/>
                <w:szCs w:val="2"/>
                <w:color w:val="auto"/>
              </w:rPr>
            </w:pPr>
          </w:p>
        </w:tc>
        <w:tc>
          <w:tcPr>
            <w:tcW w:w="680" w:type="dxa"/>
            <w:vAlign w:val="bottom"/>
            <w:tcBorders>
              <w:top w:val="single" w:sz="8" w:color="0000EE"/>
              <w:bottom w:val="single" w:sz="8" w:color="407CCA"/>
            </w:tcBorders>
          </w:tcPr>
          <w:p>
            <w:pPr>
              <w:spacing w:after="0"/>
              <w:rPr>
                <w:sz w:val="2"/>
                <w:szCs w:val="2"/>
                <w:color w:val="auto"/>
              </w:rPr>
            </w:pPr>
          </w:p>
        </w:tc>
        <w:tc>
          <w:tcPr>
            <w:tcW w:w="200" w:type="dxa"/>
            <w:vAlign w:val="bottom"/>
            <w:tcBorders>
              <w:top w:val="single" w:sz="8" w:color="0000EE"/>
              <w:bottom w:val="single" w:sz="8" w:color="407CCA"/>
            </w:tcBorders>
          </w:tcPr>
          <w:p>
            <w:pPr>
              <w:spacing w:after="0"/>
              <w:rPr>
                <w:sz w:val="2"/>
                <w:szCs w:val="2"/>
                <w:color w:val="auto"/>
              </w:rPr>
            </w:pPr>
          </w:p>
        </w:tc>
        <w:tc>
          <w:tcPr>
            <w:tcW w:w="3660" w:type="dxa"/>
            <w:vAlign w:val="bottom"/>
            <w:tcBorders>
              <w:bottom w:val="single" w:sz="8" w:color="407CCA"/>
            </w:tcBorders>
          </w:tcPr>
          <w:p>
            <w:pPr>
              <w:spacing w:after="0"/>
              <w:rPr>
                <w:sz w:val="2"/>
                <w:szCs w:val="2"/>
                <w:color w:val="auto"/>
              </w:rPr>
            </w:pPr>
          </w:p>
        </w:tc>
        <w:tc>
          <w:tcPr>
            <w:tcW w:w="2300" w:type="dxa"/>
            <w:vAlign w:val="bottom"/>
            <w:tcBorders>
              <w:bottom w:val="single" w:sz="8" w:color="407CCA"/>
            </w:tcBorders>
          </w:tcPr>
          <w:p>
            <w:pPr>
              <w:spacing w:after="0"/>
              <w:rPr>
                <w:sz w:val="2"/>
                <w:szCs w:val="2"/>
                <w:color w:val="auto"/>
              </w:rPr>
            </w:pPr>
          </w:p>
        </w:tc>
      </w:tr>
      <w:tr>
        <w:trPr>
          <w:trHeight w:val="291"/>
        </w:trPr>
        <w:tc>
          <w:tcPr>
            <w:tcW w:w="140" w:type="dxa"/>
            <w:vAlign w:val="bottom"/>
          </w:tcPr>
          <w:p>
            <w:pPr>
              <w:spacing w:after="0"/>
              <w:rPr>
                <w:sz w:val="24"/>
                <w:szCs w:val="24"/>
                <w:color w:val="auto"/>
              </w:rPr>
            </w:pPr>
          </w:p>
        </w:tc>
        <w:tc>
          <w:tcPr>
            <w:tcW w:w="2500" w:type="dxa"/>
            <w:vAlign w:val="bottom"/>
            <w:tcBorders>
              <w:bottom w:val="single" w:sz="8" w:color="0000EE"/>
            </w:tcBorders>
            <w:gridSpan w:val="8"/>
          </w:tcPr>
          <w:p>
            <w:pPr>
              <w:spacing w:after="0"/>
              <w:rPr>
                <w:rFonts w:ascii="Arial" w:cs="Arial" w:eastAsia="Arial" w:hAnsi="Arial"/>
                <w:sz w:val="18"/>
                <w:szCs w:val="18"/>
                <w:b w:val="1"/>
                <w:bCs w:val="1"/>
                <w:color w:val="0000EE"/>
                <w:w w:val="88"/>
              </w:rPr>
            </w:pPr>
            <w:hyperlink w:anchor="page27">
              <w:r>
                <w:rPr>
                  <w:rFonts w:ascii="Arial" w:cs="Arial" w:eastAsia="Arial" w:hAnsi="Arial"/>
                  <w:sz w:val="18"/>
                  <w:szCs w:val="18"/>
                  <w:b w:val="1"/>
                  <w:bCs w:val="1"/>
                  <w:color w:val="0000EE"/>
                  <w:w w:val="88"/>
                </w:rPr>
                <w:t>Proposal 1: Election of Directors</w:t>
              </w:r>
            </w:hyperlink>
          </w:p>
        </w:tc>
        <w:tc>
          <w:tcPr>
            <w:tcW w:w="6080" w:type="dxa"/>
            <w:vAlign w:val="bottom"/>
            <w:gridSpan w:val="11"/>
          </w:tcPr>
          <w:p>
            <w:pPr>
              <w:spacing w:after="0"/>
              <w:rPr>
                <w:sz w:val="24"/>
                <w:szCs w:val="24"/>
                <w:color w:val="auto"/>
              </w:rPr>
            </w:pPr>
          </w:p>
        </w:tc>
        <w:tc>
          <w:tcPr>
            <w:tcW w:w="2300" w:type="dxa"/>
            <w:vAlign w:val="bottom"/>
          </w:tcPr>
          <w:p>
            <w:pPr>
              <w:jc w:val="right"/>
              <w:spacing w:after="0"/>
              <w:rPr>
                <w:sz w:val="20"/>
                <w:szCs w:val="20"/>
                <w:color w:val="auto"/>
              </w:rPr>
            </w:pPr>
            <w:r>
              <w:rPr>
                <w:rFonts w:ascii="Arial" w:cs="Arial" w:eastAsia="Arial" w:hAnsi="Arial"/>
                <w:sz w:val="18"/>
                <w:szCs w:val="18"/>
                <w:color w:val="auto"/>
              </w:rPr>
              <w:t>14</w:t>
            </w:r>
          </w:p>
        </w:tc>
      </w:tr>
      <w:tr>
        <w:trPr>
          <w:trHeight w:val="331"/>
        </w:trPr>
        <w:tc>
          <w:tcPr>
            <w:tcW w:w="14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8140" w:type="dxa"/>
            <w:vAlign w:val="bottom"/>
            <w:gridSpan w:val="18"/>
          </w:tcPr>
          <w:p>
            <w:pPr>
              <w:ind w:left="20"/>
              <w:spacing w:after="0"/>
              <w:rPr>
                <w:rFonts w:ascii="Arial" w:cs="Arial" w:eastAsia="Arial" w:hAnsi="Arial"/>
                <w:sz w:val="18"/>
                <w:szCs w:val="18"/>
                <w:color w:val="0000EE"/>
              </w:rPr>
            </w:pPr>
            <w:hyperlink w:anchor="page27">
              <w:r>
                <w:rPr>
                  <w:rFonts w:ascii="Arial" w:cs="Arial" w:eastAsia="Arial" w:hAnsi="Arial"/>
                  <w:sz w:val="18"/>
                  <w:szCs w:val="18"/>
                  <w:color w:val="0000EE"/>
                </w:rPr>
                <w:t>Summary of our Board’s Industry and Functional Expertise</w:t>
              </w:r>
            </w:hyperlink>
          </w:p>
        </w:tc>
        <w:tc>
          <w:tcPr>
            <w:tcW w:w="2300" w:type="dxa"/>
            <w:vAlign w:val="bottom"/>
          </w:tcPr>
          <w:p>
            <w:pPr>
              <w:jc w:val="right"/>
              <w:spacing w:after="0"/>
              <w:rPr>
                <w:sz w:val="20"/>
                <w:szCs w:val="20"/>
                <w:color w:val="auto"/>
              </w:rPr>
            </w:pPr>
            <w:r>
              <w:rPr>
                <w:rFonts w:ascii="Arial" w:cs="Arial" w:eastAsia="Arial" w:hAnsi="Arial"/>
                <w:sz w:val="18"/>
                <w:szCs w:val="18"/>
                <w:color w:val="auto"/>
              </w:rPr>
              <w:t>14</w:t>
            </w:r>
          </w:p>
        </w:tc>
      </w:tr>
      <w:tr>
        <w:trPr>
          <w:trHeight w:val="250"/>
        </w:trPr>
        <w:tc>
          <w:tcPr>
            <w:tcW w:w="14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3600" w:type="dxa"/>
            <w:vAlign w:val="bottom"/>
            <w:tcBorders>
              <w:top w:val="single" w:sz="8" w:color="0000EE"/>
              <w:bottom w:val="single" w:sz="8" w:color="0000EE"/>
            </w:tcBorders>
            <w:gridSpan w:val="15"/>
          </w:tcPr>
          <w:p>
            <w:pPr>
              <w:ind w:left="20"/>
              <w:spacing w:after="0"/>
              <w:rPr>
                <w:rFonts w:ascii="Arial" w:cs="Arial" w:eastAsia="Arial" w:hAnsi="Arial"/>
                <w:sz w:val="18"/>
                <w:szCs w:val="18"/>
                <w:color w:val="0000EE"/>
                <w:w w:val="91"/>
              </w:rPr>
            </w:pPr>
            <w:hyperlink w:anchor="page28">
              <w:r>
                <w:rPr>
                  <w:rFonts w:ascii="Arial" w:cs="Arial" w:eastAsia="Arial" w:hAnsi="Arial"/>
                  <w:sz w:val="18"/>
                  <w:szCs w:val="18"/>
                  <w:color w:val="0000EE"/>
                  <w:w w:val="91"/>
                </w:rPr>
                <w:t>Director Nominee Biographies and Qualifications</w:t>
              </w:r>
            </w:hyperlink>
          </w:p>
        </w:tc>
        <w:tc>
          <w:tcPr>
            <w:tcW w:w="680" w:type="dxa"/>
            <w:vAlign w:val="bottom"/>
            <w:tcBorders>
              <w:top w:val="single" w:sz="8" w:color="0000EE"/>
            </w:tcBorders>
          </w:tcPr>
          <w:p>
            <w:pPr>
              <w:spacing w:after="0"/>
              <w:rPr>
                <w:sz w:val="21"/>
                <w:szCs w:val="21"/>
                <w:color w:val="auto"/>
              </w:rPr>
            </w:pPr>
          </w:p>
        </w:tc>
        <w:tc>
          <w:tcPr>
            <w:tcW w:w="3860" w:type="dxa"/>
            <w:vAlign w:val="bottom"/>
            <w:gridSpan w:val="2"/>
          </w:tcPr>
          <w:p>
            <w:pPr>
              <w:spacing w:after="0"/>
              <w:rPr>
                <w:sz w:val="21"/>
                <w:szCs w:val="21"/>
                <w:color w:val="auto"/>
              </w:rPr>
            </w:pPr>
          </w:p>
        </w:tc>
        <w:tc>
          <w:tcPr>
            <w:tcW w:w="2300" w:type="dxa"/>
            <w:vAlign w:val="bottom"/>
          </w:tcPr>
          <w:p>
            <w:pPr>
              <w:jc w:val="right"/>
              <w:spacing w:after="0"/>
              <w:rPr>
                <w:sz w:val="20"/>
                <w:szCs w:val="20"/>
                <w:color w:val="auto"/>
              </w:rPr>
            </w:pPr>
            <w:r>
              <w:rPr>
                <w:rFonts w:ascii="Arial" w:cs="Arial" w:eastAsia="Arial" w:hAnsi="Arial"/>
                <w:sz w:val="18"/>
                <w:szCs w:val="18"/>
                <w:color w:val="auto"/>
              </w:rPr>
              <w:t>15</w:t>
            </w:r>
          </w:p>
        </w:tc>
      </w:tr>
      <w:tr>
        <w:trPr>
          <w:trHeight w:val="250"/>
        </w:trPr>
        <w:tc>
          <w:tcPr>
            <w:tcW w:w="14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8140" w:type="dxa"/>
            <w:vAlign w:val="bottom"/>
            <w:gridSpan w:val="18"/>
          </w:tcPr>
          <w:p>
            <w:pPr>
              <w:ind w:left="20"/>
              <w:spacing w:after="0"/>
              <w:rPr>
                <w:rFonts w:ascii="Arial" w:cs="Arial" w:eastAsia="Arial" w:hAnsi="Arial"/>
                <w:sz w:val="18"/>
                <w:szCs w:val="18"/>
                <w:color w:val="0000EE"/>
              </w:rPr>
            </w:pPr>
            <w:hyperlink w:anchor="page33">
              <w:r>
                <w:rPr>
                  <w:rFonts w:ascii="Arial" w:cs="Arial" w:eastAsia="Arial" w:hAnsi="Arial"/>
                  <w:sz w:val="18"/>
                  <w:szCs w:val="18"/>
                  <w:color w:val="0000EE"/>
                </w:rPr>
                <w:t>Conclusion and Recommendation; Vote Required</w:t>
              </w:r>
            </w:hyperlink>
          </w:p>
        </w:tc>
        <w:tc>
          <w:tcPr>
            <w:tcW w:w="2300" w:type="dxa"/>
            <w:vAlign w:val="bottom"/>
          </w:tcPr>
          <w:p>
            <w:pPr>
              <w:jc w:val="right"/>
              <w:spacing w:after="0"/>
              <w:rPr>
                <w:sz w:val="20"/>
                <w:szCs w:val="20"/>
                <w:color w:val="auto"/>
              </w:rPr>
            </w:pPr>
            <w:r>
              <w:rPr>
                <w:rFonts w:ascii="Arial" w:cs="Arial" w:eastAsia="Arial" w:hAnsi="Arial"/>
                <w:sz w:val="18"/>
                <w:szCs w:val="18"/>
                <w:color w:val="auto"/>
              </w:rPr>
              <w:t>20</w:t>
            </w:r>
          </w:p>
        </w:tc>
      </w:tr>
      <w:tr>
        <w:trPr>
          <w:trHeight w:val="34"/>
        </w:trPr>
        <w:tc>
          <w:tcPr>
            <w:tcW w:w="140" w:type="dxa"/>
            <w:vAlign w:val="bottom"/>
            <w:tcBorders>
              <w:bottom w:val="single" w:sz="8" w:color="407CCA"/>
            </w:tcBorders>
          </w:tcPr>
          <w:p>
            <w:pPr>
              <w:spacing w:after="0"/>
              <w:rPr>
                <w:sz w:val="2"/>
                <w:szCs w:val="2"/>
                <w:color w:val="auto"/>
              </w:rPr>
            </w:pPr>
          </w:p>
        </w:tc>
        <w:tc>
          <w:tcPr>
            <w:tcW w:w="440" w:type="dxa"/>
            <w:vAlign w:val="bottom"/>
            <w:tcBorders>
              <w:bottom w:val="single" w:sz="8" w:color="407CCA"/>
            </w:tcBorders>
          </w:tcPr>
          <w:p>
            <w:pPr>
              <w:spacing w:after="0"/>
              <w:rPr>
                <w:sz w:val="2"/>
                <w:szCs w:val="2"/>
                <w:color w:val="auto"/>
              </w:rPr>
            </w:pPr>
          </w:p>
        </w:tc>
        <w:tc>
          <w:tcPr>
            <w:tcW w:w="820" w:type="dxa"/>
            <w:vAlign w:val="bottom"/>
            <w:tcBorders>
              <w:top w:val="single" w:sz="8" w:color="0000EE"/>
              <w:bottom w:val="single" w:sz="8" w:color="407CCA"/>
            </w:tcBorders>
          </w:tcPr>
          <w:p>
            <w:pPr>
              <w:spacing w:after="0"/>
              <w:rPr>
                <w:sz w:val="2"/>
                <w:szCs w:val="2"/>
                <w:color w:val="auto"/>
              </w:rPr>
            </w:pPr>
          </w:p>
        </w:tc>
        <w:tc>
          <w:tcPr>
            <w:tcW w:w="820" w:type="dxa"/>
            <w:vAlign w:val="bottom"/>
            <w:tcBorders>
              <w:top w:val="single" w:sz="8" w:color="0000EE"/>
              <w:bottom w:val="single" w:sz="8" w:color="407CCA"/>
            </w:tcBorders>
          </w:tcPr>
          <w:p>
            <w:pPr>
              <w:spacing w:after="0"/>
              <w:rPr>
                <w:sz w:val="2"/>
                <w:szCs w:val="2"/>
                <w:color w:val="auto"/>
              </w:rPr>
            </w:pPr>
          </w:p>
        </w:tc>
        <w:tc>
          <w:tcPr>
            <w:tcW w:w="60" w:type="dxa"/>
            <w:vAlign w:val="bottom"/>
            <w:tcBorders>
              <w:top w:val="single" w:sz="8" w:color="0000EE"/>
              <w:bottom w:val="single" w:sz="8" w:color="407CCA"/>
            </w:tcBorders>
          </w:tcPr>
          <w:p>
            <w:pPr>
              <w:spacing w:after="0"/>
              <w:rPr>
                <w:sz w:val="2"/>
                <w:szCs w:val="2"/>
                <w:color w:val="auto"/>
              </w:rPr>
            </w:pPr>
          </w:p>
        </w:tc>
        <w:tc>
          <w:tcPr>
            <w:tcW w:w="120" w:type="dxa"/>
            <w:vAlign w:val="bottom"/>
            <w:tcBorders>
              <w:top w:val="single" w:sz="8" w:color="0000EE"/>
              <w:bottom w:val="single" w:sz="8" w:color="407CCA"/>
            </w:tcBorders>
          </w:tcPr>
          <w:p>
            <w:pPr>
              <w:spacing w:after="0"/>
              <w:rPr>
                <w:sz w:val="2"/>
                <w:szCs w:val="2"/>
                <w:color w:val="auto"/>
              </w:rPr>
            </w:pPr>
          </w:p>
        </w:tc>
        <w:tc>
          <w:tcPr>
            <w:tcW w:w="180" w:type="dxa"/>
            <w:vAlign w:val="bottom"/>
            <w:tcBorders>
              <w:top w:val="single" w:sz="8" w:color="0000EE"/>
              <w:bottom w:val="single" w:sz="8" w:color="407CCA"/>
            </w:tcBorders>
          </w:tcPr>
          <w:p>
            <w:pPr>
              <w:spacing w:after="0"/>
              <w:rPr>
                <w:sz w:val="2"/>
                <w:szCs w:val="2"/>
                <w:color w:val="auto"/>
              </w:rPr>
            </w:pPr>
          </w:p>
        </w:tc>
        <w:tc>
          <w:tcPr>
            <w:tcW w:w="20" w:type="dxa"/>
            <w:vAlign w:val="bottom"/>
            <w:tcBorders>
              <w:top w:val="single" w:sz="8" w:color="0000EE"/>
              <w:bottom w:val="single" w:sz="8" w:color="407CCA"/>
            </w:tcBorders>
          </w:tcPr>
          <w:p>
            <w:pPr>
              <w:spacing w:after="0"/>
              <w:rPr>
                <w:sz w:val="2"/>
                <w:szCs w:val="2"/>
                <w:color w:val="auto"/>
              </w:rPr>
            </w:pPr>
          </w:p>
        </w:tc>
        <w:tc>
          <w:tcPr>
            <w:tcW w:w="40" w:type="dxa"/>
            <w:vAlign w:val="bottom"/>
            <w:tcBorders>
              <w:top w:val="single" w:sz="8" w:color="0000EE"/>
              <w:bottom w:val="single" w:sz="8" w:color="407CCA"/>
            </w:tcBorders>
          </w:tcPr>
          <w:p>
            <w:pPr>
              <w:spacing w:after="0"/>
              <w:rPr>
                <w:sz w:val="2"/>
                <w:szCs w:val="2"/>
                <w:color w:val="auto"/>
              </w:rPr>
            </w:pPr>
          </w:p>
        </w:tc>
        <w:tc>
          <w:tcPr>
            <w:tcW w:w="20" w:type="dxa"/>
            <w:vAlign w:val="bottom"/>
            <w:tcBorders>
              <w:top w:val="single" w:sz="8" w:color="0000EE"/>
              <w:bottom w:val="single" w:sz="8" w:color="407CCA"/>
            </w:tcBorders>
          </w:tcPr>
          <w:p>
            <w:pPr>
              <w:spacing w:after="0"/>
              <w:rPr>
                <w:sz w:val="2"/>
                <w:szCs w:val="2"/>
                <w:color w:val="auto"/>
              </w:rPr>
            </w:pPr>
          </w:p>
        </w:tc>
        <w:tc>
          <w:tcPr>
            <w:tcW w:w="20" w:type="dxa"/>
            <w:vAlign w:val="bottom"/>
            <w:tcBorders>
              <w:top w:val="single" w:sz="8" w:color="0000EE"/>
              <w:bottom w:val="single" w:sz="8" w:color="407CCA"/>
            </w:tcBorders>
          </w:tcPr>
          <w:p>
            <w:pPr>
              <w:spacing w:after="0"/>
              <w:rPr>
                <w:sz w:val="2"/>
                <w:szCs w:val="2"/>
                <w:color w:val="auto"/>
              </w:rPr>
            </w:pPr>
          </w:p>
        </w:tc>
        <w:tc>
          <w:tcPr>
            <w:tcW w:w="220" w:type="dxa"/>
            <w:vAlign w:val="bottom"/>
            <w:tcBorders>
              <w:top w:val="single" w:sz="8" w:color="0000EE"/>
              <w:bottom w:val="single" w:sz="8" w:color="407CCA"/>
            </w:tcBorders>
          </w:tcPr>
          <w:p>
            <w:pPr>
              <w:spacing w:after="0"/>
              <w:rPr>
                <w:sz w:val="2"/>
                <w:szCs w:val="2"/>
                <w:color w:val="auto"/>
              </w:rPr>
            </w:pPr>
          </w:p>
        </w:tc>
        <w:tc>
          <w:tcPr>
            <w:tcW w:w="340" w:type="dxa"/>
            <w:vAlign w:val="bottom"/>
            <w:tcBorders>
              <w:top w:val="single" w:sz="8" w:color="0000EE"/>
              <w:bottom w:val="single" w:sz="8" w:color="407CCA"/>
            </w:tcBorders>
          </w:tcPr>
          <w:p>
            <w:pPr>
              <w:spacing w:after="0"/>
              <w:rPr>
                <w:sz w:val="2"/>
                <w:szCs w:val="2"/>
                <w:color w:val="auto"/>
              </w:rPr>
            </w:pPr>
          </w:p>
        </w:tc>
        <w:tc>
          <w:tcPr>
            <w:tcW w:w="80" w:type="dxa"/>
            <w:vAlign w:val="bottom"/>
            <w:tcBorders>
              <w:top w:val="single" w:sz="8" w:color="0000EE"/>
              <w:bottom w:val="single" w:sz="8" w:color="407CCA"/>
            </w:tcBorders>
          </w:tcPr>
          <w:p>
            <w:pPr>
              <w:spacing w:after="0"/>
              <w:rPr>
                <w:sz w:val="2"/>
                <w:szCs w:val="2"/>
                <w:color w:val="auto"/>
              </w:rPr>
            </w:pPr>
          </w:p>
        </w:tc>
        <w:tc>
          <w:tcPr>
            <w:tcW w:w="320" w:type="dxa"/>
            <w:vAlign w:val="bottom"/>
            <w:tcBorders>
              <w:top w:val="single" w:sz="8" w:color="0000EE"/>
              <w:bottom w:val="single" w:sz="8" w:color="407CCA"/>
            </w:tcBorders>
          </w:tcPr>
          <w:p>
            <w:pPr>
              <w:spacing w:after="0"/>
              <w:rPr>
                <w:sz w:val="2"/>
                <w:szCs w:val="2"/>
                <w:color w:val="auto"/>
              </w:rPr>
            </w:pPr>
          </w:p>
        </w:tc>
        <w:tc>
          <w:tcPr>
            <w:tcW w:w="520" w:type="dxa"/>
            <w:vAlign w:val="bottom"/>
            <w:tcBorders>
              <w:top w:val="single" w:sz="8" w:color="0000EE"/>
              <w:bottom w:val="single" w:sz="8" w:color="407CCA"/>
            </w:tcBorders>
          </w:tcPr>
          <w:p>
            <w:pPr>
              <w:spacing w:after="0"/>
              <w:rPr>
                <w:sz w:val="2"/>
                <w:szCs w:val="2"/>
                <w:color w:val="auto"/>
              </w:rPr>
            </w:pPr>
          </w:p>
        </w:tc>
        <w:tc>
          <w:tcPr>
            <w:tcW w:w="20" w:type="dxa"/>
            <w:vAlign w:val="bottom"/>
            <w:tcBorders>
              <w:bottom w:val="single" w:sz="8" w:color="407CCA"/>
            </w:tcBorders>
          </w:tcPr>
          <w:p>
            <w:pPr>
              <w:spacing w:after="0"/>
              <w:rPr>
                <w:sz w:val="2"/>
                <w:szCs w:val="2"/>
                <w:color w:val="auto"/>
              </w:rPr>
            </w:pPr>
          </w:p>
        </w:tc>
        <w:tc>
          <w:tcPr>
            <w:tcW w:w="680" w:type="dxa"/>
            <w:vAlign w:val="bottom"/>
            <w:tcBorders>
              <w:bottom w:val="single" w:sz="8" w:color="407CCA"/>
            </w:tcBorders>
          </w:tcPr>
          <w:p>
            <w:pPr>
              <w:spacing w:after="0"/>
              <w:rPr>
                <w:sz w:val="2"/>
                <w:szCs w:val="2"/>
                <w:color w:val="auto"/>
              </w:rPr>
            </w:pPr>
          </w:p>
        </w:tc>
        <w:tc>
          <w:tcPr>
            <w:tcW w:w="200" w:type="dxa"/>
            <w:vAlign w:val="bottom"/>
            <w:tcBorders>
              <w:bottom w:val="single" w:sz="8" w:color="407CCA"/>
            </w:tcBorders>
          </w:tcPr>
          <w:p>
            <w:pPr>
              <w:spacing w:after="0"/>
              <w:rPr>
                <w:sz w:val="2"/>
                <w:szCs w:val="2"/>
                <w:color w:val="auto"/>
              </w:rPr>
            </w:pPr>
          </w:p>
        </w:tc>
        <w:tc>
          <w:tcPr>
            <w:tcW w:w="3660" w:type="dxa"/>
            <w:vAlign w:val="bottom"/>
            <w:tcBorders>
              <w:bottom w:val="single" w:sz="8" w:color="407CCA"/>
            </w:tcBorders>
          </w:tcPr>
          <w:p>
            <w:pPr>
              <w:spacing w:after="0"/>
              <w:rPr>
                <w:sz w:val="2"/>
                <w:szCs w:val="2"/>
                <w:color w:val="auto"/>
              </w:rPr>
            </w:pPr>
          </w:p>
        </w:tc>
        <w:tc>
          <w:tcPr>
            <w:tcW w:w="2300" w:type="dxa"/>
            <w:vAlign w:val="bottom"/>
            <w:tcBorders>
              <w:bottom w:val="single" w:sz="8" w:color="407CCA"/>
            </w:tcBorders>
          </w:tcPr>
          <w:p>
            <w:pPr>
              <w:spacing w:after="0"/>
              <w:rPr>
                <w:sz w:val="2"/>
                <w:szCs w:val="2"/>
                <w:color w:val="auto"/>
              </w:rPr>
            </w:pPr>
          </w:p>
        </w:tc>
      </w:tr>
    </w:tbl>
    <w:p>
      <w:pPr>
        <w:spacing w:after="0" w:line="103" w:lineRule="exact"/>
        <w:rPr>
          <w:sz w:val="20"/>
          <w:szCs w:val="20"/>
          <w:color w:val="auto"/>
        </w:rPr>
      </w:pPr>
    </w:p>
    <w:p>
      <w:pPr>
        <w:ind w:left="260"/>
        <w:spacing w:after="0"/>
        <w:rPr>
          <w:rFonts w:ascii="Arial" w:cs="Arial" w:eastAsia="Arial" w:hAnsi="Arial"/>
          <w:sz w:val="17"/>
          <w:szCs w:val="17"/>
          <w:b w:val="1"/>
          <w:bCs w:val="1"/>
          <w:u w:val="single" w:color="auto"/>
          <w:color w:val="0000EE"/>
        </w:rPr>
      </w:pPr>
      <w:hyperlink w:anchor="page34">
        <w:r>
          <w:rPr>
            <w:rFonts w:ascii="Arial" w:cs="Arial" w:eastAsia="Arial" w:hAnsi="Arial"/>
            <w:sz w:val="17"/>
            <w:szCs w:val="17"/>
            <w:b w:val="1"/>
            <w:bCs w:val="1"/>
            <w:u w:val="single" w:color="auto"/>
            <w:color w:val="0000EE"/>
          </w:rPr>
          <w:t>Proposal 2: Approval of the Amendment to Our Amended and Restated Certificate of Incorporation to Increase the Authorized Number</w:t>
        </w:r>
      </w:hyperlink>
    </w:p>
    <w:tbl>
      <w:tblPr>
        <w:tblLayout w:type="fixed"/>
        <w:tblInd w:w="120" w:type="dxa"/>
        <w:tblCellMar>
          <w:top w:w="0" w:type="dxa"/>
          <w:left w:w="0" w:type="dxa"/>
          <w:bottom w:w="0" w:type="dxa"/>
          <w:right w:w="0" w:type="dxa"/>
        </w:tblCellMar>
      </w:tblPr>
      <w:tr>
        <w:trPr>
          <w:trHeight w:val="214"/>
        </w:trPr>
        <w:tc>
          <w:tcPr>
            <w:tcW w:w="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80" w:type="dxa"/>
            <w:vAlign w:val="bottom"/>
            <w:gridSpan w:val="14"/>
          </w:tcPr>
          <w:p>
            <w:pPr>
              <w:spacing w:after="0" w:line="195" w:lineRule="exact"/>
              <w:rPr>
                <w:rFonts w:ascii="Arial" w:cs="Arial" w:eastAsia="Arial" w:hAnsi="Arial"/>
                <w:sz w:val="18"/>
                <w:szCs w:val="18"/>
                <w:b w:val="1"/>
                <w:bCs w:val="1"/>
                <w:color w:val="0000EE"/>
              </w:rPr>
            </w:pPr>
            <w:hyperlink w:anchor="page34">
              <w:r>
                <w:rPr>
                  <w:rFonts w:ascii="Arial" w:cs="Arial" w:eastAsia="Arial" w:hAnsi="Arial"/>
                  <w:sz w:val="18"/>
                  <w:szCs w:val="18"/>
                  <w:b w:val="1"/>
                  <w:bCs w:val="1"/>
                  <w:color w:val="0000EE"/>
                </w:rPr>
                <w:t>of Shares of Common Stock</w:t>
              </w:r>
            </w:hyperlink>
          </w:p>
        </w:tc>
        <w:tc>
          <w:tcPr>
            <w:tcW w:w="2680" w:type="dxa"/>
            <w:vAlign w:val="bottom"/>
          </w:tcPr>
          <w:p>
            <w:pPr>
              <w:jc w:val="right"/>
              <w:spacing w:after="0" w:line="195" w:lineRule="exact"/>
              <w:rPr>
                <w:sz w:val="20"/>
                <w:szCs w:val="20"/>
                <w:color w:val="auto"/>
              </w:rPr>
            </w:pPr>
            <w:r>
              <w:rPr>
                <w:rFonts w:ascii="Arial" w:cs="Arial" w:eastAsia="Arial" w:hAnsi="Arial"/>
                <w:sz w:val="18"/>
                <w:szCs w:val="18"/>
                <w:color w:val="auto"/>
              </w:rPr>
              <w:t>21</w:t>
            </w:r>
          </w:p>
        </w:tc>
      </w:tr>
      <w:tr>
        <w:trPr>
          <w:trHeight w:val="331"/>
        </w:trPr>
        <w:tc>
          <w:tcPr>
            <w:tcW w:w="1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320" w:type="dxa"/>
            <w:vAlign w:val="bottom"/>
            <w:tcBorders>
              <w:top w:val="single" w:sz="8" w:color="0000EE"/>
            </w:tcBorders>
          </w:tcPr>
          <w:p>
            <w:pPr>
              <w:spacing w:after="0"/>
              <w:rPr>
                <w:sz w:val="24"/>
                <w:szCs w:val="24"/>
                <w:color w:val="auto"/>
              </w:rPr>
            </w:pPr>
          </w:p>
        </w:tc>
        <w:tc>
          <w:tcPr>
            <w:tcW w:w="1820" w:type="dxa"/>
            <w:vAlign w:val="bottom"/>
            <w:tcBorders>
              <w:top w:val="single" w:sz="8" w:color="0000EE"/>
            </w:tcBorders>
            <w:gridSpan w:val="5"/>
          </w:tcPr>
          <w:p>
            <w:pPr>
              <w:ind w:left="20"/>
              <w:spacing w:after="0"/>
              <w:rPr>
                <w:rFonts w:ascii="Arial" w:cs="Arial" w:eastAsia="Arial" w:hAnsi="Arial"/>
                <w:sz w:val="18"/>
                <w:szCs w:val="18"/>
                <w:color w:val="0000EE"/>
              </w:rPr>
            </w:pPr>
            <w:hyperlink w:anchor="page34">
              <w:r>
                <w:rPr>
                  <w:rFonts w:ascii="Arial" w:cs="Arial" w:eastAsia="Arial" w:hAnsi="Arial"/>
                  <w:sz w:val="18"/>
                  <w:szCs w:val="18"/>
                  <w:color w:val="0000EE"/>
                </w:rPr>
                <w:t>General Information</w:t>
              </w:r>
            </w:hyperlink>
          </w:p>
        </w:tc>
        <w:tc>
          <w:tcPr>
            <w:tcW w:w="5940" w:type="dxa"/>
            <w:vAlign w:val="bottom"/>
            <w:gridSpan w:val="8"/>
          </w:tcPr>
          <w:p>
            <w:pPr>
              <w:spacing w:after="0"/>
              <w:rPr>
                <w:sz w:val="24"/>
                <w:szCs w:val="24"/>
                <w:color w:val="auto"/>
              </w:rPr>
            </w:pPr>
          </w:p>
        </w:tc>
        <w:tc>
          <w:tcPr>
            <w:tcW w:w="2680" w:type="dxa"/>
            <w:vAlign w:val="bottom"/>
          </w:tcPr>
          <w:p>
            <w:pPr>
              <w:jc w:val="right"/>
              <w:spacing w:after="0"/>
              <w:rPr>
                <w:sz w:val="20"/>
                <w:szCs w:val="20"/>
                <w:color w:val="auto"/>
              </w:rPr>
            </w:pPr>
            <w:r>
              <w:rPr>
                <w:rFonts w:ascii="Arial" w:cs="Arial" w:eastAsia="Arial" w:hAnsi="Arial"/>
                <w:sz w:val="18"/>
                <w:szCs w:val="18"/>
                <w:color w:val="auto"/>
              </w:rPr>
              <w:t>21</w:t>
            </w:r>
          </w:p>
        </w:tc>
      </w:tr>
      <w:tr>
        <w:trPr>
          <w:trHeight w:val="20"/>
        </w:trPr>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960" w:type="dxa"/>
            <w:vAlign w:val="bottom"/>
            <w:shd w:val="clear" w:color="auto" w:fill="0000EE"/>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340" w:type="dxa"/>
            <w:vAlign w:val="bottom"/>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2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1100" w:type="dxa"/>
            <w:vAlign w:val="bottom"/>
          </w:tcPr>
          <w:p>
            <w:pPr>
              <w:spacing w:after="0" w:line="20" w:lineRule="exact"/>
              <w:rPr>
                <w:sz w:val="1"/>
                <w:szCs w:val="1"/>
                <w:color w:val="auto"/>
              </w:rPr>
            </w:pPr>
          </w:p>
        </w:tc>
        <w:tc>
          <w:tcPr>
            <w:tcW w:w="2440" w:type="dxa"/>
            <w:vAlign w:val="bottom"/>
          </w:tcPr>
          <w:p>
            <w:pPr>
              <w:spacing w:after="0" w:line="20" w:lineRule="exact"/>
              <w:rPr>
                <w:sz w:val="1"/>
                <w:szCs w:val="1"/>
                <w:color w:val="auto"/>
              </w:rPr>
            </w:pPr>
          </w:p>
        </w:tc>
        <w:tc>
          <w:tcPr>
            <w:tcW w:w="2680" w:type="dxa"/>
            <w:vAlign w:val="bottom"/>
          </w:tcPr>
          <w:p>
            <w:pPr>
              <w:spacing w:after="0" w:line="20" w:lineRule="exact"/>
              <w:rPr>
                <w:sz w:val="1"/>
                <w:szCs w:val="1"/>
                <w:color w:val="auto"/>
              </w:rPr>
            </w:pPr>
          </w:p>
        </w:tc>
      </w:tr>
      <w:tr>
        <w:trPr>
          <w:trHeight w:val="250"/>
        </w:trPr>
        <w:tc>
          <w:tcPr>
            <w:tcW w:w="14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320" w:type="dxa"/>
            <w:vAlign w:val="bottom"/>
          </w:tcPr>
          <w:p>
            <w:pPr>
              <w:spacing w:after="0"/>
              <w:rPr>
                <w:sz w:val="21"/>
                <w:szCs w:val="21"/>
                <w:color w:val="auto"/>
              </w:rPr>
            </w:pPr>
          </w:p>
        </w:tc>
        <w:tc>
          <w:tcPr>
            <w:tcW w:w="7760" w:type="dxa"/>
            <w:vAlign w:val="bottom"/>
            <w:gridSpan w:val="13"/>
          </w:tcPr>
          <w:p>
            <w:pPr>
              <w:ind w:left="20"/>
              <w:spacing w:after="0"/>
              <w:rPr>
                <w:rFonts w:ascii="Arial" w:cs="Arial" w:eastAsia="Arial" w:hAnsi="Arial"/>
                <w:sz w:val="18"/>
                <w:szCs w:val="18"/>
                <w:color w:val="0000EE"/>
              </w:rPr>
            </w:pPr>
            <w:hyperlink w:anchor="page34">
              <w:r>
                <w:rPr>
                  <w:rFonts w:ascii="Arial" w:cs="Arial" w:eastAsia="Arial" w:hAnsi="Arial"/>
                  <w:sz w:val="18"/>
                  <w:szCs w:val="18"/>
                  <w:color w:val="0000EE"/>
                </w:rPr>
                <w:t>Background and Rationale</w:t>
              </w:r>
            </w:hyperlink>
          </w:p>
        </w:tc>
        <w:tc>
          <w:tcPr>
            <w:tcW w:w="2680" w:type="dxa"/>
            <w:vAlign w:val="bottom"/>
          </w:tcPr>
          <w:p>
            <w:pPr>
              <w:jc w:val="right"/>
              <w:spacing w:after="0"/>
              <w:rPr>
                <w:sz w:val="20"/>
                <w:szCs w:val="20"/>
                <w:color w:val="auto"/>
              </w:rPr>
            </w:pPr>
            <w:r>
              <w:rPr>
                <w:rFonts w:ascii="Arial" w:cs="Arial" w:eastAsia="Arial" w:hAnsi="Arial"/>
                <w:sz w:val="18"/>
                <w:szCs w:val="18"/>
                <w:color w:val="auto"/>
              </w:rPr>
              <w:t>21</w:t>
            </w:r>
          </w:p>
        </w:tc>
      </w:tr>
      <w:tr>
        <w:trPr>
          <w:trHeight w:val="250"/>
        </w:trPr>
        <w:tc>
          <w:tcPr>
            <w:tcW w:w="14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320" w:type="dxa"/>
            <w:vAlign w:val="bottom"/>
          </w:tcPr>
          <w:p>
            <w:pPr>
              <w:spacing w:after="0"/>
              <w:rPr>
                <w:sz w:val="21"/>
                <w:szCs w:val="21"/>
                <w:color w:val="auto"/>
              </w:rPr>
            </w:pPr>
          </w:p>
        </w:tc>
        <w:tc>
          <w:tcPr>
            <w:tcW w:w="1140" w:type="dxa"/>
            <w:vAlign w:val="bottom"/>
            <w:tcBorders>
              <w:top w:val="single" w:sz="8" w:color="0000EE"/>
              <w:bottom w:val="single" w:sz="8" w:color="0000EE"/>
            </w:tcBorders>
            <w:gridSpan w:val="2"/>
          </w:tcPr>
          <w:p>
            <w:pPr>
              <w:ind w:left="20"/>
              <w:spacing w:after="0"/>
              <w:rPr>
                <w:rFonts w:ascii="Arial" w:cs="Arial" w:eastAsia="Arial" w:hAnsi="Arial"/>
                <w:sz w:val="18"/>
                <w:szCs w:val="18"/>
                <w:color w:val="0000EE"/>
                <w:w w:val="90"/>
              </w:rPr>
            </w:pPr>
            <w:hyperlink w:anchor="page35">
              <w:r>
                <w:rPr>
                  <w:rFonts w:ascii="Arial" w:cs="Arial" w:eastAsia="Arial" w:hAnsi="Arial"/>
                  <w:sz w:val="18"/>
                  <w:szCs w:val="18"/>
                  <w:color w:val="0000EE"/>
                  <w:w w:val="90"/>
                </w:rPr>
                <w:t>Potential Effect</w:t>
              </w:r>
            </w:hyperlink>
          </w:p>
        </w:tc>
        <w:tc>
          <w:tcPr>
            <w:tcW w:w="780" w:type="dxa"/>
            <w:vAlign w:val="bottom"/>
            <w:tcBorders>
              <w:top w:val="single" w:sz="8" w:color="0000EE"/>
            </w:tcBorders>
            <w:gridSpan w:val="4"/>
          </w:tcPr>
          <w:p>
            <w:pPr>
              <w:spacing w:after="0"/>
              <w:rPr>
                <w:sz w:val="21"/>
                <w:szCs w:val="21"/>
                <w:color w:val="auto"/>
              </w:rPr>
            </w:pPr>
          </w:p>
        </w:tc>
        <w:tc>
          <w:tcPr>
            <w:tcW w:w="5840" w:type="dxa"/>
            <w:vAlign w:val="bottom"/>
            <w:gridSpan w:val="7"/>
          </w:tcPr>
          <w:p>
            <w:pPr>
              <w:spacing w:after="0"/>
              <w:rPr>
                <w:sz w:val="21"/>
                <w:szCs w:val="21"/>
                <w:color w:val="auto"/>
              </w:rPr>
            </w:pPr>
          </w:p>
        </w:tc>
        <w:tc>
          <w:tcPr>
            <w:tcW w:w="2680" w:type="dxa"/>
            <w:vAlign w:val="bottom"/>
          </w:tcPr>
          <w:p>
            <w:pPr>
              <w:jc w:val="right"/>
              <w:spacing w:after="0"/>
              <w:rPr>
                <w:sz w:val="20"/>
                <w:szCs w:val="20"/>
                <w:color w:val="auto"/>
              </w:rPr>
            </w:pPr>
            <w:r>
              <w:rPr>
                <w:rFonts w:ascii="Arial" w:cs="Arial" w:eastAsia="Arial" w:hAnsi="Arial"/>
                <w:sz w:val="18"/>
                <w:szCs w:val="18"/>
                <w:color w:val="auto"/>
              </w:rPr>
              <w:t>22</w:t>
            </w:r>
          </w:p>
        </w:tc>
      </w:tr>
      <w:tr>
        <w:trPr>
          <w:trHeight w:val="250"/>
        </w:trPr>
        <w:tc>
          <w:tcPr>
            <w:tcW w:w="14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320" w:type="dxa"/>
            <w:vAlign w:val="bottom"/>
          </w:tcPr>
          <w:p>
            <w:pPr>
              <w:spacing w:after="0"/>
              <w:rPr>
                <w:sz w:val="21"/>
                <w:szCs w:val="21"/>
                <w:color w:val="auto"/>
              </w:rPr>
            </w:pPr>
          </w:p>
        </w:tc>
        <w:tc>
          <w:tcPr>
            <w:tcW w:w="7760" w:type="dxa"/>
            <w:vAlign w:val="bottom"/>
            <w:gridSpan w:val="13"/>
          </w:tcPr>
          <w:p>
            <w:pPr>
              <w:ind w:left="20"/>
              <w:spacing w:after="0"/>
              <w:rPr>
                <w:rFonts w:ascii="Arial" w:cs="Arial" w:eastAsia="Arial" w:hAnsi="Arial"/>
                <w:sz w:val="18"/>
                <w:szCs w:val="18"/>
                <w:color w:val="0000EE"/>
              </w:rPr>
            </w:pPr>
            <w:hyperlink w:anchor="page36">
              <w:r>
                <w:rPr>
                  <w:rFonts w:ascii="Arial" w:cs="Arial" w:eastAsia="Arial" w:hAnsi="Arial"/>
                  <w:sz w:val="18"/>
                  <w:szCs w:val="18"/>
                  <w:color w:val="0000EE"/>
                </w:rPr>
                <w:t>Conclusion and Recommendation; Vote Required</w:t>
              </w:r>
            </w:hyperlink>
          </w:p>
        </w:tc>
        <w:tc>
          <w:tcPr>
            <w:tcW w:w="2680" w:type="dxa"/>
            <w:vAlign w:val="bottom"/>
          </w:tcPr>
          <w:p>
            <w:pPr>
              <w:jc w:val="right"/>
              <w:spacing w:after="0"/>
              <w:rPr>
                <w:sz w:val="20"/>
                <w:szCs w:val="20"/>
                <w:color w:val="auto"/>
              </w:rPr>
            </w:pPr>
            <w:r>
              <w:rPr>
                <w:rFonts w:ascii="Arial" w:cs="Arial" w:eastAsia="Arial" w:hAnsi="Arial"/>
                <w:sz w:val="18"/>
                <w:szCs w:val="18"/>
                <w:color w:val="auto"/>
              </w:rPr>
              <w:t>23</w:t>
            </w:r>
          </w:p>
        </w:tc>
      </w:tr>
      <w:tr>
        <w:trPr>
          <w:trHeight w:val="34"/>
        </w:trPr>
        <w:tc>
          <w:tcPr>
            <w:tcW w:w="140" w:type="dxa"/>
            <w:vAlign w:val="bottom"/>
            <w:tcBorders>
              <w:bottom w:val="single" w:sz="8" w:color="407CCA"/>
            </w:tcBorders>
          </w:tcPr>
          <w:p>
            <w:pPr>
              <w:spacing w:after="0"/>
              <w:rPr>
                <w:sz w:val="2"/>
                <w:szCs w:val="2"/>
                <w:color w:val="auto"/>
              </w:rPr>
            </w:pPr>
          </w:p>
        </w:tc>
        <w:tc>
          <w:tcPr>
            <w:tcW w:w="120" w:type="dxa"/>
            <w:vAlign w:val="bottom"/>
            <w:tcBorders>
              <w:bottom w:val="single" w:sz="8" w:color="407CCA"/>
            </w:tcBorders>
          </w:tcPr>
          <w:p>
            <w:pPr>
              <w:spacing w:after="0"/>
              <w:rPr>
                <w:sz w:val="2"/>
                <w:szCs w:val="2"/>
                <w:color w:val="auto"/>
              </w:rPr>
            </w:pPr>
          </w:p>
        </w:tc>
        <w:tc>
          <w:tcPr>
            <w:tcW w:w="320" w:type="dxa"/>
            <w:vAlign w:val="bottom"/>
            <w:tcBorders>
              <w:bottom w:val="single" w:sz="8" w:color="407CCA"/>
            </w:tcBorders>
          </w:tcPr>
          <w:p>
            <w:pPr>
              <w:spacing w:after="0"/>
              <w:rPr>
                <w:sz w:val="2"/>
                <w:szCs w:val="2"/>
                <w:color w:val="auto"/>
              </w:rPr>
            </w:pPr>
          </w:p>
        </w:tc>
        <w:tc>
          <w:tcPr>
            <w:tcW w:w="960" w:type="dxa"/>
            <w:vAlign w:val="bottom"/>
            <w:tcBorders>
              <w:top w:val="single" w:sz="8" w:color="0000EE"/>
              <w:bottom w:val="single" w:sz="8" w:color="407CCA"/>
            </w:tcBorders>
          </w:tcPr>
          <w:p>
            <w:pPr>
              <w:spacing w:after="0"/>
              <w:rPr>
                <w:sz w:val="2"/>
                <w:szCs w:val="2"/>
                <w:color w:val="auto"/>
              </w:rPr>
            </w:pPr>
          </w:p>
        </w:tc>
        <w:tc>
          <w:tcPr>
            <w:tcW w:w="180" w:type="dxa"/>
            <w:vAlign w:val="bottom"/>
            <w:tcBorders>
              <w:top w:val="single" w:sz="8" w:color="0000EE"/>
              <w:bottom w:val="single" w:sz="8" w:color="407CCA"/>
            </w:tcBorders>
          </w:tcPr>
          <w:p>
            <w:pPr>
              <w:spacing w:after="0"/>
              <w:rPr>
                <w:sz w:val="2"/>
                <w:szCs w:val="2"/>
                <w:color w:val="auto"/>
              </w:rPr>
            </w:pPr>
          </w:p>
        </w:tc>
        <w:tc>
          <w:tcPr>
            <w:tcW w:w="340" w:type="dxa"/>
            <w:vAlign w:val="bottom"/>
            <w:tcBorders>
              <w:top w:val="single" w:sz="8" w:color="0000EE"/>
              <w:bottom w:val="single" w:sz="8" w:color="407CCA"/>
            </w:tcBorders>
          </w:tcPr>
          <w:p>
            <w:pPr>
              <w:spacing w:after="0"/>
              <w:rPr>
                <w:sz w:val="2"/>
                <w:szCs w:val="2"/>
                <w:color w:val="auto"/>
              </w:rPr>
            </w:pPr>
          </w:p>
        </w:tc>
        <w:tc>
          <w:tcPr>
            <w:tcW w:w="20" w:type="dxa"/>
            <w:vAlign w:val="bottom"/>
            <w:tcBorders>
              <w:top w:val="single" w:sz="8" w:color="0000EE"/>
              <w:bottom w:val="single" w:sz="8" w:color="407CCA"/>
            </w:tcBorders>
          </w:tcPr>
          <w:p>
            <w:pPr>
              <w:spacing w:after="0"/>
              <w:rPr>
                <w:sz w:val="2"/>
                <w:szCs w:val="2"/>
                <w:color w:val="auto"/>
              </w:rPr>
            </w:pPr>
          </w:p>
        </w:tc>
        <w:tc>
          <w:tcPr>
            <w:tcW w:w="320" w:type="dxa"/>
            <w:vAlign w:val="bottom"/>
            <w:tcBorders>
              <w:top w:val="single" w:sz="8" w:color="0000EE"/>
              <w:bottom w:val="single" w:sz="8" w:color="407CCA"/>
            </w:tcBorders>
          </w:tcPr>
          <w:p>
            <w:pPr>
              <w:spacing w:after="0"/>
              <w:rPr>
                <w:sz w:val="2"/>
                <w:szCs w:val="2"/>
                <w:color w:val="auto"/>
              </w:rPr>
            </w:pPr>
          </w:p>
        </w:tc>
        <w:tc>
          <w:tcPr>
            <w:tcW w:w="100" w:type="dxa"/>
            <w:vAlign w:val="bottom"/>
            <w:tcBorders>
              <w:top w:val="single" w:sz="8" w:color="0000EE"/>
              <w:bottom w:val="single" w:sz="8" w:color="407CCA"/>
            </w:tcBorders>
          </w:tcPr>
          <w:p>
            <w:pPr>
              <w:spacing w:after="0"/>
              <w:rPr>
                <w:sz w:val="2"/>
                <w:szCs w:val="2"/>
                <w:color w:val="auto"/>
              </w:rPr>
            </w:pPr>
          </w:p>
        </w:tc>
        <w:tc>
          <w:tcPr>
            <w:tcW w:w="20" w:type="dxa"/>
            <w:vAlign w:val="bottom"/>
            <w:tcBorders>
              <w:top w:val="single" w:sz="8" w:color="0000EE"/>
              <w:bottom w:val="single" w:sz="8" w:color="407CCA"/>
            </w:tcBorders>
          </w:tcPr>
          <w:p>
            <w:pPr>
              <w:spacing w:after="0"/>
              <w:rPr>
                <w:sz w:val="2"/>
                <w:szCs w:val="2"/>
                <w:color w:val="auto"/>
              </w:rPr>
            </w:pPr>
          </w:p>
        </w:tc>
        <w:tc>
          <w:tcPr>
            <w:tcW w:w="260" w:type="dxa"/>
            <w:vAlign w:val="bottom"/>
            <w:tcBorders>
              <w:top w:val="single" w:sz="8" w:color="0000EE"/>
              <w:bottom w:val="single" w:sz="8" w:color="407CCA"/>
            </w:tcBorders>
          </w:tcPr>
          <w:p>
            <w:pPr>
              <w:spacing w:after="0"/>
              <w:rPr>
                <w:sz w:val="2"/>
                <w:szCs w:val="2"/>
                <w:color w:val="auto"/>
              </w:rPr>
            </w:pPr>
          </w:p>
        </w:tc>
        <w:tc>
          <w:tcPr>
            <w:tcW w:w="580" w:type="dxa"/>
            <w:vAlign w:val="bottom"/>
            <w:tcBorders>
              <w:top w:val="single" w:sz="8" w:color="0000EE"/>
              <w:bottom w:val="single" w:sz="8" w:color="407CCA"/>
            </w:tcBorders>
          </w:tcPr>
          <w:p>
            <w:pPr>
              <w:spacing w:after="0"/>
              <w:rPr>
                <w:sz w:val="2"/>
                <w:szCs w:val="2"/>
                <w:color w:val="auto"/>
              </w:rPr>
            </w:pPr>
          </w:p>
        </w:tc>
        <w:tc>
          <w:tcPr>
            <w:tcW w:w="800" w:type="dxa"/>
            <w:vAlign w:val="bottom"/>
            <w:tcBorders>
              <w:top w:val="single" w:sz="8" w:color="0000EE"/>
              <w:bottom w:val="single" w:sz="8" w:color="407CCA"/>
            </w:tcBorders>
          </w:tcPr>
          <w:p>
            <w:pPr>
              <w:spacing w:after="0"/>
              <w:rPr>
                <w:sz w:val="2"/>
                <w:szCs w:val="2"/>
                <w:color w:val="auto"/>
              </w:rPr>
            </w:pPr>
          </w:p>
        </w:tc>
        <w:tc>
          <w:tcPr>
            <w:tcW w:w="640" w:type="dxa"/>
            <w:vAlign w:val="bottom"/>
            <w:tcBorders>
              <w:bottom w:val="single" w:sz="8" w:color="407CCA"/>
            </w:tcBorders>
          </w:tcPr>
          <w:p>
            <w:pPr>
              <w:spacing w:after="0"/>
              <w:rPr>
                <w:sz w:val="2"/>
                <w:szCs w:val="2"/>
                <w:color w:val="auto"/>
              </w:rPr>
            </w:pPr>
          </w:p>
        </w:tc>
        <w:tc>
          <w:tcPr>
            <w:tcW w:w="1100" w:type="dxa"/>
            <w:vAlign w:val="bottom"/>
            <w:tcBorders>
              <w:bottom w:val="single" w:sz="8" w:color="407CCA"/>
            </w:tcBorders>
          </w:tcPr>
          <w:p>
            <w:pPr>
              <w:spacing w:after="0"/>
              <w:rPr>
                <w:sz w:val="2"/>
                <w:szCs w:val="2"/>
                <w:color w:val="auto"/>
              </w:rPr>
            </w:pPr>
          </w:p>
        </w:tc>
        <w:tc>
          <w:tcPr>
            <w:tcW w:w="2440" w:type="dxa"/>
            <w:vAlign w:val="bottom"/>
            <w:tcBorders>
              <w:bottom w:val="single" w:sz="8" w:color="407CCA"/>
            </w:tcBorders>
          </w:tcPr>
          <w:p>
            <w:pPr>
              <w:spacing w:after="0"/>
              <w:rPr>
                <w:sz w:val="2"/>
                <w:szCs w:val="2"/>
                <w:color w:val="auto"/>
              </w:rPr>
            </w:pPr>
          </w:p>
        </w:tc>
        <w:tc>
          <w:tcPr>
            <w:tcW w:w="2680" w:type="dxa"/>
            <w:vAlign w:val="bottom"/>
            <w:tcBorders>
              <w:bottom w:val="single" w:sz="8" w:color="407CCA"/>
            </w:tcBorders>
          </w:tcPr>
          <w:p>
            <w:pPr>
              <w:spacing w:after="0"/>
              <w:rPr>
                <w:sz w:val="2"/>
                <w:szCs w:val="2"/>
                <w:color w:val="auto"/>
              </w:rPr>
            </w:pPr>
          </w:p>
        </w:tc>
      </w:tr>
      <w:tr>
        <w:trPr>
          <w:trHeight w:val="290"/>
        </w:trPr>
        <w:tc>
          <w:tcPr>
            <w:tcW w:w="140" w:type="dxa"/>
            <w:vAlign w:val="bottom"/>
          </w:tcPr>
          <w:p>
            <w:pPr>
              <w:spacing w:after="0"/>
              <w:rPr>
                <w:sz w:val="24"/>
                <w:szCs w:val="24"/>
                <w:color w:val="auto"/>
              </w:rPr>
            </w:pPr>
          </w:p>
        </w:tc>
        <w:tc>
          <w:tcPr>
            <w:tcW w:w="4660" w:type="dxa"/>
            <w:vAlign w:val="bottom"/>
            <w:tcBorders>
              <w:bottom w:val="single" w:sz="8" w:color="0000EE"/>
            </w:tcBorders>
            <w:gridSpan w:val="13"/>
          </w:tcPr>
          <w:p>
            <w:pPr>
              <w:spacing w:after="0"/>
              <w:rPr>
                <w:rFonts w:ascii="Arial" w:cs="Arial" w:eastAsia="Arial" w:hAnsi="Arial"/>
                <w:sz w:val="18"/>
                <w:szCs w:val="18"/>
                <w:b w:val="1"/>
                <w:bCs w:val="1"/>
                <w:color w:val="0000EE"/>
                <w:w w:val="88"/>
              </w:rPr>
            </w:pPr>
            <w:hyperlink w:anchor="page37">
              <w:r>
                <w:rPr>
                  <w:rFonts w:ascii="Arial" w:cs="Arial" w:eastAsia="Arial" w:hAnsi="Arial"/>
                  <w:sz w:val="18"/>
                  <w:szCs w:val="18"/>
                  <w:b w:val="1"/>
                  <w:bCs w:val="1"/>
                  <w:color w:val="0000EE"/>
                  <w:w w:val="88"/>
                </w:rPr>
                <w:t>Proposal 3: Advisory Resolution on Executive Compensation</w:t>
              </w:r>
            </w:hyperlink>
          </w:p>
        </w:tc>
        <w:tc>
          <w:tcPr>
            <w:tcW w:w="3540" w:type="dxa"/>
            <w:vAlign w:val="bottom"/>
            <w:gridSpan w:val="2"/>
          </w:tcPr>
          <w:p>
            <w:pPr>
              <w:spacing w:after="0"/>
              <w:rPr>
                <w:sz w:val="24"/>
                <w:szCs w:val="24"/>
                <w:color w:val="auto"/>
              </w:rPr>
            </w:pPr>
          </w:p>
        </w:tc>
        <w:tc>
          <w:tcPr>
            <w:tcW w:w="2680" w:type="dxa"/>
            <w:vAlign w:val="bottom"/>
          </w:tcPr>
          <w:p>
            <w:pPr>
              <w:jc w:val="right"/>
              <w:spacing w:after="0"/>
              <w:rPr>
                <w:sz w:val="20"/>
                <w:szCs w:val="20"/>
                <w:color w:val="auto"/>
              </w:rPr>
            </w:pPr>
            <w:r>
              <w:rPr>
                <w:rFonts w:ascii="Arial" w:cs="Arial" w:eastAsia="Arial" w:hAnsi="Arial"/>
                <w:sz w:val="18"/>
                <w:szCs w:val="18"/>
                <w:color w:val="auto"/>
              </w:rPr>
              <w:t>24</w:t>
            </w:r>
          </w:p>
        </w:tc>
      </w:tr>
      <w:tr>
        <w:trPr>
          <w:trHeight w:val="331"/>
        </w:trPr>
        <w:tc>
          <w:tcPr>
            <w:tcW w:w="1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7760" w:type="dxa"/>
            <w:vAlign w:val="bottom"/>
            <w:gridSpan w:val="13"/>
          </w:tcPr>
          <w:p>
            <w:pPr>
              <w:ind w:left="20"/>
              <w:spacing w:after="0"/>
              <w:rPr>
                <w:rFonts w:ascii="Arial" w:cs="Arial" w:eastAsia="Arial" w:hAnsi="Arial"/>
                <w:sz w:val="18"/>
                <w:szCs w:val="18"/>
                <w:color w:val="0000EE"/>
              </w:rPr>
            </w:pPr>
            <w:hyperlink w:anchor="page37">
              <w:r>
                <w:rPr>
                  <w:rFonts w:ascii="Arial" w:cs="Arial" w:eastAsia="Arial" w:hAnsi="Arial"/>
                  <w:sz w:val="18"/>
                  <w:szCs w:val="18"/>
                  <w:color w:val="0000EE"/>
                </w:rPr>
                <w:t>General Information</w:t>
              </w:r>
            </w:hyperlink>
          </w:p>
        </w:tc>
        <w:tc>
          <w:tcPr>
            <w:tcW w:w="2680" w:type="dxa"/>
            <w:vAlign w:val="bottom"/>
          </w:tcPr>
          <w:p>
            <w:pPr>
              <w:jc w:val="right"/>
              <w:spacing w:after="0"/>
              <w:rPr>
                <w:sz w:val="20"/>
                <w:szCs w:val="20"/>
                <w:color w:val="auto"/>
              </w:rPr>
            </w:pPr>
            <w:r>
              <w:rPr>
                <w:rFonts w:ascii="Arial" w:cs="Arial" w:eastAsia="Arial" w:hAnsi="Arial"/>
                <w:sz w:val="18"/>
                <w:szCs w:val="18"/>
                <w:color w:val="auto"/>
              </w:rPr>
              <w:t>24</w:t>
            </w:r>
          </w:p>
        </w:tc>
      </w:tr>
      <w:tr>
        <w:trPr>
          <w:trHeight w:val="20"/>
        </w:trPr>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960" w:type="dxa"/>
            <w:vAlign w:val="bottom"/>
            <w:shd w:val="clear" w:color="auto" w:fill="0000EE"/>
          </w:tcPr>
          <w:p>
            <w:pPr>
              <w:spacing w:after="0" w:line="20" w:lineRule="exact"/>
              <w:rPr>
                <w:sz w:val="1"/>
                <w:szCs w:val="1"/>
                <w:color w:val="auto"/>
              </w:rPr>
            </w:pPr>
          </w:p>
        </w:tc>
        <w:tc>
          <w:tcPr>
            <w:tcW w:w="520" w:type="dxa"/>
            <w:vAlign w:val="bottom"/>
            <w:gridSpan w:val="2"/>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40" w:type="dxa"/>
            <w:vAlign w:val="bottom"/>
            <w:gridSpan w:val="3"/>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2540" w:type="dxa"/>
            <w:vAlign w:val="bottom"/>
            <w:gridSpan w:val="3"/>
          </w:tcPr>
          <w:p>
            <w:pPr>
              <w:spacing w:after="0" w:line="20" w:lineRule="exact"/>
              <w:rPr>
                <w:sz w:val="1"/>
                <w:szCs w:val="1"/>
                <w:color w:val="auto"/>
              </w:rPr>
            </w:pPr>
          </w:p>
        </w:tc>
        <w:tc>
          <w:tcPr>
            <w:tcW w:w="2440" w:type="dxa"/>
            <w:vAlign w:val="bottom"/>
          </w:tcPr>
          <w:p>
            <w:pPr>
              <w:spacing w:after="0" w:line="20" w:lineRule="exact"/>
              <w:rPr>
                <w:sz w:val="1"/>
                <w:szCs w:val="1"/>
                <w:color w:val="auto"/>
              </w:rPr>
            </w:pPr>
          </w:p>
        </w:tc>
        <w:tc>
          <w:tcPr>
            <w:tcW w:w="2680" w:type="dxa"/>
            <w:vAlign w:val="bottom"/>
          </w:tcPr>
          <w:p>
            <w:pPr>
              <w:spacing w:after="0" w:line="20" w:lineRule="exact"/>
              <w:rPr>
                <w:sz w:val="1"/>
                <w:szCs w:val="1"/>
                <w:color w:val="auto"/>
              </w:rPr>
            </w:pPr>
          </w:p>
        </w:tc>
      </w:tr>
      <w:tr>
        <w:trPr>
          <w:trHeight w:val="250"/>
        </w:trPr>
        <w:tc>
          <w:tcPr>
            <w:tcW w:w="14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320" w:type="dxa"/>
            <w:vAlign w:val="bottom"/>
          </w:tcPr>
          <w:p>
            <w:pPr>
              <w:spacing w:after="0"/>
              <w:rPr>
                <w:sz w:val="21"/>
                <w:szCs w:val="21"/>
                <w:color w:val="auto"/>
              </w:rPr>
            </w:pPr>
          </w:p>
        </w:tc>
        <w:tc>
          <w:tcPr>
            <w:tcW w:w="7760" w:type="dxa"/>
            <w:vAlign w:val="bottom"/>
            <w:gridSpan w:val="13"/>
          </w:tcPr>
          <w:p>
            <w:pPr>
              <w:ind w:left="20"/>
              <w:spacing w:after="0"/>
              <w:rPr>
                <w:rFonts w:ascii="Arial" w:cs="Arial" w:eastAsia="Arial" w:hAnsi="Arial"/>
                <w:sz w:val="18"/>
                <w:szCs w:val="18"/>
                <w:color w:val="0000EE"/>
              </w:rPr>
            </w:pPr>
            <w:hyperlink w:anchor="page37">
              <w:r>
                <w:rPr>
                  <w:rFonts w:ascii="Arial" w:cs="Arial" w:eastAsia="Arial" w:hAnsi="Arial"/>
                  <w:sz w:val="18"/>
                  <w:szCs w:val="18"/>
                  <w:color w:val="0000EE"/>
                </w:rPr>
                <w:t>Conclusion and Recommendation; Vote Required</w:t>
              </w:r>
            </w:hyperlink>
          </w:p>
        </w:tc>
        <w:tc>
          <w:tcPr>
            <w:tcW w:w="2680" w:type="dxa"/>
            <w:vAlign w:val="bottom"/>
          </w:tcPr>
          <w:p>
            <w:pPr>
              <w:jc w:val="right"/>
              <w:spacing w:after="0"/>
              <w:rPr>
                <w:sz w:val="20"/>
                <w:szCs w:val="20"/>
                <w:color w:val="auto"/>
              </w:rPr>
            </w:pPr>
            <w:r>
              <w:rPr>
                <w:rFonts w:ascii="Arial" w:cs="Arial" w:eastAsia="Arial" w:hAnsi="Arial"/>
                <w:sz w:val="18"/>
                <w:szCs w:val="18"/>
                <w:color w:val="auto"/>
              </w:rPr>
              <w:t>24</w:t>
            </w:r>
          </w:p>
        </w:tc>
      </w:tr>
      <w:tr>
        <w:trPr>
          <w:trHeight w:val="88"/>
        </w:trPr>
        <w:tc>
          <w:tcPr>
            <w:tcW w:w="140" w:type="dxa"/>
            <w:vAlign w:val="bottom"/>
            <w:tcBorders>
              <w:bottom w:val="single" w:sz="8" w:color="407CCA"/>
            </w:tcBorders>
          </w:tcPr>
          <w:p>
            <w:pPr>
              <w:spacing w:after="0"/>
              <w:rPr>
                <w:sz w:val="7"/>
                <w:szCs w:val="7"/>
                <w:color w:val="auto"/>
              </w:rPr>
            </w:pPr>
          </w:p>
        </w:tc>
        <w:tc>
          <w:tcPr>
            <w:tcW w:w="120" w:type="dxa"/>
            <w:vAlign w:val="bottom"/>
            <w:tcBorders>
              <w:bottom w:val="single" w:sz="8" w:color="407CCA"/>
            </w:tcBorders>
          </w:tcPr>
          <w:p>
            <w:pPr>
              <w:spacing w:after="0"/>
              <w:rPr>
                <w:sz w:val="7"/>
                <w:szCs w:val="7"/>
                <w:color w:val="auto"/>
              </w:rPr>
            </w:pPr>
          </w:p>
        </w:tc>
        <w:tc>
          <w:tcPr>
            <w:tcW w:w="320" w:type="dxa"/>
            <w:vAlign w:val="bottom"/>
            <w:tcBorders>
              <w:bottom w:val="single" w:sz="8" w:color="407CCA"/>
            </w:tcBorders>
          </w:tcPr>
          <w:p>
            <w:pPr>
              <w:spacing w:after="0"/>
              <w:rPr>
                <w:sz w:val="7"/>
                <w:szCs w:val="7"/>
                <w:color w:val="auto"/>
              </w:rPr>
            </w:pPr>
          </w:p>
        </w:tc>
        <w:tc>
          <w:tcPr>
            <w:tcW w:w="960" w:type="dxa"/>
            <w:vAlign w:val="bottom"/>
            <w:tcBorders>
              <w:top w:val="single" w:sz="8" w:color="0000EE"/>
              <w:bottom w:val="single" w:sz="8" w:color="407CCA"/>
            </w:tcBorders>
          </w:tcPr>
          <w:p>
            <w:pPr>
              <w:spacing w:after="0"/>
              <w:rPr>
                <w:sz w:val="7"/>
                <w:szCs w:val="7"/>
                <w:color w:val="auto"/>
              </w:rPr>
            </w:pPr>
          </w:p>
        </w:tc>
        <w:tc>
          <w:tcPr>
            <w:tcW w:w="180" w:type="dxa"/>
            <w:vAlign w:val="bottom"/>
            <w:tcBorders>
              <w:top w:val="single" w:sz="8" w:color="0000EE"/>
              <w:bottom w:val="single" w:sz="8" w:color="407CCA"/>
            </w:tcBorders>
          </w:tcPr>
          <w:p>
            <w:pPr>
              <w:spacing w:after="0"/>
              <w:rPr>
                <w:sz w:val="7"/>
                <w:szCs w:val="7"/>
                <w:color w:val="auto"/>
              </w:rPr>
            </w:pPr>
          </w:p>
        </w:tc>
        <w:tc>
          <w:tcPr>
            <w:tcW w:w="340" w:type="dxa"/>
            <w:vAlign w:val="bottom"/>
            <w:tcBorders>
              <w:top w:val="single" w:sz="8" w:color="0000EE"/>
              <w:bottom w:val="single" w:sz="8" w:color="407CCA"/>
            </w:tcBorders>
          </w:tcPr>
          <w:p>
            <w:pPr>
              <w:spacing w:after="0"/>
              <w:rPr>
                <w:sz w:val="7"/>
                <w:szCs w:val="7"/>
                <w:color w:val="auto"/>
              </w:rPr>
            </w:pPr>
          </w:p>
        </w:tc>
        <w:tc>
          <w:tcPr>
            <w:tcW w:w="20" w:type="dxa"/>
            <w:vAlign w:val="bottom"/>
            <w:tcBorders>
              <w:top w:val="single" w:sz="8" w:color="0000EE"/>
              <w:bottom w:val="single" w:sz="8" w:color="407CCA"/>
            </w:tcBorders>
          </w:tcPr>
          <w:p>
            <w:pPr>
              <w:spacing w:after="0"/>
              <w:rPr>
                <w:sz w:val="7"/>
                <w:szCs w:val="7"/>
                <w:color w:val="auto"/>
              </w:rPr>
            </w:pPr>
          </w:p>
        </w:tc>
        <w:tc>
          <w:tcPr>
            <w:tcW w:w="320" w:type="dxa"/>
            <w:vAlign w:val="bottom"/>
            <w:tcBorders>
              <w:top w:val="single" w:sz="8" w:color="0000EE"/>
              <w:bottom w:val="single" w:sz="8" w:color="407CCA"/>
            </w:tcBorders>
          </w:tcPr>
          <w:p>
            <w:pPr>
              <w:spacing w:after="0"/>
              <w:rPr>
                <w:sz w:val="7"/>
                <w:szCs w:val="7"/>
                <w:color w:val="auto"/>
              </w:rPr>
            </w:pPr>
          </w:p>
        </w:tc>
        <w:tc>
          <w:tcPr>
            <w:tcW w:w="100" w:type="dxa"/>
            <w:vAlign w:val="bottom"/>
            <w:tcBorders>
              <w:top w:val="single" w:sz="8" w:color="0000EE"/>
              <w:bottom w:val="single" w:sz="8" w:color="407CCA"/>
            </w:tcBorders>
          </w:tcPr>
          <w:p>
            <w:pPr>
              <w:spacing w:after="0"/>
              <w:rPr>
                <w:sz w:val="7"/>
                <w:szCs w:val="7"/>
                <w:color w:val="auto"/>
              </w:rPr>
            </w:pPr>
          </w:p>
        </w:tc>
        <w:tc>
          <w:tcPr>
            <w:tcW w:w="20" w:type="dxa"/>
            <w:vAlign w:val="bottom"/>
            <w:tcBorders>
              <w:top w:val="single" w:sz="8" w:color="0000EE"/>
              <w:bottom w:val="single" w:sz="8" w:color="407CCA"/>
            </w:tcBorders>
          </w:tcPr>
          <w:p>
            <w:pPr>
              <w:spacing w:after="0"/>
              <w:rPr>
                <w:sz w:val="7"/>
                <w:szCs w:val="7"/>
                <w:color w:val="auto"/>
              </w:rPr>
            </w:pPr>
          </w:p>
        </w:tc>
        <w:tc>
          <w:tcPr>
            <w:tcW w:w="260" w:type="dxa"/>
            <w:vAlign w:val="bottom"/>
            <w:tcBorders>
              <w:top w:val="single" w:sz="8" w:color="0000EE"/>
              <w:bottom w:val="single" w:sz="8" w:color="407CCA"/>
            </w:tcBorders>
          </w:tcPr>
          <w:p>
            <w:pPr>
              <w:spacing w:after="0"/>
              <w:rPr>
                <w:sz w:val="7"/>
                <w:szCs w:val="7"/>
                <w:color w:val="auto"/>
              </w:rPr>
            </w:pPr>
          </w:p>
        </w:tc>
        <w:tc>
          <w:tcPr>
            <w:tcW w:w="580" w:type="dxa"/>
            <w:vAlign w:val="bottom"/>
            <w:tcBorders>
              <w:top w:val="single" w:sz="8" w:color="0000EE"/>
              <w:bottom w:val="single" w:sz="8" w:color="407CCA"/>
            </w:tcBorders>
          </w:tcPr>
          <w:p>
            <w:pPr>
              <w:spacing w:after="0"/>
              <w:rPr>
                <w:sz w:val="7"/>
                <w:szCs w:val="7"/>
                <w:color w:val="auto"/>
              </w:rPr>
            </w:pPr>
          </w:p>
        </w:tc>
        <w:tc>
          <w:tcPr>
            <w:tcW w:w="800" w:type="dxa"/>
            <w:vAlign w:val="bottom"/>
            <w:tcBorders>
              <w:top w:val="single" w:sz="8" w:color="0000EE"/>
              <w:bottom w:val="single" w:sz="8" w:color="407CCA"/>
            </w:tcBorders>
          </w:tcPr>
          <w:p>
            <w:pPr>
              <w:spacing w:after="0"/>
              <w:rPr>
                <w:sz w:val="7"/>
                <w:szCs w:val="7"/>
                <w:color w:val="auto"/>
              </w:rPr>
            </w:pPr>
          </w:p>
        </w:tc>
        <w:tc>
          <w:tcPr>
            <w:tcW w:w="640" w:type="dxa"/>
            <w:vAlign w:val="bottom"/>
            <w:tcBorders>
              <w:bottom w:val="single" w:sz="8" w:color="407CCA"/>
            </w:tcBorders>
          </w:tcPr>
          <w:p>
            <w:pPr>
              <w:spacing w:after="0"/>
              <w:rPr>
                <w:sz w:val="7"/>
                <w:szCs w:val="7"/>
                <w:color w:val="auto"/>
              </w:rPr>
            </w:pPr>
          </w:p>
        </w:tc>
        <w:tc>
          <w:tcPr>
            <w:tcW w:w="1100" w:type="dxa"/>
            <w:vAlign w:val="bottom"/>
            <w:tcBorders>
              <w:bottom w:val="single" w:sz="8" w:color="407CCA"/>
            </w:tcBorders>
          </w:tcPr>
          <w:p>
            <w:pPr>
              <w:spacing w:after="0"/>
              <w:rPr>
                <w:sz w:val="7"/>
                <w:szCs w:val="7"/>
                <w:color w:val="auto"/>
              </w:rPr>
            </w:pPr>
          </w:p>
        </w:tc>
        <w:tc>
          <w:tcPr>
            <w:tcW w:w="2440" w:type="dxa"/>
            <w:vAlign w:val="bottom"/>
            <w:tcBorders>
              <w:bottom w:val="single" w:sz="8" w:color="407CCA"/>
            </w:tcBorders>
          </w:tcPr>
          <w:p>
            <w:pPr>
              <w:spacing w:after="0"/>
              <w:rPr>
                <w:sz w:val="7"/>
                <w:szCs w:val="7"/>
                <w:color w:val="auto"/>
              </w:rPr>
            </w:pPr>
          </w:p>
        </w:tc>
        <w:tc>
          <w:tcPr>
            <w:tcW w:w="2680" w:type="dxa"/>
            <w:vAlign w:val="bottom"/>
            <w:tcBorders>
              <w:bottom w:val="single" w:sz="8" w:color="407CCA"/>
            </w:tcBorders>
          </w:tcPr>
          <w:p>
            <w:pPr>
              <w:spacing w:after="0"/>
              <w:rPr>
                <w:sz w:val="7"/>
                <w:szCs w:val="7"/>
                <w:color w:val="auto"/>
              </w:rPr>
            </w:pPr>
          </w:p>
        </w:tc>
      </w:tr>
      <w:tr>
        <w:trPr>
          <w:trHeight w:val="291"/>
        </w:trPr>
        <w:tc>
          <w:tcPr>
            <w:tcW w:w="140" w:type="dxa"/>
            <w:vAlign w:val="bottom"/>
          </w:tcPr>
          <w:p>
            <w:pPr>
              <w:spacing w:after="0"/>
              <w:rPr>
                <w:sz w:val="24"/>
                <w:szCs w:val="24"/>
                <w:color w:val="auto"/>
              </w:rPr>
            </w:pPr>
          </w:p>
        </w:tc>
        <w:tc>
          <w:tcPr>
            <w:tcW w:w="5760" w:type="dxa"/>
            <w:vAlign w:val="bottom"/>
            <w:tcBorders>
              <w:bottom w:val="single" w:sz="8" w:color="0000EE"/>
            </w:tcBorders>
            <w:gridSpan w:val="14"/>
          </w:tcPr>
          <w:p>
            <w:pPr>
              <w:spacing w:after="0"/>
              <w:rPr>
                <w:rFonts w:ascii="Arial" w:cs="Arial" w:eastAsia="Arial" w:hAnsi="Arial"/>
                <w:sz w:val="18"/>
                <w:szCs w:val="18"/>
                <w:b w:val="1"/>
                <w:bCs w:val="1"/>
                <w:color w:val="0000EE"/>
                <w:w w:val="90"/>
              </w:rPr>
            </w:pPr>
            <w:hyperlink w:anchor="page38">
              <w:r>
                <w:rPr>
                  <w:rFonts w:ascii="Arial" w:cs="Arial" w:eastAsia="Arial" w:hAnsi="Arial"/>
                  <w:sz w:val="18"/>
                  <w:szCs w:val="18"/>
                  <w:b w:val="1"/>
                  <w:bCs w:val="1"/>
                  <w:color w:val="0000EE"/>
                  <w:w w:val="90"/>
                </w:rPr>
                <w:t>Proposal 4: Ratification of Appointment of Independent Public Accountant</w:t>
              </w:r>
            </w:hyperlink>
          </w:p>
        </w:tc>
        <w:tc>
          <w:tcPr>
            <w:tcW w:w="2440" w:type="dxa"/>
            <w:vAlign w:val="bottom"/>
          </w:tcPr>
          <w:p>
            <w:pPr>
              <w:spacing w:after="0"/>
              <w:rPr>
                <w:sz w:val="24"/>
                <w:szCs w:val="24"/>
                <w:color w:val="auto"/>
              </w:rPr>
            </w:pPr>
          </w:p>
        </w:tc>
        <w:tc>
          <w:tcPr>
            <w:tcW w:w="2680" w:type="dxa"/>
            <w:vAlign w:val="bottom"/>
          </w:tcPr>
          <w:p>
            <w:pPr>
              <w:jc w:val="right"/>
              <w:spacing w:after="0"/>
              <w:rPr>
                <w:sz w:val="20"/>
                <w:szCs w:val="20"/>
                <w:color w:val="auto"/>
              </w:rPr>
            </w:pPr>
            <w:r>
              <w:rPr>
                <w:rFonts w:ascii="Arial" w:cs="Arial" w:eastAsia="Arial" w:hAnsi="Arial"/>
                <w:sz w:val="18"/>
                <w:szCs w:val="18"/>
                <w:color w:val="auto"/>
              </w:rPr>
              <w:t>25</w:t>
            </w:r>
          </w:p>
        </w:tc>
      </w:tr>
      <w:tr>
        <w:trPr>
          <w:trHeight w:val="331"/>
        </w:trPr>
        <w:tc>
          <w:tcPr>
            <w:tcW w:w="1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780" w:type="dxa"/>
            <w:vAlign w:val="bottom"/>
            <w:tcBorders>
              <w:bottom w:val="single" w:sz="8" w:color="0000EE"/>
            </w:tcBorders>
            <w:gridSpan w:val="9"/>
          </w:tcPr>
          <w:p>
            <w:pPr>
              <w:ind w:left="20"/>
              <w:spacing w:after="0"/>
              <w:rPr>
                <w:rFonts w:ascii="Arial" w:cs="Arial" w:eastAsia="Arial" w:hAnsi="Arial"/>
                <w:sz w:val="18"/>
                <w:szCs w:val="18"/>
                <w:color w:val="0000EE"/>
                <w:w w:val="89"/>
              </w:rPr>
            </w:pPr>
            <w:hyperlink w:anchor="page38">
              <w:r>
                <w:rPr>
                  <w:rFonts w:ascii="Arial" w:cs="Arial" w:eastAsia="Arial" w:hAnsi="Arial"/>
                  <w:sz w:val="18"/>
                  <w:szCs w:val="18"/>
                  <w:color w:val="0000EE"/>
                  <w:w w:val="89"/>
                </w:rPr>
                <w:t>Independent Public Accountant’s Fees</w:t>
              </w:r>
            </w:hyperlink>
          </w:p>
        </w:tc>
        <w:tc>
          <w:tcPr>
            <w:tcW w:w="4980" w:type="dxa"/>
            <w:vAlign w:val="bottom"/>
            <w:gridSpan w:val="4"/>
          </w:tcPr>
          <w:p>
            <w:pPr>
              <w:spacing w:after="0"/>
              <w:rPr>
                <w:sz w:val="24"/>
                <w:szCs w:val="24"/>
                <w:color w:val="auto"/>
              </w:rPr>
            </w:pPr>
          </w:p>
        </w:tc>
        <w:tc>
          <w:tcPr>
            <w:tcW w:w="2680" w:type="dxa"/>
            <w:vAlign w:val="bottom"/>
          </w:tcPr>
          <w:p>
            <w:pPr>
              <w:jc w:val="right"/>
              <w:spacing w:after="0"/>
              <w:rPr>
                <w:sz w:val="20"/>
                <w:szCs w:val="20"/>
                <w:color w:val="auto"/>
              </w:rPr>
            </w:pPr>
            <w:r>
              <w:rPr>
                <w:rFonts w:ascii="Arial" w:cs="Arial" w:eastAsia="Arial" w:hAnsi="Arial"/>
                <w:sz w:val="18"/>
                <w:szCs w:val="18"/>
                <w:color w:val="auto"/>
              </w:rPr>
              <w:t>25</w:t>
            </w:r>
          </w:p>
        </w:tc>
      </w:tr>
      <w:tr>
        <w:trPr>
          <w:trHeight w:val="250"/>
        </w:trPr>
        <w:tc>
          <w:tcPr>
            <w:tcW w:w="14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320" w:type="dxa"/>
            <w:vAlign w:val="bottom"/>
          </w:tcPr>
          <w:p>
            <w:pPr>
              <w:spacing w:after="0"/>
              <w:rPr>
                <w:sz w:val="21"/>
                <w:szCs w:val="21"/>
                <w:color w:val="auto"/>
              </w:rPr>
            </w:pPr>
          </w:p>
        </w:tc>
        <w:tc>
          <w:tcPr>
            <w:tcW w:w="1500" w:type="dxa"/>
            <w:vAlign w:val="bottom"/>
            <w:tcBorders>
              <w:bottom w:val="single" w:sz="8" w:color="0000EE"/>
            </w:tcBorders>
            <w:gridSpan w:val="4"/>
          </w:tcPr>
          <w:p>
            <w:pPr>
              <w:ind w:left="20"/>
              <w:spacing w:after="0"/>
              <w:rPr>
                <w:rFonts w:ascii="Arial" w:cs="Arial" w:eastAsia="Arial" w:hAnsi="Arial"/>
                <w:sz w:val="18"/>
                <w:szCs w:val="18"/>
                <w:color w:val="0000EE"/>
                <w:w w:val="92"/>
              </w:rPr>
            </w:pPr>
            <w:hyperlink w:anchor="page39">
              <w:r>
                <w:rPr>
                  <w:rFonts w:ascii="Arial" w:cs="Arial" w:eastAsia="Arial" w:hAnsi="Arial"/>
                  <w:sz w:val="18"/>
                  <w:szCs w:val="18"/>
                  <w:color w:val="0000EE"/>
                  <w:w w:val="92"/>
                </w:rPr>
                <w:t>Pre-Approval Policy</w:t>
              </w:r>
            </w:hyperlink>
          </w:p>
        </w:tc>
        <w:tc>
          <w:tcPr>
            <w:tcW w:w="6260" w:type="dxa"/>
            <w:vAlign w:val="bottom"/>
            <w:gridSpan w:val="9"/>
          </w:tcPr>
          <w:p>
            <w:pPr>
              <w:spacing w:after="0"/>
              <w:rPr>
                <w:sz w:val="21"/>
                <w:szCs w:val="21"/>
                <w:color w:val="auto"/>
              </w:rPr>
            </w:pPr>
          </w:p>
        </w:tc>
        <w:tc>
          <w:tcPr>
            <w:tcW w:w="2680" w:type="dxa"/>
            <w:vAlign w:val="bottom"/>
          </w:tcPr>
          <w:p>
            <w:pPr>
              <w:jc w:val="right"/>
              <w:spacing w:after="0"/>
              <w:rPr>
                <w:sz w:val="20"/>
                <w:szCs w:val="20"/>
                <w:color w:val="auto"/>
              </w:rPr>
            </w:pPr>
            <w:r>
              <w:rPr>
                <w:rFonts w:ascii="Arial" w:cs="Arial" w:eastAsia="Arial" w:hAnsi="Arial"/>
                <w:sz w:val="18"/>
                <w:szCs w:val="18"/>
                <w:color w:val="auto"/>
              </w:rPr>
              <w:t>26</w:t>
            </w:r>
          </w:p>
        </w:tc>
      </w:tr>
      <w:tr>
        <w:trPr>
          <w:trHeight w:val="250"/>
        </w:trPr>
        <w:tc>
          <w:tcPr>
            <w:tcW w:w="14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320" w:type="dxa"/>
            <w:vAlign w:val="bottom"/>
          </w:tcPr>
          <w:p>
            <w:pPr>
              <w:spacing w:after="0"/>
              <w:rPr>
                <w:sz w:val="21"/>
                <w:szCs w:val="21"/>
                <w:color w:val="auto"/>
              </w:rPr>
            </w:pPr>
          </w:p>
        </w:tc>
        <w:tc>
          <w:tcPr>
            <w:tcW w:w="7760" w:type="dxa"/>
            <w:vAlign w:val="bottom"/>
            <w:gridSpan w:val="13"/>
          </w:tcPr>
          <w:p>
            <w:pPr>
              <w:ind w:left="20"/>
              <w:spacing w:after="0"/>
              <w:rPr>
                <w:rFonts w:ascii="Arial" w:cs="Arial" w:eastAsia="Arial" w:hAnsi="Arial"/>
                <w:sz w:val="18"/>
                <w:szCs w:val="18"/>
                <w:color w:val="0000EE"/>
              </w:rPr>
            </w:pPr>
            <w:hyperlink w:anchor="page39">
              <w:r>
                <w:rPr>
                  <w:rFonts w:ascii="Arial" w:cs="Arial" w:eastAsia="Arial" w:hAnsi="Arial"/>
                  <w:sz w:val="18"/>
                  <w:szCs w:val="18"/>
                  <w:color w:val="0000EE"/>
                </w:rPr>
                <w:t>Conclusion and Recommendation; Vote Required</w:t>
              </w:r>
            </w:hyperlink>
          </w:p>
        </w:tc>
        <w:tc>
          <w:tcPr>
            <w:tcW w:w="2680" w:type="dxa"/>
            <w:vAlign w:val="bottom"/>
          </w:tcPr>
          <w:p>
            <w:pPr>
              <w:jc w:val="right"/>
              <w:spacing w:after="0"/>
              <w:rPr>
                <w:sz w:val="20"/>
                <w:szCs w:val="20"/>
                <w:color w:val="auto"/>
              </w:rPr>
            </w:pPr>
            <w:r>
              <w:rPr>
                <w:rFonts w:ascii="Arial" w:cs="Arial" w:eastAsia="Arial" w:hAnsi="Arial"/>
                <w:sz w:val="18"/>
                <w:szCs w:val="18"/>
                <w:color w:val="auto"/>
              </w:rPr>
              <w:t>26</w:t>
            </w:r>
          </w:p>
        </w:tc>
      </w:tr>
      <w:tr>
        <w:trPr>
          <w:trHeight w:val="34"/>
        </w:trPr>
        <w:tc>
          <w:tcPr>
            <w:tcW w:w="140" w:type="dxa"/>
            <w:vAlign w:val="bottom"/>
            <w:tcBorders>
              <w:bottom w:val="single" w:sz="8" w:color="407CCA"/>
            </w:tcBorders>
          </w:tcPr>
          <w:p>
            <w:pPr>
              <w:spacing w:after="0"/>
              <w:rPr>
                <w:sz w:val="2"/>
                <w:szCs w:val="2"/>
                <w:color w:val="auto"/>
              </w:rPr>
            </w:pPr>
          </w:p>
        </w:tc>
        <w:tc>
          <w:tcPr>
            <w:tcW w:w="120" w:type="dxa"/>
            <w:vAlign w:val="bottom"/>
            <w:tcBorders>
              <w:bottom w:val="single" w:sz="8" w:color="407CCA"/>
            </w:tcBorders>
          </w:tcPr>
          <w:p>
            <w:pPr>
              <w:spacing w:after="0"/>
              <w:rPr>
                <w:sz w:val="2"/>
                <w:szCs w:val="2"/>
                <w:color w:val="auto"/>
              </w:rPr>
            </w:pPr>
          </w:p>
        </w:tc>
        <w:tc>
          <w:tcPr>
            <w:tcW w:w="320" w:type="dxa"/>
            <w:vAlign w:val="bottom"/>
            <w:tcBorders>
              <w:bottom w:val="single" w:sz="8" w:color="407CCA"/>
            </w:tcBorders>
          </w:tcPr>
          <w:p>
            <w:pPr>
              <w:spacing w:after="0"/>
              <w:rPr>
                <w:sz w:val="2"/>
                <w:szCs w:val="2"/>
                <w:color w:val="auto"/>
              </w:rPr>
            </w:pPr>
          </w:p>
        </w:tc>
        <w:tc>
          <w:tcPr>
            <w:tcW w:w="960" w:type="dxa"/>
            <w:vAlign w:val="bottom"/>
            <w:tcBorders>
              <w:top w:val="single" w:sz="8" w:color="0000EE"/>
              <w:bottom w:val="single" w:sz="8" w:color="407CCA"/>
            </w:tcBorders>
          </w:tcPr>
          <w:p>
            <w:pPr>
              <w:spacing w:after="0"/>
              <w:rPr>
                <w:sz w:val="2"/>
                <w:szCs w:val="2"/>
                <w:color w:val="auto"/>
              </w:rPr>
            </w:pPr>
          </w:p>
        </w:tc>
        <w:tc>
          <w:tcPr>
            <w:tcW w:w="180" w:type="dxa"/>
            <w:vAlign w:val="bottom"/>
            <w:tcBorders>
              <w:top w:val="single" w:sz="8" w:color="0000EE"/>
              <w:bottom w:val="single" w:sz="8" w:color="407CCA"/>
            </w:tcBorders>
          </w:tcPr>
          <w:p>
            <w:pPr>
              <w:spacing w:after="0"/>
              <w:rPr>
                <w:sz w:val="2"/>
                <w:szCs w:val="2"/>
                <w:color w:val="auto"/>
              </w:rPr>
            </w:pPr>
          </w:p>
        </w:tc>
        <w:tc>
          <w:tcPr>
            <w:tcW w:w="340" w:type="dxa"/>
            <w:vAlign w:val="bottom"/>
            <w:tcBorders>
              <w:top w:val="single" w:sz="8" w:color="0000EE"/>
              <w:bottom w:val="single" w:sz="8" w:color="407CCA"/>
            </w:tcBorders>
          </w:tcPr>
          <w:p>
            <w:pPr>
              <w:spacing w:after="0"/>
              <w:rPr>
                <w:sz w:val="2"/>
                <w:szCs w:val="2"/>
                <w:color w:val="auto"/>
              </w:rPr>
            </w:pPr>
          </w:p>
        </w:tc>
        <w:tc>
          <w:tcPr>
            <w:tcW w:w="20" w:type="dxa"/>
            <w:vAlign w:val="bottom"/>
            <w:tcBorders>
              <w:top w:val="single" w:sz="8" w:color="0000EE"/>
              <w:bottom w:val="single" w:sz="8" w:color="407CCA"/>
            </w:tcBorders>
          </w:tcPr>
          <w:p>
            <w:pPr>
              <w:spacing w:after="0"/>
              <w:rPr>
                <w:sz w:val="2"/>
                <w:szCs w:val="2"/>
                <w:color w:val="auto"/>
              </w:rPr>
            </w:pPr>
          </w:p>
        </w:tc>
        <w:tc>
          <w:tcPr>
            <w:tcW w:w="320" w:type="dxa"/>
            <w:vAlign w:val="bottom"/>
            <w:tcBorders>
              <w:top w:val="single" w:sz="8" w:color="0000EE"/>
              <w:bottom w:val="single" w:sz="8" w:color="407CCA"/>
            </w:tcBorders>
          </w:tcPr>
          <w:p>
            <w:pPr>
              <w:spacing w:after="0"/>
              <w:rPr>
                <w:sz w:val="2"/>
                <w:szCs w:val="2"/>
                <w:color w:val="auto"/>
              </w:rPr>
            </w:pPr>
          </w:p>
        </w:tc>
        <w:tc>
          <w:tcPr>
            <w:tcW w:w="100" w:type="dxa"/>
            <w:vAlign w:val="bottom"/>
            <w:tcBorders>
              <w:top w:val="single" w:sz="8" w:color="0000EE"/>
              <w:bottom w:val="single" w:sz="8" w:color="407CCA"/>
            </w:tcBorders>
          </w:tcPr>
          <w:p>
            <w:pPr>
              <w:spacing w:after="0"/>
              <w:rPr>
                <w:sz w:val="2"/>
                <w:szCs w:val="2"/>
                <w:color w:val="auto"/>
              </w:rPr>
            </w:pPr>
          </w:p>
        </w:tc>
        <w:tc>
          <w:tcPr>
            <w:tcW w:w="20" w:type="dxa"/>
            <w:vAlign w:val="bottom"/>
            <w:tcBorders>
              <w:top w:val="single" w:sz="8" w:color="0000EE"/>
              <w:bottom w:val="single" w:sz="8" w:color="407CCA"/>
            </w:tcBorders>
          </w:tcPr>
          <w:p>
            <w:pPr>
              <w:spacing w:after="0"/>
              <w:rPr>
                <w:sz w:val="2"/>
                <w:szCs w:val="2"/>
                <w:color w:val="auto"/>
              </w:rPr>
            </w:pPr>
          </w:p>
        </w:tc>
        <w:tc>
          <w:tcPr>
            <w:tcW w:w="260" w:type="dxa"/>
            <w:vAlign w:val="bottom"/>
            <w:tcBorders>
              <w:top w:val="single" w:sz="8" w:color="0000EE"/>
              <w:bottom w:val="single" w:sz="8" w:color="407CCA"/>
            </w:tcBorders>
          </w:tcPr>
          <w:p>
            <w:pPr>
              <w:spacing w:after="0"/>
              <w:rPr>
                <w:sz w:val="2"/>
                <w:szCs w:val="2"/>
                <w:color w:val="auto"/>
              </w:rPr>
            </w:pPr>
          </w:p>
        </w:tc>
        <w:tc>
          <w:tcPr>
            <w:tcW w:w="580" w:type="dxa"/>
            <w:vAlign w:val="bottom"/>
            <w:tcBorders>
              <w:top w:val="single" w:sz="8" w:color="0000EE"/>
              <w:bottom w:val="single" w:sz="8" w:color="407CCA"/>
            </w:tcBorders>
          </w:tcPr>
          <w:p>
            <w:pPr>
              <w:spacing w:after="0"/>
              <w:rPr>
                <w:sz w:val="2"/>
                <w:szCs w:val="2"/>
                <w:color w:val="auto"/>
              </w:rPr>
            </w:pPr>
          </w:p>
        </w:tc>
        <w:tc>
          <w:tcPr>
            <w:tcW w:w="800" w:type="dxa"/>
            <w:vAlign w:val="bottom"/>
            <w:tcBorders>
              <w:top w:val="single" w:sz="8" w:color="0000EE"/>
              <w:bottom w:val="single" w:sz="8" w:color="407CCA"/>
            </w:tcBorders>
          </w:tcPr>
          <w:p>
            <w:pPr>
              <w:spacing w:after="0"/>
              <w:rPr>
                <w:sz w:val="2"/>
                <w:szCs w:val="2"/>
                <w:color w:val="auto"/>
              </w:rPr>
            </w:pPr>
          </w:p>
        </w:tc>
        <w:tc>
          <w:tcPr>
            <w:tcW w:w="640" w:type="dxa"/>
            <w:vAlign w:val="bottom"/>
            <w:tcBorders>
              <w:bottom w:val="single" w:sz="8" w:color="407CCA"/>
            </w:tcBorders>
          </w:tcPr>
          <w:p>
            <w:pPr>
              <w:spacing w:after="0"/>
              <w:rPr>
                <w:sz w:val="2"/>
                <w:szCs w:val="2"/>
                <w:color w:val="auto"/>
              </w:rPr>
            </w:pPr>
          </w:p>
        </w:tc>
        <w:tc>
          <w:tcPr>
            <w:tcW w:w="1100" w:type="dxa"/>
            <w:vAlign w:val="bottom"/>
            <w:tcBorders>
              <w:bottom w:val="single" w:sz="8" w:color="407CCA"/>
            </w:tcBorders>
          </w:tcPr>
          <w:p>
            <w:pPr>
              <w:spacing w:after="0"/>
              <w:rPr>
                <w:sz w:val="2"/>
                <w:szCs w:val="2"/>
                <w:color w:val="auto"/>
              </w:rPr>
            </w:pPr>
          </w:p>
        </w:tc>
        <w:tc>
          <w:tcPr>
            <w:tcW w:w="2440" w:type="dxa"/>
            <w:vAlign w:val="bottom"/>
            <w:tcBorders>
              <w:bottom w:val="single" w:sz="8" w:color="407CCA"/>
            </w:tcBorders>
          </w:tcPr>
          <w:p>
            <w:pPr>
              <w:spacing w:after="0"/>
              <w:rPr>
                <w:sz w:val="2"/>
                <w:szCs w:val="2"/>
                <w:color w:val="auto"/>
              </w:rPr>
            </w:pPr>
          </w:p>
        </w:tc>
        <w:tc>
          <w:tcPr>
            <w:tcW w:w="2680" w:type="dxa"/>
            <w:vAlign w:val="bottom"/>
            <w:tcBorders>
              <w:bottom w:val="single" w:sz="8" w:color="407CCA"/>
            </w:tcBorders>
          </w:tcPr>
          <w:p>
            <w:pPr>
              <w:spacing w:after="0"/>
              <w:rPr>
                <w:sz w:val="2"/>
                <w:szCs w:val="2"/>
                <w:color w:val="auto"/>
              </w:rPr>
            </w:pPr>
          </w:p>
        </w:tc>
      </w:tr>
      <w:tr>
        <w:trPr>
          <w:trHeight w:val="291"/>
        </w:trPr>
        <w:tc>
          <w:tcPr>
            <w:tcW w:w="140" w:type="dxa"/>
            <w:vAlign w:val="bottom"/>
          </w:tcPr>
          <w:p>
            <w:pPr>
              <w:spacing w:after="0"/>
              <w:rPr>
                <w:sz w:val="24"/>
                <w:szCs w:val="24"/>
                <w:color w:val="auto"/>
              </w:rPr>
            </w:pPr>
          </w:p>
        </w:tc>
        <w:tc>
          <w:tcPr>
            <w:tcW w:w="8200" w:type="dxa"/>
            <w:vAlign w:val="bottom"/>
            <w:gridSpan w:val="15"/>
          </w:tcPr>
          <w:p>
            <w:pPr>
              <w:spacing w:after="0"/>
              <w:rPr>
                <w:rFonts w:ascii="Arial" w:cs="Arial" w:eastAsia="Arial" w:hAnsi="Arial"/>
                <w:sz w:val="18"/>
                <w:szCs w:val="18"/>
                <w:b w:val="1"/>
                <w:bCs w:val="1"/>
                <w:color w:val="0000EE"/>
              </w:rPr>
            </w:pPr>
            <w:hyperlink w:anchor="page40">
              <w:r>
                <w:rPr>
                  <w:rFonts w:ascii="Arial" w:cs="Arial" w:eastAsia="Arial" w:hAnsi="Arial"/>
                  <w:sz w:val="18"/>
                  <w:szCs w:val="18"/>
                  <w:b w:val="1"/>
                  <w:bCs w:val="1"/>
                  <w:color w:val="0000EE"/>
                </w:rPr>
                <w:t>Report of the Audit Committee</w:t>
              </w:r>
            </w:hyperlink>
          </w:p>
        </w:tc>
        <w:tc>
          <w:tcPr>
            <w:tcW w:w="2680" w:type="dxa"/>
            <w:vAlign w:val="bottom"/>
          </w:tcPr>
          <w:p>
            <w:pPr>
              <w:jc w:val="right"/>
              <w:spacing w:after="0"/>
              <w:rPr>
                <w:sz w:val="20"/>
                <w:szCs w:val="20"/>
                <w:color w:val="auto"/>
              </w:rPr>
            </w:pPr>
            <w:r>
              <w:rPr>
                <w:rFonts w:ascii="Arial" w:cs="Arial" w:eastAsia="Arial" w:hAnsi="Arial"/>
                <w:sz w:val="18"/>
                <w:szCs w:val="18"/>
                <w:color w:val="auto"/>
              </w:rPr>
              <w:t>27</w:t>
            </w:r>
          </w:p>
        </w:tc>
      </w:tr>
      <w:tr>
        <w:trPr>
          <w:trHeight w:val="20"/>
        </w:trPr>
        <w:tc>
          <w:tcPr>
            <w:tcW w:w="140" w:type="dxa"/>
            <w:vAlign w:val="bottom"/>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320" w:type="dxa"/>
            <w:vAlign w:val="bottom"/>
            <w:shd w:val="clear" w:color="auto" w:fill="0000EE"/>
          </w:tcPr>
          <w:p>
            <w:pPr>
              <w:spacing w:after="0" w:line="20" w:lineRule="exact"/>
              <w:rPr>
                <w:sz w:val="1"/>
                <w:szCs w:val="1"/>
                <w:color w:val="auto"/>
              </w:rPr>
            </w:pPr>
          </w:p>
        </w:tc>
        <w:tc>
          <w:tcPr>
            <w:tcW w:w="960" w:type="dxa"/>
            <w:vAlign w:val="bottom"/>
            <w:shd w:val="clear" w:color="auto" w:fill="0000EE"/>
          </w:tcPr>
          <w:p>
            <w:pPr>
              <w:spacing w:after="0" w:line="20" w:lineRule="exact"/>
              <w:rPr>
                <w:sz w:val="1"/>
                <w:szCs w:val="1"/>
                <w:color w:val="auto"/>
              </w:rPr>
            </w:pPr>
          </w:p>
        </w:tc>
        <w:tc>
          <w:tcPr>
            <w:tcW w:w="980" w:type="dxa"/>
            <w:vAlign w:val="bottom"/>
            <w:gridSpan w:val="6"/>
            <w:shd w:val="clear" w:color="auto" w:fill="0000EE"/>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4980" w:type="dxa"/>
            <w:vAlign w:val="bottom"/>
            <w:gridSpan w:val="4"/>
          </w:tcPr>
          <w:p>
            <w:pPr>
              <w:spacing w:after="0" w:line="20" w:lineRule="exact"/>
              <w:rPr>
                <w:sz w:val="1"/>
                <w:szCs w:val="1"/>
                <w:color w:val="auto"/>
              </w:rPr>
            </w:pPr>
          </w:p>
        </w:tc>
        <w:tc>
          <w:tcPr>
            <w:tcW w:w="2680" w:type="dxa"/>
            <w:vAlign w:val="bottom"/>
          </w:tcPr>
          <w:p>
            <w:pPr>
              <w:spacing w:after="0" w:line="20" w:lineRule="exact"/>
              <w:rPr>
                <w:sz w:val="1"/>
                <w:szCs w:val="1"/>
                <w:color w:val="auto"/>
              </w:rPr>
            </w:pPr>
          </w:p>
        </w:tc>
      </w:tr>
      <w:tr>
        <w:trPr>
          <w:trHeight w:val="331"/>
        </w:trPr>
        <w:tc>
          <w:tcPr>
            <w:tcW w:w="1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7760" w:type="dxa"/>
            <w:vAlign w:val="bottom"/>
            <w:gridSpan w:val="13"/>
          </w:tcPr>
          <w:p>
            <w:pPr>
              <w:ind w:left="20"/>
              <w:spacing w:after="0"/>
              <w:rPr>
                <w:rFonts w:ascii="Arial" w:cs="Arial" w:eastAsia="Arial" w:hAnsi="Arial"/>
                <w:sz w:val="18"/>
                <w:szCs w:val="18"/>
                <w:color w:val="0000EE"/>
              </w:rPr>
            </w:pPr>
            <w:hyperlink w:anchor="page40">
              <w:r>
                <w:rPr>
                  <w:rFonts w:ascii="Arial" w:cs="Arial" w:eastAsia="Arial" w:hAnsi="Arial"/>
                  <w:sz w:val="18"/>
                  <w:szCs w:val="18"/>
                  <w:color w:val="0000EE"/>
                </w:rPr>
                <w:t>Use of Report of the Audit Committee</w:t>
              </w:r>
            </w:hyperlink>
          </w:p>
        </w:tc>
        <w:tc>
          <w:tcPr>
            <w:tcW w:w="2680" w:type="dxa"/>
            <w:vAlign w:val="bottom"/>
          </w:tcPr>
          <w:p>
            <w:pPr>
              <w:jc w:val="right"/>
              <w:spacing w:after="0"/>
              <w:rPr>
                <w:sz w:val="20"/>
                <w:szCs w:val="20"/>
                <w:color w:val="auto"/>
              </w:rPr>
            </w:pPr>
            <w:r>
              <w:rPr>
                <w:rFonts w:ascii="Arial" w:cs="Arial" w:eastAsia="Arial" w:hAnsi="Arial"/>
                <w:sz w:val="18"/>
                <w:szCs w:val="18"/>
                <w:color w:val="auto"/>
              </w:rPr>
              <w:t>27</w:t>
            </w:r>
          </w:p>
        </w:tc>
      </w:tr>
      <w:tr>
        <w:trPr>
          <w:trHeight w:val="88"/>
        </w:trPr>
        <w:tc>
          <w:tcPr>
            <w:tcW w:w="140" w:type="dxa"/>
            <w:vAlign w:val="bottom"/>
            <w:tcBorders>
              <w:bottom w:val="single" w:sz="8" w:color="407CCA"/>
            </w:tcBorders>
          </w:tcPr>
          <w:p>
            <w:pPr>
              <w:spacing w:after="0"/>
              <w:rPr>
                <w:sz w:val="7"/>
                <w:szCs w:val="7"/>
                <w:color w:val="auto"/>
              </w:rPr>
            </w:pPr>
          </w:p>
        </w:tc>
        <w:tc>
          <w:tcPr>
            <w:tcW w:w="120" w:type="dxa"/>
            <w:vAlign w:val="bottom"/>
            <w:tcBorders>
              <w:bottom w:val="single" w:sz="8" w:color="407CCA"/>
            </w:tcBorders>
          </w:tcPr>
          <w:p>
            <w:pPr>
              <w:spacing w:after="0"/>
              <w:rPr>
                <w:sz w:val="7"/>
                <w:szCs w:val="7"/>
                <w:color w:val="auto"/>
              </w:rPr>
            </w:pPr>
          </w:p>
        </w:tc>
        <w:tc>
          <w:tcPr>
            <w:tcW w:w="320" w:type="dxa"/>
            <w:vAlign w:val="bottom"/>
            <w:tcBorders>
              <w:bottom w:val="single" w:sz="8" w:color="407CCA"/>
            </w:tcBorders>
          </w:tcPr>
          <w:p>
            <w:pPr>
              <w:spacing w:after="0"/>
              <w:rPr>
                <w:sz w:val="7"/>
                <w:szCs w:val="7"/>
                <w:color w:val="auto"/>
              </w:rPr>
            </w:pPr>
          </w:p>
        </w:tc>
        <w:tc>
          <w:tcPr>
            <w:tcW w:w="960" w:type="dxa"/>
            <w:vAlign w:val="bottom"/>
            <w:tcBorders>
              <w:top w:val="single" w:sz="8" w:color="0000EE"/>
              <w:bottom w:val="single" w:sz="8" w:color="407CCA"/>
            </w:tcBorders>
          </w:tcPr>
          <w:p>
            <w:pPr>
              <w:spacing w:after="0"/>
              <w:rPr>
                <w:sz w:val="7"/>
                <w:szCs w:val="7"/>
                <w:color w:val="auto"/>
              </w:rPr>
            </w:pPr>
          </w:p>
        </w:tc>
        <w:tc>
          <w:tcPr>
            <w:tcW w:w="180" w:type="dxa"/>
            <w:vAlign w:val="bottom"/>
            <w:tcBorders>
              <w:top w:val="single" w:sz="8" w:color="0000EE"/>
              <w:bottom w:val="single" w:sz="8" w:color="407CCA"/>
            </w:tcBorders>
          </w:tcPr>
          <w:p>
            <w:pPr>
              <w:spacing w:after="0"/>
              <w:rPr>
                <w:sz w:val="7"/>
                <w:szCs w:val="7"/>
                <w:color w:val="auto"/>
              </w:rPr>
            </w:pPr>
          </w:p>
        </w:tc>
        <w:tc>
          <w:tcPr>
            <w:tcW w:w="340" w:type="dxa"/>
            <w:vAlign w:val="bottom"/>
            <w:tcBorders>
              <w:top w:val="single" w:sz="8" w:color="0000EE"/>
              <w:bottom w:val="single" w:sz="8" w:color="407CCA"/>
            </w:tcBorders>
          </w:tcPr>
          <w:p>
            <w:pPr>
              <w:spacing w:after="0"/>
              <w:rPr>
                <w:sz w:val="7"/>
                <w:szCs w:val="7"/>
                <w:color w:val="auto"/>
              </w:rPr>
            </w:pPr>
          </w:p>
        </w:tc>
        <w:tc>
          <w:tcPr>
            <w:tcW w:w="20" w:type="dxa"/>
            <w:vAlign w:val="bottom"/>
            <w:tcBorders>
              <w:top w:val="single" w:sz="8" w:color="0000EE"/>
              <w:bottom w:val="single" w:sz="8" w:color="407CCA"/>
            </w:tcBorders>
          </w:tcPr>
          <w:p>
            <w:pPr>
              <w:spacing w:after="0"/>
              <w:rPr>
                <w:sz w:val="7"/>
                <w:szCs w:val="7"/>
                <w:color w:val="auto"/>
              </w:rPr>
            </w:pPr>
          </w:p>
        </w:tc>
        <w:tc>
          <w:tcPr>
            <w:tcW w:w="320" w:type="dxa"/>
            <w:vAlign w:val="bottom"/>
            <w:tcBorders>
              <w:top w:val="single" w:sz="8" w:color="0000EE"/>
              <w:bottom w:val="single" w:sz="8" w:color="407CCA"/>
            </w:tcBorders>
          </w:tcPr>
          <w:p>
            <w:pPr>
              <w:spacing w:after="0"/>
              <w:rPr>
                <w:sz w:val="7"/>
                <w:szCs w:val="7"/>
                <w:color w:val="auto"/>
              </w:rPr>
            </w:pPr>
          </w:p>
        </w:tc>
        <w:tc>
          <w:tcPr>
            <w:tcW w:w="100" w:type="dxa"/>
            <w:vAlign w:val="bottom"/>
            <w:tcBorders>
              <w:top w:val="single" w:sz="8" w:color="0000EE"/>
              <w:bottom w:val="single" w:sz="8" w:color="407CCA"/>
            </w:tcBorders>
          </w:tcPr>
          <w:p>
            <w:pPr>
              <w:spacing w:after="0"/>
              <w:rPr>
                <w:sz w:val="7"/>
                <w:szCs w:val="7"/>
                <w:color w:val="auto"/>
              </w:rPr>
            </w:pPr>
          </w:p>
        </w:tc>
        <w:tc>
          <w:tcPr>
            <w:tcW w:w="20" w:type="dxa"/>
            <w:vAlign w:val="bottom"/>
            <w:tcBorders>
              <w:top w:val="single" w:sz="8" w:color="0000EE"/>
              <w:bottom w:val="single" w:sz="8" w:color="407CCA"/>
            </w:tcBorders>
          </w:tcPr>
          <w:p>
            <w:pPr>
              <w:spacing w:after="0"/>
              <w:rPr>
                <w:sz w:val="7"/>
                <w:szCs w:val="7"/>
                <w:color w:val="auto"/>
              </w:rPr>
            </w:pPr>
          </w:p>
        </w:tc>
        <w:tc>
          <w:tcPr>
            <w:tcW w:w="260" w:type="dxa"/>
            <w:vAlign w:val="bottom"/>
            <w:tcBorders>
              <w:top w:val="single" w:sz="8" w:color="0000EE"/>
              <w:bottom w:val="single" w:sz="8" w:color="407CCA"/>
            </w:tcBorders>
          </w:tcPr>
          <w:p>
            <w:pPr>
              <w:spacing w:after="0"/>
              <w:rPr>
                <w:sz w:val="7"/>
                <w:szCs w:val="7"/>
                <w:color w:val="auto"/>
              </w:rPr>
            </w:pPr>
          </w:p>
        </w:tc>
        <w:tc>
          <w:tcPr>
            <w:tcW w:w="580" w:type="dxa"/>
            <w:vAlign w:val="bottom"/>
            <w:tcBorders>
              <w:top w:val="single" w:sz="8" w:color="0000EE"/>
              <w:bottom w:val="single" w:sz="8" w:color="407CCA"/>
            </w:tcBorders>
          </w:tcPr>
          <w:p>
            <w:pPr>
              <w:spacing w:after="0"/>
              <w:rPr>
                <w:sz w:val="7"/>
                <w:szCs w:val="7"/>
                <w:color w:val="auto"/>
              </w:rPr>
            </w:pPr>
          </w:p>
        </w:tc>
        <w:tc>
          <w:tcPr>
            <w:tcW w:w="800" w:type="dxa"/>
            <w:vAlign w:val="bottom"/>
            <w:tcBorders>
              <w:bottom w:val="single" w:sz="8" w:color="407CCA"/>
            </w:tcBorders>
          </w:tcPr>
          <w:p>
            <w:pPr>
              <w:spacing w:after="0"/>
              <w:rPr>
                <w:sz w:val="7"/>
                <w:szCs w:val="7"/>
                <w:color w:val="auto"/>
              </w:rPr>
            </w:pPr>
          </w:p>
        </w:tc>
        <w:tc>
          <w:tcPr>
            <w:tcW w:w="640" w:type="dxa"/>
            <w:vAlign w:val="bottom"/>
            <w:tcBorders>
              <w:bottom w:val="single" w:sz="8" w:color="407CCA"/>
            </w:tcBorders>
          </w:tcPr>
          <w:p>
            <w:pPr>
              <w:spacing w:after="0"/>
              <w:rPr>
                <w:sz w:val="7"/>
                <w:szCs w:val="7"/>
                <w:color w:val="auto"/>
              </w:rPr>
            </w:pPr>
          </w:p>
        </w:tc>
        <w:tc>
          <w:tcPr>
            <w:tcW w:w="1100" w:type="dxa"/>
            <w:vAlign w:val="bottom"/>
            <w:tcBorders>
              <w:bottom w:val="single" w:sz="8" w:color="407CCA"/>
            </w:tcBorders>
          </w:tcPr>
          <w:p>
            <w:pPr>
              <w:spacing w:after="0"/>
              <w:rPr>
                <w:sz w:val="7"/>
                <w:szCs w:val="7"/>
                <w:color w:val="auto"/>
              </w:rPr>
            </w:pPr>
          </w:p>
        </w:tc>
        <w:tc>
          <w:tcPr>
            <w:tcW w:w="2440" w:type="dxa"/>
            <w:vAlign w:val="bottom"/>
            <w:tcBorders>
              <w:bottom w:val="single" w:sz="8" w:color="407CCA"/>
            </w:tcBorders>
          </w:tcPr>
          <w:p>
            <w:pPr>
              <w:spacing w:after="0"/>
              <w:rPr>
                <w:sz w:val="7"/>
                <w:szCs w:val="7"/>
                <w:color w:val="auto"/>
              </w:rPr>
            </w:pPr>
          </w:p>
        </w:tc>
        <w:tc>
          <w:tcPr>
            <w:tcW w:w="2680" w:type="dxa"/>
            <w:vAlign w:val="bottom"/>
            <w:tcBorders>
              <w:bottom w:val="single" w:sz="8" w:color="407CCA"/>
            </w:tcBorders>
          </w:tcPr>
          <w:p>
            <w:pPr>
              <w:spacing w:after="0"/>
              <w:rPr>
                <w:sz w:val="7"/>
                <w:szCs w:val="7"/>
                <w:color w:val="auto"/>
              </w:rPr>
            </w:pPr>
          </w:p>
        </w:tc>
      </w:tr>
      <w:tr>
        <w:trPr>
          <w:trHeight w:val="290"/>
        </w:trPr>
        <w:tc>
          <w:tcPr>
            <w:tcW w:w="140" w:type="dxa"/>
            <w:vAlign w:val="bottom"/>
          </w:tcPr>
          <w:p>
            <w:pPr>
              <w:spacing w:after="0"/>
              <w:rPr>
                <w:sz w:val="24"/>
                <w:szCs w:val="24"/>
                <w:color w:val="auto"/>
              </w:rPr>
            </w:pPr>
          </w:p>
        </w:tc>
        <w:tc>
          <w:tcPr>
            <w:tcW w:w="8200" w:type="dxa"/>
            <w:vAlign w:val="bottom"/>
            <w:gridSpan w:val="15"/>
          </w:tcPr>
          <w:p>
            <w:pPr>
              <w:spacing w:after="0"/>
              <w:rPr>
                <w:rFonts w:ascii="Arial" w:cs="Arial" w:eastAsia="Arial" w:hAnsi="Arial"/>
                <w:sz w:val="18"/>
                <w:szCs w:val="18"/>
                <w:b w:val="1"/>
                <w:bCs w:val="1"/>
                <w:color w:val="0000EE"/>
              </w:rPr>
            </w:pPr>
            <w:hyperlink w:anchor="page41">
              <w:r>
                <w:rPr>
                  <w:rFonts w:ascii="Arial" w:cs="Arial" w:eastAsia="Arial" w:hAnsi="Arial"/>
                  <w:sz w:val="18"/>
                  <w:szCs w:val="18"/>
                  <w:b w:val="1"/>
                  <w:bCs w:val="1"/>
                  <w:color w:val="0000EE"/>
                </w:rPr>
                <w:t>Executive Officers</w:t>
              </w:r>
            </w:hyperlink>
          </w:p>
        </w:tc>
        <w:tc>
          <w:tcPr>
            <w:tcW w:w="2680" w:type="dxa"/>
            <w:vAlign w:val="bottom"/>
          </w:tcPr>
          <w:p>
            <w:pPr>
              <w:jc w:val="right"/>
              <w:spacing w:after="0"/>
              <w:rPr>
                <w:sz w:val="20"/>
                <w:szCs w:val="20"/>
                <w:color w:val="auto"/>
              </w:rPr>
            </w:pPr>
            <w:r>
              <w:rPr>
                <w:rFonts w:ascii="Arial" w:cs="Arial" w:eastAsia="Arial" w:hAnsi="Arial"/>
                <w:sz w:val="18"/>
                <w:szCs w:val="18"/>
                <w:color w:val="auto"/>
              </w:rPr>
              <w:t>28</w:t>
            </w:r>
          </w:p>
        </w:tc>
      </w:tr>
      <w:tr>
        <w:trPr>
          <w:trHeight w:val="20"/>
        </w:trPr>
        <w:tc>
          <w:tcPr>
            <w:tcW w:w="140" w:type="dxa"/>
            <w:vAlign w:val="bottom"/>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320" w:type="dxa"/>
            <w:vAlign w:val="bottom"/>
            <w:shd w:val="clear" w:color="auto" w:fill="0000EE"/>
          </w:tcPr>
          <w:p>
            <w:pPr>
              <w:spacing w:after="0" w:line="20" w:lineRule="exact"/>
              <w:rPr>
                <w:sz w:val="1"/>
                <w:szCs w:val="1"/>
                <w:color w:val="auto"/>
              </w:rPr>
            </w:pPr>
          </w:p>
        </w:tc>
        <w:tc>
          <w:tcPr>
            <w:tcW w:w="960" w:type="dxa"/>
            <w:vAlign w:val="bottom"/>
            <w:shd w:val="clear" w:color="auto" w:fill="0000EE"/>
          </w:tcPr>
          <w:p>
            <w:pPr>
              <w:spacing w:after="0" w:line="20" w:lineRule="exact"/>
              <w:rPr>
                <w:sz w:val="1"/>
                <w:szCs w:val="1"/>
                <w:color w:val="auto"/>
              </w:rPr>
            </w:pPr>
          </w:p>
        </w:tc>
        <w:tc>
          <w:tcPr>
            <w:tcW w:w="1240" w:type="dxa"/>
            <w:vAlign w:val="bottom"/>
            <w:gridSpan w:val="7"/>
          </w:tcPr>
          <w:p>
            <w:pPr>
              <w:spacing w:after="0" w:line="20" w:lineRule="exact"/>
              <w:rPr>
                <w:sz w:val="1"/>
                <w:szCs w:val="1"/>
                <w:color w:val="auto"/>
              </w:rPr>
            </w:pPr>
          </w:p>
        </w:tc>
        <w:tc>
          <w:tcPr>
            <w:tcW w:w="5560" w:type="dxa"/>
            <w:vAlign w:val="bottom"/>
            <w:gridSpan w:val="5"/>
          </w:tcPr>
          <w:p>
            <w:pPr>
              <w:spacing w:after="0" w:line="20" w:lineRule="exact"/>
              <w:rPr>
                <w:sz w:val="1"/>
                <w:szCs w:val="1"/>
                <w:color w:val="auto"/>
              </w:rPr>
            </w:pPr>
          </w:p>
        </w:tc>
        <w:tc>
          <w:tcPr>
            <w:tcW w:w="2680" w:type="dxa"/>
            <w:vAlign w:val="bottom"/>
          </w:tcPr>
          <w:p>
            <w:pPr>
              <w:spacing w:after="0" w:line="20" w:lineRule="exact"/>
              <w:rPr>
                <w:sz w:val="1"/>
                <w:szCs w:val="1"/>
                <w:color w:val="auto"/>
              </w:rPr>
            </w:pPr>
          </w:p>
        </w:tc>
      </w:tr>
      <w:tr>
        <w:trPr>
          <w:trHeight w:val="331"/>
        </w:trPr>
        <w:tc>
          <w:tcPr>
            <w:tcW w:w="1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7760" w:type="dxa"/>
            <w:vAlign w:val="bottom"/>
            <w:gridSpan w:val="13"/>
          </w:tcPr>
          <w:p>
            <w:pPr>
              <w:ind w:left="20"/>
              <w:spacing w:after="0"/>
              <w:rPr>
                <w:rFonts w:ascii="Arial" w:cs="Arial" w:eastAsia="Arial" w:hAnsi="Arial"/>
                <w:sz w:val="18"/>
                <w:szCs w:val="18"/>
                <w:color w:val="0000EE"/>
              </w:rPr>
            </w:pPr>
            <w:hyperlink w:anchor="page41">
              <w:r>
                <w:rPr>
                  <w:rFonts w:ascii="Arial" w:cs="Arial" w:eastAsia="Arial" w:hAnsi="Arial"/>
                  <w:sz w:val="18"/>
                  <w:szCs w:val="18"/>
                  <w:color w:val="0000EE"/>
                </w:rPr>
                <w:t>Executive Officer Biographies</w:t>
              </w:r>
            </w:hyperlink>
          </w:p>
        </w:tc>
        <w:tc>
          <w:tcPr>
            <w:tcW w:w="2680" w:type="dxa"/>
            <w:vAlign w:val="bottom"/>
          </w:tcPr>
          <w:p>
            <w:pPr>
              <w:jc w:val="right"/>
              <w:spacing w:after="0"/>
              <w:rPr>
                <w:sz w:val="20"/>
                <w:szCs w:val="20"/>
                <w:color w:val="auto"/>
              </w:rPr>
            </w:pPr>
            <w:r>
              <w:rPr>
                <w:rFonts w:ascii="Arial" w:cs="Arial" w:eastAsia="Arial" w:hAnsi="Arial"/>
                <w:sz w:val="18"/>
                <w:szCs w:val="18"/>
                <w:color w:val="auto"/>
              </w:rPr>
              <w:t>28</w:t>
            </w:r>
          </w:p>
        </w:tc>
      </w:tr>
      <w:tr>
        <w:trPr>
          <w:trHeight w:val="88"/>
        </w:trPr>
        <w:tc>
          <w:tcPr>
            <w:tcW w:w="140" w:type="dxa"/>
            <w:vAlign w:val="bottom"/>
            <w:tcBorders>
              <w:bottom w:val="single" w:sz="8" w:color="407CCA"/>
            </w:tcBorders>
          </w:tcPr>
          <w:p>
            <w:pPr>
              <w:spacing w:after="0"/>
              <w:rPr>
                <w:sz w:val="7"/>
                <w:szCs w:val="7"/>
                <w:color w:val="auto"/>
              </w:rPr>
            </w:pPr>
          </w:p>
        </w:tc>
        <w:tc>
          <w:tcPr>
            <w:tcW w:w="120" w:type="dxa"/>
            <w:vAlign w:val="bottom"/>
            <w:tcBorders>
              <w:bottom w:val="single" w:sz="8" w:color="407CCA"/>
            </w:tcBorders>
          </w:tcPr>
          <w:p>
            <w:pPr>
              <w:spacing w:after="0"/>
              <w:rPr>
                <w:sz w:val="7"/>
                <w:szCs w:val="7"/>
                <w:color w:val="auto"/>
              </w:rPr>
            </w:pPr>
          </w:p>
        </w:tc>
        <w:tc>
          <w:tcPr>
            <w:tcW w:w="320" w:type="dxa"/>
            <w:vAlign w:val="bottom"/>
            <w:tcBorders>
              <w:bottom w:val="single" w:sz="8" w:color="407CCA"/>
            </w:tcBorders>
          </w:tcPr>
          <w:p>
            <w:pPr>
              <w:spacing w:after="0"/>
              <w:rPr>
                <w:sz w:val="7"/>
                <w:szCs w:val="7"/>
                <w:color w:val="auto"/>
              </w:rPr>
            </w:pPr>
          </w:p>
        </w:tc>
        <w:tc>
          <w:tcPr>
            <w:tcW w:w="960" w:type="dxa"/>
            <w:vAlign w:val="bottom"/>
            <w:tcBorders>
              <w:top w:val="single" w:sz="8" w:color="0000EE"/>
              <w:bottom w:val="single" w:sz="8" w:color="407CCA"/>
            </w:tcBorders>
          </w:tcPr>
          <w:p>
            <w:pPr>
              <w:spacing w:after="0"/>
              <w:rPr>
                <w:sz w:val="7"/>
                <w:szCs w:val="7"/>
                <w:color w:val="auto"/>
              </w:rPr>
            </w:pPr>
          </w:p>
        </w:tc>
        <w:tc>
          <w:tcPr>
            <w:tcW w:w="180" w:type="dxa"/>
            <w:vAlign w:val="bottom"/>
            <w:tcBorders>
              <w:top w:val="single" w:sz="8" w:color="0000EE"/>
              <w:bottom w:val="single" w:sz="8" w:color="407CCA"/>
            </w:tcBorders>
          </w:tcPr>
          <w:p>
            <w:pPr>
              <w:spacing w:after="0"/>
              <w:rPr>
                <w:sz w:val="7"/>
                <w:szCs w:val="7"/>
                <w:color w:val="auto"/>
              </w:rPr>
            </w:pPr>
          </w:p>
        </w:tc>
        <w:tc>
          <w:tcPr>
            <w:tcW w:w="340" w:type="dxa"/>
            <w:vAlign w:val="bottom"/>
            <w:tcBorders>
              <w:top w:val="single" w:sz="8" w:color="0000EE"/>
              <w:bottom w:val="single" w:sz="8" w:color="407CCA"/>
            </w:tcBorders>
          </w:tcPr>
          <w:p>
            <w:pPr>
              <w:spacing w:after="0"/>
              <w:rPr>
                <w:sz w:val="7"/>
                <w:szCs w:val="7"/>
                <w:color w:val="auto"/>
              </w:rPr>
            </w:pPr>
          </w:p>
        </w:tc>
        <w:tc>
          <w:tcPr>
            <w:tcW w:w="20" w:type="dxa"/>
            <w:vAlign w:val="bottom"/>
            <w:tcBorders>
              <w:top w:val="single" w:sz="8" w:color="0000EE"/>
              <w:bottom w:val="single" w:sz="8" w:color="407CCA"/>
            </w:tcBorders>
          </w:tcPr>
          <w:p>
            <w:pPr>
              <w:spacing w:after="0"/>
              <w:rPr>
                <w:sz w:val="7"/>
                <w:szCs w:val="7"/>
                <w:color w:val="auto"/>
              </w:rPr>
            </w:pPr>
          </w:p>
        </w:tc>
        <w:tc>
          <w:tcPr>
            <w:tcW w:w="320" w:type="dxa"/>
            <w:vAlign w:val="bottom"/>
            <w:tcBorders>
              <w:top w:val="single" w:sz="8" w:color="0000EE"/>
              <w:bottom w:val="single" w:sz="8" w:color="407CCA"/>
            </w:tcBorders>
          </w:tcPr>
          <w:p>
            <w:pPr>
              <w:spacing w:after="0"/>
              <w:rPr>
                <w:sz w:val="7"/>
                <w:szCs w:val="7"/>
                <w:color w:val="auto"/>
              </w:rPr>
            </w:pPr>
          </w:p>
        </w:tc>
        <w:tc>
          <w:tcPr>
            <w:tcW w:w="100" w:type="dxa"/>
            <w:vAlign w:val="bottom"/>
            <w:tcBorders>
              <w:top w:val="single" w:sz="8" w:color="0000EE"/>
              <w:bottom w:val="single" w:sz="8" w:color="407CCA"/>
            </w:tcBorders>
          </w:tcPr>
          <w:p>
            <w:pPr>
              <w:spacing w:after="0"/>
              <w:rPr>
                <w:sz w:val="7"/>
                <w:szCs w:val="7"/>
                <w:color w:val="auto"/>
              </w:rPr>
            </w:pPr>
          </w:p>
        </w:tc>
        <w:tc>
          <w:tcPr>
            <w:tcW w:w="20" w:type="dxa"/>
            <w:vAlign w:val="bottom"/>
            <w:tcBorders>
              <w:top w:val="single" w:sz="8" w:color="0000EE"/>
              <w:bottom w:val="single" w:sz="8" w:color="407CCA"/>
            </w:tcBorders>
          </w:tcPr>
          <w:p>
            <w:pPr>
              <w:spacing w:after="0"/>
              <w:rPr>
                <w:sz w:val="7"/>
                <w:szCs w:val="7"/>
                <w:color w:val="auto"/>
              </w:rPr>
            </w:pPr>
          </w:p>
        </w:tc>
        <w:tc>
          <w:tcPr>
            <w:tcW w:w="260" w:type="dxa"/>
            <w:vAlign w:val="bottom"/>
            <w:tcBorders>
              <w:top w:val="single" w:sz="8" w:color="0000EE"/>
              <w:bottom w:val="single" w:sz="8" w:color="407CCA"/>
            </w:tcBorders>
          </w:tcPr>
          <w:p>
            <w:pPr>
              <w:spacing w:after="0"/>
              <w:rPr>
                <w:sz w:val="7"/>
                <w:szCs w:val="7"/>
                <w:color w:val="auto"/>
              </w:rPr>
            </w:pPr>
          </w:p>
        </w:tc>
        <w:tc>
          <w:tcPr>
            <w:tcW w:w="580" w:type="dxa"/>
            <w:vAlign w:val="bottom"/>
            <w:tcBorders>
              <w:bottom w:val="single" w:sz="8" w:color="407CCA"/>
            </w:tcBorders>
          </w:tcPr>
          <w:p>
            <w:pPr>
              <w:spacing w:after="0"/>
              <w:rPr>
                <w:sz w:val="7"/>
                <w:szCs w:val="7"/>
                <w:color w:val="auto"/>
              </w:rPr>
            </w:pPr>
          </w:p>
        </w:tc>
        <w:tc>
          <w:tcPr>
            <w:tcW w:w="800" w:type="dxa"/>
            <w:vAlign w:val="bottom"/>
            <w:tcBorders>
              <w:bottom w:val="single" w:sz="8" w:color="407CCA"/>
            </w:tcBorders>
          </w:tcPr>
          <w:p>
            <w:pPr>
              <w:spacing w:after="0"/>
              <w:rPr>
                <w:sz w:val="7"/>
                <w:szCs w:val="7"/>
                <w:color w:val="auto"/>
              </w:rPr>
            </w:pPr>
          </w:p>
        </w:tc>
        <w:tc>
          <w:tcPr>
            <w:tcW w:w="640" w:type="dxa"/>
            <w:vAlign w:val="bottom"/>
            <w:tcBorders>
              <w:bottom w:val="single" w:sz="8" w:color="407CCA"/>
            </w:tcBorders>
          </w:tcPr>
          <w:p>
            <w:pPr>
              <w:spacing w:after="0"/>
              <w:rPr>
                <w:sz w:val="7"/>
                <w:szCs w:val="7"/>
                <w:color w:val="auto"/>
              </w:rPr>
            </w:pPr>
          </w:p>
        </w:tc>
        <w:tc>
          <w:tcPr>
            <w:tcW w:w="1100" w:type="dxa"/>
            <w:vAlign w:val="bottom"/>
            <w:tcBorders>
              <w:bottom w:val="single" w:sz="8" w:color="407CCA"/>
            </w:tcBorders>
          </w:tcPr>
          <w:p>
            <w:pPr>
              <w:spacing w:after="0"/>
              <w:rPr>
                <w:sz w:val="7"/>
                <w:szCs w:val="7"/>
                <w:color w:val="auto"/>
              </w:rPr>
            </w:pPr>
          </w:p>
        </w:tc>
        <w:tc>
          <w:tcPr>
            <w:tcW w:w="2440" w:type="dxa"/>
            <w:vAlign w:val="bottom"/>
            <w:tcBorders>
              <w:bottom w:val="single" w:sz="8" w:color="407CCA"/>
            </w:tcBorders>
          </w:tcPr>
          <w:p>
            <w:pPr>
              <w:spacing w:after="0"/>
              <w:rPr>
                <w:sz w:val="7"/>
                <w:szCs w:val="7"/>
                <w:color w:val="auto"/>
              </w:rPr>
            </w:pPr>
          </w:p>
        </w:tc>
        <w:tc>
          <w:tcPr>
            <w:tcW w:w="2680" w:type="dxa"/>
            <w:vAlign w:val="bottom"/>
            <w:tcBorders>
              <w:bottom w:val="single" w:sz="8" w:color="407CCA"/>
            </w:tcBorders>
          </w:tcPr>
          <w:p>
            <w:pPr>
              <w:spacing w:after="0"/>
              <w:rPr>
                <w:sz w:val="7"/>
                <w:szCs w:val="7"/>
                <w:color w:val="auto"/>
              </w:rPr>
            </w:pPr>
          </w:p>
        </w:tc>
      </w:tr>
    </w:tbl>
    <w:p>
      <w:pPr>
        <w:spacing w:after="0" w:line="130" w:lineRule="exact"/>
        <w:rPr>
          <w:sz w:val="20"/>
          <w:szCs w:val="20"/>
          <w:color w:val="auto"/>
        </w:rPr>
      </w:pPr>
    </w:p>
    <w:p>
      <w:pPr>
        <w:jc w:val="right"/>
        <w:spacing w:after="0"/>
        <w:tabs>
          <w:tab w:leader="none" w:pos="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i</w:t>
      </w:r>
    </w:p>
    <w:p>
      <w:pPr>
        <w:sectPr>
          <w:pgSz w:w="11900" w:h="16838" w:orient="portrait"/>
          <w:cols w:equalWidth="0" w:num="1">
            <w:col w:w="11140"/>
          </w:cols>
          <w:pgMar w:left="320" w:top="459" w:right="439" w:bottom="1440" w:gutter="0" w:footer="0" w:header="0"/>
        </w:sectPr>
      </w:pPr>
    </w:p>
    <w:bookmarkStart w:id="12" w:name="page13"/>
    <w:bookmarkEnd w:id="12"/>
    <w:tbl>
      <w:tblPr>
        <w:tblLayout w:type="fixed"/>
        <w:tblInd w:w="0" w:type="dxa"/>
        <w:tblCellMar>
          <w:top w:w="0" w:type="dxa"/>
          <w:left w:w="0" w:type="dxa"/>
          <w:bottom w:w="0" w:type="dxa"/>
          <w:right w:w="0" w:type="dxa"/>
        </w:tblCellMar>
      </w:tblPr>
      <w:tr>
        <w:trPr>
          <w:trHeight w:val="207"/>
        </w:trPr>
        <w:tc>
          <w:tcPr>
            <w:tcW w:w="1360" w:type="dxa"/>
            <w:vAlign w:val="bottom"/>
            <w:tcBorders>
              <w:bottom w:val="single" w:sz="8" w:color="0000EE"/>
            </w:tcBorders>
            <w:gridSpan w:val="6"/>
          </w:tcPr>
          <w:p>
            <w:pPr>
              <w:spacing w:after="0"/>
              <w:rPr>
                <w:rFonts w:ascii="Arial" w:cs="Arial" w:eastAsia="Arial" w:hAnsi="Arial"/>
                <w:sz w:val="18"/>
                <w:szCs w:val="18"/>
                <w:b w:val="1"/>
                <w:bCs w:val="1"/>
                <w:color w:val="0000EE"/>
                <w:w w:val="88"/>
              </w:rPr>
            </w:pPr>
            <w:hyperlink w:anchor="page12">
              <w:r>
                <w:rPr>
                  <w:rFonts w:ascii="Arial" w:cs="Arial" w:eastAsia="Arial" w:hAnsi="Arial"/>
                  <w:sz w:val="18"/>
                  <w:szCs w:val="18"/>
                  <w:b w:val="1"/>
                  <w:bCs w:val="1"/>
                  <w:color w:val="0000EE"/>
                  <w:w w:val="88"/>
                </w:rPr>
                <w:t>Table of Contents</w:t>
              </w:r>
            </w:hyperlink>
          </w:p>
        </w:tc>
        <w:tc>
          <w:tcPr>
            <w:tcW w:w="8660" w:type="dxa"/>
            <w:vAlign w:val="bottom"/>
            <w:gridSpan w:val="27"/>
          </w:tcPr>
          <w:p>
            <w:pPr>
              <w:spacing w:after="0"/>
              <w:rPr>
                <w:sz w:val="17"/>
                <w:szCs w:val="17"/>
                <w:color w:val="auto"/>
              </w:rPr>
            </w:pPr>
          </w:p>
        </w:tc>
        <w:tc>
          <w:tcPr>
            <w:tcW w:w="1120" w:type="dxa"/>
            <w:vAlign w:val="bottom"/>
          </w:tcPr>
          <w:p>
            <w:pPr>
              <w:spacing w:after="0"/>
              <w:rPr>
                <w:sz w:val="17"/>
                <w:szCs w:val="17"/>
                <w:color w:val="auto"/>
              </w:rPr>
            </w:pPr>
          </w:p>
        </w:tc>
      </w:tr>
      <w:tr>
        <w:trPr>
          <w:trHeight w:val="601"/>
        </w:trPr>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920" w:type="dxa"/>
            <w:vAlign w:val="bottom"/>
            <w:tcBorders>
              <w:bottom w:val="single" w:sz="8" w:color="0000EE"/>
            </w:tcBorders>
            <w:gridSpan w:val="5"/>
          </w:tcPr>
          <w:p>
            <w:pPr>
              <w:spacing w:after="0"/>
              <w:rPr>
                <w:rFonts w:ascii="Arial" w:cs="Arial" w:eastAsia="Arial" w:hAnsi="Arial"/>
                <w:sz w:val="18"/>
                <w:szCs w:val="18"/>
                <w:b w:val="1"/>
                <w:bCs w:val="1"/>
                <w:color w:val="0000EE"/>
                <w:w w:val="88"/>
              </w:rPr>
            </w:pPr>
            <w:hyperlink w:anchor="page43">
              <w:r>
                <w:rPr>
                  <w:rFonts w:ascii="Arial" w:cs="Arial" w:eastAsia="Arial" w:hAnsi="Arial"/>
                  <w:sz w:val="18"/>
                  <w:szCs w:val="18"/>
                  <w:b w:val="1"/>
                  <w:bCs w:val="1"/>
                  <w:color w:val="0000EE"/>
                  <w:w w:val="88"/>
                </w:rPr>
                <w:t>Executive Compensation</w:t>
              </w:r>
            </w:hyperlink>
          </w:p>
        </w:tc>
        <w:tc>
          <w:tcPr>
            <w:tcW w:w="7900" w:type="dxa"/>
            <w:vAlign w:val="bottom"/>
            <w:gridSpan w:val="26"/>
          </w:tcPr>
          <w:p>
            <w:pPr>
              <w:spacing w:after="0"/>
              <w:rPr>
                <w:sz w:val="24"/>
                <w:szCs w:val="24"/>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30</w:t>
            </w:r>
          </w:p>
        </w:tc>
      </w:tr>
      <w:tr>
        <w:trPr>
          <w:trHeight w:val="318"/>
        </w:trPr>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9320" w:type="dxa"/>
            <w:vAlign w:val="bottom"/>
            <w:gridSpan w:val="29"/>
          </w:tcPr>
          <w:p>
            <w:pPr>
              <w:ind w:left="20"/>
              <w:spacing w:after="0"/>
              <w:rPr>
                <w:rFonts w:ascii="Arial" w:cs="Arial" w:eastAsia="Arial" w:hAnsi="Arial"/>
                <w:sz w:val="18"/>
                <w:szCs w:val="18"/>
                <w:color w:val="0000EE"/>
              </w:rPr>
            </w:pPr>
            <w:hyperlink w:anchor="page43">
              <w:r>
                <w:rPr>
                  <w:rFonts w:ascii="Arial" w:cs="Arial" w:eastAsia="Arial" w:hAnsi="Arial"/>
                  <w:sz w:val="18"/>
                  <w:szCs w:val="18"/>
                  <w:color w:val="0000EE"/>
                </w:rPr>
                <w:t>Compensation Discussion and Analysis</w:t>
              </w:r>
            </w:hyperlink>
          </w:p>
        </w:tc>
        <w:tc>
          <w:tcPr>
            <w:tcW w:w="1120" w:type="dxa"/>
            <w:vAlign w:val="bottom"/>
          </w:tcPr>
          <w:p>
            <w:pPr>
              <w:jc w:val="right"/>
              <w:spacing w:after="0"/>
              <w:rPr>
                <w:sz w:val="20"/>
                <w:szCs w:val="20"/>
                <w:color w:val="auto"/>
              </w:rPr>
            </w:pPr>
            <w:r>
              <w:rPr>
                <w:rFonts w:ascii="Arial" w:cs="Arial" w:eastAsia="Arial" w:hAnsi="Arial"/>
                <w:sz w:val="18"/>
                <w:szCs w:val="18"/>
                <w:color w:val="auto"/>
              </w:rPr>
              <w:t>30</w:t>
            </w:r>
          </w:p>
        </w:tc>
      </w:tr>
      <w:tr>
        <w:trPr>
          <w:trHeight w:val="20"/>
        </w:trPr>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600" w:type="dxa"/>
            <w:vAlign w:val="bottom"/>
            <w:shd w:val="clear" w:color="auto" w:fill="0000EE"/>
          </w:tcPr>
          <w:p>
            <w:pPr>
              <w:spacing w:after="0" w:line="20" w:lineRule="exact"/>
              <w:rPr>
                <w:sz w:val="1"/>
                <w:szCs w:val="1"/>
                <w:color w:val="auto"/>
              </w:rPr>
            </w:pPr>
          </w:p>
        </w:tc>
        <w:tc>
          <w:tcPr>
            <w:tcW w:w="1400" w:type="dxa"/>
            <w:vAlign w:val="bottom"/>
            <w:gridSpan w:val="3"/>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440" w:type="dxa"/>
            <w:vAlign w:val="bottom"/>
            <w:shd w:val="clear" w:color="auto" w:fill="0000EE"/>
          </w:tcPr>
          <w:p>
            <w:pPr>
              <w:spacing w:after="0" w:line="20" w:lineRule="exact"/>
              <w:rPr>
                <w:sz w:val="1"/>
                <w:szCs w:val="1"/>
                <w:color w:val="auto"/>
              </w:rPr>
            </w:pPr>
          </w:p>
        </w:tc>
        <w:tc>
          <w:tcPr>
            <w:tcW w:w="220" w:type="dxa"/>
            <w:vAlign w:val="bottom"/>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3160" w:type="dxa"/>
            <w:vAlign w:val="bottom"/>
          </w:tcPr>
          <w:p>
            <w:pPr>
              <w:spacing w:after="0" w:line="20" w:lineRule="exact"/>
              <w:rPr>
                <w:sz w:val="1"/>
                <w:szCs w:val="1"/>
                <w:color w:val="auto"/>
              </w:rPr>
            </w:pPr>
          </w:p>
        </w:tc>
        <w:tc>
          <w:tcPr>
            <w:tcW w:w="880" w:type="dxa"/>
            <w:vAlign w:val="bottom"/>
          </w:tcPr>
          <w:p>
            <w:pPr>
              <w:spacing w:after="0" w:line="20" w:lineRule="exact"/>
              <w:rPr>
                <w:sz w:val="1"/>
                <w:szCs w:val="1"/>
                <w:color w:val="auto"/>
              </w:rPr>
            </w:pPr>
          </w:p>
        </w:tc>
        <w:tc>
          <w:tcPr>
            <w:tcW w:w="1120" w:type="dxa"/>
            <w:vAlign w:val="bottom"/>
          </w:tcPr>
          <w:p>
            <w:pPr>
              <w:spacing w:after="0" w:line="20" w:lineRule="exact"/>
              <w:rPr>
                <w:sz w:val="1"/>
                <w:szCs w:val="1"/>
                <w:color w:val="auto"/>
              </w:rPr>
            </w:pPr>
          </w:p>
        </w:tc>
      </w:tr>
      <w:tr>
        <w:trPr>
          <w:trHeight w:val="250"/>
        </w:trPr>
        <w:tc>
          <w:tcPr>
            <w:tcW w:w="1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600" w:type="dxa"/>
            <w:vAlign w:val="bottom"/>
          </w:tcPr>
          <w:p>
            <w:pPr>
              <w:spacing w:after="0"/>
              <w:rPr>
                <w:sz w:val="21"/>
                <w:szCs w:val="21"/>
                <w:color w:val="auto"/>
              </w:rPr>
            </w:pPr>
          </w:p>
        </w:tc>
        <w:tc>
          <w:tcPr>
            <w:tcW w:w="2340" w:type="dxa"/>
            <w:vAlign w:val="bottom"/>
            <w:tcBorders>
              <w:bottom w:val="single" w:sz="8" w:color="0000EE"/>
            </w:tcBorders>
            <w:gridSpan w:val="11"/>
          </w:tcPr>
          <w:p>
            <w:pPr>
              <w:spacing w:after="0"/>
              <w:rPr>
                <w:rFonts w:ascii="Arial" w:cs="Arial" w:eastAsia="Arial" w:hAnsi="Arial"/>
                <w:sz w:val="18"/>
                <w:szCs w:val="18"/>
                <w:color w:val="0000EE"/>
                <w:w w:val="91"/>
              </w:rPr>
            </w:pPr>
            <w:hyperlink w:anchor="page43">
              <w:r>
                <w:rPr>
                  <w:rFonts w:ascii="Arial" w:cs="Arial" w:eastAsia="Arial" w:hAnsi="Arial"/>
                  <w:sz w:val="18"/>
                  <w:szCs w:val="18"/>
                  <w:color w:val="0000EE"/>
                  <w:w w:val="91"/>
                </w:rPr>
                <w:t>2019 Named Executive Officers</w:t>
              </w:r>
            </w:hyperlink>
          </w:p>
        </w:tc>
        <w:tc>
          <w:tcPr>
            <w:tcW w:w="6380" w:type="dxa"/>
            <w:vAlign w:val="bottom"/>
            <w:gridSpan w:val="17"/>
          </w:tcPr>
          <w:p>
            <w:pPr>
              <w:spacing w:after="0"/>
              <w:rPr>
                <w:sz w:val="21"/>
                <w:szCs w:val="21"/>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30</w:t>
            </w:r>
          </w:p>
        </w:tc>
      </w:tr>
      <w:tr>
        <w:trPr>
          <w:trHeight w:val="250"/>
        </w:trPr>
        <w:tc>
          <w:tcPr>
            <w:tcW w:w="1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600" w:type="dxa"/>
            <w:vAlign w:val="bottom"/>
          </w:tcPr>
          <w:p>
            <w:pPr>
              <w:spacing w:after="0"/>
              <w:rPr>
                <w:sz w:val="21"/>
                <w:szCs w:val="21"/>
                <w:color w:val="auto"/>
              </w:rPr>
            </w:pPr>
          </w:p>
        </w:tc>
        <w:tc>
          <w:tcPr>
            <w:tcW w:w="1480" w:type="dxa"/>
            <w:vAlign w:val="bottom"/>
            <w:tcBorders>
              <w:bottom w:val="single" w:sz="8" w:color="0000EE"/>
            </w:tcBorders>
            <w:gridSpan w:val="5"/>
          </w:tcPr>
          <w:p>
            <w:pPr>
              <w:spacing w:after="0"/>
              <w:rPr>
                <w:rFonts w:ascii="Arial" w:cs="Arial" w:eastAsia="Arial" w:hAnsi="Arial"/>
                <w:sz w:val="18"/>
                <w:szCs w:val="18"/>
                <w:color w:val="0000EE"/>
                <w:w w:val="91"/>
              </w:rPr>
            </w:pPr>
            <w:hyperlink w:anchor="page43">
              <w:r>
                <w:rPr>
                  <w:rFonts w:ascii="Arial" w:cs="Arial" w:eastAsia="Arial" w:hAnsi="Arial"/>
                  <w:sz w:val="18"/>
                  <w:szCs w:val="18"/>
                  <w:color w:val="0000EE"/>
                  <w:w w:val="91"/>
                </w:rPr>
                <w:t>Executive Summary</w:t>
              </w:r>
            </w:hyperlink>
          </w:p>
        </w:tc>
        <w:tc>
          <w:tcPr>
            <w:tcW w:w="7240" w:type="dxa"/>
            <w:vAlign w:val="bottom"/>
            <w:gridSpan w:val="23"/>
          </w:tcPr>
          <w:p>
            <w:pPr>
              <w:spacing w:after="0"/>
              <w:rPr>
                <w:sz w:val="21"/>
                <w:szCs w:val="21"/>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30</w:t>
            </w:r>
          </w:p>
        </w:tc>
      </w:tr>
      <w:tr>
        <w:trPr>
          <w:trHeight w:val="250"/>
        </w:trPr>
        <w:tc>
          <w:tcPr>
            <w:tcW w:w="1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600" w:type="dxa"/>
            <w:vAlign w:val="bottom"/>
          </w:tcPr>
          <w:p>
            <w:pPr>
              <w:spacing w:after="0"/>
              <w:rPr>
                <w:sz w:val="21"/>
                <w:szCs w:val="21"/>
                <w:color w:val="auto"/>
              </w:rPr>
            </w:pPr>
          </w:p>
        </w:tc>
        <w:tc>
          <w:tcPr>
            <w:tcW w:w="1400" w:type="dxa"/>
            <w:vAlign w:val="bottom"/>
            <w:tcBorders>
              <w:bottom w:val="single" w:sz="8" w:color="0000EE"/>
            </w:tcBorders>
            <w:gridSpan w:val="3"/>
          </w:tcPr>
          <w:p>
            <w:pPr>
              <w:spacing w:after="0"/>
              <w:rPr>
                <w:rFonts w:ascii="Arial" w:cs="Arial" w:eastAsia="Arial" w:hAnsi="Arial"/>
                <w:sz w:val="18"/>
                <w:szCs w:val="18"/>
                <w:color w:val="0000EE"/>
                <w:w w:val="90"/>
              </w:rPr>
            </w:pPr>
            <w:hyperlink w:anchor="page43">
              <w:r>
                <w:rPr>
                  <w:rFonts w:ascii="Arial" w:cs="Arial" w:eastAsia="Arial" w:hAnsi="Arial"/>
                  <w:sz w:val="18"/>
                  <w:szCs w:val="18"/>
                  <w:color w:val="0000EE"/>
                  <w:w w:val="90"/>
                </w:rPr>
                <w:t>Business Overview</w:t>
              </w:r>
            </w:hyperlink>
          </w:p>
        </w:tc>
        <w:tc>
          <w:tcPr>
            <w:tcW w:w="7320" w:type="dxa"/>
            <w:vAlign w:val="bottom"/>
            <w:gridSpan w:val="25"/>
          </w:tcPr>
          <w:p>
            <w:pPr>
              <w:spacing w:after="0"/>
              <w:rPr>
                <w:sz w:val="21"/>
                <w:szCs w:val="21"/>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30</w:t>
            </w:r>
          </w:p>
        </w:tc>
      </w:tr>
      <w:tr>
        <w:trPr>
          <w:trHeight w:val="250"/>
        </w:trPr>
        <w:tc>
          <w:tcPr>
            <w:tcW w:w="1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600" w:type="dxa"/>
            <w:vAlign w:val="bottom"/>
          </w:tcPr>
          <w:p>
            <w:pPr>
              <w:spacing w:after="0"/>
              <w:rPr>
                <w:sz w:val="21"/>
                <w:szCs w:val="21"/>
                <w:color w:val="auto"/>
              </w:rPr>
            </w:pPr>
          </w:p>
        </w:tc>
        <w:tc>
          <w:tcPr>
            <w:tcW w:w="8720" w:type="dxa"/>
            <w:vAlign w:val="bottom"/>
            <w:gridSpan w:val="28"/>
          </w:tcPr>
          <w:p>
            <w:pPr>
              <w:spacing w:after="0"/>
              <w:rPr>
                <w:rFonts w:ascii="Arial" w:cs="Arial" w:eastAsia="Arial" w:hAnsi="Arial"/>
                <w:sz w:val="18"/>
                <w:szCs w:val="18"/>
                <w:color w:val="0000EE"/>
              </w:rPr>
            </w:pPr>
            <w:hyperlink w:anchor="page45">
              <w:r>
                <w:rPr>
                  <w:rFonts w:ascii="Arial" w:cs="Arial" w:eastAsia="Arial" w:hAnsi="Arial"/>
                  <w:sz w:val="18"/>
                  <w:szCs w:val="18"/>
                  <w:color w:val="0000EE"/>
                </w:rPr>
                <w:t>Recent Performance</w:t>
              </w:r>
            </w:hyperlink>
          </w:p>
        </w:tc>
        <w:tc>
          <w:tcPr>
            <w:tcW w:w="1120" w:type="dxa"/>
            <w:vAlign w:val="bottom"/>
          </w:tcPr>
          <w:p>
            <w:pPr>
              <w:jc w:val="right"/>
              <w:spacing w:after="0"/>
              <w:rPr>
                <w:sz w:val="20"/>
                <w:szCs w:val="20"/>
                <w:color w:val="auto"/>
              </w:rPr>
            </w:pPr>
            <w:r>
              <w:rPr>
                <w:rFonts w:ascii="Arial" w:cs="Arial" w:eastAsia="Arial" w:hAnsi="Arial"/>
                <w:sz w:val="18"/>
                <w:szCs w:val="18"/>
                <w:color w:val="auto"/>
              </w:rPr>
              <w:t>32</w:t>
            </w:r>
          </w:p>
        </w:tc>
      </w:tr>
      <w:tr>
        <w:trPr>
          <w:trHeight w:val="20"/>
        </w:trPr>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1460" w:type="dxa"/>
            <w:vAlign w:val="bottom"/>
            <w:gridSpan w:val="4"/>
            <w:shd w:val="clear" w:color="auto" w:fill="0000EE"/>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24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gridSpan w:val="2"/>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3160" w:type="dxa"/>
            <w:vAlign w:val="bottom"/>
          </w:tcPr>
          <w:p>
            <w:pPr>
              <w:spacing w:after="0" w:line="20" w:lineRule="exact"/>
              <w:rPr>
                <w:sz w:val="1"/>
                <w:szCs w:val="1"/>
                <w:color w:val="auto"/>
              </w:rPr>
            </w:pPr>
          </w:p>
        </w:tc>
        <w:tc>
          <w:tcPr>
            <w:tcW w:w="880" w:type="dxa"/>
            <w:vAlign w:val="bottom"/>
          </w:tcPr>
          <w:p>
            <w:pPr>
              <w:spacing w:after="0" w:line="20" w:lineRule="exact"/>
              <w:rPr>
                <w:sz w:val="1"/>
                <w:szCs w:val="1"/>
                <w:color w:val="auto"/>
              </w:rPr>
            </w:pPr>
          </w:p>
        </w:tc>
        <w:tc>
          <w:tcPr>
            <w:tcW w:w="1120" w:type="dxa"/>
            <w:vAlign w:val="bottom"/>
          </w:tcPr>
          <w:p>
            <w:pPr>
              <w:spacing w:after="0" w:line="20" w:lineRule="exact"/>
              <w:rPr>
                <w:sz w:val="1"/>
                <w:szCs w:val="1"/>
                <w:color w:val="auto"/>
              </w:rPr>
            </w:pPr>
          </w:p>
        </w:tc>
      </w:tr>
      <w:tr>
        <w:trPr>
          <w:trHeight w:val="250"/>
        </w:trPr>
        <w:tc>
          <w:tcPr>
            <w:tcW w:w="1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600" w:type="dxa"/>
            <w:vAlign w:val="bottom"/>
          </w:tcPr>
          <w:p>
            <w:pPr>
              <w:spacing w:after="0"/>
              <w:rPr>
                <w:sz w:val="21"/>
                <w:szCs w:val="21"/>
                <w:color w:val="auto"/>
              </w:rPr>
            </w:pPr>
          </w:p>
        </w:tc>
        <w:tc>
          <w:tcPr>
            <w:tcW w:w="3020" w:type="dxa"/>
            <w:vAlign w:val="bottom"/>
            <w:tcBorders>
              <w:bottom w:val="single" w:sz="8" w:color="0000EE"/>
            </w:tcBorders>
            <w:gridSpan w:val="18"/>
          </w:tcPr>
          <w:p>
            <w:pPr>
              <w:spacing w:after="0"/>
              <w:rPr>
                <w:rFonts w:ascii="Arial" w:cs="Arial" w:eastAsia="Arial" w:hAnsi="Arial"/>
                <w:sz w:val="18"/>
                <w:szCs w:val="18"/>
                <w:color w:val="0000EE"/>
                <w:w w:val="90"/>
              </w:rPr>
            </w:pPr>
            <w:hyperlink w:anchor="page47">
              <w:r>
                <w:rPr>
                  <w:rFonts w:ascii="Arial" w:cs="Arial" w:eastAsia="Arial" w:hAnsi="Arial"/>
                  <w:sz w:val="18"/>
                  <w:szCs w:val="18"/>
                  <w:color w:val="0000EE"/>
                  <w:w w:val="90"/>
                </w:rPr>
                <w:t>Compensation Philosophy and Objectives</w:t>
              </w:r>
            </w:hyperlink>
          </w:p>
        </w:tc>
        <w:tc>
          <w:tcPr>
            <w:tcW w:w="5700" w:type="dxa"/>
            <w:vAlign w:val="bottom"/>
            <w:gridSpan w:val="10"/>
          </w:tcPr>
          <w:p>
            <w:pPr>
              <w:spacing w:after="0"/>
              <w:rPr>
                <w:sz w:val="21"/>
                <w:szCs w:val="21"/>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34</w:t>
            </w:r>
          </w:p>
        </w:tc>
      </w:tr>
      <w:tr>
        <w:trPr>
          <w:trHeight w:val="250"/>
        </w:trPr>
        <w:tc>
          <w:tcPr>
            <w:tcW w:w="1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600" w:type="dxa"/>
            <w:vAlign w:val="bottom"/>
          </w:tcPr>
          <w:p>
            <w:pPr>
              <w:spacing w:after="0"/>
              <w:rPr>
                <w:sz w:val="21"/>
                <w:szCs w:val="21"/>
                <w:color w:val="auto"/>
              </w:rPr>
            </w:pPr>
          </w:p>
        </w:tc>
        <w:tc>
          <w:tcPr>
            <w:tcW w:w="7840" w:type="dxa"/>
            <w:vAlign w:val="bottom"/>
            <w:tcBorders>
              <w:bottom w:val="single" w:sz="8" w:color="0000EE"/>
            </w:tcBorders>
            <w:gridSpan w:val="27"/>
          </w:tcPr>
          <w:p>
            <w:pPr>
              <w:spacing w:after="0"/>
              <w:rPr>
                <w:rFonts w:ascii="Arial" w:cs="Arial" w:eastAsia="Arial" w:hAnsi="Arial"/>
                <w:sz w:val="18"/>
                <w:szCs w:val="18"/>
                <w:color w:val="0000EE"/>
                <w:w w:val="89"/>
              </w:rPr>
            </w:pPr>
            <w:hyperlink w:anchor="page48">
              <w:r>
                <w:rPr>
                  <w:rFonts w:ascii="Arial" w:cs="Arial" w:eastAsia="Arial" w:hAnsi="Arial"/>
                  <w:sz w:val="18"/>
                  <w:szCs w:val="18"/>
                  <w:color w:val="0000EE"/>
                  <w:w w:val="89"/>
                </w:rPr>
                <w:t>Stockholder Engagement and Response to 2018 and 2019 Advisory Resolutions on Executive Compensation</w:t>
              </w:r>
            </w:hyperlink>
          </w:p>
        </w:tc>
        <w:tc>
          <w:tcPr>
            <w:tcW w:w="880" w:type="dxa"/>
            <w:vAlign w:val="bottom"/>
          </w:tcPr>
          <w:p>
            <w:pPr>
              <w:spacing w:after="0"/>
              <w:rPr>
                <w:sz w:val="21"/>
                <w:szCs w:val="21"/>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35</w:t>
            </w:r>
          </w:p>
        </w:tc>
      </w:tr>
      <w:tr>
        <w:trPr>
          <w:trHeight w:val="250"/>
        </w:trPr>
        <w:tc>
          <w:tcPr>
            <w:tcW w:w="1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600" w:type="dxa"/>
            <w:vAlign w:val="bottom"/>
          </w:tcPr>
          <w:p>
            <w:pPr>
              <w:spacing w:after="0"/>
              <w:rPr>
                <w:sz w:val="21"/>
                <w:szCs w:val="21"/>
                <w:color w:val="auto"/>
              </w:rPr>
            </w:pPr>
          </w:p>
        </w:tc>
        <w:tc>
          <w:tcPr>
            <w:tcW w:w="8720" w:type="dxa"/>
            <w:vAlign w:val="bottom"/>
            <w:gridSpan w:val="28"/>
          </w:tcPr>
          <w:p>
            <w:pPr>
              <w:spacing w:after="0"/>
              <w:rPr>
                <w:rFonts w:ascii="Arial" w:cs="Arial" w:eastAsia="Arial" w:hAnsi="Arial"/>
                <w:sz w:val="18"/>
                <w:szCs w:val="18"/>
                <w:color w:val="0000EE"/>
              </w:rPr>
            </w:pPr>
            <w:hyperlink w:anchor="page51">
              <w:r>
                <w:rPr>
                  <w:rFonts w:ascii="Arial" w:cs="Arial" w:eastAsia="Arial" w:hAnsi="Arial"/>
                  <w:sz w:val="18"/>
                  <w:szCs w:val="18"/>
                  <w:color w:val="0000EE"/>
                </w:rPr>
                <w:t>Compensation Program in Context</w:t>
              </w:r>
            </w:hyperlink>
          </w:p>
        </w:tc>
        <w:tc>
          <w:tcPr>
            <w:tcW w:w="1120" w:type="dxa"/>
            <w:vAlign w:val="bottom"/>
          </w:tcPr>
          <w:p>
            <w:pPr>
              <w:jc w:val="right"/>
              <w:spacing w:after="0"/>
              <w:rPr>
                <w:sz w:val="20"/>
                <w:szCs w:val="20"/>
                <w:color w:val="auto"/>
              </w:rPr>
            </w:pPr>
            <w:r>
              <w:rPr>
                <w:rFonts w:ascii="Arial" w:cs="Arial" w:eastAsia="Arial" w:hAnsi="Arial"/>
                <w:sz w:val="18"/>
                <w:szCs w:val="18"/>
                <w:color w:val="auto"/>
              </w:rPr>
              <w:t>38</w:t>
            </w:r>
          </w:p>
        </w:tc>
      </w:tr>
      <w:tr>
        <w:trPr>
          <w:trHeight w:val="20"/>
        </w:trPr>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1600" w:type="dxa"/>
            <w:vAlign w:val="bottom"/>
            <w:gridSpan w:val="6"/>
            <w:shd w:val="clear" w:color="auto" w:fill="0000EE"/>
          </w:tcPr>
          <w:p>
            <w:pPr>
              <w:spacing w:after="0" w:line="20" w:lineRule="exact"/>
              <w:rPr>
                <w:sz w:val="1"/>
                <w:szCs w:val="1"/>
                <w:color w:val="auto"/>
              </w:rPr>
            </w:pPr>
          </w:p>
        </w:tc>
        <w:tc>
          <w:tcPr>
            <w:tcW w:w="440" w:type="dxa"/>
            <w:vAlign w:val="bottom"/>
            <w:shd w:val="clear" w:color="auto" w:fill="0000EE"/>
          </w:tcPr>
          <w:p>
            <w:pPr>
              <w:spacing w:after="0" w:line="20" w:lineRule="exact"/>
              <w:rPr>
                <w:sz w:val="1"/>
                <w:szCs w:val="1"/>
                <w:color w:val="auto"/>
              </w:rPr>
            </w:pPr>
          </w:p>
        </w:tc>
        <w:tc>
          <w:tcPr>
            <w:tcW w:w="240" w:type="dxa"/>
            <w:vAlign w:val="bottom"/>
            <w:gridSpan w:val="2"/>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100" w:type="dxa"/>
            <w:vAlign w:val="bottom"/>
            <w:gridSpan w:val="2"/>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4040" w:type="dxa"/>
            <w:vAlign w:val="bottom"/>
            <w:gridSpan w:val="2"/>
          </w:tcPr>
          <w:p>
            <w:pPr>
              <w:spacing w:after="0" w:line="20" w:lineRule="exact"/>
              <w:rPr>
                <w:sz w:val="1"/>
                <w:szCs w:val="1"/>
                <w:color w:val="auto"/>
              </w:rPr>
            </w:pPr>
          </w:p>
        </w:tc>
        <w:tc>
          <w:tcPr>
            <w:tcW w:w="1120" w:type="dxa"/>
            <w:vAlign w:val="bottom"/>
          </w:tcPr>
          <w:p>
            <w:pPr>
              <w:spacing w:after="0" w:line="20" w:lineRule="exact"/>
              <w:rPr>
                <w:sz w:val="1"/>
                <w:szCs w:val="1"/>
                <w:color w:val="auto"/>
              </w:rPr>
            </w:pPr>
          </w:p>
        </w:tc>
      </w:tr>
      <w:tr>
        <w:trPr>
          <w:trHeight w:val="250"/>
        </w:trPr>
        <w:tc>
          <w:tcPr>
            <w:tcW w:w="1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600" w:type="dxa"/>
            <w:vAlign w:val="bottom"/>
          </w:tcPr>
          <w:p>
            <w:pPr>
              <w:spacing w:after="0"/>
              <w:rPr>
                <w:sz w:val="21"/>
                <w:szCs w:val="21"/>
                <w:color w:val="auto"/>
              </w:rPr>
            </w:pPr>
          </w:p>
        </w:tc>
        <w:tc>
          <w:tcPr>
            <w:tcW w:w="2660" w:type="dxa"/>
            <w:vAlign w:val="bottom"/>
            <w:tcBorders>
              <w:bottom w:val="single" w:sz="8" w:color="0000EE"/>
            </w:tcBorders>
            <w:gridSpan w:val="15"/>
          </w:tcPr>
          <w:p>
            <w:pPr>
              <w:spacing w:after="0"/>
              <w:rPr>
                <w:rFonts w:ascii="Arial" w:cs="Arial" w:eastAsia="Arial" w:hAnsi="Arial"/>
                <w:sz w:val="18"/>
                <w:szCs w:val="18"/>
                <w:color w:val="0000EE"/>
                <w:w w:val="88"/>
              </w:rPr>
            </w:pPr>
            <w:hyperlink w:anchor="page54">
              <w:r>
                <w:rPr>
                  <w:rFonts w:ascii="Arial" w:cs="Arial" w:eastAsia="Arial" w:hAnsi="Arial"/>
                  <w:sz w:val="18"/>
                  <w:szCs w:val="18"/>
                  <w:color w:val="0000EE"/>
                  <w:w w:val="88"/>
                </w:rPr>
                <w:t>Compensation Governance Practices</w:t>
              </w:r>
            </w:hyperlink>
          </w:p>
        </w:tc>
        <w:tc>
          <w:tcPr>
            <w:tcW w:w="6060" w:type="dxa"/>
            <w:vAlign w:val="bottom"/>
            <w:gridSpan w:val="13"/>
          </w:tcPr>
          <w:p>
            <w:pPr>
              <w:spacing w:after="0"/>
              <w:rPr>
                <w:sz w:val="21"/>
                <w:szCs w:val="21"/>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41</w:t>
            </w:r>
          </w:p>
        </w:tc>
      </w:tr>
      <w:tr>
        <w:trPr>
          <w:trHeight w:val="250"/>
        </w:trPr>
        <w:tc>
          <w:tcPr>
            <w:tcW w:w="1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600" w:type="dxa"/>
            <w:vAlign w:val="bottom"/>
          </w:tcPr>
          <w:p>
            <w:pPr>
              <w:spacing w:after="0"/>
              <w:rPr>
                <w:sz w:val="21"/>
                <w:szCs w:val="21"/>
                <w:color w:val="auto"/>
              </w:rPr>
            </w:pPr>
          </w:p>
        </w:tc>
        <w:tc>
          <w:tcPr>
            <w:tcW w:w="8720" w:type="dxa"/>
            <w:vAlign w:val="bottom"/>
            <w:gridSpan w:val="28"/>
          </w:tcPr>
          <w:p>
            <w:pPr>
              <w:spacing w:after="0"/>
              <w:rPr>
                <w:rFonts w:ascii="Arial" w:cs="Arial" w:eastAsia="Arial" w:hAnsi="Arial"/>
                <w:sz w:val="18"/>
                <w:szCs w:val="18"/>
                <w:color w:val="0000EE"/>
              </w:rPr>
            </w:pPr>
            <w:hyperlink w:anchor="page55">
              <w:r>
                <w:rPr>
                  <w:rFonts w:ascii="Arial" w:cs="Arial" w:eastAsia="Arial" w:hAnsi="Arial"/>
                  <w:sz w:val="18"/>
                  <w:szCs w:val="18"/>
                  <w:color w:val="0000EE"/>
                </w:rPr>
                <w:t>Compensation Program Elements</w:t>
              </w:r>
            </w:hyperlink>
          </w:p>
        </w:tc>
        <w:tc>
          <w:tcPr>
            <w:tcW w:w="1120" w:type="dxa"/>
            <w:vAlign w:val="bottom"/>
          </w:tcPr>
          <w:p>
            <w:pPr>
              <w:jc w:val="right"/>
              <w:spacing w:after="0"/>
              <w:rPr>
                <w:sz w:val="20"/>
                <w:szCs w:val="20"/>
                <w:color w:val="auto"/>
              </w:rPr>
            </w:pPr>
            <w:r>
              <w:rPr>
                <w:rFonts w:ascii="Arial" w:cs="Arial" w:eastAsia="Arial" w:hAnsi="Arial"/>
                <w:sz w:val="18"/>
                <w:szCs w:val="18"/>
                <w:color w:val="auto"/>
              </w:rPr>
              <w:t>42</w:t>
            </w:r>
          </w:p>
        </w:tc>
      </w:tr>
      <w:tr>
        <w:trPr>
          <w:trHeight w:val="20"/>
        </w:trPr>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1600" w:type="dxa"/>
            <w:vAlign w:val="bottom"/>
            <w:gridSpan w:val="6"/>
            <w:shd w:val="clear" w:color="auto" w:fill="0000EE"/>
          </w:tcPr>
          <w:p>
            <w:pPr>
              <w:spacing w:after="0" w:line="20" w:lineRule="exact"/>
              <w:rPr>
                <w:sz w:val="1"/>
                <w:szCs w:val="1"/>
                <w:color w:val="auto"/>
              </w:rPr>
            </w:pPr>
          </w:p>
        </w:tc>
        <w:tc>
          <w:tcPr>
            <w:tcW w:w="440" w:type="dxa"/>
            <w:vAlign w:val="bottom"/>
            <w:shd w:val="clear" w:color="auto" w:fill="0000EE"/>
          </w:tcPr>
          <w:p>
            <w:pPr>
              <w:spacing w:after="0" w:line="20" w:lineRule="exact"/>
              <w:rPr>
                <w:sz w:val="1"/>
                <w:szCs w:val="1"/>
                <w:color w:val="auto"/>
              </w:rPr>
            </w:pPr>
          </w:p>
        </w:tc>
        <w:tc>
          <w:tcPr>
            <w:tcW w:w="240" w:type="dxa"/>
            <w:vAlign w:val="bottom"/>
            <w:gridSpan w:val="2"/>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100" w:type="dxa"/>
            <w:vAlign w:val="bottom"/>
            <w:gridSpan w:val="2"/>
            <w:shd w:val="clear" w:color="auto" w:fill="0000EE"/>
          </w:tcPr>
          <w:p>
            <w:pPr>
              <w:spacing w:after="0" w:line="20" w:lineRule="exact"/>
              <w:rPr>
                <w:sz w:val="1"/>
                <w:szCs w:val="1"/>
                <w:color w:val="auto"/>
              </w:rPr>
            </w:pPr>
          </w:p>
        </w:tc>
        <w:tc>
          <w:tcPr>
            <w:tcW w:w="160" w:type="dxa"/>
            <w:vAlign w:val="bottom"/>
            <w:gridSpan w:val="2"/>
          </w:tcPr>
          <w:p>
            <w:pPr>
              <w:spacing w:after="0" w:line="20" w:lineRule="exact"/>
              <w:rPr>
                <w:sz w:val="1"/>
                <w:szCs w:val="1"/>
                <w:color w:val="auto"/>
              </w:rPr>
            </w:pPr>
          </w:p>
        </w:tc>
        <w:tc>
          <w:tcPr>
            <w:tcW w:w="300" w:type="dxa"/>
            <w:vAlign w:val="bottom"/>
            <w:gridSpan w:val="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4040" w:type="dxa"/>
            <w:vAlign w:val="bottom"/>
            <w:gridSpan w:val="2"/>
          </w:tcPr>
          <w:p>
            <w:pPr>
              <w:spacing w:after="0" w:line="20" w:lineRule="exact"/>
              <w:rPr>
                <w:sz w:val="1"/>
                <w:szCs w:val="1"/>
                <w:color w:val="auto"/>
              </w:rPr>
            </w:pPr>
          </w:p>
        </w:tc>
        <w:tc>
          <w:tcPr>
            <w:tcW w:w="1120" w:type="dxa"/>
            <w:vAlign w:val="bottom"/>
          </w:tcPr>
          <w:p>
            <w:pPr>
              <w:spacing w:after="0" w:line="20" w:lineRule="exact"/>
              <w:rPr>
                <w:sz w:val="1"/>
                <w:szCs w:val="1"/>
                <w:color w:val="auto"/>
              </w:rPr>
            </w:pPr>
          </w:p>
        </w:tc>
      </w:tr>
      <w:tr>
        <w:trPr>
          <w:trHeight w:val="250"/>
        </w:trPr>
        <w:tc>
          <w:tcPr>
            <w:tcW w:w="1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600" w:type="dxa"/>
            <w:vAlign w:val="bottom"/>
          </w:tcPr>
          <w:p>
            <w:pPr>
              <w:spacing w:after="0"/>
              <w:rPr>
                <w:sz w:val="21"/>
                <w:szCs w:val="21"/>
                <w:color w:val="auto"/>
              </w:rPr>
            </w:pPr>
          </w:p>
        </w:tc>
        <w:tc>
          <w:tcPr>
            <w:tcW w:w="3700" w:type="dxa"/>
            <w:vAlign w:val="bottom"/>
            <w:tcBorders>
              <w:bottom w:val="single" w:sz="8" w:color="0000EE"/>
            </w:tcBorders>
            <w:gridSpan w:val="22"/>
          </w:tcPr>
          <w:p>
            <w:pPr>
              <w:spacing w:after="0"/>
              <w:rPr>
                <w:rFonts w:ascii="Arial" w:cs="Arial" w:eastAsia="Arial" w:hAnsi="Arial"/>
                <w:sz w:val="18"/>
                <w:szCs w:val="18"/>
                <w:color w:val="0000EE"/>
                <w:w w:val="91"/>
              </w:rPr>
            </w:pPr>
            <w:hyperlink w:anchor="page57">
              <w:r>
                <w:rPr>
                  <w:rFonts w:ascii="Arial" w:cs="Arial" w:eastAsia="Arial" w:hAnsi="Arial"/>
                  <w:sz w:val="18"/>
                  <w:szCs w:val="18"/>
                  <w:color w:val="0000EE"/>
                  <w:w w:val="91"/>
                </w:rPr>
                <w:t>Corporate Scorecard for Calculating Annual Bonus</w:t>
              </w:r>
            </w:hyperlink>
          </w:p>
        </w:tc>
        <w:tc>
          <w:tcPr>
            <w:tcW w:w="5020" w:type="dxa"/>
            <w:vAlign w:val="bottom"/>
            <w:gridSpan w:val="6"/>
          </w:tcPr>
          <w:p>
            <w:pPr>
              <w:spacing w:after="0"/>
              <w:rPr>
                <w:sz w:val="21"/>
                <w:szCs w:val="21"/>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44</w:t>
            </w:r>
          </w:p>
        </w:tc>
      </w:tr>
      <w:tr>
        <w:trPr>
          <w:trHeight w:val="250"/>
        </w:trPr>
        <w:tc>
          <w:tcPr>
            <w:tcW w:w="1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600" w:type="dxa"/>
            <w:vAlign w:val="bottom"/>
          </w:tcPr>
          <w:p>
            <w:pPr>
              <w:spacing w:after="0"/>
              <w:rPr>
                <w:sz w:val="21"/>
                <w:szCs w:val="21"/>
                <w:color w:val="auto"/>
              </w:rPr>
            </w:pPr>
          </w:p>
        </w:tc>
        <w:tc>
          <w:tcPr>
            <w:tcW w:w="8720" w:type="dxa"/>
            <w:vAlign w:val="bottom"/>
            <w:gridSpan w:val="28"/>
          </w:tcPr>
          <w:p>
            <w:pPr>
              <w:spacing w:after="0"/>
              <w:rPr>
                <w:rFonts w:ascii="Arial" w:cs="Arial" w:eastAsia="Arial" w:hAnsi="Arial"/>
                <w:sz w:val="18"/>
                <w:szCs w:val="18"/>
                <w:color w:val="0000EE"/>
              </w:rPr>
            </w:pPr>
            <w:hyperlink w:anchor="page63">
              <w:r>
                <w:rPr>
                  <w:rFonts w:ascii="Arial" w:cs="Arial" w:eastAsia="Arial" w:hAnsi="Arial"/>
                  <w:sz w:val="18"/>
                  <w:szCs w:val="18"/>
                  <w:color w:val="0000EE"/>
                </w:rPr>
                <w:t>Equity Incentive Compensation</w:t>
              </w:r>
            </w:hyperlink>
          </w:p>
        </w:tc>
        <w:tc>
          <w:tcPr>
            <w:tcW w:w="1120" w:type="dxa"/>
            <w:vAlign w:val="bottom"/>
          </w:tcPr>
          <w:p>
            <w:pPr>
              <w:jc w:val="right"/>
              <w:spacing w:after="0"/>
              <w:rPr>
                <w:sz w:val="20"/>
                <w:szCs w:val="20"/>
                <w:color w:val="auto"/>
              </w:rPr>
            </w:pPr>
            <w:r>
              <w:rPr>
                <w:rFonts w:ascii="Arial" w:cs="Arial" w:eastAsia="Arial" w:hAnsi="Arial"/>
                <w:sz w:val="18"/>
                <w:szCs w:val="18"/>
                <w:color w:val="auto"/>
              </w:rPr>
              <w:t>50</w:t>
            </w:r>
          </w:p>
        </w:tc>
      </w:tr>
      <w:tr>
        <w:trPr>
          <w:trHeight w:val="20"/>
        </w:trPr>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1600" w:type="dxa"/>
            <w:vAlign w:val="bottom"/>
            <w:gridSpan w:val="6"/>
            <w:shd w:val="clear" w:color="auto" w:fill="0000EE"/>
          </w:tcPr>
          <w:p>
            <w:pPr>
              <w:spacing w:after="0" w:line="20" w:lineRule="exact"/>
              <w:rPr>
                <w:sz w:val="1"/>
                <w:szCs w:val="1"/>
                <w:color w:val="auto"/>
              </w:rPr>
            </w:pPr>
          </w:p>
        </w:tc>
        <w:tc>
          <w:tcPr>
            <w:tcW w:w="440" w:type="dxa"/>
            <w:vAlign w:val="bottom"/>
            <w:shd w:val="clear" w:color="auto" w:fill="0000EE"/>
          </w:tcPr>
          <w:p>
            <w:pPr>
              <w:spacing w:after="0" w:line="20" w:lineRule="exact"/>
              <w:rPr>
                <w:sz w:val="1"/>
                <w:szCs w:val="1"/>
                <w:color w:val="auto"/>
              </w:rPr>
            </w:pPr>
          </w:p>
        </w:tc>
        <w:tc>
          <w:tcPr>
            <w:tcW w:w="240" w:type="dxa"/>
            <w:vAlign w:val="bottom"/>
            <w:gridSpan w:val="2"/>
            <w:shd w:val="clear" w:color="auto" w:fill="0000EE"/>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60" w:type="dxa"/>
            <w:vAlign w:val="bottom"/>
            <w:gridSpan w:val="4"/>
          </w:tcPr>
          <w:p>
            <w:pPr>
              <w:spacing w:after="0" w:line="20" w:lineRule="exact"/>
              <w:rPr>
                <w:sz w:val="1"/>
                <w:szCs w:val="1"/>
                <w:color w:val="auto"/>
              </w:rPr>
            </w:pPr>
          </w:p>
        </w:tc>
        <w:tc>
          <w:tcPr>
            <w:tcW w:w="300" w:type="dxa"/>
            <w:vAlign w:val="bottom"/>
            <w:gridSpan w:val="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700" w:type="dxa"/>
            <w:vAlign w:val="bottom"/>
            <w:gridSpan w:val="2"/>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4040" w:type="dxa"/>
            <w:vAlign w:val="bottom"/>
            <w:gridSpan w:val="2"/>
          </w:tcPr>
          <w:p>
            <w:pPr>
              <w:spacing w:after="0" w:line="20" w:lineRule="exact"/>
              <w:rPr>
                <w:sz w:val="1"/>
                <w:szCs w:val="1"/>
                <w:color w:val="auto"/>
              </w:rPr>
            </w:pPr>
          </w:p>
        </w:tc>
        <w:tc>
          <w:tcPr>
            <w:tcW w:w="1120" w:type="dxa"/>
            <w:vAlign w:val="bottom"/>
          </w:tcPr>
          <w:p>
            <w:pPr>
              <w:spacing w:after="0" w:line="20" w:lineRule="exact"/>
              <w:rPr>
                <w:sz w:val="1"/>
                <w:szCs w:val="1"/>
                <w:color w:val="auto"/>
              </w:rPr>
            </w:pPr>
          </w:p>
        </w:tc>
      </w:tr>
      <w:tr>
        <w:trPr>
          <w:trHeight w:val="250"/>
        </w:trPr>
        <w:tc>
          <w:tcPr>
            <w:tcW w:w="1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600" w:type="dxa"/>
            <w:vAlign w:val="bottom"/>
          </w:tcPr>
          <w:p>
            <w:pPr>
              <w:spacing w:after="0"/>
              <w:rPr>
                <w:sz w:val="21"/>
                <w:szCs w:val="21"/>
                <w:color w:val="auto"/>
              </w:rPr>
            </w:pPr>
          </w:p>
        </w:tc>
        <w:tc>
          <w:tcPr>
            <w:tcW w:w="8720" w:type="dxa"/>
            <w:vAlign w:val="bottom"/>
            <w:gridSpan w:val="28"/>
          </w:tcPr>
          <w:p>
            <w:pPr>
              <w:spacing w:after="0"/>
              <w:rPr>
                <w:rFonts w:ascii="Arial" w:cs="Arial" w:eastAsia="Arial" w:hAnsi="Arial"/>
                <w:sz w:val="18"/>
                <w:szCs w:val="18"/>
                <w:color w:val="0000EE"/>
              </w:rPr>
            </w:pPr>
            <w:hyperlink w:anchor="page66">
              <w:r>
                <w:rPr>
                  <w:rFonts w:ascii="Arial" w:cs="Arial" w:eastAsia="Arial" w:hAnsi="Arial"/>
                  <w:sz w:val="18"/>
                  <w:szCs w:val="18"/>
                  <w:color w:val="0000EE"/>
                </w:rPr>
                <w:t>Compensation Decision Process</w:t>
              </w:r>
            </w:hyperlink>
          </w:p>
        </w:tc>
        <w:tc>
          <w:tcPr>
            <w:tcW w:w="1120" w:type="dxa"/>
            <w:vAlign w:val="bottom"/>
          </w:tcPr>
          <w:p>
            <w:pPr>
              <w:jc w:val="right"/>
              <w:spacing w:after="0"/>
              <w:rPr>
                <w:sz w:val="20"/>
                <w:szCs w:val="20"/>
                <w:color w:val="auto"/>
              </w:rPr>
            </w:pPr>
            <w:r>
              <w:rPr>
                <w:rFonts w:ascii="Arial" w:cs="Arial" w:eastAsia="Arial" w:hAnsi="Arial"/>
                <w:sz w:val="18"/>
                <w:szCs w:val="18"/>
                <w:color w:val="auto"/>
              </w:rPr>
              <w:t>53</w:t>
            </w:r>
          </w:p>
        </w:tc>
      </w:tr>
      <w:tr>
        <w:trPr>
          <w:trHeight w:val="20"/>
        </w:trPr>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1600" w:type="dxa"/>
            <w:vAlign w:val="bottom"/>
            <w:gridSpan w:val="6"/>
            <w:shd w:val="clear" w:color="auto" w:fill="0000EE"/>
          </w:tcPr>
          <w:p>
            <w:pPr>
              <w:spacing w:after="0" w:line="20" w:lineRule="exact"/>
              <w:rPr>
                <w:sz w:val="1"/>
                <w:szCs w:val="1"/>
                <w:color w:val="auto"/>
              </w:rPr>
            </w:pPr>
          </w:p>
        </w:tc>
        <w:tc>
          <w:tcPr>
            <w:tcW w:w="440" w:type="dxa"/>
            <w:vAlign w:val="bottom"/>
            <w:shd w:val="clear" w:color="auto" w:fill="0000EE"/>
          </w:tcPr>
          <w:p>
            <w:pPr>
              <w:spacing w:after="0" w:line="20" w:lineRule="exact"/>
              <w:rPr>
                <w:sz w:val="1"/>
                <w:szCs w:val="1"/>
                <w:color w:val="auto"/>
              </w:rPr>
            </w:pPr>
          </w:p>
        </w:tc>
        <w:tc>
          <w:tcPr>
            <w:tcW w:w="280" w:type="dxa"/>
            <w:vAlign w:val="bottom"/>
            <w:gridSpan w:val="3"/>
            <w:shd w:val="clear" w:color="auto" w:fill="0000EE"/>
          </w:tcPr>
          <w:p>
            <w:pPr>
              <w:spacing w:after="0" w:line="20" w:lineRule="exact"/>
              <w:rPr>
                <w:sz w:val="1"/>
                <w:szCs w:val="1"/>
                <w:color w:val="auto"/>
              </w:rPr>
            </w:pPr>
          </w:p>
        </w:tc>
        <w:tc>
          <w:tcPr>
            <w:tcW w:w="260" w:type="dxa"/>
            <w:vAlign w:val="bottom"/>
            <w:gridSpan w:val="4"/>
          </w:tcPr>
          <w:p>
            <w:pPr>
              <w:spacing w:after="0" w:line="20" w:lineRule="exact"/>
              <w:rPr>
                <w:sz w:val="1"/>
                <w:szCs w:val="1"/>
                <w:color w:val="auto"/>
              </w:rPr>
            </w:pPr>
          </w:p>
        </w:tc>
        <w:tc>
          <w:tcPr>
            <w:tcW w:w="300" w:type="dxa"/>
            <w:vAlign w:val="bottom"/>
            <w:gridSpan w:val="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700" w:type="dxa"/>
            <w:vAlign w:val="bottom"/>
            <w:gridSpan w:val="2"/>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4040" w:type="dxa"/>
            <w:vAlign w:val="bottom"/>
            <w:gridSpan w:val="2"/>
          </w:tcPr>
          <w:p>
            <w:pPr>
              <w:spacing w:after="0" w:line="20" w:lineRule="exact"/>
              <w:rPr>
                <w:sz w:val="1"/>
                <w:szCs w:val="1"/>
                <w:color w:val="auto"/>
              </w:rPr>
            </w:pPr>
          </w:p>
        </w:tc>
        <w:tc>
          <w:tcPr>
            <w:tcW w:w="1120" w:type="dxa"/>
            <w:vAlign w:val="bottom"/>
          </w:tcPr>
          <w:p>
            <w:pPr>
              <w:spacing w:after="0" w:line="20" w:lineRule="exact"/>
              <w:rPr>
                <w:sz w:val="1"/>
                <w:szCs w:val="1"/>
                <w:color w:val="auto"/>
              </w:rPr>
            </w:pPr>
          </w:p>
        </w:tc>
      </w:tr>
      <w:tr>
        <w:trPr>
          <w:trHeight w:val="250"/>
        </w:trPr>
        <w:tc>
          <w:tcPr>
            <w:tcW w:w="1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600" w:type="dxa"/>
            <w:vAlign w:val="bottom"/>
          </w:tcPr>
          <w:p>
            <w:pPr>
              <w:spacing w:after="0"/>
              <w:rPr>
                <w:sz w:val="21"/>
                <w:szCs w:val="21"/>
                <w:color w:val="auto"/>
              </w:rPr>
            </w:pPr>
          </w:p>
        </w:tc>
        <w:tc>
          <w:tcPr>
            <w:tcW w:w="3120" w:type="dxa"/>
            <w:vAlign w:val="bottom"/>
            <w:tcBorders>
              <w:bottom w:val="single" w:sz="8" w:color="0000EE"/>
            </w:tcBorders>
            <w:gridSpan w:val="19"/>
          </w:tcPr>
          <w:p>
            <w:pPr>
              <w:spacing w:after="0"/>
              <w:rPr>
                <w:rFonts w:ascii="Arial" w:cs="Arial" w:eastAsia="Arial" w:hAnsi="Arial"/>
                <w:sz w:val="18"/>
                <w:szCs w:val="18"/>
                <w:color w:val="0000EE"/>
                <w:w w:val="89"/>
              </w:rPr>
            </w:pPr>
            <w:hyperlink w:anchor="page70">
              <w:r>
                <w:rPr>
                  <w:rFonts w:ascii="Arial" w:cs="Arial" w:eastAsia="Arial" w:hAnsi="Arial"/>
                  <w:sz w:val="18"/>
                  <w:szCs w:val="18"/>
                  <w:color w:val="0000EE"/>
                  <w:w w:val="89"/>
                </w:rPr>
                <w:t>Other Compensation Policies and Practices</w:t>
              </w:r>
            </w:hyperlink>
          </w:p>
        </w:tc>
        <w:tc>
          <w:tcPr>
            <w:tcW w:w="5600" w:type="dxa"/>
            <w:vAlign w:val="bottom"/>
            <w:gridSpan w:val="9"/>
          </w:tcPr>
          <w:p>
            <w:pPr>
              <w:spacing w:after="0"/>
              <w:rPr>
                <w:sz w:val="21"/>
                <w:szCs w:val="21"/>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57</w:t>
            </w:r>
          </w:p>
        </w:tc>
      </w:tr>
      <w:tr>
        <w:trPr>
          <w:trHeight w:val="250"/>
        </w:trPr>
        <w:tc>
          <w:tcPr>
            <w:tcW w:w="1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4880" w:type="dxa"/>
            <w:vAlign w:val="bottom"/>
            <w:tcBorders>
              <w:bottom w:val="single" w:sz="8" w:color="0000EE"/>
            </w:tcBorders>
            <w:gridSpan w:val="25"/>
          </w:tcPr>
          <w:p>
            <w:pPr>
              <w:ind w:left="20"/>
              <w:spacing w:after="0"/>
              <w:rPr>
                <w:rFonts w:ascii="Arial" w:cs="Arial" w:eastAsia="Arial" w:hAnsi="Arial"/>
                <w:sz w:val="18"/>
                <w:szCs w:val="18"/>
                <w:color w:val="0000EE"/>
                <w:w w:val="89"/>
              </w:rPr>
            </w:pPr>
            <w:hyperlink w:anchor="page73">
              <w:r>
                <w:rPr>
                  <w:rFonts w:ascii="Arial" w:cs="Arial" w:eastAsia="Arial" w:hAnsi="Arial"/>
                  <w:sz w:val="18"/>
                  <w:szCs w:val="18"/>
                  <w:color w:val="0000EE"/>
                  <w:w w:val="89"/>
                </w:rPr>
                <w:t>Report of the Compensation and Corporate Governance Committee</w:t>
              </w:r>
            </w:hyperlink>
          </w:p>
        </w:tc>
        <w:tc>
          <w:tcPr>
            <w:tcW w:w="4440" w:type="dxa"/>
            <w:vAlign w:val="bottom"/>
            <w:gridSpan w:val="4"/>
          </w:tcPr>
          <w:p>
            <w:pPr>
              <w:spacing w:after="0"/>
              <w:rPr>
                <w:sz w:val="21"/>
                <w:szCs w:val="21"/>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60</w:t>
            </w:r>
          </w:p>
        </w:tc>
      </w:tr>
      <w:tr>
        <w:trPr>
          <w:trHeight w:val="250"/>
        </w:trPr>
        <w:tc>
          <w:tcPr>
            <w:tcW w:w="1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9320" w:type="dxa"/>
            <w:vAlign w:val="bottom"/>
            <w:gridSpan w:val="29"/>
          </w:tcPr>
          <w:p>
            <w:pPr>
              <w:ind w:left="20"/>
              <w:spacing w:after="0"/>
              <w:rPr>
                <w:rFonts w:ascii="Arial" w:cs="Arial" w:eastAsia="Arial" w:hAnsi="Arial"/>
                <w:sz w:val="18"/>
                <w:szCs w:val="18"/>
                <w:color w:val="0000EE"/>
              </w:rPr>
            </w:pPr>
            <w:hyperlink w:anchor="page74">
              <w:r>
                <w:rPr>
                  <w:rFonts w:ascii="Arial" w:cs="Arial" w:eastAsia="Arial" w:hAnsi="Arial"/>
                  <w:sz w:val="18"/>
                  <w:szCs w:val="18"/>
                  <w:color w:val="0000EE"/>
                </w:rPr>
                <w:t>2019 Summary Compensation Table</w:t>
              </w:r>
            </w:hyperlink>
          </w:p>
        </w:tc>
        <w:tc>
          <w:tcPr>
            <w:tcW w:w="1120" w:type="dxa"/>
            <w:vAlign w:val="bottom"/>
          </w:tcPr>
          <w:p>
            <w:pPr>
              <w:jc w:val="right"/>
              <w:spacing w:after="0"/>
              <w:rPr>
                <w:sz w:val="20"/>
                <w:szCs w:val="20"/>
                <w:color w:val="auto"/>
              </w:rPr>
            </w:pPr>
            <w:r>
              <w:rPr>
                <w:rFonts w:ascii="Arial" w:cs="Arial" w:eastAsia="Arial" w:hAnsi="Arial"/>
                <w:sz w:val="18"/>
                <w:szCs w:val="18"/>
                <w:color w:val="auto"/>
              </w:rPr>
              <w:t>61</w:t>
            </w:r>
          </w:p>
        </w:tc>
      </w:tr>
      <w:tr>
        <w:trPr>
          <w:trHeight w:val="20"/>
        </w:trPr>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2200" w:type="dxa"/>
            <w:vAlign w:val="bottom"/>
            <w:gridSpan w:val="7"/>
            <w:shd w:val="clear" w:color="auto" w:fill="0000EE"/>
          </w:tcPr>
          <w:p>
            <w:pPr>
              <w:spacing w:after="0" w:line="20" w:lineRule="exact"/>
              <w:rPr>
                <w:sz w:val="1"/>
                <w:szCs w:val="1"/>
                <w:color w:val="auto"/>
              </w:rPr>
            </w:pPr>
          </w:p>
        </w:tc>
        <w:tc>
          <w:tcPr>
            <w:tcW w:w="440" w:type="dxa"/>
            <w:vAlign w:val="bottom"/>
            <w:shd w:val="clear" w:color="auto" w:fill="0000EE"/>
          </w:tcPr>
          <w:p>
            <w:pPr>
              <w:spacing w:after="0" w:line="20" w:lineRule="exact"/>
              <w:rPr>
                <w:sz w:val="1"/>
                <w:szCs w:val="1"/>
                <w:color w:val="auto"/>
              </w:rPr>
            </w:pPr>
          </w:p>
        </w:tc>
        <w:tc>
          <w:tcPr>
            <w:tcW w:w="540" w:type="dxa"/>
            <w:vAlign w:val="bottom"/>
            <w:gridSpan w:val="7"/>
          </w:tcPr>
          <w:p>
            <w:pPr>
              <w:spacing w:after="0" w:line="20" w:lineRule="exact"/>
              <w:rPr>
                <w:sz w:val="1"/>
                <w:szCs w:val="1"/>
                <w:color w:val="auto"/>
              </w:rPr>
            </w:pPr>
          </w:p>
        </w:tc>
        <w:tc>
          <w:tcPr>
            <w:tcW w:w="300" w:type="dxa"/>
            <w:vAlign w:val="bottom"/>
            <w:gridSpan w:val="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0" w:type="dxa"/>
            <w:vAlign w:val="bottom"/>
            <w:gridSpan w:val="3"/>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700" w:type="dxa"/>
            <w:vAlign w:val="bottom"/>
            <w:gridSpan w:val="2"/>
          </w:tcPr>
          <w:p>
            <w:pPr>
              <w:spacing w:after="0" w:line="20" w:lineRule="exact"/>
              <w:rPr>
                <w:sz w:val="1"/>
                <w:szCs w:val="1"/>
                <w:color w:val="auto"/>
              </w:rPr>
            </w:pPr>
          </w:p>
        </w:tc>
        <w:tc>
          <w:tcPr>
            <w:tcW w:w="160" w:type="dxa"/>
            <w:vAlign w:val="bottom"/>
            <w:gridSpan w:val="2"/>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4040" w:type="dxa"/>
            <w:vAlign w:val="bottom"/>
            <w:gridSpan w:val="2"/>
          </w:tcPr>
          <w:p>
            <w:pPr>
              <w:spacing w:after="0" w:line="20" w:lineRule="exact"/>
              <w:rPr>
                <w:sz w:val="1"/>
                <w:szCs w:val="1"/>
                <w:color w:val="auto"/>
              </w:rPr>
            </w:pPr>
          </w:p>
        </w:tc>
        <w:tc>
          <w:tcPr>
            <w:tcW w:w="1120" w:type="dxa"/>
            <w:vAlign w:val="bottom"/>
          </w:tcPr>
          <w:p>
            <w:pPr>
              <w:spacing w:after="0" w:line="20" w:lineRule="exact"/>
              <w:rPr>
                <w:sz w:val="1"/>
                <w:szCs w:val="1"/>
                <w:color w:val="auto"/>
              </w:rPr>
            </w:pPr>
          </w:p>
        </w:tc>
      </w:tr>
      <w:tr>
        <w:trPr>
          <w:trHeight w:val="250"/>
        </w:trPr>
        <w:tc>
          <w:tcPr>
            <w:tcW w:w="1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3580" w:type="dxa"/>
            <w:vAlign w:val="bottom"/>
            <w:tcBorders>
              <w:bottom w:val="single" w:sz="8" w:color="0000EE"/>
            </w:tcBorders>
            <w:gridSpan w:val="18"/>
          </w:tcPr>
          <w:p>
            <w:pPr>
              <w:ind w:left="20"/>
              <w:spacing w:after="0"/>
              <w:rPr>
                <w:rFonts w:ascii="Arial" w:cs="Arial" w:eastAsia="Arial" w:hAnsi="Arial"/>
                <w:sz w:val="18"/>
                <w:szCs w:val="18"/>
                <w:color w:val="0000EE"/>
                <w:w w:val="89"/>
              </w:rPr>
            </w:pPr>
            <w:hyperlink w:anchor="page75">
              <w:r>
                <w:rPr>
                  <w:rFonts w:ascii="Arial" w:cs="Arial" w:eastAsia="Arial" w:hAnsi="Arial"/>
                  <w:sz w:val="18"/>
                  <w:szCs w:val="18"/>
                  <w:color w:val="0000EE"/>
                  <w:w w:val="89"/>
                </w:rPr>
                <w:t>Grants of Plan-Based Awards in Fiscal Year 2019</w:t>
              </w:r>
            </w:hyperlink>
          </w:p>
        </w:tc>
        <w:tc>
          <w:tcPr>
            <w:tcW w:w="5740" w:type="dxa"/>
            <w:vAlign w:val="bottom"/>
            <w:gridSpan w:val="11"/>
          </w:tcPr>
          <w:p>
            <w:pPr>
              <w:spacing w:after="0"/>
              <w:rPr>
                <w:sz w:val="21"/>
                <w:szCs w:val="21"/>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62</w:t>
            </w:r>
          </w:p>
        </w:tc>
      </w:tr>
      <w:tr>
        <w:trPr>
          <w:trHeight w:val="250"/>
        </w:trPr>
        <w:tc>
          <w:tcPr>
            <w:tcW w:w="1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3780" w:type="dxa"/>
            <w:vAlign w:val="bottom"/>
            <w:tcBorders>
              <w:bottom w:val="single" w:sz="8" w:color="0000EE"/>
            </w:tcBorders>
            <w:gridSpan w:val="21"/>
          </w:tcPr>
          <w:p>
            <w:pPr>
              <w:ind w:left="20"/>
              <w:spacing w:after="0"/>
              <w:rPr>
                <w:rFonts w:ascii="Arial" w:cs="Arial" w:eastAsia="Arial" w:hAnsi="Arial"/>
                <w:sz w:val="18"/>
                <w:szCs w:val="18"/>
                <w:color w:val="0000EE"/>
                <w:w w:val="90"/>
              </w:rPr>
            </w:pPr>
            <w:hyperlink w:anchor="page76">
              <w:r>
                <w:rPr>
                  <w:rFonts w:ascii="Arial" w:cs="Arial" w:eastAsia="Arial" w:hAnsi="Arial"/>
                  <w:sz w:val="18"/>
                  <w:szCs w:val="18"/>
                  <w:color w:val="0000EE"/>
                  <w:w w:val="90"/>
                </w:rPr>
                <w:t>Outstanding Equity Awards at 2019 Fiscal Year-End</w:t>
              </w:r>
            </w:hyperlink>
          </w:p>
        </w:tc>
        <w:tc>
          <w:tcPr>
            <w:tcW w:w="260" w:type="dxa"/>
            <w:vAlign w:val="bottom"/>
          </w:tcPr>
          <w:p>
            <w:pPr>
              <w:spacing w:after="0"/>
              <w:rPr>
                <w:sz w:val="21"/>
                <w:szCs w:val="21"/>
                <w:color w:val="auto"/>
              </w:rPr>
            </w:pPr>
          </w:p>
        </w:tc>
        <w:tc>
          <w:tcPr>
            <w:tcW w:w="700" w:type="dxa"/>
            <w:vAlign w:val="bottom"/>
            <w:gridSpan w:val="2"/>
          </w:tcPr>
          <w:p>
            <w:pPr>
              <w:spacing w:after="0"/>
              <w:rPr>
                <w:sz w:val="21"/>
                <w:szCs w:val="21"/>
                <w:color w:val="auto"/>
              </w:rPr>
            </w:pPr>
          </w:p>
        </w:tc>
        <w:tc>
          <w:tcPr>
            <w:tcW w:w="160" w:type="dxa"/>
            <w:vAlign w:val="bottom"/>
            <w:gridSpan w:val="2"/>
          </w:tcPr>
          <w:p>
            <w:pPr>
              <w:spacing w:after="0"/>
              <w:rPr>
                <w:sz w:val="21"/>
                <w:szCs w:val="21"/>
                <w:color w:val="auto"/>
              </w:rPr>
            </w:pPr>
          </w:p>
        </w:tc>
        <w:tc>
          <w:tcPr>
            <w:tcW w:w="380" w:type="dxa"/>
            <w:vAlign w:val="bottom"/>
          </w:tcPr>
          <w:p>
            <w:pPr>
              <w:spacing w:after="0"/>
              <w:rPr>
                <w:sz w:val="21"/>
                <w:szCs w:val="21"/>
                <w:color w:val="auto"/>
              </w:rPr>
            </w:pPr>
          </w:p>
        </w:tc>
        <w:tc>
          <w:tcPr>
            <w:tcW w:w="4040" w:type="dxa"/>
            <w:vAlign w:val="bottom"/>
            <w:gridSpan w:val="2"/>
          </w:tcPr>
          <w:p>
            <w:pPr>
              <w:spacing w:after="0"/>
              <w:rPr>
                <w:sz w:val="21"/>
                <w:szCs w:val="21"/>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63</w:t>
            </w:r>
          </w:p>
        </w:tc>
      </w:tr>
      <w:tr>
        <w:trPr>
          <w:trHeight w:val="250"/>
        </w:trPr>
        <w:tc>
          <w:tcPr>
            <w:tcW w:w="1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4040" w:type="dxa"/>
            <w:vAlign w:val="bottom"/>
            <w:tcBorders>
              <w:bottom w:val="single" w:sz="8" w:color="0000EE"/>
            </w:tcBorders>
            <w:gridSpan w:val="22"/>
          </w:tcPr>
          <w:p>
            <w:pPr>
              <w:ind w:left="20"/>
              <w:spacing w:after="0"/>
              <w:rPr>
                <w:rFonts w:ascii="Arial" w:cs="Arial" w:eastAsia="Arial" w:hAnsi="Arial"/>
                <w:sz w:val="18"/>
                <w:szCs w:val="18"/>
                <w:color w:val="0000EE"/>
                <w:w w:val="89"/>
              </w:rPr>
            </w:pPr>
            <w:hyperlink w:anchor="page77">
              <w:r>
                <w:rPr>
                  <w:rFonts w:ascii="Arial" w:cs="Arial" w:eastAsia="Arial" w:hAnsi="Arial"/>
                  <w:sz w:val="18"/>
                  <w:szCs w:val="18"/>
                  <w:color w:val="0000EE"/>
                  <w:w w:val="89"/>
                </w:rPr>
                <w:t>Option Exercises and Stock Vested for Fiscal Year 2019</w:t>
              </w:r>
            </w:hyperlink>
          </w:p>
        </w:tc>
        <w:tc>
          <w:tcPr>
            <w:tcW w:w="5280" w:type="dxa"/>
            <w:vAlign w:val="bottom"/>
            <w:gridSpan w:val="7"/>
          </w:tcPr>
          <w:p>
            <w:pPr>
              <w:spacing w:after="0"/>
              <w:rPr>
                <w:sz w:val="21"/>
                <w:szCs w:val="21"/>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64</w:t>
            </w:r>
          </w:p>
        </w:tc>
      </w:tr>
      <w:tr>
        <w:trPr>
          <w:trHeight w:val="250"/>
        </w:trPr>
        <w:tc>
          <w:tcPr>
            <w:tcW w:w="1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9320" w:type="dxa"/>
            <w:vAlign w:val="bottom"/>
            <w:gridSpan w:val="29"/>
          </w:tcPr>
          <w:p>
            <w:pPr>
              <w:ind w:left="20"/>
              <w:spacing w:after="0"/>
              <w:rPr>
                <w:rFonts w:ascii="Arial" w:cs="Arial" w:eastAsia="Arial" w:hAnsi="Arial"/>
                <w:sz w:val="18"/>
                <w:szCs w:val="18"/>
                <w:color w:val="0000EE"/>
              </w:rPr>
            </w:pPr>
            <w:hyperlink w:anchor="page77">
              <w:r>
                <w:rPr>
                  <w:rFonts w:ascii="Arial" w:cs="Arial" w:eastAsia="Arial" w:hAnsi="Arial"/>
                  <w:sz w:val="18"/>
                  <w:szCs w:val="18"/>
                  <w:color w:val="0000EE"/>
                </w:rPr>
                <w:t>Severance and Change of Control Payments</w:t>
              </w:r>
            </w:hyperlink>
          </w:p>
        </w:tc>
        <w:tc>
          <w:tcPr>
            <w:tcW w:w="1120" w:type="dxa"/>
            <w:vAlign w:val="bottom"/>
          </w:tcPr>
          <w:p>
            <w:pPr>
              <w:jc w:val="right"/>
              <w:spacing w:after="0"/>
              <w:rPr>
                <w:sz w:val="20"/>
                <w:szCs w:val="20"/>
                <w:color w:val="auto"/>
              </w:rPr>
            </w:pPr>
            <w:r>
              <w:rPr>
                <w:rFonts w:ascii="Arial" w:cs="Arial" w:eastAsia="Arial" w:hAnsi="Arial"/>
                <w:sz w:val="18"/>
                <w:szCs w:val="18"/>
                <w:color w:val="auto"/>
              </w:rPr>
              <w:t>64</w:t>
            </w:r>
          </w:p>
        </w:tc>
      </w:tr>
      <w:tr>
        <w:trPr>
          <w:trHeight w:val="250"/>
        </w:trPr>
        <w:tc>
          <w:tcPr>
            <w:tcW w:w="1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3180" w:type="dxa"/>
            <w:vAlign w:val="bottom"/>
            <w:tcBorders>
              <w:top w:val="single" w:sz="8" w:color="0000EE"/>
            </w:tcBorders>
            <w:gridSpan w:val="15"/>
          </w:tcPr>
          <w:p>
            <w:pPr>
              <w:ind w:left="20"/>
              <w:spacing w:after="0"/>
              <w:rPr>
                <w:rFonts w:ascii="Arial" w:cs="Arial" w:eastAsia="Arial" w:hAnsi="Arial"/>
                <w:sz w:val="18"/>
                <w:szCs w:val="18"/>
                <w:color w:val="0000EE"/>
              </w:rPr>
            </w:pPr>
            <w:hyperlink w:anchor="page81">
              <w:r>
                <w:rPr>
                  <w:rFonts w:ascii="Arial" w:cs="Arial" w:eastAsia="Arial" w:hAnsi="Arial"/>
                  <w:sz w:val="18"/>
                  <w:szCs w:val="18"/>
                  <w:color w:val="0000EE"/>
                </w:rPr>
                <w:t>CEO Compensation Pay Ratio</w:t>
              </w:r>
            </w:hyperlink>
          </w:p>
        </w:tc>
        <w:tc>
          <w:tcPr>
            <w:tcW w:w="6140" w:type="dxa"/>
            <w:vAlign w:val="bottom"/>
            <w:gridSpan w:val="14"/>
          </w:tcPr>
          <w:p>
            <w:pPr>
              <w:spacing w:after="0"/>
              <w:rPr>
                <w:sz w:val="21"/>
                <w:szCs w:val="21"/>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68</w:t>
            </w:r>
          </w:p>
        </w:tc>
      </w:tr>
      <w:tr>
        <w:trPr>
          <w:trHeight w:val="34"/>
        </w:trPr>
        <w:tc>
          <w:tcPr>
            <w:tcW w:w="120" w:type="dxa"/>
            <w:vAlign w:val="bottom"/>
          </w:tcPr>
          <w:p>
            <w:pPr>
              <w:spacing w:after="0"/>
              <w:rPr>
                <w:sz w:val="2"/>
                <w:szCs w:val="2"/>
                <w:color w:val="auto"/>
              </w:rPr>
            </w:pPr>
          </w:p>
        </w:tc>
        <w:tc>
          <w:tcPr>
            <w:tcW w:w="80" w:type="dxa"/>
            <w:vAlign w:val="bottom"/>
            <w:tcBorders>
              <w:bottom w:val="single" w:sz="8" w:color="407CCA"/>
            </w:tcBorders>
          </w:tcPr>
          <w:p>
            <w:pPr>
              <w:spacing w:after="0"/>
              <w:rPr>
                <w:sz w:val="2"/>
                <w:szCs w:val="2"/>
                <w:color w:val="auto"/>
              </w:rPr>
            </w:pPr>
          </w:p>
        </w:tc>
        <w:tc>
          <w:tcPr>
            <w:tcW w:w="60" w:type="dxa"/>
            <w:vAlign w:val="bottom"/>
            <w:tcBorders>
              <w:bottom w:val="single" w:sz="8" w:color="407CCA"/>
            </w:tcBorders>
          </w:tcPr>
          <w:p>
            <w:pPr>
              <w:spacing w:after="0"/>
              <w:rPr>
                <w:sz w:val="2"/>
                <w:szCs w:val="2"/>
                <w:color w:val="auto"/>
              </w:rPr>
            </w:pPr>
          </w:p>
        </w:tc>
        <w:tc>
          <w:tcPr>
            <w:tcW w:w="440" w:type="dxa"/>
            <w:vAlign w:val="bottom"/>
            <w:tcBorders>
              <w:bottom w:val="single" w:sz="8" w:color="407CCA"/>
            </w:tcBorders>
          </w:tcPr>
          <w:p>
            <w:pPr>
              <w:spacing w:after="0"/>
              <w:rPr>
                <w:sz w:val="2"/>
                <w:szCs w:val="2"/>
                <w:color w:val="auto"/>
              </w:rPr>
            </w:pPr>
          </w:p>
        </w:tc>
        <w:tc>
          <w:tcPr>
            <w:tcW w:w="600" w:type="dxa"/>
            <w:vAlign w:val="bottom"/>
            <w:tcBorders>
              <w:top w:val="single" w:sz="8" w:color="0000EE"/>
              <w:bottom w:val="single" w:sz="8" w:color="407CCA"/>
            </w:tcBorders>
          </w:tcPr>
          <w:p>
            <w:pPr>
              <w:spacing w:after="0"/>
              <w:rPr>
                <w:sz w:val="2"/>
                <w:szCs w:val="2"/>
                <w:color w:val="auto"/>
              </w:rPr>
            </w:pPr>
          </w:p>
        </w:tc>
        <w:tc>
          <w:tcPr>
            <w:tcW w:w="60" w:type="dxa"/>
            <w:vAlign w:val="bottom"/>
            <w:tcBorders>
              <w:top w:val="single" w:sz="8" w:color="0000EE"/>
              <w:bottom w:val="single" w:sz="8" w:color="407CCA"/>
            </w:tcBorders>
          </w:tcPr>
          <w:p>
            <w:pPr>
              <w:spacing w:after="0"/>
              <w:rPr>
                <w:sz w:val="2"/>
                <w:szCs w:val="2"/>
                <w:color w:val="auto"/>
              </w:rPr>
            </w:pPr>
          </w:p>
        </w:tc>
        <w:tc>
          <w:tcPr>
            <w:tcW w:w="760" w:type="dxa"/>
            <w:vAlign w:val="bottom"/>
            <w:tcBorders>
              <w:top w:val="single" w:sz="8" w:color="0000EE"/>
              <w:bottom w:val="single" w:sz="8" w:color="407CCA"/>
            </w:tcBorders>
          </w:tcPr>
          <w:p>
            <w:pPr>
              <w:spacing w:after="0"/>
              <w:rPr>
                <w:sz w:val="2"/>
                <w:szCs w:val="2"/>
                <w:color w:val="auto"/>
              </w:rPr>
            </w:pPr>
          </w:p>
        </w:tc>
        <w:tc>
          <w:tcPr>
            <w:tcW w:w="580" w:type="dxa"/>
            <w:vAlign w:val="bottom"/>
            <w:tcBorders>
              <w:top w:val="single" w:sz="8" w:color="0000EE"/>
              <w:bottom w:val="single" w:sz="8" w:color="407CCA"/>
            </w:tcBorders>
          </w:tcPr>
          <w:p>
            <w:pPr>
              <w:spacing w:after="0"/>
              <w:rPr>
                <w:sz w:val="2"/>
                <w:szCs w:val="2"/>
                <w:color w:val="auto"/>
              </w:rPr>
            </w:pPr>
          </w:p>
        </w:tc>
        <w:tc>
          <w:tcPr>
            <w:tcW w:w="60" w:type="dxa"/>
            <w:vAlign w:val="bottom"/>
            <w:tcBorders>
              <w:top w:val="single" w:sz="8" w:color="0000EE"/>
              <w:bottom w:val="single" w:sz="8" w:color="407CCA"/>
            </w:tcBorders>
          </w:tcPr>
          <w:p>
            <w:pPr>
              <w:spacing w:after="0"/>
              <w:rPr>
                <w:sz w:val="2"/>
                <w:szCs w:val="2"/>
                <w:color w:val="auto"/>
              </w:rPr>
            </w:pPr>
          </w:p>
        </w:tc>
        <w:tc>
          <w:tcPr>
            <w:tcW w:w="20" w:type="dxa"/>
            <w:vAlign w:val="bottom"/>
            <w:tcBorders>
              <w:top w:val="single" w:sz="8" w:color="0000EE"/>
              <w:bottom w:val="single" w:sz="8" w:color="407CCA"/>
            </w:tcBorders>
          </w:tcPr>
          <w:p>
            <w:pPr>
              <w:spacing w:after="0"/>
              <w:rPr>
                <w:sz w:val="2"/>
                <w:szCs w:val="2"/>
                <w:color w:val="auto"/>
              </w:rPr>
            </w:pPr>
          </w:p>
        </w:tc>
        <w:tc>
          <w:tcPr>
            <w:tcW w:w="120" w:type="dxa"/>
            <w:vAlign w:val="bottom"/>
            <w:tcBorders>
              <w:top w:val="single" w:sz="8" w:color="0000EE"/>
              <w:bottom w:val="single" w:sz="8" w:color="407CCA"/>
            </w:tcBorders>
          </w:tcPr>
          <w:p>
            <w:pPr>
              <w:spacing w:after="0"/>
              <w:rPr>
                <w:sz w:val="2"/>
                <w:szCs w:val="2"/>
                <w:color w:val="auto"/>
              </w:rPr>
            </w:pPr>
          </w:p>
        </w:tc>
        <w:tc>
          <w:tcPr>
            <w:tcW w:w="440" w:type="dxa"/>
            <w:vAlign w:val="bottom"/>
            <w:tcBorders>
              <w:bottom w:val="single" w:sz="8" w:color="407CCA"/>
            </w:tcBorders>
          </w:tcPr>
          <w:p>
            <w:pPr>
              <w:spacing w:after="0"/>
              <w:rPr>
                <w:sz w:val="2"/>
                <w:szCs w:val="2"/>
                <w:color w:val="auto"/>
              </w:rPr>
            </w:pPr>
          </w:p>
        </w:tc>
        <w:tc>
          <w:tcPr>
            <w:tcW w:w="220" w:type="dxa"/>
            <w:vAlign w:val="bottom"/>
            <w:tcBorders>
              <w:bottom w:val="single" w:sz="8" w:color="407CCA"/>
            </w:tcBorders>
          </w:tcPr>
          <w:p>
            <w:pPr>
              <w:spacing w:after="0"/>
              <w:rPr>
                <w:sz w:val="2"/>
                <w:szCs w:val="2"/>
                <w:color w:val="auto"/>
              </w:rPr>
            </w:pPr>
          </w:p>
        </w:tc>
        <w:tc>
          <w:tcPr>
            <w:tcW w:w="20" w:type="dxa"/>
            <w:vAlign w:val="bottom"/>
            <w:tcBorders>
              <w:bottom w:val="single" w:sz="8" w:color="407CCA"/>
            </w:tcBorders>
          </w:tcPr>
          <w:p>
            <w:pPr>
              <w:spacing w:after="0"/>
              <w:rPr>
                <w:sz w:val="2"/>
                <w:szCs w:val="2"/>
                <w:color w:val="auto"/>
              </w:rPr>
            </w:pPr>
          </w:p>
        </w:tc>
        <w:tc>
          <w:tcPr>
            <w:tcW w:w="40" w:type="dxa"/>
            <w:vAlign w:val="bottom"/>
            <w:tcBorders>
              <w:bottom w:val="single" w:sz="8" w:color="407CCA"/>
            </w:tcBorders>
          </w:tcPr>
          <w:p>
            <w:pPr>
              <w:spacing w:after="0"/>
              <w:rPr>
                <w:sz w:val="2"/>
                <w:szCs w:val="2"/>
                <w:color w:val="auto"/>
              </w:rPr>
            </w:pPr>
          </w:p>
        </w:tc>
        <w:tc>
          <w:tcPr>
            <w:tcW w:w="20" w:type="dxa"/>
            <w:vAlign w:val="bottom"/>
            <w:tcBorders>
              <w:bottom w:val="single" w:sz="8" w:color="407CCA"/>
            </w:tcBorders>
          </w:tcPr>
          <w:p>
            <w:pPr>
              <w:spacing w:after="0"/>
              <w:rPr>
                <w:sz w:val="2"/>
                <w:szCs w:val="2"/>
                <w:color w:val="auto"/>
              </w:rPr>
            </w:pPr>
          </w:p>
        </w:tc>
        <w:tc>
          <w:tcPr>
            <w:tcW w:w="80" w:type="dxa"/>
            <w:vAlign w:val="bottom"/>
            <w:tcBorders>
              <w:bottom w:val="single" w:sz="8" w:color="407CCA"/>
            </w:tcBorders>
          </w:tcPr>
          <w:p>
            <w:pPr>
              <w:spacing w:after="0"/>
              <w:rPr>
                <w:sz w:val="2"/>
                <w:szCs w:val="2"/>
                <w:color w:val="auto"/>
              </w:rPr>
            </w:pPr>
          </w:p>
        </w:tc>
        <w:tc>
          <w:tcPr>
            <w:tcW w:w="80" w:type="dxa"/>
            <w:vAlign w:val="bottom"/>
            <w:tcBorders>
              <w:bottom w:val="single" w:sz="8" w:color="407CCA"/>
            </w:tcBorders>
          </w:tcPr>
          <w:p>
            <w:pPr>
              <w:spacing w:after="0"/>
              <w:rPr>
                <w:sz w:val="2"/>
                <w:szCs w:val="2"/>
                <w:color w:val="auto"/>
              </w:rPr>
            </w:pPr>
          </w:p>
        </w:tc>
        <w:tc>
          <w:tcPr>
            <w:tcW w:w="80" w:type="dxa"/>
            <w:vAlign w:val="bottom"/>
            <w:tcBorders>
              <w:bottom w:val="single" w:sz="8" w:color="407CCA"/>
            </w:tcBorders>
          </w:tcPr>
          <w:p>
            <w:pPr>
              <w:spacing w:after="0"/>
              <w:rPr>
                <w:sz w:val="2"/>
                <w:szCs w:val="2"/>
                <w:color w:val="auto"/>
              </w:rPr>
            </w:pPr>
          </w:p>
        </w:tc>
        <w:tc>
          <w:tcPr>
            <w:tcW w:w="80" w:type="dxa"/>
            <w:vAlign w:val="bottom"/>
            <w:tcBorders>
              <w:bottom w:val="single" w:sz="8" w:color="407CCA"/>
            </w:tcBorders>
          </w:tcPr>
          <w:p>
            <w:pPr>
              <w:spacing w:after="0"/>
              <w:rPr>
                <w:sz w:val="2"/>
                <w:szCs w:val="2"/>
                <w:color w:val="auto"/>
              </w:rPr>
            </w:pPr>
          </w:p>
        </w:tc>
        <w:tc>
          <w:tcPr>
            <w:tcW w:w="220" w:type="dxa"/>
            <w:vAlign w:val="bottom"/>
            <w:tcBorders>
              <w:bottom w:val="single" w:sz="8" w:color="407CCA"/>
            </w:tcBorders>
          </w:tcPr>
          <w:p>
            <w:pPr>
              <w:spacing w:after="0"/>
              <w:rPr>
                <w:sz w:val="2"/>
                <w:szCs w:val="2"/>
                <w:color w:val="auto"/>
              </w:rPr>
            </w:pPr>
          </w:p>
        </w:tc>
        <w:tc>
          <w:tcPr>
            <w:tcW w:w="100" w:type="dxa"/>
            <w:vAlign w:val="bottom"/>
            <w:tcBorders>
              <w:bottom w:val="single" w:sz="8" w:color="407CCA"/>
            </w:tcBorders>
          </w:tcPr>
          <w:p>
            <w:pPr>
              <w:spacing w:after="0"/>
              <w:rPr>
                <w:sz w:val="2"/>
                <w:szCs w:val="2"/>
                <w:color w:val="auto"/>
              </w:rPr>
            </w:pPr>
          </w:p>
        </w:tc>
        <w:tc>
          <w:tcPr>
            <w:tcW w:w="40" w:type="dxa"/>
            <w:vAlign w:val="bottom"/>
            <w:tcBorders>
              <w:bottom w:val="single" w:sz="8" w:color="407CCA"/>
            </w:tcBorders>
          </w:tcPr>
          <w:p>
            <w:pPr>
              <w:spacing w:after="0"/>
              <w:rPr>
                <w:sz w:val="2"/>
                <w:szCs w:val="2"/>
                <w:color w:val="auto"/>
              </w:rPr>
            </w:pPr>
          </w:p>
        </w:tc>
        <w:tc>
          <w:tcPr>
            <w:tcW w:w="100" w:type="dxa"/>
            <w:vAlign w:val="bottom"/>
            <w:tcBorders>
              <w:bottom w:val="single" w:sz="8" w:color="407CCA"/>
            </w:tcBorders>
          </w:tcPr>
          <w:p>
            <w:pPr>
              <w:spacing w:after="0"/>
              <w:rPr>
                <w:sz w:val="2"/>
                <w:szCs w:val="2"/>
                <w:color w:val="auto"/>
              </w:rPr>
            </w:pPr>
          </w:p>
        </w:tc>
        <w:tc>
          <w:tcPr>
            <w:tcW w:w="60" w:type="dxa"/>
            <w:vAlign w:val="bottom"/>
            <w:tcBorders>
              <w:bottom w:val="single" w:sz="8" w:color="407CCA"/>
            </w:tcBorders>
          </w:tcPr>
          <w:p>
            <w:pPr>
              <w:spacing w:after="0"/>
              <w:rPr>
                <w:sz w:val="2"/>
                <w:szCs w:val="2"/>
                <w:color w:val="auto"/>
              </w:rPr>
            </w:pPr>
          </w:p>
        </w:tc>
        <w:tc>
          <w:tcPr>
            <w:tcW w:w="260" w:type="dxa"/>
            <w:vAlign w:val="bottom"/>
            <w:tcBorders>
              <w:bottom w:val="single" w:sz="8" w:color="407CCA"/>
            </w:tcBorders>
          </w:tcPr>
          <w:p>
            <w:pPr>
              <w:spacing w:after="0"/>
              <w:rPr>
                <w:sz w:val="2"/>
                <w:szCs w:val="2"/>
                <w:color w:val="auto"/>
              </w:rPr>
            </w:pPr>
          </w:p>
        </w:tc>
        <w:tc>
          <w:tcPr>
            <w:tcW w:w="260" w:type="dxa"/>
            <w:vAlign w:val="bottom"/>
            <w:tcBorders>
              <w:bottom w:val="single" w:sz="8" w:color="407CCA"/>
            </w:tcBorders>
          </w:tcPr>
          <w:p>
            <w:pPr>
              <w:spacing w:after="0"/>
              <w:rPr>
                <w:sz w:val="2"/>
                <w:szCs w:val="2"/>
                <w:color w:val="auto"/>
              </w:rPr>
            </w:pPr>
          </w:p>
        </w:tc>
        <w:tc>
          <w:tcPr>
            <w:tcW w:w="440" w:type="dxa"/>
            <w:vAlign w:val="bottom"/>
            <w:tcBorders>
              <w:bottom w:val="single" w:sz="8" w:color="407CCA"/>
            </w:tcBorders>
          </w:tcPr>
          <w:p>
            <w:pPr>
              <w:spacing w:after="0"/>
              <w:rPr>
                <w:sz w:val="2"/>
                <w:szCs w:val="2"/>
                <w:color w:val="auto"/>
              </w:rPr>
            </w:pPr>
          </w:p>
        </w:tc>
        <w:tc>
          <w:tcPr>
            <w:tcW w:w="140" w:type="dxa"/>
            <w:vAlign w:val="bottom"/>
            <w:tcBorders>
              <w:bottom w:val="single" w:sz="8" w:color="407CCA"/>
            </w:tcBorders>
          </w:tcPr>
          <w:p>
            <w:pPr>
              <w:spacing w:after="0"/>
              <w:rPr>
                <w:sz w:val="2"/>
                <w:szCs w:val="2"/>
                <w:color w:val="auto"/>
              </w:rPr>
            </w:pPr>
          </w:p>
        </w:tc>
        <w:tc>
          <w:tcPr>
            <w:tcW w:w="20" w:type="dxa"/>
            <w:vAlign w:val="bottom"/>
            <w:tcBorders>
              <w:bottom w:val="single" w:sz="8" w:color="407CCA"/>
            </w:tcBorders>
          </w:tcPr>
          <w:p>
            <w:pPr>
              <w:spacing w:after="0"/>
              <w:rPr>
                <w:sz w:val="2"/>
                <w:szCs w:val="2"/>
                <w:color w:val="auto"/>
              </w:rPr>
            </w:pPr>
          </w:p>
        </w:tc>
        <w:tc>
          <w:tcPr>
            <w:tcW w:w="380" w:type="dxa"/>
            <w:vAlign w:val="bottom"/>
            <w:tcBorders>
              <w:bottom w:val="single" w:sz="8" w:color="407CCA"/>
            </w:tcBorders>
          </w:tcPr>
          <w:p>
            <w:pPr>
              <w:spacing w:after="0"/>
              <w:rPr>
                <w:sz w:val="2"/>
                <w:szCs w:val="2"/>
                <w:color w:val="auto"/>
              </w:rPr>
            </w:pPr>
          </w:p>
        </w:tc>
        <w:tc>
          <w:tcPr>
            <w:tcW w:w="3160" w:type="dxa"/>
            <w:vAlign w:val="bottom"/>
            <w:tcBorders>
              <w:bottom w:val="single" w:sz="8" w:color="407CCA"/>
            </w:tcBorders>
          </w:tcPr>
          <w:p>
            <w:pPr>
              <w:spacing w:after="0"/>
              <w:rPr>
                <w:sz w:val="2"/>
                <w:szCs w:val="2"/>
                <w:color w:val="auto"/>
              </w:rPr>
            </w:pPr>
          </w:p>
        </w:tc>
        <w:tc>
          <w:tcPr>
            <w:tcW w:w="880" w:type="dxa"/>
            <w:vAlign w:val="bottom"/>
            <w:tcBorders>
              <w:bottom w:val="single" w:sz="8" w:color="407CCA"/>
            </w:tcBorders>
          </w:tcPr>
          <w:p>
            <w:pPr>
              <w:spacing w:after="0"/>
              <w:rPr>
                <w:sz w:val="2"/>
                <w:szCs w:val="2"/>
                <w:color w:val="auto"/>
              </w:rPr>
            </w:pPr>
          </w:p>
        </w:tc>
        <w:tc>
          <w:tcPr>
            <w:tcW w:w="1120" w:type="dxa"/>
            <w:vAlign w:val="bottom"/>
            <w:tcBorders>
              <w:bottom w:val="single" w:sz="8" w:color="407CCA"/>
            </w:tcBorders>
          </w:tcPr>
          <w:p>
            <w:pPr>
              <w:spacing w:after="0"/>
              <w:rPr>
                <w:sz w:val="2"/>
                <w:szCs w:val="2"/>
                <w:color w:val="auto"/>
              </w:rPr>
            </w:pPr>
          </w:p>
        </w:tc>
      </w:tr>
      <w:tr>
        <w:trPr>
          <w:trHeight w:val="290"/>
        </w:trPr>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9760" w:type="dxa"/>
            <w:vAlign w:val="bottom"/>
            <w:gridSpan w:val="30"/>
          </w:tcPr>
          <w:p>
            <w:pPr>
              <w:spacing w:after="0"/>
              <w:rPr>
                <w:rFonts w:ascii="Arial" w:cs="Arial" w:eastAsia="Arial" w:hAnsi="Arial"/>
                <w:sz w:val="18"/>
                <w:szCs w:val="18"/>
                <w:b w:val="1"/>
                <w:bCs w:val="1"/>
                <w:color w:val="0000EE"/>
              </w:rPr>
            </w:pPr>
            <w:hyperlink w:anchor="page82">
              <w:r>
                <w:rPr>
                  <w:rFonts w:ascii="Arial" w:cs="Arial" w:eastAsia="Arial" w:hAnsi="Arial"/>
                  <w:sz w:val="18"/>
                  <w:szCs w:val="18"/>
                  <w:b w:val="1"/>
                  <w:bCs w:val="1"/>
                  <w:color w:val="0000EE"/>
                </w:rPr>
                <w:t>Information Regarding Company Voting Securities</w:t>
              </w:r>
            </w:hyperlink>
          </w:p>
        </w:tc>
        <w:tc>
          <w:tcPr>
            <w:tcW w:w="1120" w:type="dxa"/>
            <w:vAlign w:val="bottom"/>
          </w:tcPr>
          <w:p>
            <w:pPr>
              <w:jc w:val="right"/>
              <w:spacing w:after="0"/>
              <w:rPr>
                <w:sz w:val="20"/>
                <w:szCs w:val="20"/>
                <w:color w:val="auto"/>
              </w:rPr>
            </w:pPr>
            <w:r>
              <w:rPr>
                <w:rFonts w:ascii="Arial" w:cs="Arial" w:eastAsia="Arial" w:hAnsi="Arial"/>
                <w:sz w:val="18"/>
                <w:szCs w:val="18"/>
                <w:color w:val="auto"/>
              </w:rPr>
              <w:t>69</w:t>
            </w:r>
          </w:p>
        </w:tc>
      </w:tr>
      <w:tr>
        <w:trPr>
          <w:trHeight w:val="20"/>
        </w:trPr>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40" w:type="dxa"/>
            <w:vAlign w:val="bottom"/>
            <w:shd w:val="clear" w:color="auto" w:fill="0000EE"/>
          </w:tcPr>
          <w:p>
            <w:pPr>
              <w:spacing w:after="0" w:line="20" w:lineRule="exact"/>
              <w:rPr>
                <w:sz w:val="1"/>
                <w:szCs w:val="1"/>
                <w:color w:val="auto"/>
              </w:rPr>
            </w:pPr>
          </w:p>
        </w:tc>
        <w:tc>
          <w:tcPr>
            <w:tcW w:w="3480" w:type="dxa"/>
            <w:vAlign w:val="bottom"/>
            <w:gridSpan w:val="17"/>
            <w:shd w:val="clear" w:color="auto" w:fill="0000EE"/>
          </w:tcPr>
          <w:p>
            <w:pPr>
              <w:spacing w:after="0" w:line="20" w:lineRule="exact"/>
              <w:rPr>
                <w:sz w:val="1"/>
                <w:szCs w:val="1"/>
                <w:color w:val="auto"/>
              </w:rPr>
            </w:pPr>
          </w:p>
        </w:tc>
        <w:tc>
          <w:tcPr>
            <w:tcW w:w="1260" w:type="dxa"/>
            <w:vAlign w:val="bottom"/>
            <w:gridSpan w:val="7"/>
          </w:tcPr>
          <w:p>
            <w:pPr>
              <w:spacing w:after="0" w:line="20" w:lineRule="exact"/>
              <w:rPr>
                <w:sz w:val="1"/>
                <w:szCs w:val="1"/>
                <w:color w:val="auto"/>
              </w:rPr>
            </w:pPr>
          </w:p>
        </w:tc>
        <w:tc>
          <w:tcPr>
            <w:tcW w:w="160" w:type="dxa"/>
            <w:vAlign w:val="bottom"/>
            <w:gridSpan w:val="2"/>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4040" w:type="dxa"/>
            <w:vAlign w:val="bottom"/>
            <w:gridSpan w:val="2"/>
          </w:tcPr>
          <w:p>
            <w:pPr>
              <w:spacing w:after="0" w:line="20" w:lineRule="exact"/>
              <w:rPr>
                <w:sz w:val="1"/>
                <w:szCs w:val="1"/>
                <w:color w:val="auto"/>
              </w:rPr>
            </w:pPr>
          </w:p>
        </w:tc>
        <w:tc>
          <w:tcPr>
            <w:tcW w:w="1120" w:type="dxa"/>
            <w:vAlign w:val="bottom"/>
          </w:tcPr>
          <w:p>
            <w:pPr>
              <w:spacing w:after="0" w:line="20" w:lineRule="exact"/>
              <w:rPr>
                <w:sz w:val="1"/>
                <w:szCs w:val="1"/>
                <w:color w:val="auto"/>
              </w:rPr>
            </w:pPr>
          </w:p>
        </w:tc>
      </w:tr>
      <w:tr>
        <w:trPr>
          <w:trHeight w:val="331"/>
        </w:trPr>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9320" w:type="dxa"/>
            <w:vAlign w:val="bottom"/>
            <w:gridSpan w:val="29"/>
          </w:tcPr>
          <w:p>
            <w:pPr>
              <w:ind w:left="20"/>
              <w:spacing w:after="0"/>
              <w:rPr>
                <w:rFonts w:ascii="Arial" w:cs="Arial" w:eastAsia="Arial" w:hAnsi="Arial"/>
                <w:sz w:val="18"/>
                <w:szCs w:val="18"/>
                <w:color w:val="0000EE"/>
              </w:rPr>
            </w:pPr>
            <w:hyperlink w:anchor="page82">
              <w:r>
                <w:rPr>
                  <w:rFonts w:ascii="Arial" w:cs="Arial" w:eastAsia="Arial" w:hAnsi="Arial"/>
                  <w:sz w:val="18"/>
                  <w:szCs w:val="18"/>
                  <w:color w:val="0000EE"/>
                </w:rPr>
                <w:t>Security Ownership of Management and Certain Beneficial Owners</w:t>
              </w:r>
            </w:hyperlink>
          </w:p>
        </w:tc>
        <w:tc>
          <w:tcPr>
            <w:tcW w:w="1120" w:type="dxa"/>
            <w:vAlign w:val="bottom"/>
          </w:tcPr>
          <w:p>
            <w:pPr>
              <w:jc w:val="right"/>
              <w:spacing w:after="0"/>
              <w:rPr>
                <w:sz w:val="20"/>
                <w:szCs w:val="20"/>
                <w:color w:val="auto"/>
              </w:rPr>
            </w:pPr>
            <w:r>
              <w:rPr>
                <w:rFonts w:ascii="Arial" w:cs="Arial" w:eastAsia="Arial" w:hAnsi="Arial"/>
                <w:sz w:val="18"/>
                <w:szCs w:val="18"/>
                <w:color w:val="auto"/>
              </w:rPr>
              <w:t>69</w:t>
            </w:r>
          </w:p>
        </w:tc>
      </w:tr>
      <w:tr>
        <w:trPr>
          <w:trHeight w:val="34"/>
        </w:trPr>
        <w:tc>
          <w:tcPr>
            <w:tcW w:w="120" w:type="dxa"/>
            <w:vAlign w:val="bottom"/>
          </w:tcPr>
          <w:p>
            <w:pPr>
              <w:spacing w:after="0"/>
              <w:rPr>
                <w:sz w:val="2"/>
                <w:szCs w:val="2"/>
                <w:color w:val="auto"/>
              </w:rPr>
            </w:pPr>
          </w:p>
        </w:tc>
        <w:tc>
          <w:tcPr>
            <w:tcW w:w="80" w:type="dxa"/>
            <w:vAlign w:val="bottom"/>
            <w:tcBorders>
              <w:bottom w:val="single" w:sz="8" w:color="407CCA"/>
            </w:tcBorders>
          </w:tcPr>
          <w:p>
            <w:pPr>
              <w:spacing w:after="0"/>
              <w:rPr>
                <w:sz w:val="2"/>
                <w:szCs w:val="2"/>
                <w:color w:val="auto"/>
              </w:rPr>
            </w:pPr>
          </w:p>
        </w:tc>
        <w:tc>
          <w:tcPr>
            <w:tcW w:w="60" w:type="dxa"/>
            <w:vAlign w:val="bottom"/>
            <w:tcBorders>
              <w:bottom w:val="single" w:sz="8" w:color="407CCA"/>
            </w:tcBorders>
          </w:tcPr>
          <w:p>
            <w:pPr>
              <w:spacing w:after="0"/>
              <w:rPr>
                <w:sz w:val="2"/>
                <w:szCs w:val="2"/>
                <w:color w:val="auto"/>
              </w:rPr>
            </w:pPr>
          </w:p>
        </w:tc>
        <w:tc>
          <w:tcPr>
            <w:tcW w:w="440" w:type="dxa"/>
            <w:vAlign w:val="bottom"/>
            <w:tcBorders>
              <w:bottom w:val="single" w:sz="8" w:color="407CCA"/>
            </w:tcBorders>
          </w:tcPr>
          <w:p>
            <w:pPr>
              <w:spacing w:after="0"/>
              <w:rPr>
                <w:sz w:val="2"/>
                <w:szCs w:val="2"/>
                <w:color w:val="auto"/>
              </w:rPr>
            </w:pPr>
          </w:p>
        </w:tc>
        <w:tc>
          <w:tcPr>
            <w:tcW w:w="600" w:type="dxa"/>
            <w:vAlign w:val="bottom"/>
            <w:tcBorders>
              <w:top w:val="single" w:sz="8" w:color="0000EE"/>
              <w:bottom w:val="single" w:sz="8" w:color="407CCA"/>
            </w:tcBorders>
          </w:tcPr>
          <w:p>
            <w:pPr>
              <w:spacing w:after="0"/>
              <w:rPr>
                <w:sz w:val="2"/>
                <w:szCs w:val="2"/>
                <w:color w:val="auto"/>
              </w:rPr>
            </w:pPr>
          </w:p>
        </w:tc>
        <w:tc>
          <w:tcPr>
            <w:tcW w:w="60" w:type="dxa"/>
            <w:vAlign w:val="bottom"/>
            <w:tcBorders>
              <w:top w:val="single" w:sz="8" w:color="0000EE"/>
              <w:bottom w:val="single" w:sz="8" w:color="407CCA"/>
            </w:tcBorders>
          </w:tcPr>
          <w:p>
            <w:pPr>
              <w:spacing w:after="0"/>
              <w:rPr>
                <w:sz w:val="2"/>
                <w:szCs w:val="2"/>
                <w:color w:val="auto"/>
              </w:rPr>
            </w:pPr>
          </w:p>
        </w:tc>
        <w:tc>
          <w:tcPr>
            <w:tcW w:w="760" w:type="dxa"/>
            <w:vAlign w:val="bottom"/>
            <w:tcBorders>
              <w:top w:val="single" w:sz="8" w:color="0000EE"/>
              <w:bottom w:val="single" w:sz="8" w:color="407CCA"/>
            </w:tcBorders>
          </w:tcPr>
          <w:p>
            <w:pPr>
              <w:spacing w:after="0"/>
              <w:rPr>
                <w:sz w:val="2"/>
                <w:szCs w:val="2"/>
                <w:color w:val="auto"/>
              </w:rPr>
            </w:pPr>
          </w:p>
        </w:tc>
        <w:tc>
          <w:tcPr>
            <w:tcW w:w="580" w:type="dxa"/>
            <w:vAlign w:val="bottom"/>
            <w:tcBorders>
              <w:top w:val="single" w:sz="8" w:color="0000EE"/>
              <w:bottom w:val="single" w:sz="8" w:color="407CCA"/>
            </w:tcBorders>
          </w:tcPr>
          <w:p>
            <w:pPr>
              <w:spacing w:after="0"/>
              <w:rPr>
                <w:sz w:val="2"/>
                <w:szCs w:val="2"/>
                <w:color w:val="auto"/>
              </w:rPr>
            </w:pPr>
          </w:p>
        </w:tc>
        <w:tc>
          <w:tcPr>
            <w:tcW w:w="60" w:type="dxa"/>
            <w:vAlign w:val="bottom"/>
            <w:tcBorders>
              <w:top w:val="single" w:sz="8" w:color="0000EE"/>
              <w:bottom w:val="single" w:sz="8" w:color="407CCA"/>
            </w:tcBorders>
          </w:tcPr>
          <w:p>
            <w:pPr>
              <w:spacing w:after="0"/>
              <w:rPr>
                <w:sz w:val="2"/>
                <w:szCs w:val="2"/>
                <w:color w:val="auto"/>
              </w:rPr>
            </w:pPr>
          </w:p>
        </w:tc>
        <w:tc>
          <w:tcPr>
            <w:tcW w:w="20" w:type="dxa"/>
            <w:vAlign w:val="bottom"/>
            <w:tcBorders>
              <w:top w:val="single" w:sz="8" w:color="0000EE"/>
              <w:bottom w:val="single" w:sz="8" w:color="407CCA"/>
            </w:tcBorders>
          </w:tcPr>
          <w:p>
            <w:pPr>
              <w:spacing w:after="0"/>
              <w:rPr>
                <w:sz w:val="2"/>
                <w:szCs w:val="2"/>
                <w:color w:val="auto"/>
              </w:rPr>
            </w:pPr>
          </w:p>
        </w:tc>
        <w:tc>
          <w:tcPr>
            <w:tcW w:w="120" w:type="dxa"/>
            <w:vAlign w:val="bottom"/>
            <w:tcBorders>
              <w:top w:val="single" w:sz="8" w:color="0000EE"/>
              <w:bottom w:val="single" w:sz="8" w:color="407CCA"/>
            </w:tcBorders>
          </w:tcPr>
          <w:p>
            <w:pPr>
              <w:spacing w:after="0"/>
              <w:rPr>
                <w:sz w:val="2"/>
                <w:szCs w:val="2"/>
                <w:color w:val="auto"/>
              </w:rPr>
            </w:pPr>
          </w:p>
        </w:tc>
        <w:tc>
          <w:tcPr>
            <w:tcW w:w="440" w:type="dxa"/>
            <w:vAlign w:val="bottom"/>
            <w:tcBorders>
              <w:top w:val="single" w:sz="8" w:color="0000EE"/>
              <w:bottom w:val="single" w:sz="8" w:color="407CCA"/>
            </w:tcBorders>
          </w:tcPr>
          <w:p>
            <w:pPr>
              <w:spacing w:after="0"/>
              <w:rPr>
                <w:sz w:val="2"/>
                <w:szCs w:val="2"/>
                <w:color w:val="auto"/>
              </w:rPr>
            </w:pPr>
          </w:p>
        </w:tc>
        <w:tc>
          <w:tcPr>
            <w:tcW w:w="220" w:type="dxa"/>
            <w:vAlign w:val="bottom"/>
            <w:tcBorders>
              <w:top w:val="single" w:sz="8" w:color="0000EE"/>
              <w:bottom w:val="single" w:sz="8" w:color="407CCA"/>
            </w:tcBorders>
          </w:tcPr>
          <w:p>
            <w:pPr>
              <w:spacing w:after="0"/>
              <w:rPr>
                <w:sz w:val="2"/>
                <w:szCs w:val="2"/>
                <w:color w:val="auto"/>
              </w:rPr>
            </w:pPr>
          </w:p>
        </w:tc>
        <w:tc>
          <w:tcPr>
            <w:tcW w:w="20" w:type="dxa"/>
            <w:vAlign w:val="bottom"/>
            <w:tcBorders>
              <w:top w:val="single" w:sz="8" w:color="0000EE"/>
              <w:bottom w:val="single" w:sz="8" w:color="407CCA"/>
            </w:tcBorders>
          </w:tcPr>
          <w:p>
            <w:pPr>
              <w:spacing w:after="0"/>
              <w:rPr>
                <w:sz w:val="2"/>
                <w:szCs w:val="2"/>
                <w:color w:val="auto"/>
              </w:rPr>
            </w:pPr>
          </w:p>
        </w:tc>
        <w:tc>
          <w:tcPr>
            <w:tcW w:w="40" w:type="dxa"/>
            <w:vAlign w:val="bottom"/>
            <w:tcBorders>
              <w:top w:val="single" w:sz="8" w:color="0000EE"/>
              <w:bottom w:val="single" w:sz="8" w:color="407CCA"/>
            </w:tcBorders>
          </w:tcPr>
          <w:p>
            <w:pPr>
              <w:spacing w:after="0"/>
              <w:rPr>
                <w:sz w:val="2"/>
                <w:szCs w:val="2"/>
                <w:color w:val="auto"/>
              </w:rPr>
            </w:pPr>
          </w:p>
        </w:tc>
        <w:tc>
          <w:tcPr>
            <w:tcW w:w="20" w:type="dxa"/>
            <w:vAlign w:val="bottom"/>
            <w:tcBorders>
              <w:top w:val="single" w:sz="8" w:color="0000EE"/>
              <w:bottom w:val="single" w:sz="8" w:color="407CCA"/>
            </w:tcBorders>
          </w:tcPr>
          <w:p>
            <w:pPr>
              <w:spacing w:after="0"/>
              <w:rPr>
                <w:sz w:val="2"/>
                <w:szCs w:val="2"/>
                <w:color w:val="auto"/>
              </w:rPr>
            </w:pPr>
          </w:p>
        </w:tc>
        <w:tc>
          <w:tcPr>
            <w:tcW w:w="80" w:type="dxa"/>
            <w:vAlign w:val="bottom"/>
            <w:tcBorders>
              <w:top w:val="single" w:sz="8" w:color="0000EE"/>
              <w:bottom w:val="single" w:sz="8" w:color="407CCA"/>
            </w:tcBorders>
          </w:tcPr>
          <w:p>
            <w:pPr>
              <w:spacing w:after="0"/>
              <w:rPr>
                <w:sz w:val="2"/>
                <w:szCs w:val="2"/>
                <w:color w:val="auto"/>
              </w:rPr>
            </w:pPr>
          </w:p>
        </w:tc>
        <w:tc>
          <w:tcPr>
            <w:tcW w:w="80" w:type="dxa"/>
            <w:vAlign w:val="bottom"/>
            <w:tcBorders>
              <w:top w:val="single" w:sz="8" w:color="0000EE"/>
              <w:bottom w:val="single" w:sz="8" w:color="407CCA"/>
            </w:tcBorders>
          </w:tcPr>
          <w:p>
            <w:pPr>
              <w:spacing w:after="0"/>
              <w:rPr>
                <w:sz w:val="2"/>
                <w:szCs w:val="2"/>
                <w:color w:val="auto"/>
              </w:rPr>
            </w:pPr>
          </w:p>
        </w:tc>
        <w:tc>
          <w:tcPr>
            <w:tcW w:w="80" w:type="dxa"/>
            <w:vAlign w:val="bottom"/>
            <w:tcBorders>
              <w:top w:val="single" w:sz="8" w:color="0000EE"/>
              <w:bottom w:val="single" w:sz="8" w:color="407CCA"/>
            </w:tcBorders>
          </w:tcPr>
          <w:p>
            <w:pPr>
              <w:spacing w:after="0"/>
              <w:rPr>
                <w:sz w:val="2"/>
                <w:szCs w:val="2"/>
                <w:color w:val="auto"/>
              </w:rPr>
            </w:pPr>
          </w:p>
        </w:tc>
        <w:tc>
          <w:tcPr>
            <w:tcW w:w="80" w:type="dxa"/>
            <w:vAlign w:val="bottom"/>
            <w:tcBorders>
              <w:top w:val="single" w:sz="8" w:color="0000EE"/>
              <w:bottom w:val="single" w:sz="8" w:color="407CCA"/>
            </w:tcBorders>
          </w:tcPr>
          <w:p>
            <w:pPr>
              <w:spacing w:after="0"/>
              <w:rPr>
                <w:sz w:val="2"/>
                <w:szCs w:val="2"/>
                <w:color w:val="auto"/>
              </w:rPr>
            </w:pPr>
          </w:p>
        </w:tc>
        <w:tc>
          <w:tcPr>
            <w:tcW w:w="220" w:type="dxa"/>
            <w:vAlign w:val="bottom"/>
            <w:tcBorders>
              <w:top w:val="single" w:sz="8" w:color="0000EE"/>
              <w:bottom w:val="single" w:sz="8" w:color="407CCA"/>
            </w:tcBorders>
          </w:tcPr>
          <w:p>
            <w:pPr>
              <w:spacing w:after="0"/>
              <w:rPr>
                <w:sz w:val="2"/>
                <w:szCs w:val="2"/>
                <w:color w:val="auto"/>
              </w:rPr>
            </w:pPr>
          </w:p>
        </w:tc>
        <w:tc>
          <w:tcPr>
            <w:tcW w:w="100" w:type="dxa"/>
            <w:vAlign w:val="bottom"/>
            <w:tcBorders>
              <w:top w:val="single" w:sz="8" w:color="0000EE"/>
              <w:bottom w:val="single" w:sz="8" w:color="407CCA"/>
            </w:tcBorders>
          </w:tcPr>
          <w:p>
            <w:pPr>
              <w:spacing w:after="0"/>
              <w:rPr>
                <w:sz w:val="2"/>
                <w:szCs w:val="2"/>
                <w:color w:val="auto"/>
              </w:rPr>
            </w:pPr>
          </w:p>
        </w:tc>
        <w:tc>
          <w:tcPr>
            <w:tcW w:w="40" w:type="dxa"/>
            <w:vAlign w:val="bottom"/>
            <w:tcBorders>
              <w:top w:val="single" w:sz="8" w:color="0000EE"/>
              <w:bottom w:val="single" w:sz="8" w:color="407CCA"/>
            </w:tcBorders>
          </w:tcPr>
          <w:p>
            <w:pPr>
              <w:spacing w:after="0"/>
              <w:rPr>
                <w:sz w:val="2"/>
                <w:szCs w:val="2"/>
                <w:color w:val="auto"/>
              </w:rPr>
            </w:pPr>
          </w:p>
        </w:tc>
        <w:tc>
          <w:tcPr>
            <w:tcW w:w="100" w:type="dxa"/>
            <w:vAlign w:val="bottom"/>
            <w:tcBorders>
              <w:top w:val="single" w:sz="8" w:color="0000EE"/>
              <w:bottom w:val="single" w:sz="8" w:color="407CCA"/>
            </w:tcBorders>
          </w:tcPr>
          <w:p>
            <w:pPr>
              <w:spacing w:after="0"/>
              <w:rPr>
                <w:sz w:val="2"/>
                <w:szCs w:val="2"/>
                <w:color w:val="auto"/>
              </w:rPr>
            </w:pPr>
          </w:p>
        </w:tc>
        <w:tc>
          <w:tcPr>
            <w:tcW w:w="60" w:type="dxa"/>
            <w:vAlign w:val="bottom"/>
            <w:tcBorders>
              <w:top w:val="single" w:sz="8" w:color="0000EE"/>
              <w:bottom w:val="single" w:sz="8" w:color="407CCA"/>
            </w:tcBorders>
          </w:tcPr>
          <w:p>
            <w:pPr>
              <w:spacing w:after="0"/>
              <w:rPr>
                <w:sz w:val="2"/>
                <w:szCs w:val="2"/>
                <w:color w:val="auto"/>
              </w:rPr>
            </w:pPr>
          </w:p>
        </w:tc>
        <w:tc>
          <w:tcPr>
            <w:tcW w:w="260" w:type="dxa"/>
            <w:vAlign w:val="bottom"/>
            <w:tcBorders>
              <w:top w:val="single" w:sz="8" w:color="0000EE"/>
              <w:bottom w:val="single" w:sz="8" w:color="407CCA"/>
            </w:tcBorders>
          </w:tcPr>
          <w:p>
            <w:pPr>
              <w:spacing w:after="0"/>
              <w:rPr>
                <w:sz w:val="2"/>
                <w:szCs w:val="2"/>
                <w:color w:val="auto"/>
              </w:rPr>
            </w:pPr>
          </w:p>
        </w:tc>
        <w:tc>
          <w:tcPr>
            <w:tcW w:w="260" w:type="dxa"/>
            <w:vAlign w:val="bottom"/>
            <w:tcBorders>
              <w:top w:val="single" w:sz="8" w:color="0000EE"/>
              <w:bottom w:val="single" w:sz="8" w:color="407CCA"/>
            </w:tcBorders>
          </w:tcPr>
          <w:p>
            <w:pPr>
              <w:spacing w:after="0"/>
              <w:rPr>
                <w:sz w:val="2"/>
                <w:szCs w:val="2"/>
                <w:color w:val="auto"/>
              </w:rPr>
            </w:pPr>
          </w:p>
        </w:tc>
        <w:tc>
          <w:tcPr>
            <w:tcW w:w="440" w:type="dxa"/>
            <w:vAlign w:val="bottom"/>
            <w:tcBorders>
              <w:top w:val="single" w:sz="8" w:color="0000EE"/>
              <w:bottom w:val="single" w:sz="8" w:color="407CCA"/>
            </w:tcBorders>
          </w:tcPr>
          <w:p>
            <w:pPr>
              <w:spacing w:after="0"/>
              <w:rPr>
                <w:sz w:val="2"/>
                <w:szCs w:val="2"/>
                <w:color w:val="auto"/>
              </w:rPr>
            </w:pPr>
          </w:p>
        </w:tc>
        <w:tc>
          <w:tcPr>
            <w:tcW w:w="140" w:type="dxa"/>
            <w:vAlign w:val="bottom"/>
            <w:tcBorders>
              <w:top w:val="single" w:sz="8" w:color="0000EE"/>
              <w:bottom w:val="single" w:sz="8" w:color="407CCA"/>
            </w:tcBorders>
          </w:tcPr>
          <w:p>
            <w:pPr>
              <w:spacing w:after="0"/>
              <w:rPr>
                <w:sz w:val="2"/>
                <w:szCs w:val="2"/>
                <w:color w:val="auto"/>
              </w:rPr>
            </w:pPr>
          </w:p>
        </w:tc>
        <w:tc>
          <w:tcPr>
            <w:tcW w:w="20" w:type="dxa"/>
            <w:vAlign w:val="bottom"/>
            <w:tcBorders>
              <w:top w:val="single" w:sz="8" w:color="0000EE"/>
              <w:bottom w:val="single" w:sz="8" w:color="407CCA"/>
            </w:tcBorders>
          </w:tcPr>
          <w:p>
            <w:pPr>
              <w:spacing w:after="0"/>
              <w:rPr>
                <w:sz w:val="2"/>
                <w:szCs w:val="2"/>
                <w:color w:val="auto"/>
              </w:rPr>
            </w:pPr>
          </w:p>
        </w:tc>
        <w:tc>
          <w:tcPr>
            <w:tcW w:w="380" w:type="dxa"/>
            <w:vAlign w:val="bottom"/>
            <w:tcBorders>
              <w:bottom w:val="single" w:sz="8" w:color="407CCA"/>
            </w:tcBorders>
          </w:tcPr>
          <w:p>
            <w:pPr>
              <w:spacing w:after="0"/>
              <w:rPr>
                <w:sz w:val="2"/>
                <w:szCs w:val="2"/>
                <w:color w:val="auto"/>
              </w:rPr>
            </w:pPr>
          </w:p>
        </w:tc>
        <w:tc>
          <w:tcPr>
            <w:tcW w:w="3160" w:type="dxa"/>
            <w:vAlign w:val="bottom"/>
            <w:tcBorders>
              <w:bottom w:val="single" w:sz="8" w:color="407CCA"/>
            </w:tcBorders>
          </w:tcPr>
          <w:p>
            <w:pPr>
              <w:spacing w:after="0"/>
              <w:rPr>
                <w:sz w:val="2"/>
                <w:szCs w:val="2"/>
                <w:color w:val="auto"/>
              </w:rPr>
            </w:pPr>
          </w:p>
        </w:tc>
        <w:tc>
          <w:tcPr>
            <w:tcW w:w="880" w:type="dxa"/>
            <w:vAlign w:val="bottom"/>
            <w:tcBorders>
              <w:bottom w:val="single" w:sz="8" w:color="407CCA"/>
            </w:tcBorders>
          </w:tcPr>
          <w:p>
            <w:pPr>
              <w:spacing w:after="0"/>
              <w:rPr>
                <w:sz w:val="2"/>
                <w:szCs w:val="2"/>
                <w:color w:val="auto"/>
              </w:rPr>
            </w:pPr>
          </w:p>
        </w:tc>
        <w:tc>
          <w:tcPr>
            <w:tcW w:w="1120" w:type="dxa"/>
            <w:vAlign w:val="bottom"/>
            <w:tcBorders>
              <w:bottom w:val="single" w:sz="8" w:color="407CCA"/>
            </w:tcBorders>
          </w:tcPr>
          <w:p>
            <w:pPr>
              <w:spacing w:after="0"/>
              <w:rPr>
                <w:sz w:val="2"/>
                <w:szCs w:val="2"/>
                <w:color w:val="auto"/>
              </w:rPr>
            </w:pPr>
          </w:p>
        </w:tc>
      </w:tr>
      <w:tr>
        <w:trPr>
          <w:trHeight w:val="169"/>
        </w:trPr>
        <w:tc>
          <w:tcPr>
            <w:tcW w:w="120" w:type="dxa"/>
            <w:vAlign w:val="bottom"/>
          </w:tcPr>
          <w:p>
            <w:pPr>
              <w:spacing w:after="0"/>
              <w:rPr>
                <w:sz w:val="14"/>
                <w:szCs w:val="14"/>
                <w:color w:val="auto"/>
              </w:rPr>
            </w:pPr>
          </w:p>
        </w:tc>
        <w:tc>
          <w:tcPr>
            <w:tcW w:w="9900" w:type="dxa"/>
            <w:vAlign w:val="bottom"/>
            <w:gridSpan w:val="32"/>
          </w:tcPr>
          <w:p>
            <w:pPr>
              <w:ind w:left="80"/>
              <w:spacing w:after="0" w:line="169" w:lineRule="exact"/>
              <w:rPr>
                <w:rFonts w:ascii="Arial" w:cs="Arial" w:eastAsia="Arial" w:hAnsi="Arial"/>
                <w:sz w:val="18"/>
                <w:szCs w:val="18"/>
                <w:b w:val="1"/>
                <w:bCs w:val="1"/>
                <w:color w:val="0000EE"/>
              </w:rPr>
            </w:pPr>
            <w:hyperlink w:anchor="page84">
              <w:r>
                <w:rPr>
                  <w:rFonts w:ascii="Arial" w:cs="Arial" w:eastAsia="Arial" w:hAnsi="Arial"/>
                  <w:sz w:val="18"/>
                  <w:szCs w:val="18"/>
                  <w:b w:val="1"/>
                  <w:bCs w:val="1"/>
                  <w:color w:val="0000EE"/>
                </w:rPr>
                <w:t>Questions and Answers About Stockholder Communications and Proposals</w:t>
              </w:r>
            </w:hyperlink>
          </w:p>
        </w:tc>
        <w:tc>
          <w:tcPr>
            <w:tcW w:w="1120" w:type="dxa"/>
            <w:vAlign w:val="bottom"/>
          </w:tcPr>
          <w:p>
            <w:pPr>
              <w:jc w:val="right"/>
              <w:spacing w:after="0" w:line="169" w:lineRule="exact"/>
              <w:rPr>
                <w:sz w:val="20"/>
                <w:szCs w:val="20"/>
                <w:color w:val="auto"/>
              </w:rPr>
            </w:pPr>
            <w:r>
              <w:rPr>
                <w:rFonts w:ascii="Arial" w:cs="Arial" w:eastAsia="Arial" w:hAnsi="Arial"/>
                <w:sz w:val="18"/>
                <w:szCs w:val="18"/>
                <w:color w:val="auto"/>
              </w:rPr>
              <w:t>71</w:t>
            </w:r>
          </w:p>
        </w:tc>
      </w:tr>
      <w:tr>
        <w:trPr>
          <w:trHeight w:val="75"/>
        </w:trPr>
        <w:tc>
          <w:tcPr>
            <w:tcW w:w="120" w:type="dxa"/>
            <w:vAlign w:val="bottom"/>
          </w:tcPr>
          <w:p>
            <w:pPr>
              <w:spacing w:after="0"/>
              <w:rPr>
                <w:sz w:val="6"/>
                <w:szCs w:val="6"/>
                <w:color w:val="auto"/>
              </w:rPr>
            </w:pPr>
          </w:p>
        </w:tc>
        <w:tc>
          <w:tcPr>
            <w:tcW w:w="80" w:type="dxa"/>
            <w:vAlign w:val="bottom"/>
            <w:tcBorders>
              <w:bottom w:val="single" w:sz="8" w:color="407CCA"/>
            </w:tcBorders>
          </w:tcPr>
          <w:p>
            <w:pPr>
              <w:spacing w:after="0"/>
              <w:rPr>
                <w:sz w:val="6"/>
                <w:szCs w:val="6"/>
                <w:color w:val="auto"/>
              </w:rPr>
            </w:pPr>
          </w:p>
        </w:tc>
        <w:tc>
          <w:tcPr>
            <w:tcW w:w="60" w:type="dxa"/>
            <w:vAlign w:val="bottom"/>
            <w:tcBorders>
              <w:top w:val="single" w:sz="8" w:color="0000EE"/>
              <w:bottom w:val="single" w:sz="8" w:color="407CCA"/>
            </w:tcBorders>
          </w:tcPr>
          <w:p>
            <w:pPr>
              <w:spacing w:after="0"/>
              <w:rPr>
                <w:sz w:val="6"/>
                <w:szCs w:val="6"/>
                <w:color w:val="auto"/>
              </w:rPr>
            </w:pPr>
          </w:p>
        </w:tc>
        <w:tc>
          <w:tcPr>
            <w:tcW w:w="440" w:type="dxa"/>
            <w:vAlign w:val="bottom"/>
            <w:tcBorders>
              <w:top w:val="single" w:sz="8" w:color="0000EE"/>
              <w:bottom w:val="single" w:sz="8" w:color="407CCA"/>
            </w:tcBorders>
          </w:tcPr>
          <w:p>
            <w:pPr>
              <w:spacing w:after="0"/>
              <w:rPr>
                <w:sz w:val="6"/>
                <w:szCs w:val="6"/>
                <w:color w:val="auto"/>
              </w:rPr>
            </w:pPr>
          </w:p>
        </w:tc>
        <w:tc>
          <w:tcPr>
            <w:tcW w:w="600" w:type="dxa"/>
            <w:vAlign w:val="bottom"/>
            <w:tcBorders>
              <w:top w:val="single" w:sz="8" w:color="0000EE"/>
              <w:bottom w:val="single" w:sz="8" w:color="407CCA"/>
            </w:tcBorders>
          </w:tcPr>
          <w:p>
            <w:pPr>
              <w:spacing w:after="0"/>
              <w:rPr>
                <w:sz w:val="6"/>
                <w:szCs w:val="6"/>
                <w:color w:val="auto"/>
              </w:rPr>
            </w:pPr>
          </w:p>
        </w:tc>
        <w:tc>
          <w:tcPr>
            <w:tcW w:w="60" w:type="dxa"/>
            <w:vAlign w:val="bottom"/>
            <w:tcBorders>
              <w:top w:val="single" w:sz="8" w:color="0000EE"/>
              <w:bottom w:val="single" w:sz="8" w:color="407CCA"/>
            </w:tcBorders>
          </w:tcPr>
          <w:p>
            <w:pPr>
              <w:spacing w:after="0"/>
              <w:rPr>
                <w:sz w:val="6"/>
                <w:szCs w:val="6"/>
                <w:color w:val="auto"/>
              </w:rPr>
            </w:pPr>
          </w:p>
        </w:tc>
        <w:tc>
          <w:tcPr>
            <w:tcW w:w="760" w:type="dxa"/>
            <w:vAlign w:val="bottom"/>
            <w:tcBorders>
              <w:top w:val="single" w:sz="8" w:color="0000EE"/>
              <w:bottom w:val="single" w:sz="8" w:color="407CCA"/>
            </w:tcBorders>
          </w:tcPr>
          <w:p>
            <w:pPr>
              <w:spacing w:after="0"/>
              <w:rPr>
                <w:sz w:val="6"/>
                <w:szCs w:val="6"/>
                <w:color w:val="auto"/>
              </w:rPr>
            </w:pPr>
          </w:p>
        </w:tc>
        <w:tc>
          <w:tcPr>
            <w:tcW w:w="580" w:type="dxa"/>
            <w:vAlign w:val="bottom"/>
            <w:tcBorders>
              <w:top w:val="single" w:sz="8" w:color="0000EE"/>
              <w:bottom w:val="single" w:sz="8" w:color="407CCA"/>
            </w:tcBorders>
          </w:tcPr>
          <w:p>
            <w:pPr>
              <w:spacing w:after="0"/>
              <w:rPr>
                <w:sz w:val="6"/>
                <w:szCs w:val="6"/>
                <w:color w:val="auto"/>
              </w:rPr>
            </w:pPr>
          </w:p>
        </w:tc>
        <w:tc>
          <w:tcPr>
            <w:tcW w:w="60" w:type="dxa"/>
            <w:vAlign w:val="bottom"/>
            <w:tcBorders>
              <w:top w:val="single" w:sz="8" w:color="0000EE"/>
              <w:bottom w:val="single" w:sz="8" w:color="407CCA"/>
            </w:tcBorders>
          </w:tcPr>
          <w:p>
            <w:pPr>
              <w:spacing w:after="0"/>
              <w:rPr>
                <w:sz w:val="6"/>
                <w:szCs w:val="6"/>
                <w:color w:val="auto"/>
              </w:rPr>
            </w:pPr>
          </w:p>
        </w:tc>
        <w:tc>
          <w:tcPr>
            <w:tcW w:w="20" w:type="dxa"/>
            <w:vAlign w:val="bottom"/>
            <w:tcBorders>
              <w:top w:val="single" w:sz="8" w:color="0000EE"/>
              <w:bottom w:val="single" w:sz="8" w:color="407CCA"/>
            </w:tcBorders>
          </w:tcPr>
          <w:p>
            <w:pPr>
              <w:spacing w:after="0"/>
              <w:rPr>
                <w:sz w:val="6"/>
                <w:szCs w:val="6"/>
                <w:color w:val="auto"/>
              </w:rPr>
            </w:pPr>
          </w:p>
        </w:tc>
        <w:tc>
          <w:tcPr>
            <w:tcW w:w="120" w:type="dxa"/>
            <w:vAlign w:val="bottom"/>
            <w:tcBorders>
              <w:top w:val="single" w:sz="8" w:color="0000EE"/>
              <w:bottom w:val="single" w:sz="8" w:color="407CCA"/>
            </w:tcBorders>
          </w:tcPr>
          <w:p>
            <w:pPr>
              <w:spacing w:after="0"/>
              <w:rPr>
                <w:sz w:val="6"/>
                <w:szCs w:val="6"/>
                <w:color w:val="auto"/>
              </w:rPr>
            </w:pPr>
          </w:p>
        </w:tc>
        <w:tc>
          <w:tcPr>
            <w:tcW w:w="440" w:type="dxa"/>
            <w:vAlign w:val="bottom"/>
            <w:tcBorders>
              <w:top w:val="single" w:sz="8" w:color="0000EE"/>
              <w:bottom w:val="single" w:sz="8" w:color="407CCA"/>
            </w:tcBorders>
          </w:tcPr>
          <w:p>
            <w:pPr>
              <w:spacing w:after="0"/>
              <w:rPr>
                <w:sz w:val="6"/>
                <w:szCs w:val="6"/>
                <w:color w:val="auto"/>
              </w:rPr>
            </w:pPr>
          </w:p>
        </w:tc>
        <w:tc>
          <w:tcPr>
            <w:tcW w:w="220" w:type="dxa"/>
            <w:vAlign w:val="bottom"/>
            <w:tcBorders>
              <w:top w:val="single" w:sz="8" w:color="0000EE"/>
              <w:bottom w:val="single" w:sz="8" w:color="407CCA"/>
            </w:tcBorders>
          </w:tcPr>
          <w:p>
            <w:pPr>
              <w:spacing w:after="0"/>
              <w:rPr>
                <w:sz w:val="6"/>
                <w:szCs w:val="6"/>
                <w:color w:val="auto"/>
              </w:rPr>
            </w:pPr>
          </w:p>
        </w:tc>
        <w:tc>
          <w:tcPr>
            <w:tcW w:w="20" w:type="dxa"/>
            <w:vAlign w:val="bottom"/>
            <w:tcBorders>
              <w:top w:val="single" w:sz="8" w:color="0000EE"/>
              <w:bottom w:val="single" w:sz="8" w:color="407CCA"/>
            </w:tcBorders>
          </w:tcPr>
          <w:p>
            <w:pPr>
              <w:spacing w:after="0"/>
              <w:rPr>
                <w:sz w:val="6"/>
                <w:szCs w:val="6"/>
                <w:color w:val="auto"/>
              </w:rPr>
            </w:pPr>
          </w:p>
        </w:tc>
        <w:tc>
          <w:tcPr>
            <w:tcW w:w="40" w:type="dxa"/>
            <w:vAlign w:val="bottom"/>
            <w:tcBorders>
              <w:top w:val="single" w:sz="8" w:color="0000EE"/>
              <w:bottom w:val="single" w:sz="8" w:color="407CCA"/>
            </w:tcBorders>
          </w:tcPr>
          <w:p>
            <w:pPr>
              <w:spacing w:after="0"/>
              <w:rPr>
                <w:sz w:val="6"/>
                <w:szCs w:val="6"/>
                <w:color w:val="auto"/>
              </w:rPr>
            </w:pPr>
          </w:p>
        </w:tc>
        <w:tc>
          <w:tcPr>
            <w:tcW w:w="20" w:type="dxa"/>
            <w:vAlign w:val="bottom"/>
            <w:tcBorders>
              <w:top w:val="single" w:sz="8" w:color="0000EE"/>
              <w:bottom w:val="single" w:sz="8" w:color="407CCA"/>
            </w:tcBorders>
          </w:tcPr>
          <w:p>
            <w:pPr>
              <w:spacing w:after="0"/>
              <w:rPr>
                <w:sz w:val="6"/>
                <w:szCs w:val="6"/>
                <w:color w:val="auto"/>
              </w:rPr>
            </w:pPr>
          </w:p>
        </w:tc>
        <w:tc>
          <w:tcPr>
            <w:tcW w:w="80" w:type="dxa"/>
            <w:vAlign w:val="bottom"/>
            <w:tcBorders>
              <w:top w:val="single" w:sz="8" w:color="0000EE"/>
              <w:bottom w:val="single" w:sz="8" w:color="407CCA"/>
            </w:tcBorders>
          </w:tcPr>
          <w:p>
            <w:pPr>
              <w:spacing w:after="0"/>
              <w:rPr>
                <w:sz w:val="6"/>
                <w:szCs w:val="6"/>
                <w:color w:val="auto"/>
              </w:rPr>
            </w:pPr>
          </w:p>
        </w:tc>
        <w:tc>
          <w:tcPr>
            <w:tcW w:w="80" w:type="dxa"/>
            <w:vAlign w:val="bottom"/>
            <w:tcBorders>
              <w:top w:val="single" w:sz="8" w:color="0000EE"/>
              <w:bottom w:val="single" w:sz="8" w:color="407CCA"/>
            </w:tcBorders>
          </w:tcPr>
          <w:p>
            <w:pPr>
              <w:spacing w:after="0"/>
              <w:rPr>
                <w:sz w:val="6"/>
                <w:szCs w:val="6"/>
                <w:color w:val="auto"/>
              </w:rPr>
            </w:pPr>
          </w:p>
        </w:tc>
        <w:tc>
          <w:tcPr>
            <w:tcW w:w="80" w:type="dxa"/>
            <w:vAlign w:val="bottom"/>
            <w:tcBorders>
              <w:top w:val="single" w:sz="8" w:color="0000EE"/>
              <w:bottom w:val="single" w:sz="8" w:color="407CCA"/>
            </w:tcBorders>
          </w:tcPr>
          <w:p>
            <w:pPr>
              <w:spacing w:after="0"/>
              <w:rPr>
                <w:sz w:val="6"/>
                <w:szCs w:val="6"/>
                <w:color w:val="auto"/>
              </w:rPr>
            </w:pPr>
          </w:p>
        </w:tc>
        <w:tc>
          <w:tcPr>
            <w:tcW w:w="80" w:type="dxa"/>
            <w:vAlign w:val="bottom"/>
            <w:tcBorders>
              <w:top w:val="single" w:sz="8" w:color="0000EE"/>
              <w:bottom w:val="single" w:sz="8" w:color="407CCA"/>
            </w:tcBorders>
          </w:tcPr>
          <w:p>
            <w:pPr>
              <w:spacing w:after="0"/>
              <w:rPr>
                <w:sz w:val="6"/>
                <w:szCs w:val="6"/>
                <w:color w:val="auto"/>
              </w:rPr>
            </w:pPr>
          </w:p>
        </w:tc>
        <w:tc>
          <w:tcPr>
            <w:tcW w:w="220" w:type="dxa"/>
            <w:vAlign w:val="bottom"/>
            <w:tcBorders>
              <w:top w:val="single" w:sz="8" w:color="0000EE"/>
              <w:bottom w:val="single" w:sz="8" w:color="407CCA"/>
            </w:tcBorders>
          </w:tcPr>
          <w:p>
            <w:pPr>
              <w:spacing w:after="0"/>
              <w:rPr>
                <w:sz w:val="6"/>
                <w:szCs w:val="6"/>
                <w:color w:val="auto"/>
              </w:rPr>
            </w:pPr>
          </w:p>
        </w:tc>
        <w:tc>
          <w:tcPr>
            <w:tcW w:w="100" w:type="dxa"/>
            <w:vAlign w:val="bottom"/>
            <w:tcBorders>
              <w:top w:val="single" w:sz="8" w:color="0000EE"/>
              <w:bottom w:val="single" w:sz="8" w:color="407CCA"/>
            </w:tcBorders>
          </w:tcPr>
          <w:p>
            <w:pPr>
              <w:spacing w:after="0"/>
              <w:rPr>
                <w:sz w:val="6"/>
                <w:szCs w:val="6"/>
                <w:color w:val="auto"/>
              </w:rPr>
            </w:pPr>
          </w:p>
        </w:tc>
        <w:tc>
          <w:tcPr>
            <w:tcW w:w="40" w:type="dxa"/>
            <w:vAlign w:val="bottom"/>
            <w:tcBorders>
              <w:top w:val="single" w:sz="8" w:color="0000EE"/>
              <w:bottom w:val="single" w:sz="8" w:color="407CCA"/>
            </w:tcBorders>
          </w:tcPr>
          <w:p>
            <w:pPr>
              <w:spacing w:after="0"/>
              <w:rPr>
                <w:sz w:val="6"/>
                <w:szCs w:val="6"/>
                <w:color w:val="auto"/>
              </w:rPr>
            </w:pPr>
          </w:p>
        </w:tc>
        <w:tc>
          <w:tcPr>
            <w:tcW w:w="100" w:type="dxa"/>
            <w:vAlign w:val="bottom"/>
            <w:tcBorders>
              <w:top w:val="single" w:sz="8" w:color="0000EE"/>
              <w:bottom w:val="single" w:sz="8" w:color="407CCA"/>
            </w:tcBorders>
          </w:tcPr>
          <w:p>
            <w:pPr>
              <w:spacing w:after="0"/>
              <w:rPr>
                <w:sz w:val="6"/>
                <w:szCs w:val="6"/>
                <w:color w:val="auto"/>
              </w:rPr>
            </w:pPr>
          </w:p>
        </w:tc>
        <w:tc>
          <w:tcPr>
            <w:tcW w:w="60" w:type="dxa"/>
            <w:vAlign w:val="bottom"/>
            <w:tcBorders>
              <w:top w:val="single" w:sz="8" w:color="0000EE"/>
              <w:bottom w:val="single" w:sz="8" w:color="407CCA"/>
            </w:tcBorders>
          </w:tcPr>
          <w:p>
            <w:pPr>
              <w:spacing w:after="0"/>
              <w:rPr>
                <w:sz w:val="6"/>
                <w:szCs w:val="6"/>
                <w:color w:val="auto"/>
              </w:rPr>
            </w:pPr>
          </w:p>
        </w:tc>
        <w:tc>
          <w:tcPr>
            <w:tcW w:w="260" w:type="dxa"/>
            <w:vAlign w:val="bottom"/>
            <w:tcBorders>
              <w:top w:val="single" w:sz="8" w:color="0000EE"/>
              <w:bottom w:val="single" w:sz="8" w:color="407CCA"/>
            </w:tcBorders>
          </w:tcPr>
          <w:p>
            <w:pPr>
              <w:spacing w:after="0"/>
              <w:rPr>
                <w:sz w:val="6"/>
                <w:szCs w:val="6"/>
                <w:color w:val="auto"/>
              </w:rPr>
            </w:pPr>
          </w:p>
        </w:tc>
        <w:tc>
          <w:tcPr>
            <w:tcW w:w="260" w:type="dxa"/>
            <w:vAlign w:val="bottom"/>
            <w:tcBorders>
              <w:top w:val="single" w:sz="8" w:color="0000EE"/>
              <w:bottom w:val="single" w:sz="8" w:color="407CCA"/>
            </w:tcBorders>
          </w:tcPr>
          <w:p>
            <w:pPr>
              <w:spacing w:after="0"/>
              <w:rPr>
                <w:sz w:val="6"/>
                <w:szCs w:val="6"/>
                <w:color w:val="auto"/>
              </w:rPr>
            </w:pPr>
          </w:p>
        </w:tc>
        <w:tc>
          <w:tcPr>
            <w:tcW w:w="440" w:type="dxa"/>
            <w:vAlign w:val="bottom"/>
            <w:tcBorders>
              <w:top w:val="single" w:sz="8" w:color="0000EE"/>
              <w:bottom w:val="single" w:sz="8" w:color="407CCA"/>
            </w:tcBorders>
          </w:tcPr>
          <w:p>
            <w:pPr>
              <w:spacing w:after="0"/>
              <w:rPr>
                <w:sz w:val="6"/>
                <w:szCs w:val="6"/>
                <w:color w:val="auto"/>
              </w:rPr>
            </w:pPr>
          </w:p>
        </w:tc>
        <w:tc>
          <w:tcPr>
            <w:tcW w:w="140" w:type="dxa"/>
            <w:vAlign w:val="bottom"/>
            <w:tcBorders>
              <w:top w:val="single" w:sz="8" w:color="0000EE"/>
              <w:bottom w:val="single" w:sz="8" w:color="407CCA"/>
            </w:tcBorders>
          </w:tcPr>
          <w:p>
            <w:pPr>
              <w:spacing w:after="0"/>
              <w:rPr>
                <w:sz w:val="6"/>
                <w:szCs w:val="6"/>
                <w:color w:val="auto"/>
              </w:rPr>
            </w:pPr>
          </w:p>
        </w:tc>
        <w:tc>
          <w:tcPr>
            <w:tcW w:w="20" w:type="dxa"/>
            <w:vAlign w:val="bottom"/>
            <w:tcBorders>
              <w:top w:val="single" w:sz="8" w:color="0000EE"/>
              <w:bottom w:val="single" w:sz="8" w:color="407CCA"/>
            </w:tcBorders>
          </w:tcPr>
          <w:p>
            <w:pPr>
              <w:spacing w:after="0"/>
              <w:rPr>
                <w:sz w:val="6"/>
                <w:szCs w:val="6"/>
                <w:color w:val="auto"/>
              </w:rPr>
            </w:pPr>
          </w:p>
        </w:tc>
        <w:tc>
          <w:tcPr>
            <w:tcW w:w="380" w:type="dxa"/>
            <w:vAlign w:val="bottom"/>
            <w:tcBorders>
              <w:top w:val="single" w:sz="8" w:color="0000EE"/>
              <w:bottom w:val="single" w:sz="8" w:color="407CCA"/>
            </w:tcBorders>
          </w:tcPr>
          <w:p>
            <w:pPr>
              <w:spacing w:after="0"/>
              <w:rPr>
                <w:sz w:val="6"/>
                <w:szCs w:val="6"/>
                <w:color w:val="auto"/>
              </w:rPr>
            </w:pPr>
          </w:p>
        </w:tc>
        <w:tc>
          <w:tcPr>
            <w:tcW w:w="3160" w:type="dxa"/>
            <w:vAlign w:val="bottom"/>
            <w:tcBorders>
              <w:bottom w:val="single" w:sz="8" w:color="407CCA"/>
            </w:tcBorders>
          </w:tcPr>
          <w:p>
            <w:pPr>
              <w:spacing w:after="0"/>
              <w:rPr>
                <w:sz w:val="6"/>
                <w:szCs w:val="6"/>
                <w:color w:val="auto"/>
              </w:rPr>
            </w:pPr>
          </w:p>
        </w:tc>
        <w:tc>
          <w:tcPr>
            <w:tcW w:w="880" w:type="dxa"/>
            <w:vAlign w:val="bottom"/>
            <w:tcBorders>
              <w:bottom w:val="single" w:sz="8" w:color="407CCA"/>
            </w:tcBorders>
          </w:tcPr>
          <w:p>
            <w:pPr>
              <w:spacing w:after="0"/>
              <w:rPr>
                <w:sz w:val="6"/>
                <w:szCs w:val="6"/>
                <w:color w:val="auto"/>
              </w:rPr>
            </w:pPr>
          </w:p>
        </w:tc>
        <w:tc>
          <w:tcPr>
            <w:tcW w:w="1120" w:type="dxa"/>
            <w:vAlign w:val="bottom"/>
            <w:tcBorders>
              <w:bottom w:val="single" w:sz="8" w:color="407CCA"/>
            </w:tcBorders>
          </w:tcPr>
          <w:p>
            <w:pPr>
              <w:spacing w:after="0"/>
              <w:rPr>
                <w:sz w:val="6"/>
                <w:szCs w:val="6"/>
                <w:color w:val="auto"/>
              </w:rPr>
            </w:pPr>
          </w:p>
        </w:tc>
      </w:tr>
      <w:tr>
        <w:trPr>
          <w:trHeight w:val="169"/>
        </w:trPr>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9760" w:type="dxa"/>
            <w:vAlign w:val="bottom"/>
            <w:gridSpan w:val="30"/>
          </w:tcPr>
          <w:p>
            <w:pPr>
              <w:spacing w:after="0" w:line="169" w:lineRule="exact"/>
              <w:rPr>
                <w:rFonts w:ascii="Arial" w:cs="Arial" w:eastAsia="Arial" w:hAnsi="Arial"/>
                <w:sz w:val="18"/>
                <w:szCs w:val="18"/>
                <w:b w:val="1"/>
                <w:bCs w:val="1"/>
                <w:color w:val="0000EE"/>
              </w:rPr>
            </w:pPr>
            <w:hyperlink w:anchor="page86">
              <w:r>
                <w:rPr>
                  <w:rFonts w:ascii="Arial" w:cs="Arial" w:eastAsia="Arial" w:hAnsi="Arial"/>
                  <w:sz w:val="18"/>
                  <w:szCs w:val="18"/>
                  <w:b w:val="1"/>
                  <w:bCs w:val="1"/>
                  <w:color w:val="0000EE"/>
                </w:rPr>
                <w:t>Questions and Answers About the 2020 Annual Meeting and Voting</w:t>
              </w:r>
            </w:hyperlink>
          </w:p>
        </w:tc>
        <w:tc>
          <w:tcPr>
            <w:tcW w:w="1120" w:type="dxa"/>
            <w:vAlign w:val="bottom"/>
          </w:tcPr>
          <w:p>
            <w:pPr>
              <w:jc w:val="right"/>
              <w:spacing w:after="0" w:line="169" w:lineRule="exact"/>
              <w:rPr>
                <w:sz w:val="20"/>
                <w:szCs w:val="20"/>
                <w:color w:val="auto"/>
              </w:rPr>
            </w:pPr>
            <w:r>
              <w:rPr>
                <w:rFonts w:ascii="Arial" w:cs="Arial" w:eastAsia="Arial" w:hAnsi="Arial"/>
                <w:sz w:val="18"/>
                <w:szCs w:val="18"/>
                <w:color w:val="auto"/>
              </w:rPr>
              <w:t>73</w:t>
            </w:r>
          </w:p>
        </w:tc>
      </w:tr>
      <w:tr>
        <w:trPr>
          <w:trHeight w:val="75"/>
        </w:trPr>
        <w:tc>
          <w:tcPr>
            <w:tcW w:w="120" w:type="dxa"/>
            <w:vAlign w:val="bottom"/>
          </w:tcPr>
          <w:p>
            <w:pPr>
              <w:spacing w:after="0"/>
              <w:rPr>
                <w:sz w:val="6"/>
                <w:szCs w:val="6"/>
                <w:color w:val="auto"/>
              </w:rPr>
            </w:pPr>
          </w:p>
        </w:tc>
        <w:tc>
          <w:tcPr>
            <w:tcW w:w="80" w:type="dxa"/>
            <w:vAlign w:val="bottom"/>
            <w:tcBorders>
              <w:bottom w:val="single" w:sz="8" w:color="407CCA"/>
            </w:tcBorders>
          </w:tcPr>
          <w:p>
            <w:pPr>
              <w:spacing w:after="0"/>
              <w:rPr>
                <w:sz w:val="6"/>
                <w:szCs w:val="6"/>
                <w:color w:val="auto"/>
              </w:rPr>
            </w:pPr>
          </w:p>
        </w:tc>
        <w:tc>
          <w:tcPr>
            <w:tcW w:w="60" w:type="dxa"/>
            <w:vAlign w:val="bottom"/>
            <w:tcBorders>
              <w:bottom w:val="single" w:sz="8" w:color="407CCA"/>
            </w:tcBorders>
          </w:tcPr>
          <w:p>
            <w:pPr>
              <w:spacing w:after="0"/>
              <w:rPr>
                <w:sz w:val="6"/>
                <w:szCs w:val="6"/>
                <w:color w:val="auto"/>
              </w:rPr>
            </w:pPr>
          </w:p>
        </w:tc>
        <w:tc>
          <w:tcPr>
            <w:tcW w:w="440" w:type="dxa"/>
            <w:vAlign w:val="bottom"/>
            <w:tcBorders>
              <w:top w:val="single" w:sz="8" w:color="0000EE"/>
              <w:bottom w:val="single" w:sz="8" w:color="407CCA"/>
            </w:tcBorders>
          </w:tcPr>
          <w:p>
            <w:pPr>
              <w:spacing w:after="0"/>
              <w:rPr>
                <w:sz w:val="6"/>
                <w:szCs w:val="6"/>
                <w:color w:val="auto"/>
              </w:rPr>
            </w:pPr>
          </w:p>
        </w:tc>
        <w:tc>
          <w:tcPr>
            <w:tcW w:w="600" w:type="dxa"/>
            <w:vAlign w:val="bottom"/>
            <w:tcBorders>
              <w:top w:val="single" w:sz="8" w:color="0000EE"/>
              <w:bottom w:val="single" w:sz="8" w:color="407CCA"/>
            </w:tcBorders>
          </w:tcPr>
          <w:p>
            <w:pPr>
              <w:spacing w:after="0"/>
              <w:rPr>
                <w:sz w:val="6"/>
                <w:szCs w:val="6"/>
                <w:color w:val="auto"/>
              </w:rPr>
            </w:pPr>
          </w:p>
        </w:tc>
        <w:tc>
          <w:tcPr>
            <w:tcW w:w="60" w:type="dxa"/>
            <w:vAlign w:val="bottom"/>
            <w:tcBorders>
              <w:top w:val="single" w:sz="8" w:color="0000EE"/>
              <w:bottom w:val="single" w:sz="8" w:color="407CCA"/>
            </w:tcBorders>
          </w:tcPr>
          <w:p>
            <w:pPr>
              <w:spacing w:after="0"/>
              <w:rPr>
                <w:sz w:val="6"/>
                <w:szCs w:val="6"/>
                <w:color w:val="auto"/>
              </w:rPr>
            </w:pPr>
          </w:p>
        </w:tc>
        <w:tc>
          <w:tcPr>
            <w:tcW w:w="760" w:type="dxa"/>
            <w:vAlign w:val="bottom"/>
            <w:tcBorders>
              <w:top w:val="single" w:sz="8" w:color="0000EE"/>
              <w:bottom w:val="single" w:sz="8" w:color="407CCA"/>
            </w:tcBorders>
          </w:tcPr>
          <w:p>
            <w:pPr>
              <w:spacing w:after="0"/>
              <w:rPr>
                <w:sz w:val="6"/>
                <w:szCs w:val="6"/>
                <w:color w:val="auto"/>
              </w:rPr>
            </w:pPr>
          </w:p>
        </w:tc>
        <w:tc>
          <w:tcPr>
            <w:tcW w:w="580" w:type="dxa"/>
            <w:vAlign w:val="bottom"/>
            <w:tcBorders>
              <w:top w:val="single" w:sz="8" w:color="0000EE"/>
              <w:bottom w:val="single" w:sz="8" w:color="407CCA"/>
            </w:tcBorders>
          </w:tcPr>
          <w:p>
            <w:pPr>
              <w:spacing w:after="0"/>
              <w:rPr>
                <w:sz w:val="6"/>
                <w:szCs w:val="6"/>
                <w:color w:val="auto"/>
              </w:rPr>
            </w:pPr>
          </w:p>
        </w:tc>
        <w:tc>
          <w:tcPr>
            <w:tcW w:w="60" w:type="dxa"/>
            <w:vAlign w:val="bottom"/>
            <w:tcBorders>
              <w:top w:val="single" w:sz="8" w:color="0000EE"/>
              <w:bottom w:val="single" w:sz="8" w:color="407CCA"/>
            </w:tcBorders>
          </w:tcPr>
          <w:p>
            <w:pPr>
              <w:spacing w:after="0"/>
              <w:rPr>
                <w:sz w:val="6"/>
                <w:szCs w:val="6"/>
                <w:color w:val="auto"/>
              </w:rPr>
            </w:pPr>
          </w:p>
        </w:tc>
        <w:tc>
          <w:tcPr>
            <w:tcW w:w="20" w:type="dxa"/>
            <w:vAlign w:val="bottom"/>
            <w:tcBorders>
              <w:top w:val="single" w:sz="8" w:color="0000EE"/>
              <w:bottom w:val="single" w:sz="8" w:color="407CCA"/>
            </w:tcBorders>
          </w:tcPr>
          <w:p>
            <w:pPr>
              <w:spacing w:after="0"/>
              <w:rPr>
                <w:sz w:val="6"/>
                <w:szCs w:val="6"/>
                <w:color w:val="auto"/>
              </w:rPr>
            </w:pPr>
          </w:p>
        </w:tc>
        <w:tc>
          <w:tcPr>
            <w:tcW w:w="120" w:type="dxa"/>
            <w:vAlign w:val="bottom"/>
            <w:tcBorders>
              <w:top w:val="single" w:sz="8" w:color="0000EE"/>
              <w:bottom w:val="single" w:sz="8" w:color="407CCA"/>
            </w:tcBorders>
          </w:tcPr>
          <w:p>
            <w:pPr>
              <w:spacing w:after="0"/>
              <w:rPr>
                <w:sz w:val="6"/>
                <w:szCs w:val="6"/>
                <w:color w:val="auto"/>
              </w:rPr>
            </w:pPr>
          </w:p>
        </w:tc>
        <w:tc>
          <w:tcPr>
            <w:tcW w:w="440" w:type="dxa"/>
            <w:vAlign w:val="bottom"/>
            <w:tcBorders>
              <w:top w:val="single" w:sz="8" w:color="0000EE"/>
              <w:bottom w:val="single" w:sz="8" w:color="407CCA"/>
            </w:tcBorders>
          </w:tcPr>
          <w:p>
            <w:pPr>
              <w:spacing w:after="0"/>
              <w:rPr>
                <w:sz w:val="6"/>
                <w:szCs w:val="6"/>
                <w:color w:val="auto"/>
              </w:rPr>
            </w:pPr>
          </w:p>
        </w:tc>
        <w:tc>
          <w:tcPr>
            <w:tcW w:w="220" w:type="dxa"/>
            <w:vAlign w:val="bottom"/>
            <w:tcBorders>
              <w:top w:val="single" w:sz="8" w:color="0000EE"/>
              <w:bottom w:val="single" w:sz="8" w:color="407CCA"/>
            </w:tcBorders>
          </w:tcPr>
          <w:p>
            <w:pPr>
              <w:spacing w:after="0"/>
              <w:rPr>
                <w:sz w:val="6"/>
                <w:szCs w:val="6"/>
                <w:color w:val="auto"/>
              </w:rPr>
            </w:pPr>
          </w:p>
        </w:tc>
        <w:tc>
          <w:tcPr>
            <w:tcW w:w="20" w:type="dxa"/>
            <w:vAlign w:val="bottom"/>
            <w:tcBorders>
              <w:top w:val="single" w:sz="8" w:color="0000EE"/>
              <w:bottom w:val="single" w:sz="8" w:color="407CCA"/>
            </w:tcBorders>
          </w:tcPr>
          <w:p>
            <w:pPr>
              <w:spacing w:after="0"/>
              <w:rPr>
                <w:sz w:val="6"/>
                <w:szCs w:val="6"/>
                <w:color w:val="auto"/>
              </w:rPr>
            </w:pPr>
          </w:p>
        </w:tc>
        <w:tc>
          <w:tcPr>
            <w:tcW w:w="40" w:type="dxa"/>
            <w:vAlign w:val="bottom"/>
            <w:tcBorders>
              <w:top w:val="single" w:sz="8" w:color="0000EE"/>
              <w:bottom w:val="single" w:sz="8" w:color="407CCA"/>
            </w:tcBorders>
          </w:tcPr>
          <w:p>
            <w:pPr>
              <w:spacing w:after="0"/>
              <w:rPr>
                <w:sz w:val="6"/>
                <w:szCs w:val="6"/>
                <w:color w:val="auto"/>
              </w:rPr>
            </w:pPr>
          </w:p>
        </w:tc>
        <w:tc>
          <w:tcPr>
            <w:tcW w:w="20" w:type="dxa"/>
            <w:vAlign w:val="bottom"/>
            <w:tcBorders>
              <w:top w:val="single" w:sz="8" w:color="0000EE"/>
              <w:bottom w:val="single" w:sz="8" w:color="407CCA"/>
            </w:tcBorders>
          </w:tcPr>
          <w:p>
            <w:pPr>
              <w:spacing w:after="0"/>
              <w:rPr>
                <w:sz w:val="6"/>
                <w:szCs w:val="6"/>
                <w:color w:val="auto"/>
              </w:rPr>
            </w:pPr>
          </w:p>
        </w:tc>
        <w:tc>
          <w:tcPr>
            <w:tcW w:w="80" w:type="dxa"/>
            <w:vAlign w:val="bottom"/>
            <w:tcBorders>
              <w:top w:val="single" w:sz="8" w:color="0000EE"/>
              <w:bottom w:val="single" w:sz="8" w:color="407CCA"/>
            </w:tcBorders>
          </w:tcPr>
          <w:p>
            <w:pPr>
              <w:spacing w:after="0"/>
              <w:rPr>
                <w:sz w:val="6"/>
                <w:szCs w:val="6"/>
                <w:color w:val="auto"/>
              </w:rPr>
            </w:pPr>
          </w:p>
        </w:tc>
        <w:tc>
          <w:tcPr>
            <w:tcW w:w="80" w:type="dxa"/>
            <w:vAlign w:val="bottom"/>
            <w:tcBorders>
              <w:top w:val="single" w:sz="8" w:color="0000EE"/>
              <w:bottom w:val="single" w:sz="8" w:color="407CCA"/>
            </w:tcBorders>
          </w:tcPr>
          <w:p>
            <w:pPr>
              <w:spacing w:after="0"/>
              <w:rPr>
                <w:sz w:val="6"/>
                <w:szCs w:val="6"/>
                <w:color w:val="auto"/>
              </w:rPr>
            </w:pPr>
          </w:p>
        </w:tc>
        <w:tc>
          <w:tcPr>
            <w:tcW w:w="80" w:type="dxa"/>
            <w:vAlign w:val="bottom"/>
            <w:tcBorders>
              <w:top w:val="single" w:sz="8" w:color="0000EE"/>
              <w:bottom w:val="single" w:sz="8" w:color="407CCA"/>
            </w:tcBorders>
          </w:tcPr>
          <w:p>
            <w:pPr>
              <w:spacing w:after="0"/>
              <w:rPr>
                <w:sz w:val="6"/>
                <w:szCs w:val="6"/>
                <w:color w:val="auto"/>
              </w:rPr>
            </w:pPr>
          </w:p>
        </w:tc>
        <w:tc>
          <w:tcPr>
            <w:tcW w:w="80" w:type="dxa"/>
            <w:vAlign w:val="bottom"/>
            <w:tcBorders>
              <w:top w:val="single" w:sz="8" w:color="0000EE"/>
              <w:bottom w:val="single" w:sz="8" w:color="407CCA"/>
            </w:tcBorders>
          </w:tcPr>
          <w:p>
            <w:pPr>
              <w:spacing w:after="0"/>
              <w:rPr>
                <w:sz w:val="6"/>
                <w:szCs w:val="6"/>
                <w:color w:val="auto"/>
              </w:rPr>
            </w:pPr>
          </w:p>
        </w:tc>
        <w:tc>
          <w:tcPr>
            <w:tcW w:w="220" w:type="dxa"/>
            <w:vAlign w:val="bottom"/>
            <w:tcBorders>
              <w:top w:val="single" w:sz="8" w:color="0000EE"/>
              <w:bottom w:val="single" w:sz="8" w:color="407CCA"/>
            </w:tcBorders>
          </w:tcPr>
          <w:p>
            <w:pPr>
              <w:spacing w:after="0"/>
              <w:rPr>
                <w:sz w:val="6"/>
                <w:szCs w:val="6"/>
                <w:color w:val="auto"/>
              </w:rPr>
            </w:pPr>
          </w:p>
        </w:tc>
        <w:tc>
          <w:tcPr>
            <w:tcW w:w="100" w:type="dxa"/>
            <w:vAlign w:val="bottom"/>
            <w:tcBorders>
              <w:top w:val="single" w:sz="8" w:color="0000EE"/>
              <w:bottom w:val="single" w:sz="8" w:color="407CCA"/>
            </w:tcBorders>
          </w:tcPr>
          <w:p>
            <w:pPr>
              <w:spacing w:after="0"/>
              <w:rPr>
                <w:sz w:val="6"/>
                <w:szCs w:val="6"/>
                <w:color w:val="auto"/>
              </w:rPr>
            </w:pPr>
          </w:p>
        </w:tc>
        <w:tc>
          <w:tcPr>
            <w:tcW w:w="40" w:type="dxa"/>
            <w:vAlign w:val="bottom"/>
            <w:tcBorders>
              <w:top w:val="single" w:sz="8" w:color="0000EE"/>
              <w:bottom w:val="single" w:sz="8" w:color="407CCA"/>
            </w:tcBorders>
          </w:tcPr>
          <w:p>
            <w:pPr>
              <w:spacing w:after="0"/>
              <w:rPr>
                <w:sz w:val="6"/>
                <w:szCs w:val="6"/>
                <w:color w:val="auto"/>
              </w:rPr>
            </w:pPr>
          </w:p>
        </w:tc>
        <w:tc>
          <w:tcPr>
            <w:tcW w:w="100" w:type="dxa"/>
            <w:vAlign w:val="bottom"/>
            <w:tcBorders>
              <w:top w:val="single" w:sz="8" w:color="0000EE"/>
              <w:bottom w:val="single" w:sz="8" w:color="407CCA"/>
            </w:tcBorders>
          </w:tcPr>
          <w:p>
            <w:pPr>
              <w:spacing w:after="0"/>
              <w:rPr>
                <w:sz w:val="6"/>
                <w:szCs w:val="6"/>
                <w:color w:val="auto"/>
              </w:rPr>
            </w:pPr>
          </w:p>
        </w:tc>
        <w:tc>
          <w:tcPr>
            <w:tcW w:w="60" w:type="dxa"/>
            <w:vAlign w:val="bottom"/>
            <w:tcBorders>
              <w:top w:val="single" w:sz="8" w:color="0000EE"/>
              <w:bottom w:val="single" w:sz="8" w:color="407CCA"/>
            </w:tcBorders>
          </w:tcPr>
          <w:p>
            <w:pPr>
              <w:spacing w:after="0"/>
              <w:rPr>
                <w:sz w:val="6"/>
                <w:szCs w:val="6"/>
                <w:color w:val="auto"/>
              </w:rPr>
            </w:pPr>
          </w:p>
        </w:tc>
        <w:tc>
          <w:tcPr>
            <w:tcW w:w="260" w:type="dxa"/>
            <w:vAlign w:val="bottom"/>
            <w:tcBorders>
              <w:top w:val="single" w:sz="8" w:color="0000EE"/>
              <w:bottom w:val="single" w:sz="8" w:color="407CCA"/>
            </w:tcBorders>
          </w:tcPr>
          <w:p>
            <w:pPr>
              <w:spacing w:after="0"/>
              <w:rPr>
                <w:sz w:val="6"/>
                <w:szCs w:val="6"/>
                <w:color w:val="auto"/>
              </w:rPr>
            </w:pPr>
          </w:p>
        </w:tc>
        <w:tc>
          <w:tcPr>
            <w:tcW w:w="260" w:type="dxa"/>
            <w:vAlign w:val="bottom"/>
            <w:tcBorders>
              <w:top w:val="single" w:sz="8" w:color="0000EE"/>
              <w:bottom w:val="single" w:sz="8" w:color="407CCA"/>
            </w:tcBorders>
          </w:tcPr>
          <w:p>
            <w:pPr>
              <w:spacing w:after="0"/>
              <w:rPr>
                <w:sz w:val="6"/>
                <w:szCs w:val="6"/>
                <w:color w:val="auto"/>
              </w:rPr>
            </w:pPr>
          </w:p>
        </w:tc>
        <w:tc>
          <w:tcPr>
            <w:tcW w:w="440" w:type="dxa"/>
            <w:vAlign w:val="bottom"/>
            <w:tcBorders>
              <w:top w:val="single" w:sz="8" w:color="0000EE"/>
              <w:bottom w:val="single" w:sz="8" w:color="407CCA"/>
            </w:tcBorders>
          </w:tcPr>
          <w:p>
            <w:pPr>
              <w:spacing w:after="0"/>
              <w:rPr>
                <w:sz w:val="6"/>
                <w:szCs w:val="6"/>
                <w:color w:val="auto"/>
              </w:rPr>
            </w:pPr>
          </w:p>
        </w:tc>
        <w:tc>
          <w:tcPr>
            <w:tcW w:w="140" w:type="dxa"/>
            <w:vAlign w:val="bottom"/>
            <w:tcBorders>
              <w:bottom w:val="single" w:sz="8" w:color="407CCA"/>
            </w:tcBorders>
          </w:tcPr>
          <w:p>
            <w:pPr>
              <w:spacing w:after="0"/>
              <w:rPr>
                <w:sz w:val="6"/>
                <w:szCs w:val="6"/>
                <w:color w:val="auto"/>
              </w:rPr>
            </w:pPr>
          </w:p>
        </w:tc>
        <w:tc>
          <w:tcPr>
            <w:tcW w:w="20" w:type="dxa"/>
            <w:vAlign w:val="bottom"/>
            <w:tcBorders>
              <w:bottom w:val="single" w:sz="8" w:color="407CCA"/>
            </w:tcBorders>
          </w:tcPr>
          <w:p>
            <w:pPr>
              <w:spacing w:after="0"/>
              <w:rPr>
                <w:sz w:val="6"/>
                <w:szCs w:val="6"/>
                <w:color w:val="auto"/>
              </w:rPr>
            </w:pPr>
          </w:p>
        </w:tc>
        <w:tc>
          <w:tcPr>
            <w:tcW w:w="380" w:type="dxa"/>
            <w:vAlign w:val="bottom"/>
            <w:tcBorders>
              <w:bottom w:val="single" w:sz="8" w:color="407CCA"/>
            </w:tcBorders>
          </w:tcPr>
          <w:p>
            <w:pPr>
              <w:spacing w:after="0"/>
              <w:rPr>
                <w:sz w:val="6"/>
                <w:szCs w:val="6"/>
                <w:color w:val="auto"/>
              </w:rPr>
            </w:pPr>
          </w:p>
        </w:tc>
        <w:tc>
          <w:tcPr>
            <w:tcW w:w="3160" w:type="dxa"/>
            <w:vAlign w:val="bottom"/>
            <w:tcBorders>
              <w:bottom w:val="single" w:sz="8" w:color="407CCA"/>
            </w:tcBorders>
          </w:tcPr>
          <w:p>
            <w:pPr>
              <w:spacing w:after="0"/>
              <w:rPr>
                <w:sz w:val="6"/>
                <w:szCs w:val="6"/>
                <w:color w:val="auto"/>
              </w:rPr>
            </w:pPr>
          </w:p>
        </w:tc>
        <w:tc>
          <w:tcPr>
            <w:tcW w:w="880" w:type="dxa"/>
            <w:vAlign w:val="bottom"/>
            <w:tcBorders>
              <w:bottom w:val="single" w:sz="8" w:color="407CCA"/>
            </w:tcBorders>
          </w:tcPr>
          <w:p>
            <w:pPr>
              <w:spacing w:after="0"/>
              <w:rPr>
                <w:sz w:val="6"/>
                <w:szCs w:val="6"/>
                <w:color w:val="auto"/>
              </w:rPr>
            </w:pPr>
          </w:p>
        </w:tc>
        <w:tc>
          <w:tcPr>
            <w:tcW w:w="1120" w:type="dxa"/>
            <w:vAlign w:val="bottom"/>
            <w:tcBorders>
              <w:bottom w:val="single" w:sz="8" w:color="407CCA"/>
            </w:tcBorders>
          </w:tcPr>
          <w:p>
            <w:pPr>
              <w:spacing w:after="0"/>
              <w:rPr>
                <w:sz w:val="6"/>
                <w:szCs w:val="6"/>
                <w:color w:val="auto"/>
              </w:rPr>
            </w:pPr>
          </w:p>
        </w:tc>
      </w:tr>
    </w:tbl>
    <w:p>
      <w:pPr>
        <w:spacing w:after="0" w:line="13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p>
    <w:p>
      <w:pPr>
        <w:ind w:left="120"/>
        <w:spacing w:after="0"/>
        <w:tabs>
          <w:tab w:leader="none" w:pos="320" w:val="left"/>
        </w:tabs>
        <w:rPr>
          <w:sz w:val="20"/>
          <w:szCs w:val="20"/>
          <w:color w:val="auto"/>
        </w:rPr>
      </w:pPr>
      <w:r>
        <w:rPr>
          <w:rFonts w:ascii="Arial" w:cs="Arial" w:eastAsia="Arial" w:hAnsi="Arial"/>
          <w:sz w:val="14"/>
          <w:szCs w:val="14"/>
          <w:color w:val="407CCA"/>
        </w:rPr>
        <w:t>ii</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40"/>
          </w:cols>
          <w:pgMar w:left="320" w:top="446" w:right="439" w:bottom="1440" w:gutter="0" w:footer="0" w:header="0"/>
        </w:sectPr>
      </w:pPr>
    </w:p>
    <w:bookmarkStart w:id="13" w:name="page14"/>
    <w:bookmarkEnd w:id="1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75" w:lineRule="exact"/>
        <w:rPr>
          <w:sz w:val="20"/>
          <w:szCs w:val="20"/>
          <w:color w:val="auto"/>
        </w:rPr>
      </w:pPr>
    </w:p>
    <w:p>
      <w:pPr>
        <w:jc w:val="center"/>
        <w:ind w:right="-99"/>
        <w:spacing w:after="0"/>
        <w:rPr>
          <w:sz w:val="20"/>
          <w:szCs w:val="20"/>
          <w:color w:val="auto"/>
        </w:rPr>
      </w:pPr>
      <w:r>
        <w:rPr>
          <w:rFonts w:ascii="Arial" w:cs="Arial" w:eastAsia="Arial" w:hAnsi="Arial"/>
          <w:sz w:val="22"/>
          <w:szCs w:val="22"/>
          <w:b w:val="1"/>
          <w:bCs w:val="1"/>
          <w:color w:val="407CCA"/>
        </w:rPr>
        <w:t>BOARD AND GOVERNANCE MATTERS</w:t>
      </w:r>
    </w:p>
    <w:p>
      <w:pPr>
        <w:spacing w:after="0" w:line="219" w:lineRule="exact"/>
        <w:rPr>
          <w:sz w:val="20"/>
          <w:szCs w:val="20"/>
          <w:color w:val="auto"/>
        </w:rPr>
      </w:pPr>
    </w:p>
    <w:p>
      <w:pPr>
        <w:ind w:left="1000"/>
        <w:spacing w:after="0"/>
        <w:rPr>
          <w:sz w:val="20"/>
          <w:szCs w:val="20"/>
          <w:color w:val="auto"/>
        </w:rPr>
      </w:pPr>
      <w:r>
        <w:rPr>
          <w:rFonts w:ascii="Arial" w:cs="Arial" w:eastAsia="Arial" w:hAnsi="Arial"/>
          <w:sz w:val="17"/>
          <w:szCs w:val="17"/>
          <w:color w:val="auto"/>
        </w:rPr>
        <w:t>Our Board is currently comprised of six independent directors and our CEO. The following table sets forth the current members of our</w:t>
      </w:r>
    </w:p>
    <w:p>
      <w:pPr>
        <w:spacing w:after="0" w:line="35" w:lineRule="exact"/>
        <w:rPr>
          <w:sz w:val="20"/>
          <w:szCs w:val="20"/>
          <w:color w:val="auto"/>
        </w:rPr>
      </w:pPr>
    </w:p>
    <w:p>
      <w:pPr>
        <w:ind w:left="120"/>
        <w:spacing w:after="0"/>
        <w:rPr>
          <w:sz w:val="20"/>
          <w:szCs w:val="20"/>
          <w:color w:val="auto"/>
        </w:rPr>
      </w:pPr>
      <w:r>
        <w:rPr>
          <w:rFonts w:ascii="Arial" w:cs="Arial" w:eastAsia="Arial" w:hAnsi="Arial"/>
          <w:sz w:val="18"/>
          <w:szCs w:val="18"/>
          <w:color w:val="auto"/>
        </w:rPr>
        <w:t>Board and their committee membership:</w:t>
      </w:r>
    </w:p>
    <w:p>
      <w:pPr>
        <w:spacing w:after="0" w:line="232" w:lineRule="exact"/>
        <w:rPr>
          <w:sz w:val="20"/>
          <w:szCs w:val="20"/>
          <w:color w:val="auto"/>
        </w:rPr>
      </w:pPr>
    </w:p>
    <w:tbl>
      <w:tblPr>
        <w:tblLayout w:type="fixed"/>
        <w:tblInd w:w="120" w:type="dxa"/>
        <w:tblCellMar>
          <w:top w:w="0" w:type="dxa"/>
          <w:left w:w="0" w:type="dxa"/>
          <w:bottom w:w="0" w:type="dxa"/>
          <w:right w:w="0" w:type="dxa"/>
        </w:tblCellMar>
      </w:tblPr>
      <w:tr>
        <w:trPr>
          <w:trHeight w:val="130"/>
        </w:trPr>
        <w:tc>
          <w:tcPr>
            <w:tcW w:w="3860" w:type="dxa"/>
            <w:vAlign w:val="bottom"/>
            <w:tcBorders>
              <w:top w:val="single" w:sz="8" w:color="304963"/>
            </w:tcBorders>
            <w:vMerge w:val="restart"/>
          </w:tcPr>
          <w:p>
            <w:pPr>
              <w:ind w:left="80"/>
              <w:spacing w:after="0"/>
              <w:rPr>
                <w:sz w:val="20"/>
                <w:szCs w:val="20"/>
                <w:color w:val="auto"/>
              </w:rPr>
            </w:pPr>
            <w:r>
              <w:rPr>
                <w:rFonts w:ascii="Arial" w:cs="Arial" w:eastAsia="Arial" w:hAnsi="Arial"/>
                <w:sz w:val="18"/>
                <w:szCs w:val="18"/>
                <w:b w:val="1"/>
                <w:bCs w:val="1"/>
                <w:color w:val="auto"/>
              </w:rPr>
              <w:t>Name</w:t>
            </w:r>
          </w:p>
        </w:tc>
        <w:tc>
          <w:tcPr>
            <w:tcW w:w="3380" w:type="dxa"/>
            <w:vAlign w:val="bottom"/>
            <w:tcBorders>
              <w:top w:val="single" w:sz="8" w:color="304963"/>
            </w:tcBorders>
          </w:tcPr>
          <w:p>
            <w:pPr>
              <w:spacing w:after="0"/>
              <w:rPr>
                <w:sz w:val="11"/>
                <w:szCs w:val="11"/>
                <w:color w:val="auto"/>
              </w:rPr>
            </w:pPr>
          </w:p>
        </w:tc>
        <w:tc>
          <w:tcPr>
            <w:tcW w:w="1100" w:type="dxa"/>
            <w:vAlign w:val="bottom"/>
            <w:tcBorders>
              <w:top w:val="single" w:sz="8" w:color="304963"/>
            </w:tcBorders>
          </w:tcPr>
          <w:p>
            <w:pPr>
              <w:spacing w:after="0"/>
              <w:rPr>
                <w:sz w:val="11"/>
                <w:szCs w:val="11"/>
                <w:color w:val="auto"/>
              </w:rPr>
            </w:pPr>
          </w:p>
        </w:tc>
        <w:tc>
          <w:tcPr>
            <w:tcW w:w="1020" w:type="dxa"/>
            <w:vAlign w:val="bottom"/>
            <w:tcBorders>
              <w:top w:val="single" w:sz="8" w:color="304963"/>
            </w:tcBorders>
          </w:tcPr>
          <w:p>
            <w:pPr>
              <w:spacing w:after="0"/>
              <w:rPr>
                <w:sz w:val="11"/>
                <w:szCs w:val="11"/>
                <w:color w:val="auto"/>
              </w:rPr>
            </w:pPr>
          </w:p>
        </w:tc>
        <w:tc>
          <w:tcPr>
            <w:tcW w:w="1660" w:type="dxa"/>
            <w:vAlign w:val="bottom"/>
            <w:tcBorders>
              <w:top w:val="single" w:sz="8" w:color="304963"/>
            </w:tcBorders>
          </w:tcPr>
          <w:p>
            <w:pPr>
              <w:jc w:val="center"/>
              <w:ind w:left="181"/>
              <w:spacing w:after="0" w:line="131" w:lineRule="exact"/>
              <w:rPr>
                <w:sz w:val="20"/>
                <w:szCs w:val="20"/>
                <w:color w:val="auto"/>
              </w:rPr>
            </w:pPr>
            <w:r>
              <w:rPr>
                <w:rFonts w:ascii="Arial" w:cs="Arial" w:eastAsia="Arial" w:hAnsi="Arial"/>
                <w:sz w:val="13"/>
                <w:szCs w:val="13"/>
                <w:b w:val="1"/>
                <w:bCs w:val="1"/>
                <w:color w:val="auto"/>
                <w:w w:val="89"/>
              </w:rPr>
              <w:t>Compensation &amp;</w:t>
            </w:r>
          </w:p>
        </w:tc>
        <w:tc>
          <w:tcPr>
            <w:tcW w:w="0" w:type="dxa"/>
            <w:vAlign w:val="bottom"/>
          </w:tcPr>
          <w:p>
            <w:pPr>
              <w:spacing w:after="0"/>
              <w:rPr>
                <w:sz w:val="1"/>
                <w:szCs w:val="1"/>
                <w:color w:val="auto"/>
              </w:rPr>
            </w:pPr>
          </w:p>
        </w:tc>
      </w:tr>
      <w:tr>
        <w:trPr>
          <w:trHeight w:val="167"/>
        </w:trPr>
        <w:tc>
          <w:tcPr>
            <w:tcW w:w="3860" w:type="dxa"/>
            <w:vAlign w:val="bottom"/>
            <w:tcBorders>
              <w:bottom w:val="single" w:sz="8" w:color="304963"/>
            </w:tcBorders>
            <w:vMerge w:val="continue"/>
          </w:tcPr>
          <w:p>
            <w:pPr>
              <w:spacing w:after="0"/>
              <w:rPr>
                <w:sz w:val="14"/>
                <w:szCs w:val="14"/>
                <w:color w:val="auto"/>
              </w:rPr>
            </w:pPr>
          </w:p>
        </w:tc>
        <w:tc>
          <w:tcPr>
            <w:tcW w:w="3380" w:type="dxa"/>
            <w:vAlign w:val="bottom"/>
            <w:tcBorders>
              <w:bottom w:val="single" w:sz="8" w:color="304963"/>
            </w:tcBorders>
          </w:tcPr>
          <w:p>
            <w:pPr>
              <w:jc w:val="center"/>
              <w:ind w:left="1973"/>
              <w:spacing w:after="0"/>
              <w:rPr>
                <w:sz w:val="20"/>
                <w:szCs w:val="20"/>
                <w:color w:val="auto"/>
              </w:rPr>
            </w:pPr>
            <w:r>
              <w:rPr>
                <w:rFonts w:ascii="Arial" w:cs="Arial" w:eastAsia="Arial" w:hAnsi="Arial"/>
                <w:sz w:val="13"/>
                <w:szCs w:val="13"/>
                <w:b w:val="1"/>
                <w:bCs w:val="1"/>
                <w:color w:val="auto"/>
                <w:w w:val="86"/>
              </w:rPr>
              <w:t>Director Since</w:t>
            </w:r>
          </w:p>
        </w:tc>
        <w:tc>
          <w:tcPr>
            <w:tcW w:w="1100" w:type="dxa"/>
            <w:vAlign w:val="bottom"/>
            <w:tcBorders>
              <w:bottom w:val="single" w:sz="8" w:color="304963"/>
            </w:tcBorders>
          </w:tcPr>
          <w:p>
            <w:pPr>
              <w:jc w:val="center"/>
              <w:spacing w:after="0"/>
              <w:rPr>
                <w:sz w:val="20"/>
                <w:szCs w:val="20"/>
                <w:color w:val="auto"/>
              </w:rPr>
            </w:pPr>
            <w:r>
              <w:rPr>
                <w:rFonts w:ascii="Arial" w:cs="Arial" w:eastAsia="Arial" w:hAnsi="Arial"/>
                <w:sz w:val="13"/>
                <w:szCs w:val="13"/>
                <w:b w:val="1"/>
                <w:bCs w:val="1"/>
                <w:color w:val="auto"/>
                <w:w w:val="85"/>
              </w:rPr>
              <w:t>Executive</w:t>
            </w:r>
          </w:p>
        </w:tc>
        <w:tc>
          <w:tcPr>
            <w:tcW w:w="1020" w:type="dxa"/>
            <w:vAlign w:val="bottom"/>
            <w:tcBorders>
              <w:bottom w:val="single" w:sz="8" w:color="304963"/>
            </w:tcBorders>
          </w:tcPr>
          <w:p>
            <w:pPr>
              <w:jc w:val="center"/>
              <w:spacing w:after="0"/>
              <w:rPr>
                <w:sz w:val="20"/>
                <w:szCs w:val="20"/>
                <w:color w:val="auto"/>
              </w:rPr>
            </w:pPr>
            <w:r>
              <w:rPr>
                <w:rFonts w:ascii="Arial" w:cs="Arial" w:eastAsia="Arial" w:hAnsi="Arial"/>
                <w:sz w:val="13"/>
                <w:szCs w:val="13"/>
                <w:b w:val="1"/>
                <w:bCs w:val="1"/>
                <w:color w:val="auto"/>
                <w:w w:val="96"/>
              </w:rPr>
              <w:t>Audit</w:t>
            </w:r>
            <w:r>
              <w:rPr>
                <w:rFonts w:ascii="Arial" w:cs="Arial" w:eastAsia="Arial" w:hAnsi="Arial"/>
                <w:sz w:val="10"/>
                <w:szCs w:val="10"/>
                <w:b w:val="1"/>
                <w:bCs w:val="1"/>
                <w:color w:val="auto"/>
                <w:w w:val="96"/>
              </w:rPr>
              <w:t>(1)</w:t>
            </w:r>
          </w:p>
        </w:tc>
        <w:tc>
          <w:tcPr>
            <w:tcW w:w="1660" w:type="dxa"/>
            <w:vAlign w:val="bottom"/>
            <w:tcBorders>
              <w:bottom w:val="single" w:sz="8" w:color="304963"/>
            </w:tcBorders>
          </w:tcPr>
          <w:p>
            <w:pPr>
              <w:jc w:val="center"/>
              <w:ind w:left="181"/>
              <w:spacing w:after="0"/>
              <w:rPr>
                <w:sz w:val="20"/>
                <w:szCs w:val="20"/>
                <w:color w:val="auto"/>
              </w:rPr>
            </w:pPr>
            <w:r>
              <w:rPr>
                <w:rFonts w:ascii="Arial" w:cs="Arial" w:eastAsia="Arial" w:hAnsi="Arial"/>
                <w:sz w:val="13"/>
                <w:szCs w:val="13"/>
                <w:b w:val="1"/>
                <w:bCs w:val="1"/>
                <w:color w:val="auto"/>
                <w:w w:val="88"/>
              </w:rPr>
              <w:t>Corporate Governance</w:t>
            </w:r>
            <w:r>
              <w:rPr>
                <w:rFonts w:ascii="Arial" w:cs="Arial" w:eastAsia="Arial" w:hAnsi="Arial"/>
                <w:sz w:val="10"/>
                <w:szCs w:val="10"/>
                <w:b w:val="1"/>
                <w:bCs w:val="1"/>
                <w:color w:val="auto"/>
                <w:w w:val="88"/>
              </w:rPr>
              <w:t>(2)</w:t>
            </w:r>
          </w:p>
        </w:tc>
        <w:tc>
          <w:tcPr>
            <w:tcW w:w="0" w:type="dxa"/>
            <w:vAlign w:val="bottom"/>
          </w:tcPr>
          <w:p>
            <w:pPr>
              <w:spacing w:after="0"/>
              <w:rPr>
                <w:sz w:val="1"/>
                <w:szCs w:val="1"/>
                <w:color w:val="auto"/>
              </w:rPr>
            </w:pPr>
          </w:p>
        </w:tc>
      </w:tr>
      <w:tr>
        <w:trPr>
          <w:trHeight w:val="277"/>
        </w:trPr>
        <w:tc>
          <w:tcPr>
            <w:tcW w:w="3860" w:type="dxa"/>
            <w:vAlign w:val="bottom"/>
            <w:shd w:val="clear" w:color="auto" w:fill="CCEEFF"/>
          </w:tcPr>
          <w:p>
            <w:pPr>
              <w:ind w:left="80"/>
              <w:spacing w:after="0"/>
              <w:rPr>
                <w:sz w:val="20"/>
                <w:szCs w:val="20"/>
                <w:color w:val="auto"/>
              </w:rPr>
            </w:pPr>
            <w:r>
              <w:rPr>
                <w:rFonts w:ascii="Arial" w:cs="Arial" w:eastAsia="Arial" w:hAnsi="Arial"/>
                <w:sz w:val="18"/>
                <w:szCs w:val="18"/>
                <w:color w:val="auto"/>
              </w:rPr>
              <w:t>Prue B. Larocca* (Board Chair)</w:t>
            </w:r>
          </w:p>
        </w:tc>
        <w:tc>
          <w:tcPr>
            <w:tcW w:w="3380" w:type="dxa"/>
            <w:vAlign w:val="bottom"/>
            <w:shd w:val="clear" w:color="auto" w:fill="CCEEFF"/>
          </w:tcPr>
          <w:p>
            <w:pPr>
              <w:jc w:val="center"/>
              <w:ind w:left="1973"/>
              <w:spacing w:after="0"/>
              <w:rPr>
                <w:sz w:val="20"/>
                <w:szCs w:val="20"/>
                <w:color w:val="auto"/>
              </w:rPr>
            </w:pPr>
            <w:r>
              <w:rPr>
                <w:rFonts w:ascii="Arial" w:cs="Arial" w:eastAsia="Arial" w:hAnsi="Arial"/>
                <w:sz w:val="18"/>
                <w:szCs w:val="18"/>
                <w:color w:val="auto"/>
                <w:w w:val="89"/>
              </w:rPr>
              <w:t>2013</w:t>
            </w:r>
          </w:p>
        </w:tc>
        <w:tc>
          <w:tcPr>
            <w:tcW w:w="11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2"/>
              </w:rPr>
              <w:t>Chair</w:t>
            </w:r>
          </w:p>
        </w:tc>
        <w:tc>
          <w:tcPr>
            <w:tcW w:w="1020" w:type="dxa"/>
            <w:vAlign w:val="bottom"/>
            <w:shd w:val="clear" w:color="auto" w:fill="CCEEFF"/>
          </w:tcPr>
          <w:p>
            <w:pPr>
              <w:jc w:val="center"/>
              <w:spacing w:after="0" w:line="181" w:lineRule="exact"/>
              <w:rPr>
                <w:sz w:val="20"/>
                <w:szCs w:val="20"/>
                <w:color w:val="auto"/>
              </w:rPr>
            </w:pPr>
            <w:r>
              <w:rPr>
                <w:rFonts w:ascii="MS PGothic" w:cs="MS PGothic" w:eastAsia="MS PGothic" w:hAnsi="MS PGothic"/>
                <w:sz w:val="18"/>
                <w:szCs w:val="18"/>
                <w:color w:val="auto"/>
                <w:w w:val="77"/>
              </w:rPr>
              <w:t>✓</w:t>
            </w:r>
          </w:p>
        </w:tc>
        <w:tc>
          <w:tcPr>
            <w:tcW w:w="1660" w:type="dxa"/>
            <w:vAlign w:val="bottom"/>
            <w:shd w:val="clear" w:color="auto" w:fill="CCEEFF"/>
          </w:tcPr>
          <w:p>
            <w:pPr>
              <w:jc w:val="center"/>
              <w:ind w:left="181"/>
              <w:spacing w:after="0" w:line="181" w:lineRule="exact"/>
              <w:rPr>
                <w:sz w:val="20"/>
                <w:szCs w:val="20"/>
                <w:color w:val="auto"/>
              </w:rPr>
            </w:pPr>
            <w:r>
              <w:rPr>
                <w:rFonts w:ascii="MS PGothic" w:cs="MS PGothic" w:eastAsia="MS PGothic" w:hAnsi="MS PGothic"/>
                <w:sz w:val="18"/>
                <w:szCs w:val="18"/>
                <w:color w:val="auto"/>
                <w:w w:val="88"/>
              </w:rPr>
              <w:t>✓</w:t>
            </w:r>
          </w:p>
        </w:tc>
        <w:tc>
          <w:tcPr>
            <w:tcW w:w="0" w:type="dxa"/>
            <w:vAlign w:val="bottom"/>
          </w:tcPr>
          <w:p>
            <w:pPr>
              <w:spacing w:after="0"/>
              <w:rPr>
                <w:sz w:val="1"/>
                <w:szCs w:val="1"/>
                <w:color w:val="auto"/>
              </w:rPr>
            </w:pPr>
          </w:p>
        </w:tc>
      </w:tr>
      <w:tr>
        <w:trPr>
          <w:trHeight w:val="283"/>
        </w:trPr>
        <w:tc>
          <w:tcPr>
            <w:tcW w:w="3860" w:type="dxa"/>
            <w:vAlign w:val="bottom"/>
          </w:tcPr>
          <w:p>
            <w:pPr>
              <w:ind w:left="80"/>
              <w:spacing w:after="0"/>
              <w:rPr>
                <w:sz w:val="20"/>
                <w:szCs w:val="20"/>
                <w:color w:val="auto"/>
              </w:rPr>
            </w:pPr>
            <w:r>
              <w:rPr>
                <w:rFonts w:ascii="Arial" w:cs="Arial" w:eastAsia="Arial" w:hAnsi="Arial"/>
                <w:sz w:val="18"/>
                <w:szCs w:val="18"/>
                <w:color w:val="auto"/>
              </w:rPr>
              <w:t>Donna J. Blank*</w:t>
            </w:r>
          </w:p>
        </w:tc>
        <w:tc>
          <w:tcPr>
            <w:tcW w:w="3380" w:type="dxa"/>
            <w:vAlign w:val="bottom"/>
          </w:tcPr>
          <w:p>
            <w:pPr>
              <w:jc w:val="center"/>
              <w:ind w:left="1973"/>
              <w:spacing w:after="0"/>
              <w:rPr>
                <w:sz w:val="20"/>
                <w:szCs w:val="20"/>
                <w:color w:val="auto"/>
              </w:rPr>
            </w:pPr>
            <w:r>
              <w:rPr>
                <w:rFonts w:ascii="Arial" w:cs="Arial" w:eastAsia="Arial" w:hAnsi="Arial"/>
                <w:sz w:val="18"/>
                <w:szCs w:val="18"/>
                <w:color w:val="auto"/>
                <w:w w:val="89"/>
              </w:rPr>
              <w:t>2018</w:t>
            </w:r>
          </w:p>
        </w:tc>
        <w:tc>
          <w:tcPr>
            <w:tcW w:w="1100" w:type="dxa"/>
            <w:vAlign w:val="bottom"/>
          </w:tcPr>
          <w:p>
            <w:pPr>
              <w:jc w:val="center"/>
              <w:spacing w:after="0" w:line="181" w:lineRule="exact"/>
              <w:rPr>
                <w:sz w:val="20"/>
                <w:szCs w:val="20"/>
                <w:color w:val="auto"/>
              </w:rPr>
            </w:pPr>
            <w:r>
              <w:rPr>
                <w:rFonts w:ascii="MS PGothic" w:cs="MS PGothic" w:eastAsia="MS PGothic" w:hAnsi="MS PGothic"/>
                <w:sz w:val="18"/>
                <w:szCs w:val="18"/>
                <w:color w:val="auto"/>
                <w:w w:val="77"/>
              </w:rPr>
              <w:t>✓</w:t>
            </w:r>
          </w:p>
        </w:tc>
        <w:tc>
          <w:tcPr>
            <w:tcW w:w="1020" w:type="dxa"/>
            <w:vAlign w:val="bottom"/>
          </w:tcPr>
          <w:p>
            <w:pPr>
              <w:jc w:val="center"/>
              <w:spacing w:after="0"/>
              <w:rPr>
                <w:sz w:val="20"/>
                <w:szCs w:val="20"/>
                <w:color w:val="auto"/>
              </w:rPr>
            </w:pPr>
            <w:r>
              <w:rPr>
                <w:rFonts w:ascii="Arial" w:cs="Arial" w:eastAsia="Arial" w:hAnsi="Arial"/>
                <w:sz w:val="18"/>
                <w:szCs w:val="18"/>
                <w:color w:val="auto"/>
                <w:w w:val="92"/>
              </w:rPr>
              <w:t>Chair</w:t>
            </w:r>
          </w:p>
        </w:tc>
        <w:tc>
          <w:tcPr>
            <w:tcW w:w="16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64"/>
        </w:trPr>
        <w:tc>
          <w:tcPr>
            <w:tcW w:w="3860" w:type="dxa"/>
            <w:vAlign w:val="bottom"/>
            <w:tcBorders>
              <w:bottom w:val="single" w:sz="8" w:color="CCEEFF"/>
            </w:tcBorders>
            <w:shd w:val="clear" w:color="auto" w:fill="CCEEFF"/>
          </w:tcPr>
          <w:p>
            <w:pPr>
              <w:ind w:left="80"/>
              <w:spacing w:after="0"/>
              <w:rPr>
                <w:sz w:val="20"/>
                <w:szCs w:val="20"/>
                <w:color w:val="auto"/>
              </w:rPr>
            </w:pPr>
            <w:r>
              <w:rPr>
                <w:rFonts w:ascii="Arial" w:cs="Arial" w:eastAsia="Arial" w:hAnsi="Arial"/>
                <w:sz w:val="18"/>
                <w:szCs w:val="18"/>
                <w:color w:val="auto"/>
              </w:rPr>
              <w:t>Morris A. Davis*</w:t>
            </w:r>
          </w:p>
        </w:tc>
        <w:tc>
          <w:tcPr>
            <w:tcW w:w="3380" w:type="dxa"/>
            <w:vAlign w:val="bottom"/>
            <w:tcBorders>
              <w:bottom w:val="single" w:sz="8" w:color="CCEEFF"/>
            </w:tcBorders>
            <w:shd w:val="clear" w:color="auto" w:fill="CCEEFF"/>
          </w:tcPr>
          <w:p>
            <w:pPr>
              <w:jc w:val="center"/>
              <w:ind w:left="1973"/>
              <w:spacing w:after="0"/>
              <w:rPr>
                <w:sz w:val="20"/>
                <w:szCs w:val="20"/>
                <w:color w:val="auto"/>
              </w:rPr>
            </w:pPr>
            <w:r>
              <w:rPr>
                <w:rFonts w:ascii="Arial" w:cs="Arial" w:eastAsia="Arial" w:hAnsi="Arial"/>
                <w:sz w:val="18"/>
                <w:szCs w:val="18"/>
                <w:color w:val="auto"/>
                <w:w w:val="89"/>
              </w:rPr>
              <w:t>2008</w:t>
            </w:r>
          </w:p>
        </w:tc>
        <w:tc>
          <w:tcPr>
            <w:tcW w:w="1100" w:type="dxa"/>
            <w:vAlign w:val="bottom"/>
            <w:tcBorders>
              <w:bottom w:val="single" w:sz="8" w:color="CCEEFF"/>
            </w:tcBorders>
            <w:shd w:val="clear" w:color="auto" w:fill="CCEEFF"/>
          </w:tcPr>
          <w:p>
            <w:pPr>
              <w:spacing w:after="0"/>
              <w:rPr>
                <w:sz w:val="22"/>
                <w:szCs w:val="22"/>
                <w:color w:val="auto"/>
              </w:rPr>
            </w:pPr>
          </w:p>
        </w:tc>
        <w:tc>
          <w:tcPr>
            <w:tcW w:w="1020" w:type="dxa"/>
            <w:vAlign w:val="bottom"/>
            <w:tcBorders>
              <w:bottom w:val="single" w:sz="8" w:color="CCEEFF"/>
            </w:tcBorders>
            <w:shd w:val="clear" w:color="auto" w:fill="CCEEFF"/>
          </w:tcPr>
          <w:p>
            <w:pPr>
              <w:spacing w:after="0"/>
              <w:rPr>
                <w:sz w:val="22"/>
                <w:szCs w:val="22"/>
                <w:color w:val="auto"/>
              </w:rPr>
            </w:pPr>
          </w:p>
        </w:tc>
        <w:tc>
          <w:tcPr>
            <w:tcW w:w="1660" w:type="dxa"/>
            <w:vAlign w:val="bottom"/>
            <w:tcBorders>
              <w:bottom w:val="single" w:sz="8" w:color="CCEEFF"/>
            </w:tcBorders>
            <w:shd w:val="clear" w:color="auto" w:fill="CCEEFF"/>
          </w:tcPr>
          <w:p>
            <w:pPr>
              <w:jc w:val="center"/>
              <w:ind w:left="181"/>
              <w:spacing w:after="0"/>
              <w:rPr>
                <w:sz w:val="20"/>
                <w:szCs w:val="20"/>
                <w:color w:val="auto"/>
              </w:rPr>
            </w:pPr>
            <w:r>
              <w:rPr>
                <w:rFonts w:ascii="Arial" w:cs="Arial" w:eastAsia="Arial" w:hAnsi="Arial"/>
                <w:sz w:val="18"/>
                <w:szCs w:val="18"/>
                <w:color w:val="auto"/>
                <w:w w:val="92"/>
              </w:rPr>
              <w:t>Chair</w:t>
            </w:r>
          </w:p>
        </w:tc>
        <w:tc>
          <w:tcPr>
            <w:tcW w:w="0" w:type="dxa"/>
            <w:vAlign w:val="bottom"/>
          </w:tcPr>
          <w:p>
            <w:pPr>
              <w:spacing w:after="0"/>
              <w:rPr>
                <w:sz w:val="1"/>
                <w:szCs w:val="1"/>
                <w:color w:val="auto"/>
              </w:rPr>
            </w:pPr>
          </w:p>
        </w:tc>
      </w:tr>
      <w:tr>
        <w:trPr>
          <w:trHeight w:val="283"/>
        </w:trPr>
        <w:tc>
          <w:tcPr>
            <w:tcW w:w="3860" w:type="dxa"/>
            <w:vAlign w:val="bottom"/>
          </w:tcPr>
          <w:p>
            <w:pPr>
              <w:ind w:left="80"/>
              <w:spacing w:after="0"/>
              <w:rPr>
                <w:sz w:val="20"/>
                <w:szCs w:val="20"/>
                <w:color w:val="auto"/>
              </w:rPr>
            </w:pPr>
            <w:r>
              <w:rPr>
                <w:rFonts w:ascii="Arial" w:cs="Arial" w:eastAsia="Arial" w:hAnsi="Arial"/>
                <w:sz w:val="18"/>
                <w:szCs w:val="18"/>
                <w:color w:val="auto"/>
              </w:rPr>
              <w:t>John D. Fisk*</w:t>
            </w:r>
          </w:p>
        </w:tc>
        <w:tc>
          <w:tcPr>
            <w:tcW w:w="3380" w:type="dxa"/>
            <w:vAlign w:val="bottom"/>
          </w:tcPr>
          <w:p>
            <w:pPr>
              <w:jc w:val="center"/>
              <w:ind w:left="1973"/>
              <w:spacing w:after="0"/>
              <w:rPr>
                <w:sz w:val="20"/>
                <w:szCs w:val="20"/>
                <w:color w:val="auto"/>
              </w:rPr>
            </w:pPr>
            <w:r>
              <w:rPr>
                <w:rFonts w:ascii="Arial" w:cs="Arial" w:eastAsia="Arial" w:hAnsi="Arial"/>
                <w:sz w:val="18"/>
                <w:szCs w:val="18"/>
                <w:color w:val="auto"/>
                <w:w w:val="89"/>
              </w:rPr>
              <w:t>2019</w:t>
            </w:r>
          </w:p>
        </w:tc>
        <w:tc>
          <w:tcPr>
            <w:tcW w:w="110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1660" w:type="dxa"/>
            <w:vAlign w:val="bottom"/>
          </w:tcPr>
          <w:p>
            <w:pPr>
              <w:jc w:val="center"/>
              <w:ind w:left="181"/>
              <w:spacing w:after="0" w:line="181" w:lineRule="exact"/>
              <w:rPr>
                <w:sz w:val="20"/>
                <w:szCs w:val="20"/>
                <w:color w:val="auto"/>
              </w:rPr>
            </w:pPr>
            <w:r>
              <w:rPr>
                <w:rFonts w:ascii="MS PGothic" w:cs="MS PGothic" w:eastAsia="MS PGothic" w:hAnsi="MS PGothic"/>
                <w:sz w:val="18"/>
                <w:szCs w:val="18"/>
                <w:color w:val="auto"/>
                <w:w w:val="88"/>
              </w:rPr>
              <w:t>✓</w:t>
            </w:r>
          </w:p>
        </w:tc>
        <w:tc>
          <w:tcPr>
            <w:tcW w:w="0" w:type="dxa"/>
            <w:vAlign w:val="bottom"/>
          </w:tcPr>
          <w:p>
            <w:pPr>
              <w:spacing w:after="0"/>
              <w:rPr>
                <w:sz w:val="1"/>
                <w:szCs w:val="1"/>
                <w:color w:val="auto"/>
              </w:rPr>
            </w:pPr>
          </w:p>
        </w:tc>
      </w:tr>
      <w:tr>
        <w:trPr>
          <w:trHeight w:val="284"/>
        </w:trPr>
        <w:tc>
          <w:tcPr>
            <w:tcW w:w="3860" w:type="dxa"/>
            <w:vAlign w:val="bottom"/>
            <w:shd w:val="clear" w:color="auto" w:fill="CCEEFF"/>
          </w:tcPr>
          <w:p>
            <w:pPr>
              <w:ind w:left="80"/>
              <w:spacing w:after="0"/>
              <w:rPr>
                <w:sz w:val="20"/>
                <w:szCs w:val="20"/>
                <w:color w:val="auto"/>
              </w:rPr>
            </w:pPr>
            <w:r>
              <w:rPr>
                <w:rFonts w:ascii="Arial" w:cs="Arial" w:eastAsia="Arial" w:hAnsi="Arial"/>
                <w:sz w:val="18"/>
                <w:szCs w:val="18"/>
                <w:color w:val="auto"/>
              </w:rPr>
              <w:t>Gary D. Kain</w:t>
            </w:r>
          </w:p>
        </w:tc>
        <w:tc>
          <w:tcPr>
            <w:tcW w:w="3380" w:type="dxa"/>
            <w:vAlign w:val="bottom"/>
            <w:shd w:val="clear" w:color="auto" w:fill="CCEEFF"/>
          </w:tcPr>
          <w:p>
            <w:pPr>
              <w:jc w:val="center"/>
              <w:ind w:left="1973"/>
              <w:spacing w:after="0"/>
              <w:rPr>
                <w:sz w:val="20"/>
                <w:szCs w:val="20"/>
                <w:color w:val="auto"/>
              </w:rPr>
            </w:pPr>
            <w:r>
              <w:rPr>
                <w:rFonts w:ascii="Arial" w:cs="Arial" w:eastAsia="Arial" w:hAnsi="Arial"/>
                <w:sz w:val="18"/>
                <w:szCs w:val="18"/>
                <w:color w:val="auto"/>
                <w:w w:val="89"/>
              </w:rPr>
              <w:t>2016</w:t>
            </w:r>
          </w:p>
        </w:tc>
        <w:tc>
          <w:tcPr>
            <w:tcW w:w="1100" w:type="dxa"/>
            <w:vAlign w:val="bottom"/>
            <w:shd w:val="clear" w:color="auto" w:fill="CCEEFF"/>
          </w:tcPr>
          <w:p>
            <w:pPr>
              <w:jc w:val="center"/>
              <w:spacing w:after="0" w:line="181" w:lineRule="exact"/>
              <w:rPr>
                <w:sz w:val="20"/>
                <w:szCs w:val="20"/>
                <w:color w:val="auto"/>
              </w:rPr>
            </w:pPr>
            <w:r>
              <w:rPr>
                <w:rFonts w:ascii="MS PGothic" w:cs="MS PGothic" w:eastAsia="MS PGothic" w:hAnsi="MS PGothic"/>
                <w:sz w:val="18"/>
                <w:szCs w:val="18"/>
                <w:color w:val="auto"/>
                <w:w w:val="77"/>
              </w:rPr>
              <w:t>✓</w:t>
            </w:r>
          </w:p>
        </w:tc>
        <w:tc>
          <w:tcPr>
            <w:tcW w:w="1020" w:type="dxa"/>
            <w:vAlign w:val="bottom"/>
            <w:shd w:val="clear" w:color="auto" w:fill="CCEEFF"/>
          </w:tcPr>
          <w:p>
            <w:pPr>
              <w:spacing w:after="0"/>
              <w:rPr>
                <w:sz w:val="24"/>
                <w:szCs w:val="24"/>
                <w:color w:val="auto"/>
              </w:rPr>
            </w:pPr>
          </w:p>
        </w:tc>
        <w:tc>
          <w:tcPr>
            <w:tcW w:w="16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83"/>
        </w:trPr>
        <w:tc>
          <w:tcPr>
            <w:tcW w:w="3860" w:type="dxa"/>
            <w:vAlign w:val="bottom"/>
          </w:tcPr>
          <w:p>
            <w:pPr>
              <w:ind w:left="80"/>
              <w:spacing w:after="0"/>
              <w:rPr>
                <w:sz w:val="20"/>
                <w:szCs w:val="20"/>
                <w:color w:val="auto"/>
              </w:rPr>
            </w:pPr>
            <w:r>
              <w:rPr>
                <w:rFonts w:ascii="Arial" w:cs="Arial" w:eastAsia="Arial" w:hAnsi="Arial"/>
                <w:sz w:val="18"/>
                <w:szCs w:val="18"/>
                <w:color w:val="auto"/>
              </w:rPr>
              <w:t>Paul E. Mullings*</w:t>
            </w:r>
          </w:p>
        </w:tc>
        <w:tc>
          <w:tcPr>
            <w:tcW w:w="3380" w:type="dxa"/>
            <w:vAlign w:val="bottom"/>
          </w:tcPr>
          <w:p>
            <w:pPr>
              <w:jc w:val="center"/>
              <w:ind w:left="1973"/>
              <w:spacing w:after="0"/>
              <w:rPr>
                <w:sz w:val="20"/>
                <w:szCs w:val="20"/>
                <w:color w:val="auto"/>
              </w:rPr>
            </w:pPr>
            <w:r>
              <w:rPr>
                <w:rFonts w:ascii="Arial" w:cs="Arial" w:eastAsia="Arial" w:hAnsi="Arial"/>
                <w:sz w:val="18"/>
                <w:szCs w:val="18"/>
                <w:color w:val="auto"/>
                <w:w w:val="89"/>
              </w:rPr>
              <w:t>2016</w:t>
            </w:r>
          </w:p>
        </w:tc>
        <w:tc>
          <w:tcPr>
            <w:tcW w:w="1100" w:type="dxa"/>
            <w:vAlign w:val="bottom"/>
          </w:tcPr>
          <w:p>
            <w:pPr>
              <w:spacing w:after="0"/>
              <w:rPr>
                <w:sz w:val="24"/>
                <w:szCs w:val="24"/>
                <w:color w:val="auto"/>
              </w:rPr>
            </w:pPr>
          </w:p>
        </w:tc>
        <w:tc>
          <w:tcPr>
            <w:tcW w:w="1020" w:type="dxa"/>
            <w:vAlign w:val="bottom"/>
          </w:tcPr>
          <w:p>
            <w:pPr>
              <w:jc w:val="center"/>
              <w:spacing w:after="0" w:line="181" w:lineRule="exact"/>
              <w:rPr>
                <w:sz w:val="20"/>
                <w:szCs w:val="20"/>
                <w:color w:val="auto"/>
              </w:rPr>
            </w:pPr>
            <w:r>
              <w:rPr>
                <w:rFonts w:ascii="MS PGothic" w:cs="MS PGothic" w:eastAsia="MS PGothic" w:hAnsi="MS PGothic"/>
                <w:sz w:val="18"/>
                <w:szCs w:val="18"/>
                <w:color w:val="auto"/>
                <w:w w:val="77"/>
              </w:rPr>
              <w:t>✓</w:t>
            </w:r>
          </w:p>
        </w:tc>
        <w:tc>
          <w:tcPr>
            <w:tcW w:w="16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84"/>
        </w:trPr>
        <w:tc>
          <w:tcPr>
            <w:tcW w:w="3860" w:type="dxa"/>
            <w:vAlign w:val="bottom"/>
            <w:tcBorders>
              <w:bottom w:val="single" w:sz="8" w:color="304963"/>
            </w:tcBorders>
            <w:shd w:val="clear" w:color="auto" w:fill="CCEEFF"/>
          </w:tcPr>
          <w:p>
            <w:pPr>
              <w:ind w:left="80"/>
              <w:spacing w:after="0"/>
              <w:rPr>
                <w:sz w:val="20"/>
                <w:szCs w:val="20"/>
                <w:color w:val="auto"/>
              </w:rPr>
            </w:pPr>
            <w:r>
              <w:rPr>
                <w:rFonts w:ascii="Arial" w:cs="Arial" w:eastAsia="Arial" w:hAnsi="Arial"/>
                <w:sz w:val="18"/>
                <w:szCs w:val="18"/>
                <w:color w:val="auto"/>
              </w:rPr>
              <w:t>Frances R. Spark*</w:t>
            </w:r>
          </w:p>
        </w:tc>
        <w:tc>
          <w:tcPr>
            <w:tcW w:w="3380" w:type="dxa"/>
            <w:vAlign w:val="bottom"/>
            <w:tcBorders>
              <w:bottom w:val="single" w:sz="8" w:color="304963"/>
            </w:tcBorders>
            <w:shd w:val="clear" w:color="auto" w:fill="CCEEFF"/>
          </w:tcPr>
          <w:p>
            <w:pPr>
              <w:jc w:val="center"/>
              <w:ind w:left="1973"/>
              <w:spacing w:after="0"/>
              <w:rPr>
                <w:sz w:val="20"/>
                <w:szCs w:val="20"/>
                <w:color w:val="auto"/>
              </w:rPr>
            </w:pPr>
            <w:r>
              <w:rPr>
                <w:rFonts w:ascii="Arial" w:cs="Arial" w:eastAsia="Arial" w:hAnsi="Arial"/>
                <w:sz w:val="18"/>
                <w:szCs w:val="18"/>
                <w:color w:val="auto"/>
                <w:w w:val="89"/>
              </w:rPr>
              <w:t>2019</w:t>
            </w:r>
          </w:p>
        </w:tc>
        <w:tc>
          <w:tcPr>
            <w:tcW w:w="1100" w:type="dxa"/>
            <w:vAlign w:val="bottom"/>
            <w:tcBorders>
              <w:bottom w:val="single" w:sz="8" w:color="304963"/>
            </w:tcBorders>
            <w:shd w:val="clear" w:color="auto" w:fill="CCEEFF"/>
          </w:tcPr>
          <w:p>
            <w:pPr>
              <w:spacing w:after="0"/>
              <w:rPr>
                <w:sz w:val="24"/>
                <w:szCs w:val="24"/>
                <w:color w:val="auto"/>
              </w:rPr>
            </w:pPr>
          </w:p>
        </w:tc>
        <w:tc>
          <w:tcPr>
            <w:tcW w:w="1020" w:type="dxa"/>
            <w:vAlign w:val="bottom"/>
            <w:tcBorders>
              <w:bottom w:val="single" w:sz="8" w:color="304963"/>
            </w:tcBorders>
            <w:shd w:val="clear" w:color="auto" w:fill="CCEEFF"/>
          </w:tcPr>
          <w:p>
            <w:pPr>
              <w:jc w:val="center"/>
              <w:spacing w:after="0" w:line="181" w:lineRule="exact"/>
              <w:rPr>
                <w:sz w:val="20"/>
                <w:szCs w:val="20"/>
                <w:color w:val="auto"/>
              </w:rPr>
            </w:pPr>
            <w:r>
              <w:rPr>
                <w:rFonts w:ascii="MS PGothic" w:cs="MS PGothic" w:eastAsia="MS PGothic" w:hAnsi="MS PGothic"/>
                <w:sz w:val="18"/>
                <w:szCs w:val="18"/>
                <w:color w:val="auto"/>
                <w:w w:val="77"/>
              </w:rPr>
              <w:t>✓</w:t>
            </w:r>
          </w:p>
        </w:tc>
        <w:tc>
          <w:tcPr>
            <w:tcW w:w="1660" w:type="dxa"/>
            <w:vAlign w:val="bottom"/>
            <w:tcBorders>
              <w:bottom w:val="single" w:sz="8" w:color="304963"/>
            </w:tcBorders>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129"/>
        </w:trPr>
        <w:tc>
          <w:tcPr>
            <w:tcW w:w="3860" w:type="dxa"/>
            <w:vAlign w:val="bottom"/>
            <w:tcBorders>
              <w:bottom w:val="single" w:sz="8" w:color="auto"/>
            </w:tcBorders>
          </w:tcPr>
          <w:p>
            <w:pPr>
              <w:spacing w:after="0"/>
              <w:rPr>
                <w:sz w:val="11"/>
                <w:szCs w:val="11"/>
                <w:color w:val="auto"/>
              </w:rPr>
            </w:pPr>
          </w:p>
        </w:tc>
        <w:tc>
          <w:tcPr>
            <w:tcW w:w="3380" w:type="dxa"/>
            <w:vAlign w:val="bottom"/>
          </w:tcPr>
          <w:p>
            <w:pPr>
              <w:spacing w:after="0"/>
              <w:rPr>
                <w:sz w:val="11"/>
                <w:szCs w:val="11"/>
                <w:color w:val="auto"/>
              </w:rPr>
            </w:pPr>
          </w:p>
        </w:tc>
        <w:tc>
          <w:tcPr>
            <w:tcW w:w="1100" w:type="dxa"/>
            <w:vAlign w:val="bottom"/>
          </w:tcPr>
          <w:p>
            <w:pPr>
              <w:spacing w:after="0"/>
              <w:rPr>
                <w:sz w:val="11"/>
                <w:szCs w:val="11"/>
                <w:color w:val="auto"/>
              </w:rPr>
            </w:pPr>
          </w:p>
        </w:tc>
        <w:tc>
          <w:tcPr>
            <w:tcW w:w="1020" w:type="dxa"/>
            <w:vAlign w:val="bottom"/>
          </w:tcPr>
          <w:p>
            <w:pPr>
              <w:spacing w:after="0"/>
              <w:rPr>
                <w:sz w:val="11"/>
                <w:szCs w:val="11"/>
                <w:color w:val="auto"/>
              </w:rPr>
            </w:pPr>
          </w:p>
        </w:tc>
        <w:tc>
          <w:tcPr>
            <w:tcW w:w="1660" w:type="dxa"/>
            <w:vAlign w:val="bottom"/>
          </w:tcPr>
          <w:p>
            <w:pPr>
              <w:spacing w:after="0"/>
              <w:rPr>
                <w:sz w:val="11"/>
                <w:szCs w:val="11"/>
                <w:color w:val="auto"/>
              </w:rPr>
            </w:pPr>
          </w:p>
        </w:tc>
        <w:tc>
          <w:tcPr>
            <w:tcW w:w="0" w:type="dxa"/>
            <w:vAlign w:val="bottom"/>
          </w:tcPr>
          <w:p>
            <w:pPr>
              <w:spacing w:after="0"/>
              <w:rPr>
                <w:sz w:val="1"/>
                <w:szCs w:val="1"/>
                <w:color w:val="auto"/>
              </w:rPr>
            </w:pPr>
          </w:p>
        </w:tc>
      </w:tr>
    </w:tbl>
    <w:p>
      <w:pPr>
        <w:spacing w:after="0" w:line="21" w:lineRule="exact"/>
        <w:rPr>
          <w:sz w:val="20"/>
          <w:szCs w:val="20"/>
          <w:color w:val="auto"/>
        </w:rPr>
      </w:pPr>
    </w:p>
    <w:p>
      <w:pPr>
        <w:ind w:left="880" w:hanging="764"/>
        <w:spacing w:after="0"/>
        <w:tabs>
          <w:tab w:leader="none" w:pos="880" w:val="left"/>
        </w:tabs>
        <w:numPr>
          <w:ilvl w:val="0"/>
          <w:numId w:val="7"/>
        </w:numPr>
        <w:rPr>
          <w:rFonts w:ascii="Arial" w:cs="Arial" w:eastAsia="Arial" w:hAnsi="Arial"/>
          <w:sz w:val="14"/>
          <w:szCs w:val="14"/>
          <w:color w:val="auto"/>
        </w:rPr>
      </w:pPr>
      <w:r>
        <w:rPr>
          <w:rFonts w:ascii="Arial" w:cs="Arial" w:eastAsia="Arial" w:hAnsi="Arial"/>
          <w:sz w:val="14"/>
          <w:szCs w:val="14"/>
          <w:color w:val="auto"/>
        </w:rPr>
        <w:t>Director is “independent” as defined in Rule 5605(a)(2) of The Nasdaq Listing Rules (the “Nasdaq rules”).</w:t>
      </w:r>
    </w:p>
    <w:p>
      <w:pPr>
        <w:ind w:left="880" w:right="300" w:hanging="764"/>
        <w:spacing w:after="0" w:line="221" w:lineRule="auto"/>
        <w:tabs>
          <w:tab w:leader="none" w:pos="880" w:val="left"/>
        </w:tabs>
        <w:numPr>
          <w:ilvl w:val="0"/>
          <w:numId w:val="8"/>
        </w:numPr>
        <w:rPr>
          <w:rFonts w:ascii="Arial" w:cs="Arial" w:eastAsia="Arial" w:hAnsi="Arial"/>
          <w:sz w:val="14"/>
          <w:szCs w:val="14"/>
          <w:color w:val="auto"/>
        </w:rPr>
      </w:pPr>
      <w:r>
        <w:rPr>
          <w:rFonts w:ascii="Arial" w:cs="Arial" w:eastAsia="Arial" w:hAnsi="Arial"/>
          <w:sz w:val="14"/>
          <w:szCs w:val="14"/>
          <w:color w:val="auto"/>
        </w:rPr>
        <w:t>Each member of the Audit Committee is “independent” as defined in Rules 5605(a)(2) and 5605(c)(2) of the Nasdaq rules and Rule 10A-3 of the Securities Exchange Act of 1934 as amended (the “Exchange Act”). The Board has determined that Mss. Blank and Spark are each an “audit committee financial expert” (as defined in Item 407 of Regulation S-K under the Securities Act of 1933, as amended (the “Securities Act”)).</w:t>
      </w:r>
    </w:p>
    <w:p>
      <w:pPr>
        <w:ind w:left="880" w:hanging="764"/>
        <w:spacing w:after="0"/>
        <w:tabs>
          <w:tab w:leader="none" w:pos="880" w:val="left"/>
        </w:tabs>
        <w:numPr>
          <w:ilvl w:val="0"/>
          <w:numId w:val="8"/>
        </w:numPr>
        <w:rPr>
          <w:rFonts w:ascii="Arial" w:cs="Arial" w:eastAsia="Arial" w:hAnsi="Arial"/>
          <w:sz w:val="14"/>
          <w:szCs w:val="14"/>
          <w:color w:val="auto"/>
        </w:rPr>
      </w:pPr>
      <w:r>
        <w:rPr>
          <w:rFonts w:ascii="Arial" w:cs="Arial" w:eastAsia="Arial" w:hAnsi="Arial"/>
          <w:sz w:val="14"/>
          <w:szCs w:val="14"/>
          <w:color w:val="auto"/>
        </w:rPr>
        <w:t>Each member of the Compensation and Corporate Governance Committee is “independent” as defined in Rules 5605(a)(2) and 5605(d)(2) of the Nasdaq rules.</w:t>
      </w:r>
    </w:p>
    <w:p>
      <w:pPr>
        <w:spacing w:after="0" w:line="300"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Board Leadership Structure</w:t>
      </w:r>
    </w:p>
    <w:p>
      <w:pPr>
        <w:spacing w:after="0" w:line="121" w:lineRule="exact"/>
        <w:rPr>
          <w:sz w:val="20"/>
          <w:szCs w:val="20"/>
          <w:color w:val="auto"/>
        </w:rPr>
      </w:pPr>
    </w:p>
    <w:p>
      <w:pPr>
        <w:ind w:left="120" w:right="60" w:firstLine="881"/>
        <w:spacing w:after="0" w:line="259" w:lineRule="auto"/>
        <w:rPr>
          <w:sz w:val="20"/>
          <w:szCs w:val="20"/>
          <w:color w:val="auto"/>
        </w:rPr>
      </w:pPr>
      <w:r>
        <w:rPr>
          <w:rFonts w:ascii="Arial" w:cs="Arial" w:eastAsia="Arial" w:hAnsi="Arial"/>
          <w:sz w:val="18"/>
          <w:szCs w:val="18"/>
          <w:color w:val="auto"/>
        </w:rPr>
        <w:t>Ms. Larocca has served as our Chair and lead independent director since May 2016, and Mr. Kain has served as our Chief Executive Officer since March 2016. We recognize the importance of strong independent leadership on our Board and believe that separating the positions of Chair and Chief Executive Officer is the best corporate governance leadership structure for us at this time. Our Board has determined that all of the current directors, except Mr. Kain, are “independent” as defined in the Nasdaq rules.</w:t>
      </w:r>
    </w:p>
    <w:p>
      <w:pPr>
        <w:spacing w:after="0" w:line="187" w:lineRule="exact"/>
        <w:rPr>
          <w:sz w:val="20"/>
          <w:szCs w:val="20"/>
          <w:color w:val="auto"/>
        </w:rPr>
      </w:pPr>
    </w:p>
    <w:p>
      <w:pPr>
        <w:ind w:left="120" w:right="60" w:firstLine="881"/>
        <w:spacing w:after="0" w:line="311" w:lineRule="auto"/>
        <w:rPr>
          <w:sz w:val="20"/>
          <w:szCs w:val="20"/>
          <w:color w:val="auto"/>
        </w:rPr>
      </w:pPr>
      <w:r>
        <w:rPr>
          <w:rFonts w:ascii="Arial" w:cs="Arial" w:eastAsia="Arial" w:hAnsi="Arial"/>
          <w:sz w:val="16"/>
          <w:szCs w:val="16"/>
          <w:color w:val="auto"/>
        </w:rPr>
        <w:t>It is our Board’s policy as a matter of good corporate governance to have our independent directors meet regularly without members of management or employee directors present to facilitate the Board’s effective independent oversight of management. Presently, our independent directors meet during our Board’s quarterly in-person meetings and may hold additional meetings at the request of the Chair or any other independent director.</w:t>
      </w:r>
    </w:p>
    <w:p>
      <w:pPr>
        <w:spacing w:after="0" w:line="149" w:lineRule="exact"/>
        <w:rPr>
          <w:sz w:val="20"/>
          <w:szCs w:val="20"/>
          <w:color w:val="auto"/>
        </w:rPr>
      </w:pPr>
    </w:p>
    <w:p>
      <w:pPr>
        <w:ind w:left="120" w:right="80" w:firstLine="881"/>
        <w:spacing w:after="0" w:line="311" w:lineRule="auto"/>
        <w:rPr>
          <w:sz w:val="20"/>
          <w:szCs w:val="20"/>
          <w:color w:val="auto"/>
        </w:rPr>
      </w:pPr>
      <w:r>
        <w:rPr>
          <w:rFonts w:ascii="Arial" w:cs="Arial" w:eastAsia="Arial" w:hAnsi="Arial"/>
          <w:sz w:val="16"/>
          <w:szCs w:val="16"/>
          <w:color w:val="auto"/>
        </w:rPr>
        <w:t>Each of our Board’s Audit Committee and Compensation Committee is composed entirely of independent directors. These independent committees of our Board also have the authority under their respective charters to hire independent advisors and consultants, at the Company’s expense, to assist them in performing their duties. A majority of our Board’s Executive Committee also consists of independent directors.</w:t>
      </w:r>
    </w:p>
    <w:p>
      <w:pPr>
        <w:spacing w:after="0" w:line="253"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Corporate Governance</w:t>
      </w:r>
    </w:p>
    <w:p>
      <w:pPr>
        <w:spacing w:after="0" w:line="121" w:lineRule="exact"/>
        <w:rPr>
          <w:sz w:val="20"/>
          <w:szCs w:val="20"/>
          <w:color w:val="auto"/>
        </w:rPr>
      </w:pPr>
    </w:p>
    <w:p>
      <w:pPr>
        <w:ind w:left="120" w:right="160" w:firstLine="881"/>
        <w:spacing w:after="0" w:line="257" w:lineRule="auto"/>
        <w:rPr>
          <w:sz w:val="20"/>
          <w:szCs w:val="20"/>
          <w:color w:val="auto"/>
        </w:rPr>
      </w:pPr>
      <w:r>
        <w:rPr>
          <w:rFonts w:ascii="Arial" w:cs="Arial" w:eastAsia="Arial" w:hAnsi="Arial"/>
          <w:sz w:val="18"/>
          <w:szCs w:val="18"/>
          <w:color w:val="auto"/>
        </w:rPr>
        <w:t xml:space="preserve">Our Board has developed strong corporate governance practices, which are memorialized in our Corporate Governance Guidelines, to support its oversight responsibilities. These guidelines, together with our Amended and Restated Certificate of Incorporation (our “Certificate of Incorporation”), Third Amended and Restated By-laws, as amended (our “By-laws”), and committee charters of the Audit Committee and the Compensation Committee, form the basis for performance of our governance activities. All of these documents are available in the Investors section of our website at </w:t>
      </w:r>
      <w:r>
        <w:rPr>
          <w:rFonts w:ascii="Arial" w:cs="Arial" w:eastAsia="Arial" w:hAnsi="Arial"/>
          <w:sz w:val="18"/>
          <w:szCs w:val="18"/>
          <w:i w:val="1"/>
          <w:iCs w:val="1"/>
          <w:color w:val="auto"/>
        </w:rPr>
        <w:t>www.AGNC.com</w:t>
      </w:r>
      <w:r>
        <w:rPr>
          <w:rFonts w:ascii="Arial" w:cs="Arial" w:eastAsia="Arial" w:hAnsi="Arial"/>
          <w:sz w:val="18"/>
          <w:szCs w:val="18"/>
          <w:color w:val="auto"/>
        </w:rPr>
        <w:t>.</w:t>
      </w:r>
    </w:p>
    <w:p>
      <w:pPr>
        <w:spacing w:after="0" w:line="116" w:lineRule="exact"/>
        <w:rPr>
          <w:sz w:val="20"/>
          <w:szCs w:val="20"/>
          <w:color w:val="auto"/>
        </w:rPr>
      </w:pPr>
    </w:p>
    <w:p>
      <w:pPr>
        <w:ind w:left="8040"/>
        <w:spacing w:after="0"/>
        <w:tabs>
          <w:tab w:leader="none" w:pos="1104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1</w:t>
      </w:r>
    </w:p>
    <w:p>
      <w:pPr>
        <w:sectPr>
          <w:pgSz w:w="11900" w:h="16838" w:orient="portrait"/>
          <w:cols w:equalWidth="0" w:num="1">
            <w:col w:w="11140"/>
          </w:cols>
          <w:pgMar w:left="320" w:top="459" w:right="439" w:bottom="1440" w:gutter="0" w:footer="0" w:header="0"/>
        </w:sectPr>
      </w:pPr>
    </w:p>
    <w:bookmarkStart w:id="14" w:name="page15"/>
    <w:bookmarkEnd w:id="1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79" w:lineRule="exact"/>
        <w:rPr>
          <w:sz w:val="20"/>
          <w:szCs w:val="20"/>
          <w:color w:val="auto"/>
        </w:rPr>
      </w:pPr>
    </w:p>
    <w:tbl>
      <w:tblPr>
        <w:tblLayout w:type="fixed"/>
        <w:tblInd w:w="130" w:type="dxa"/>
        <w:tblCellMar>
          <w:top w:w="0" w:type="dxa"/>
          <w:left w:w="0" w:type="dxa"/>
          <w:bottom w:w="0" w:type="dxa"/>
          <w:right w:w="0" w:type="dxa"/>
        </w:tblCellMar>
      </w:tblPr>
      <w:tr>
        <w:trPr>
          <w:trHeight w:val="381"/>
        </w:trPr>
        <w:tc>
          <w:tcPr>
            <w:tcW w:w="560" w:type="dxa"/>
            <w:vAlign w:val="bottom"/>
            <w:tcBorders>
              <w:top w:val="single" w:sz="8" w:color="407CCA"/>
              <w:left w:val="single" w:sz="8" w:color="407CCA"/>
            </w:tcBorders>
          </w:tcPr>
          <w:p>
            <w:pPr>
              <w:spacing w:after="0"/>
              <w:rPr>
                <w:sz w:val="24"/>
                <w:szCs w:val="24"/>
                <w:color w:val="auto"/>
              </w:rPr>
            </w:pPr>
          </w:p>
        </w:tc>
        <w:tc>
          <w:tcPr>
            <w:tcW w:w="10460" w:type="dxa"/>
            <w:vAlign w:val="bottom"/>
            <w:tcBorders>
              <w:top w:val="single" w:sz="8" w:color="407CCA"/>
              <w:right w:val="single" w:sz="8" w:color="407CCA"/>
            </w:tcBorders>
            <w:gridSpan w:val="3"/>
          </w:tcPr>
          <w:p>
            <w:pPr>
              <w:ind w:left="3100"/>
              <w:spacing w:after="0"/>
              <w:rPr>
                <w:sz w:val="20"/>
                <w:szCs w:val="20"/>
                <w:color w:val="auto"/>
              </w:rPr>
            </w:pPr>
            <w:r>
              <w:rPr>
                <w:rFonts w:ascii="Arial" w:cs="Arial" w:eastAsia="Arial" w:hAnsi="Arial"/>
                <w:sz w:val="18"/>
                <w:szCs w:val="18"/>
                <w:b w:val="1"/>
                <w:bCs w:val="1"/>
                <w:color w:val="407CCA"/>
              </w:rPr>
              <w:t>CORPORATE GOVERNANCE HIGHLIGHTS</w:t>
            </w:r>
          </w:p>
        </w:tc>
      </w:tr>
      <w:tr>
        <w:trPr>
          <w:trHeight w:val="256"/>
        </w:trPr>
        <w:tc>
          <w:tcPr>
            <w:tcW w:w="560" w:type="dxa"/>
            <w:vAlign w:val="bottom"/>
            <w:tcBorders>
              <w:left w:val="single" w:sz="8" w:color="407CCA"/>
            </w:tcBorders>
          </w:tcPr>
          <w:p>
            <w:pPr>
              <w:ind w:left="340"/>
              <w:spacing w:after="0"/>
              <w:rPr>
                <w:sz w:val="20"/>
                <w:szCs w:val="20"/>
                <w:color w:val="auto"/>
              </w:rPr>
            </w:pPr>
            <w:r>
              <w:rPr>
                <w:rFonts w:ascii="Arial" w:cs="Arial" w:eastAsia="Arial" w:hAnsi="Arial"/>
                <w:sz w:val="18"/>
                <w:szCs w:val="18"/>
                <w:color w:val="auto"/>
              </w:rPr>
              <w:t>•</w:t>
            </w:r>
          </w:p>
        </w:tc>
        <w:tc>
          <w:tcPr>
            <w:tcW w:w="5040" w:type="dxa"/>
            <w:vAlign w:val="bottom"/>
          </w:tcPr>
          <w:p>
            <w:pPr>
              <w:ind w:left="160"/>
              <w:spacing w:after="0"/>
              <w:rPr>
                <w:sz w:val="20"/>
                <w:szCs w:val="20"/>
                <w:color w:val="auto"/>
              </w:rPr>
            </w:pPr>
            <w:r>
              <w:rPr>
                <w:rFonts w:ascii="Arial" w:cs="Arial" w:eastAsia="Arial" w:hAnsi="Arial"/>
                <w:sz w:val="18"/>
                <w:szCs w:val="18"/>
                <w:color w:val="auto"/>
              </w:rPr>
              <w:t>Annual election of directors</w:t>
            </w:r>
          </w:p>
        </w:tc>
        <w:tc>
          <w:tcPr>
            <w:tcW w:w="560" w:type="dxa"/>
            <w:vAlign w:val="bottom"/>
          </w:tcPr>
          <w:p>
            <w:pPr>
              <w:ind w:left="340"/>
              <w:spacing w:after="0"/>
              <w:rPr>
                <w:sz w:val="20"/>
                <w:szCs w:val="20"/>
                <w:color w:val="auto"/>
              </w:rPr>
            </w:pPr>
            <w:r>
              <w:rPr>
                <w:rFonts w:ascii="Arial" w:cs="Arial" w:eastAsia="Arial" w:hAnsi="Arial"/>
                <w:sz w:val="18"/>
                <w:szCs w:val="18"/>
                <w:color w:val="auto"/>
              </w:rPr>
              <w:t>•</w:t>
            </w:r>
          </w:p>
        </w:tc>
        <w:tc>
          <w:tcPr>
            <w:tcW w:w="4860" w:type="dxa"/>
            <w:vAlign w:val="bottom"/>
            <w:tcBorders>
              <w:right w:val="single" w:sz="8" w:color="407CCA"/>
            </w:tcBorders>
          </w:tcPr>
          <w:p>
            <w:pPr>
              <w:ind w:left="160"/>
              <w:spacing w:after="0"/>
              <w:rPr>
                <w:sz w:val="20"/>
                <w:szCs w:val="20"/>
                <w:color w:val="auto"/>
              </w:rPr>
            </w:pPr>
            <w:r>
              <w:rPr>
                <w:rFonts w:ascii="Arial" w:cs="Arial" w:eastAsia="Arial" w:hAnsi="Arial"/>
                <w:sz w:val="18"/>
                <w:szCs w:val="18"/>
                <w:color w:val="auto"/>
                <w:w w:val="97"/>
              </w:rPr>
              <w:t>Anti-hedging and pledging policy for directors and executive</w:t>
            </w:r>
          </w:p>
        </w:tc>
      </w:tr>
      <w:tr>
        <w:trPr>
          <w:trHeight w:val="216"/>
        </w:trPr>
        <w:tc>
          <w:tcPr>
            <w:tcW w:w="560" w:type="dxa"/>
            <w:vAlign w:val="bottom"/>
            <w:tcBorders>
              <w:left w:val="single" w:sz="8" w:color="407CCA"/>
            </w:tcBorders>
          </w:tcPr>
          <w:p>
            <w:pPr>
              <w:ind w:left="340"/>
              <w:spacing w:after="0"/>
              <w:rPr>
                <w:sz w:val="20"/>
                <w:szCs w:val="20"/>
                <w:color w:val="auto"/>
              </w:rPr>
            </w:pPr>
            <w:r>
              <w:rPr>
                <w:rFonts w:ascii="Arial" w:cs="Arial" w:eastAsia="Arial" w:hAnsi="Arial"/>
                <w:sz w:val="18"/>
                <w:szCs w:val="18"/>
                <w:color w:val="auto"/>
              </w:rPr>
              <w:t>•</w:t>
            </w:r>
          </w:p>
        </w:tc>
        <w:tc>
          <w:tcPr>
            <w:tcW w:w="5040" w:type="dxa"/>
            <w:vAlign w:val="bottom"/>
          </w:tcPr>
          <w:p>
            <w:pPr>
              <w:ind w:left="160"/>
              <w:spacing w:after="0"/>
              <w:rPr>
                <w:sz w:val="20"/>
                <w:szCs w:val="20"/>
                <w:color w:val="auto"/>
              </w:rPr>
            </w:pPr>
            <w:r>
              <w:rPr>
                <w:rFonts w:ascii="Arial" w:cs="Arial" w:eastAsia="Arial" w:hAnsi="Arial"/>
                <w:sz w:val="18"/>
                <w:szCs w:val="18"/>
                <w:color w:val="auto"/>
              </w:rPr>
              <w:t>Directors elected by majority voting, with a resignation policy</w:t>
            </w:r>
          </w:p>
        </w:tc>
        <w:tc>
          <w:tcPr>
            <w:tcW w:w="560" w:type="dxa"/>
            <w:vAlign w:val="bottom"/>
          </w:tcPr>
          <w:p>
            <w:pPr>
              <w:spacing w:after="0"/>
              <w:rPr>
                <w:sz w:val="18"/>
                <w:szCs w:val="18"/>
                <w:color w:val="auto"/>
              </w:rPr>
            </w:pPr>
          </w:p>
        </w:tc>
        <w:tc>
          <w:tcPr>
            <w:tcW w:w="4860" w:type="dxa"/>
            <w:vAlign w:val="bottom"/>
            <w:tcBorders>
              <w:right w:val="single" w:sz="8" w:color="407CCA"/>
            </w:tcBorders>
          </w:tcPr>
          <w:p>
            <w:pPr>
              <w:ind w:left="160"/>
              <w:spacing w:after="0"/>
              <w:rPr>
                <w:sz w:val="20"/>
                <w:szCs w:val="20"/>
                <w:color w:val="auto"/>
              </w:rPr>
            </w:pPr>
            <w:r>
              <w:rPr>
                <w:rFonts w:ascii="Arial" w:cs="Arial" w:eastAsia="Arial" w:hAnsi="Arial"/>
                <w:sz w:val="18"/>
                <w:szCs w:val="18"/>
                <w:color w:val="auto"/>
              </w:rPr>
              <w:t>officers</w:t>
            </w:r>
          </w:p>
        </w:tc>
      </w:tr>
      <w:tr>
        <w:trPr>
          <w:trHeight w:val="216"/>
        </w:trPr>
        <w:tc>
          <w:tcPr>
            <w:tcW w:w="560" w:type="dxa"/>
            <w:vAlign w:val="bottom"/>
            <w:tcBorders>
              <w:left w:val="single" w:sz="8" w:color="407CCA"/>
            </w:tcBorders>
          </w:tcPr>
          <w:p>
            <w:pPr>
              <w:spacing w:after="0"/>
              <w:rPr>
                <w:sz w:val="18"/>
                <w:szCs w:val="18"/>
                <w:color w:val="auto"/>
              </w:rPr>
            </w:pPr>
          </w:p>
        </w:tc>
        <w:tc>
          <w:tcPr>
            <w:tcW w:w="5040" w:type="dxa"/>
            <w:vAlign w:val="bottom"/>
          </w:tcPr>
          <w:p>
            <w:pPr>
              <w:ind w:left="160"/>
              <w:spacing w:after="0"/>
              <w:rPr>
                <w:sz w:val="20"/>
                <w:szCs w:val="20"/>
                <w:color w:val="auto"/>
              </w:rPr>
            </w:pPr>
            <w:r>
              <w:rPr>
                <w:rFonts w:ascii="Arial" w:cs="Arial" w:eastAsia="Arial" w:hAnsi="Arial"/>
                <w:sz w:val="18"/>
                <w:szCs w:val="18"/>
                <w:color w:val="auto"/>
              </w:rPr>
              <w:t>for directors who do not receive a majority support</w:t>
            </w:r>
          </w:p>
        </w:tc>
        <w:tc>
          <w:tcPr>
            <w:tcW w:w="560" w:type="dxa"/>
            <w:vAlign w:val="bottom"/>
          </w:tcPr>
          <w:p>
            <w:pPr>
              <w:ind w:left="340"/>
              <w:spacing w:after="0"/>
              <w:rPr>
                <w:sz w:val="20"/>
                <w:szCs w:val="20"/>
                <w:color w:val="auto"/>
              </w:rPr>
            </w:pPr>
            <w:r>
              <w:rPr>
                <w:rFonts w:ascii="Arial" w:cs="Arial" w:eastAsia="Arial" w:hAnsi="Arial"/>
                <w:sz w:val="18"/>
                <w:szCs w:val="18"/>
                <w:color w:val="auto"/>
              </w:rPr>
              <w:t>•</w:t>
            </w:r>
          </w:p>
        </w:tc>
        <w:tc>
          <w:tcPr>
            <w:tcW w:w="4860" w:type="dxa"/>
            <w:vAlign w:val="bottom"/>
            <w:tcBorders>
              <w:right w:val="single" w:sz="8" w:color="407CCA"/>
            </w:tcBorders>
          </w:tcPr>
          <w:p>
            <w:pPr>
              <w:ind w:left="160"/>
              <w:spacing w:after="0"/>
              <w:rPr>
                <w:sz w:val="20"/>
                <w:szCs w:val="20"/>
                <w:color w:val="auto"/>
              </w:rPr>
            </w:pPr>
            <w:r>
              <w:rPr>
                <w:rFonts w:ascii="Arial" w:cs="Arial" w:eastAsia="Arial" w:hAnsi="Arial"/>
                <w:sz w:val="18"/>
                <w:szCs w:val="18"/>
                <w:color w:val="auto"/>
              </w:rPr>
              <w:t>Clawback policy for compensation</w:t>
            </w:r>
          </w:p>
        </w:tc>
      </w:tr>
      <w:tr>
        <w:trPr>
          <w:trHeight w:val="216"/>
        </w:trPr>
        <w:tc>
          <w:tcPr>
            <w:tcW w:w="560" w:type="dxa"/>
            <w:vAlign w:val="bottom"/>
            <w:tcBorders>
              <w:left w:val="single" w:sz="8" w:color="407CCA"/>
            </w:tcBorders>
          </w:tcPr>
          <w:p>
            <w:pPr>
              <w:ind w:left="340"/>
              <w:spacing w:after="0"/>
              <w:rPr>
                <w:sz w:val="20"/>
                <w:szCs w:val="20"/>
                <w:color w:val="auto"/>
              </w:rPr>
            </w:pPr>
            <w:r>
              <w:rPr>
                <w:rFonts w:ascii="Arial" w:cs="Arial" w:eastAsia="Arial" w:hAnsi="Arial"/>
                <w:sz w:val="18"/>
                <w:szCs w:val="18"/>
                <w:color w:val="auto"/>
              </w:rPr>
              <w:t>•</w:t>
            </w:r>
          </w:p>
        </w:tc>
        <w:tc>
          <w:tcPr>
            <w:tcW w:w="5040" w:type="dxa"/>
            <w:vAlign w:val="bottom"/>
          </w:tcPr>
          <w:p>
            <w:pPr>
              <w:ind w:left="160"/>
              <w:spacing w:after="0"/>
              <w:rPr>
                <w:sz w:val="20"/>
                <w:szCs w:val="20"/>
                <w:color w:val="auto"/>
              </w:rPr>
            </w:pPr>
            <w:r>
              <w:rPr>
                <w:rFonts w:ascii="Arial" w:cs="Arial" w:eastAsia="Arial" w:hAnsi="Arial"/>
                <w:sz w:val="18"/>
                <w:szCs w:val="18"/>
                <w:color w:val="auto"/>
              </w:rPr>
              <w:t>Four of seven directors are gender or ethnically diverse</w:t>
            </w:r>
          </w:p>
        </w:tc>
        <w:tc>
          <w:tcPr>
            <w:tcW w:w="560" w:type="dxa"/>
            <w:vAlign w:val="bottom"/>
          </w:tcPr>
          <w:p>
            <w:pPr>
              <w:ind w:left="340"/>
              <w:spacing w:after="0"/>
              <w:rPr>
                <w:sz w:val="20"/>
                <w:szCs w:val="20"/>
                <w:color w:val="auto"/>
              </w:rPr>
            </w:pPr>
            <w:r>
              <w:rPr>
                <w:rFonts w:ascii="Arial" w:cs="Arial" w:eastAsia="Arial" w:hAnsi="Arial"/>
                <w:sz w:val="18"/>
                <w:szCs w:val="18"/>
                <w:color w:val="auto"/>
              </w:rPr>
              <w:t>•</w:t>
            </w:r>
          </w:p>
        </w:tc>
        <w:tc>
          <w:tcPr>
            <w:tcW w:w="4860" w:type="dxa"/>
            <w:vAlign w:val="bottom"/>
            <w:tcBorders>
              <w:right w:val="single" w:sz="8" w:color="407CCA"/>
            </w:tcBorders>
          </w:tcPr>
          <w:p>
            <w:pPr>
              <w:ind w:left="160"/>
              <w:spacing w:after="0"/>
              <w:rPr>
                <w:sz w:val="20"/>
                <w:szCs w:val="20"/>
                <w:color w:val="auto"/>
              </w:rPr>
            </w:pPr>
            <w:r>
              <w:rPr>
                <w:rFonts w:ascii="Arial" w:cs="Arial" w:eastAsia="Arial" w:hAnsi="Arial"/>
                <w:sz w:val="18"/>
                <w:szCs w:val="18"/>
                <w:color w:val="auto"/>
              </w:rPr>
              <w:t>No stockholder rights plan or “poison pill”</w:t>
            </w:r>
          </w:p>
        </w:tc>
      </w:tr>
      <w:tr>
        <w:trPr>
          <w:trHeight w:val="216"/>
        </w:trPr>
        <w:tc>
          <w:tcPr>
            <w:tcW w:w="560" w:type="dxa"/>
            <w:vAlign w:val="bottom"/>
            <w:tcBorders>
              <w:left w:val="single" w:sz="8" w:color="407CCA"/>
            </w:tcBorders>
          </w:tcPr>
          <w:p>
            <w:pPr>
              <w:ind w:left="340"/>
              <w:spacing w:after="0"/>
              <w:rPr>
                <w:sz w:val="20"/>
                <w:szCs w:val="20"/>
                <w:color w:val="auto"/>
              </w:rPr>
            </w:pPr>
            <w:r>
              <w:rPr>
                <w:rFonts w:ascii="Arial" w:cs="Arial" w:eastAsia="Arial" w:hAnsi="Arial"/>
                <w:sz w:val="18"/>
                <w:szCs w:val="18"/>
                <w:color w:val="auto"/>
              </w:rPr>
              <w:t>•</w:t>
            </w:r>
          </w:p>
        </w:tc>
        <w:tc>
          <w:tcPr>
            <w:tcW w:w="5040" w:type="dxa"/>
            <w:vAlign w:val="bottom"/>
          </w:tcPr>
          <w:p>
            <w:pPr>
              <w:ind w:left="160"/>
              <w:spacing w:after="0"/>
              <w:rPr>
                <w:sz w:val="20"/>
                <w:szCs w:val="20"/>
                <w:color w:val="auto"/>
              </w:rPr>
            </w:pPr>
            <w:r>
              <w:rPr>
                <w:rFonts w:ascii="Arial" w:cs="Arial" w:eastAsia="Arial" w:hAnsi="Arial"/>
                <w:sz w:val="18"/>
                <w:szCs w:val="18"/>
                <w:color w:val="auto"/>
              </w:rPr>
              <w:t>Chair is independent</w:t>
            </w:r>
          </w:p>
        </w:tc>
        <w:tc>
          <w:tcPr>
            <w:tcW w:w="560" w:type="dxa"/>
            <w:vAlign w:val="bottom"/>
          </w:tcPr>
          <w:p>
            <w:pPr>
              <w:ind w:left="340"/>
              <w:spacing w:after="0"/>
              <w:rPr>
                <w:sz w:val="20"/>
                <w:szCs w:val="20"/>
                <w:color w:val="auto"/>
              </w:rPr>
            </w:pPr>
            <w:r>
              <w:rPr>
                <w:rFonts w:ascii="Arial" w:cs="Arial" w:eastAsia="Arial" w:hAnsi="Arial"/>
                <w:sz w:val="18"/>
                <w:szCs w:val="18"/>
                <w:color w:val="auto"/>
              </w:rPr>
              <w:t>•</w:t>
            </w:r>
          </w:p>
        </w:tc>
        <w:tc>
          <w:tcPr>
            <w:tcW w:w="4860" w:type="dxa"/>
            <w:vAlign w:val="bottom"/>
            <w:tcBorders>
              <w:right w:val="single" w:sz="8" w:color="407CCA"/>
            </w:tcBorders>
          </w:tcPr>
          <w:p>
            <w:pPr>
              <w:ind w:left="160"/>
              <w:spacing w:after="0"/>
              <w:rPr>
                <w:sz w:val="20"/>
                <w:szCs w:val="20"/>
                <w:color w:val="auto"/>
              </w:rPr>
            </w:pPr>
            <w:r>
              <w:rPr>
                <w:rFonts w:ascii="Arial" w:cs="Arial" w:eastAsia="Arial" w:hAnsi="Arial"/>
                <w:sz w:val="18"/>
                <w:szCs w:val="18"/>
                <w:color w:val="auto"/>
                <w:w w:val="98"/>
              </w:rPr>
              <w:t>Comprehensive Code of Ethics and Conduct and Corporate</w:t>
            </w:r>
          </w:p>
        </w:tc>
      </w:tr>
      <w:tr>
        <w:trPr>
          <w:trHeight w:val="216"/>
        </w:trPr>
        <w:tc>
          <w:tcPr>
            <w:tcW w:w="560" w:type="dxa"/>
            <w:vAlign w:val="bottom"/>
            <w:tcBorders>
              <w:left w:val="single" w:sz="8" w:color="407CCA"/>
            </w:tcBorders>
          </w:tcPr>
          <w:p>
            <w:pPr>
              <w:ind w:left="340"/>
              <w:spacing w:after="0"/>
              <w:rPr>
                <w:sz w:val="20"/>
                <w:szCs w:val="20"/>
                <w:color w:val="auto"/>
              </w:rPr>
            </w:pPr>
            <w:r>
              <w:rPr>
                <w:rFonts w:ascii="Arial" w:cs="Arial" w:eastAsia="Arial" w:hAnsi="Arial"/>
                <w:sz w:val="18"/>
                <w:szCs w:val="18"/>
                <w:color w:val="auto"/>
              </w:rPr>
              <w:t>•</w:t>
            </w:r>
          </w:p>
        </w:tc>
        <w:tc>
          <w:tcPr>
            <w:tcW w:w="5040" w:type="dxa"/>
            <w:vAlign w:val="bottom"/>
          </w:tcPr>
          <w:p>
            <w:pPr>
              <w:ind w:left="160"/>
              <w:spacing w:after="0"/>
              <w:rPr>
                <w:sz w:val="20"/>
                <w:szCs w:val="20"/>
                <w:color w:val="auto"/>
              </w:rPr>
            </w:pPr>
            <w:r>
              <w:rPr>
                <w:rFonts w:ascii="Arial" w:cs="Arial" w:eastAsia="Arial" w:hAnsi="Arial"/>
                <w:sz w:val="18"/>
                <w:szCs w:val="18"/>
                <w:color w:val="auto"/>
              </w:rPr>
              <w:t>All directors serve on two or fewer public company boards</w:t>
            </w:r>
          </w:p>
        </w:tc>
        <w:tc>
          <w:tcPr>
            <w:tcW w:w="560" w:type="dxa"/>
            <w:vAlign w:val="bottom"/>
          </w:tcPr>
          <w:p>
            <w:pPr>
              <w:spacing w:after="0"/>
              <w:rPr>
                <w:sz w:val="18"/>
                <w:szCs w:val="18"/>
                <w:color w:val="auto"/>
              </w:rPr>
            </w:pPr>
          </w:p>
        </w:tc>
        <w:tc>
          <w:tcPr>
            <w:tcW w:w="4860" w:type="dxa"/>
            <w:vAlign w:val="bottom"/>
            <w:tcBorders>
              <w:right w:val="single" w:sz="8" w:color="407CCA"/>
            </w:tcBorders>
          </w:tcPr>
          <w:p>
            <w:pPr>
              <w:ind w:left="160"/>
              <w:spacing w:after="0"/>
              <w:rPr>
                <w:sz w:val="20"/>
                <w:szCs w:val="20"/>
                <w:color w:val="auto"/>
              </w:rPr>
            </w:pPr>
            <w:r>
              <w:rPr>
                <w:rFonts w:ascii="Arial" w:cs="Arial" w:eastAsia="Arial" w:hAnsi="Arial"/>
                <w:sz w:val="18"/>
                <w:szCs w:val="18"/>
                <w:color w:val="auto"/>
              </w:rPr>
              <w:t>Governance Guidelines</w:t>
            </w:r>
          </w:p>
        </w:tc>
      </w:tr>
      <w:tr>
        <w:trPr>
          <w:trHeight w:val="216"/>
        </w:trPr>
        <w:tc>
          <w:tcPr>
            <w:tcW w:w="560" w:type="dxa"/>
            <w:vAlign w:val="bottom"/>
            <w:tcBorders>
              <w:left w:val="single" w:sz="8" w:color="407CCA"/>
            </w:tcBorders>
          </w:tcPr>
          <w:p>
            <w:pPr>
              <w:ind w:left="340"/>
              <w:spacing w:after="0"/>
              <w:rPr>
                <w:sz w:val="20"/>
                <w:szCs w:val="20"/>
                <w:color w:val="auto"/>
              </w:rPr>
            </w:pPr>
            <w:r>
              <w:rPr>
                <w:rFonts w:ascii="Arial" w:cs="Arial" w:eastAsia="Arial" w:hAnsi="Arial"/>
                <w:sz w:val="18"/>
                <w:szCs w:val="18"/>
                <w:color w:val="auto"/>
              </w:rPr>
              <w:t>•</w:t>
            </w:r>
          </w:p>
        </w:tc>
        <w:tc>
          <w:tcPr>
            <w:tcW w:w="5040" w:type="dxa"/>
            <w:vAlign w:val="bottom"/>
          </w:tcPr>
          <w:p>
            <w:pPr>
              <w:ind w:left="160"/>
              <w:spacing w:after="0"/>
              <w:rPr>
                <w:sz w:val="20"/>
                <w:szCs w:val="20"/>
                <w:color w:val="auto"/>
              </w:rPr>
            </w:pPr>
            <w:r>
              <w:rPr>
                <w:rFonts w:ascii="Arial" w:cs="Arial" w:eastAsia="Arial" w:hAnsi="Arial"/>
                <w:sz w:val="18"/>
                <w:szCs w:val="18"/>
                <w:color w:val="auto"/>
              </w:rPr>
              <w:t>Two new independent directors appointed in 2019</w:t>
            </w:r>
          </w:p>
        </w:tc>
        <w:tc>
          <w:tcPr>
            <w:tcW w:w="560" w:type="dxa"/>
            <w:vAlign w:val="bottom"/>
          </w:tcPr>
          <w:p>
            <w:pPr>
              <w:ind w:left="340"/>
              <w:spacing w:after="0"/>
              <w:rPr>
                <w:sz w:val="20"/>
                <w:szCs w:val="20"/>
                <w:color w:val="auto"/>
              </w:rPr>
            </w:pPr>
            <w:r>
              <w:rPr>
                <w:rFonts w:ascii="Arial" w:cs="Arial" w:eastAsia="Arial" w:hAnsi="Arial"/>
                <w:sz w:val="18"/>
                <w:szCs w:val="18"/>
                <w:color w:val="auto"/>
              </w:rPr>
              <w:t>•</w:t>
            </w:r>
          </w:p>
        </w:tc>
        <w:tc>
          <w:tcPr>
            <w:tcW w:w="4860" w:type="dxa"/>
            <w:vAlign w:val="bottom"/>
            <w:tcBorders>
              <w:right w:val="single" w:sz="8" w:color="407CCA"/>
            </w:tcBorders>
          </w:tcPr>
          <w:p>
            <w:pPr>
              <w:ind w:left="160"/>
              <w:spacing w:after="0"/>
              <w:rPr>
                <w:sz w:val="20"/>
                <w:szCs w:val="20"/>
                <w:color w:val="auto"/>
              </w:rPr>
            </w:pPr>
            <w:r>
              <w:rPr>
                <w:rFonts w:ascii="Arial" w:cs="Arial" w:eastAsia="Arial" w:hAnsi="Arial"/>
                <w:sz w:val="18"/>
                <w:szCs w:val="18"/>
                <w:color w:val="auto"/>
              </w:rPr>
              <w:t>Annual board and committee self-evaluations</w:t>
            </w:r>
          </w:p>
        </w:tc>
      </w:tr>
      <w:tr>
        <w:trPr>
          <w:trHeight w:val="216"/>
        </w:trPr>
        <w:tc>
          <w:tcPr>
            <w:tcW w:w="560" w:type="dxa"/>
            <w:vAlign w:val="bottom"/>
            <w:tcBorders>
              <w:left w:val="single" w:sz="8" w:color="407CCA"/>
            </w:tcBorders>
          </w:tcPr>
          <w:p>
            <w:pPr>
              <w:ind w:left="340"/>
              <w:spacing w:after="0"/>
              <w:rPr>
                <w:sz w:val="20"/>
                <w:szCs w:val="20"/>
                <w:color w:val="auto"/>
              </w:rPr>
            </w:pPr>
            <w:r>
              <w:rPr>
                <w:rFonts w:ascii="Arial" w:cs="Arial" w:eastAsia="Arial" w:hAnsi="Arial"/>
                <w:sz w:val="18"/>
                <w:szCs w:val="18"/>
                <w:color w:val="auto"/>
              </w:rPr>
              <w:t>•</w:t>
            </w:r>
          </w:p>
        </w:tc>
        <w:tc>
          <w:tcPr>
            <w:tcW w:w="5040" w:type="dxa"/>
            <w:vAlign w:val="bottom"/>
          </w:tcPr>
          <w:p>
            <w:pPr>
              <w:ind w:left="160"/>
              <w:spacing w:after="0"/>
              <w:rPr>
                <w:sz w:val="20"/>
                <w:szCs w:val="20"/>
                <w:color w:val="auto"/>
              </w:rPr>
            </w:pPr>
            <w:r>
              <w:rPr>
                <w:rFonts w:ascii="Arial" w:cs="Arial" w:eastAsia="Arial" w:hAnsi="Arial"/>
                <w:sz w:val="18"/>
                <w:szCs w:val="18"/>
                <w:color w:val="auto"/>
                <w:w w:val="96"/>
              </w:rPr>
              <w:t>Regular meetings of independent directors without members of</w:t>
            </w:r>
          </w:p>
        </w:tc>
        <w:tc>
          <w:tcPr>
            <w:tcW w:w="560" w:type="dxa"/>
            <w:vAlign w:val="bottom"/>
          </w:tcPr>
          <w:p>
            <w:pPr>
              <w:ind w:left="340"/>
              <w:spacing w:after="0"/>
              <w:rPr>
                <w:sz w:val="20"/>
                <w:szCs w:val="20"/>
                <w:color w:val="auto"/>
              </w:rPr>
            </w:pPr>
            <w:r>
              <w:rPr>
                <w:rFonts w:ascii="Arial" w:cs="Arial" w:eastAsia="Arial" w:hAnsi="Arial"/>
                <w:sz w:val="18"/>
                <w:szCs w:val="18"/>
                <w:color w:val="auto"/>
              </w:rPr>
              <w:t>•</w:t>
            </w:r>
          </w:p>
        </w:tc>
        <w:tc>
          <w:tcPr>
            <w:tcW w:w="4860" w:type="dxa"/>
            <w:vAlign w:val="bottom"/>
            <w:tcBorders>
              <w:right w:val="single" w:sz="8" w:color="407CCA"/>
            </w:tcBorders>
          </w:tcPr>
          <w:p>
            <w:pPr>
              <w:ind w:left="160"/>
              <w:spacing w:after="0"/>
              <w:rPr>
                <w:sz w:val="20"/>
                <w:szCs w:val="20"/>
                <w:color w:val="auto"/>
              </w:rPr>
            </w:pPr>
            <w:r>
              <w:rPr>
                <w:rFonts w:ascii="Arial" w:cs="Arial" w:eastAsia="Arial" w:hAnsi="Arial"/>
                <w:sz w:val="18"/>
                <w:szCs w:val="18"/>
                <w:color w:val="auto"/>
                <w:w w:val="92"/>
              </w:rPr>
              <w:t>100% attendance at 95% of our Board and committee meetings</w:t>
            </w:r>
          </w:p>
        </w:tc>
      </w:tr>
      <w:tr>
        <w:trPr>
          <w:trHeight w:val="216"/>
        </w:trPr>
        <w:tc>
          <w:tcPr>
            <w:tcW w:w="560" w:type="dxa"/>
            <w:vAlign w:val="bottom"/>
            <w:tcBorders>
              <w:left w:val="single" w:sz="8" w:color="407CCA"/>
            </w:tcBorders>
          </w:tcPr>
          <w:p>
            <w:pPr>
              <w:spacing w:after="0"/>
              <w:rPr>
                <w:sz w:val="18"/>
                <w:szCs w:val="18"/>
                <w:color w:val="auto"/>
              </w:rPr>
            </w:pPr>
          </w:p>
        </w:tc>
        <w:tc>
          <w:tcPr>
            <w:tcW w:w="5040" w:type="dxa"/>
            <w:vAlign w:val="bottom"/>
          </w:tcPr>
          <w:p>
            <w:pPr>
              <w:ind w:left="160"/>
              <w:spacing w:after="0"/>
              <w:rPr>
                <w:sz w:val="20"/>
                <w:szCs w:val="20"/>
                <w:color w:val="auto"/>
              </w:rPr>
            </w:pPr>
            <w:r>
              <w:rPr>
                <w:rFonts w:ascii="Arial" w:cs="Arial" w:eastAsia="Arial" w:hAnsi="Arial"/>
                <w:sz w:val="18"/>
                <w:szCs w:val="18"/>
                <w:color w:val="auto"/>
              </w:rPr>
              <w:t>management</w:t>
            </w:r>
          </w:p>
        </w:tc>
        <w:tc>
          <w:tcPr>
            <w:tcW w:w="560" w:type="dxa"/>
            <w:vAlign w:val="bottom"/>
          </w:tcPr>
          <w:p>
            <w:pPr>
              <w:spacing w:after="0"/>
              <w:rPr>
                <w:sz w:val="18"/>
                <w:szCs w:val="18"/>
                <w:color w:val="auto"/>
              </w:rPr>
            </w:pPr>
          </w:p>
        </w:tc>
        <w:tc>
          <w:tcPr>
            <w:tcW w:w="4860" w:type="dxa"/>
            <w:vAlign w:val="bottom"/>
            <w:tcBorders>
              <w:right w:val="single" w:sz="8" w:color="407CCA"/>
            </w:tcBorders>
          </w:tcPr>
          <w:p>
            <w:pPr>
              <w:ind w:left="160"/>
              <w:spacing w:after="0"/>
              <w:rPr>
                <w:sz w:val="20"/>
                <w:szCs w:val="20"/>
                <w:color w:val="auto"/>
              </w:rPr>
            </w:pPr>
            <w:r>
              <w:rPr>
                <w:rFonts w:ascii="Arial" w:cs="Arial" w:eastAsia="Arial" w:hAnsi="Arial"/>
                <w:sz w:val="18"/>
                <w:szCs w:val="18"/>
                <w:color w:val="auto"/>
              </w:rPr>
              <w:t>in 2019</w:t>
            </w:r>
          </w:p>
        </w:tc>
      </w:tr>
      <w:tr>
        <w:trPr>
          <w:trHeight w:val="216"/>
        </w:trPr>
        <w:tc>
          <w:tcPr>
            <w:tcW w:w="560" w:type="dxa"/>
            <w:vAlign w:val="bottom"/>
            <w:tcBorders>
              <w:left w:val="single" w:sz="8" w:color="407CCA"/>
            </w:tcBorders>
          </w:tcPr>
          <w:p>
            <w:pPr>
              <w:ind w:left="340"/>
              <w:spacing w:after="0"/>
              <w:rPr>
                <w:sz w:val="20"/>
                <w:szCs w:val="20"/>
                <w:color w:val="auto"/>
              </w:rPr>
            </w:pPr>
            <w:r>
              <w:rPr>
                <w:rFonts w:ascii="Arial" w:cs="Arial" w:eastAsia="Arial" w:hAnsi="Arial"/>
                <w:sz w:val="18"/>
                <w:szCs w:val="18"/>
                <w:color w:val="auto"/>
              </w:rPr>
              <w:t>•</w:t>
            </w:r>
          </w:p>
        </w:tc>
        <w:tc>
          <w:tcPr>
            <w:tcW w:w="5040" w:type="dxa"/>
            <w:vAlign w:val="bottom"/>
          </w:tcPr>
          <w:p>
            <w:pPr>
              <w:ind w:left="160"/>
              <w:spacing w:after="0"/>
              <w:rPr>
                <w:sz w:val="20"/>
                <w:szCs w:val="20"/>
                <w:color w:val="auto"/>
              </w:rPr>
            </w:pPr>
            <w:r>
              <w:rPr>
                <w:rFonts w:ascii="Arial" w:cs="Arial" w:eastAsia="Arial" w:hAnsi="Arial"/>
                <w:sz w:val="18"/>
                <w:szCs w:val="18"/>
                <w:color w:val="auto"/>
                <w:w w:val="97"/>
              </w:rPr>
              <w:t>Stock ownership guidelines for directors and executive officers</w:t>
            </w:r>
          </w:p>
        </w:tc>
        <w:tc>
          <w:tcPr>
            <w:tcW w:w="560" w:type="dxa"/>
            <w:vAlign w:val="bottom"/>
          </w:tcPr>
          <w:p>
            <w:pPr>
              <w:ind w:left="340"/>
              <w:spacing w:after="0"/>
              <w:rPr>
                <w:sz w:val="20"/>
                <w:szCs w:val="20"/>
                <w:color w:val="auto"/>
              </w:rPr>
            </w:pPr>
            <w:r>
              <w:rPr>
                <w:rFonts w:ascii="Arial" w:cs="Arial" w:eastAsia="Arial" w:hAnsi="Arial"/>
                <w:sz w:val="18"/>
                <w:szCs w:val="18"/>
                <w:color w:val="auto"/>
              </w:rPr>
              <w:t>•</w:t>
            </w:r>
          </w:p>
        </w:tc>
        <w:tc>
          <w:tcPr>
            <w:tcW w:w="4860" w:type="dxa"/>
            <w:vAlign w:val="bottom"/>
            <w:tcBorders>
              <w:right w:val="single" w:sz="8" w:color="407CCA"/>
            </w:tcBorders>
          </w:tcPr>
          <w:p>
            <w:pPr>
              <w:ind w:left="160"/>
              <w:spacing w:after="0"/>
              <w:rPr>
                <w:sz w:val="20"/>
                <w:szCs w:val="20"/>
                <w:color w:val="auto"/>
              </w:rPr>
            </w:pPr>
            <w:r>
              <w:rPr>
                <w:rFonts w:ascii="Arial" w:cs="Arial" w:eastAsia="Arial" w:hAnsi="Arial"/>
                <w:sz w:val="18"/>
                <w:szCs w:val="18"/>
                <w:color w:val="auto"/>
              </w:rPr>
              <w:t>Membership in the National Association of Corporate</w:t>
            </w:r>
          </w:p>
        </w:tc>
      </w:tr>
      <w:tr>
        <w:trPr>
          <w:trHeight w:val="216"/>
        </w:trPr>
        <w:tc>
          <w:tcPr>
            <w:tcW w:w="560" w:type="dxa"/>
            <w:vAlign w:val="bottom"/>
            <w:tcBorders>
              <w:left w:val="single" w:sz="8" w:color="407CCA"/>
            </w:tcBorders>
          </w:tcPr>
          <w:p>
            <w:pPr>
              <w:ind w:left="340"/>
              <w:spacing w:after="0"/>
              <w:rPr>
                <w:sz w:val="20"/>
                <w:szCs w:val="20"/>
                <w:color w:val="auto"/>
              </w:rPr>
            </w:pPr>
            <w:r>
              <w:rPr>
                <w:rFonts w:ascii="Arial" w:cs="Arial" w:eastAsia="Arial" w:hAnsi="Arial"/>
                <w:sz w:val="18"/>
                <w:szCs w:val="18"/>
                <w:color w:val="auto"/>
              </w:rPr>
              <w:t>•</w:t>
            </w:r>
          </w:p>
        </w:tc>
        <w:tc>
          <w:tcPr>
            <w:tcW w:w="5040" w:type="dxa"/>
            <w:vAlign w:val="bottom"/>
          </w:tcPr>
          <w:p>
            <w:pPr>
              <w:ind w:left="160"/>
              <w:spacing w:after="0"/>
              <w:rPr>
                <w:sz w:val="20"/>
                <w:szCs w:val="20"/>
                <w:color w:val="auto"/>
              </w:rPr>
            </w:pPr>
            <w:r>
              <w:rPr>
                <w:rFonts w:ascii="Arial" w:cs="Arial" w:eastAsia="Arial" w:hAnsi="Arial"/>
                <w:sz w:val="18"/>
                <w:szCs w:val="18"/>
                <w:color w:val="auto"/>
              </w:rPr>
              <w:t>Stockholder engagement program, including participation by</w:t>
            </w:r>
          </w:p>
        </w:tc>
        <w:tc>
          <w:tcPr>
            <w:tcW w:w="560" w:type="dxa"/>
            <w:vAlign w:val="bottom"/>
          </w:tcPr>
          <w:p>
            <w:pPr>
              <w:spacing w:after="0"/>
              <w:rPr>
                <w:sz w:val="18"/>
                <w:szCs w:val="18"/>
                <w:color w:val="auto"/>
              </w:rPr>
            </w:pPr>
          </w:p>
        </w:tc>
        <w:tc>
          <w:tcPr>
            <w:tcW w:w="4860" w:type="dxa"/>
            <w:vAlign w:val="bottom"/>
            <w:tcBorders>
              <w:right w:val="single" w:sz="8" w:color="407CCA"/>
            </w:tcBorders>
          </w:tcPr>
          <w:p>
            <w:pPr>
              <w:ind w:left="160"/>
              <w:spacing w:after="0"/>
              <w:rPr>
                <w:sz w:val="20"/>
                <w:szCs w:val="20"/>
                <w:color w:val="auto"/>
              </w:rPr>
            </w:pPr>
            <w:r>
              <w:rPr>
                <w:rFonts w:ascii="Arial" w:cs="Arial" w:eastAsia="Arial" w:hAnsi="Arial"/>
                <w:sz w:val="18"/>
                <w:szCs w:val="18"/>
                <w:color w:val="auto"/>
              </w:rPr>
              <w:t>Directors (the “NACD”), a leading authority on corporate</w:t>
            </w:r>
          </w:p>
        </w:tc>
      </w:tr>
      <w:tr>
        <w:trPr>
          <w:trHeight w:val="230"/>
        </w:trPr>
        <w:tc>
          <w:tcPr>
            <w:tcW w:w="560" w:type="dxa"/>
            <w:vAlign w:val="bottom"/>
            <w:tcBorders>
              <w:left w:val="single" w:sz="8" w:color="407CCA"/>
            </w:tcBorders>
          </w:tcPr>
          <w:p>
            <w:pPr>
              <w:spacing w:after="0"/>
              <w:rPr>
                <w:sz w:val="20"/>
                <w:szCs w:val="20"/>
                <w:color w:val="auto"/>
              </w:rPr>
            </w:pPr>
          </w:p>
        </w:tc>
        <w:tc>
          <w:tcPr>
            <w:tcW w:w="5040" w:type="dxa"/>
            <w:vAlign w:val="bottom"/>
          </w:tcPr>
          <w:p>
            <w:pPr>
              <w:ind w:left="160"/>
              <w:spacing w:after="0"/>
              <w:rPr>
                <w:sz w:val="20"/>
                <w:szCs w:val="20"/>
                <w:color w:val="auto"/>
              </w:rPr>
            </w:pPr>
            <w:r>
              <w:rPr>
                <w:rFonts w:ascii="Arial" w:cs="Arial" w:eastAsia="Arial" w:hAnsi="Arial"/>
                <w:sz w:val="18"/>
                <w:szCs w:val="18"/>
                <w:color w:val="auto"/>
              </w:rPr>
              <w:t>independent directors</w:t>
            </w:r>
          </w:p>
        </w:tc>
        <w:tc>
          <w:tcPr>
            <w:tcW w:w="560" w:type="dxa"/>
            <w:vAlign w:val="bottom"/>
          </w:tcPr>
          <w:p>
            <w:pPr>
              <w:spacing w:after="0"/>
              <w:rPr>
                <w:sz w:val="20"/>
                <w:szCs w:val="20"/>
                <w:color w:val="auto"/>
              </w:rPr>
            </w:pPr>
          </w:p>
        </w:tc>
        <w:tc>
          <w:tcPr>
            <w:tcW w:w="4860" w:type="dxa"/>
            <w:vAlign w:val="bottom"/>
            <w:tcBorders>
              <w:right w:val="single" w:sz="8" w:color="407CCA"/>
            </w:tcBorders>
          </w:tcPr>
          <w:p>
            <w:pPr>
              <w:ind w:left="160"/>
              <w:spacing w:after="0"/>
              <w:rPr>
                <w:sz w:val="20"/>
                <w:szCs w:val="20"/>
                <w:color w:val="auto"/>
              </w:rPr>
            </w:pPr>
            <w:r>
              <w:rPr>
                <w:rFonts w:ascii="Arial" w:cs="Arial" w:eastAsia="Arial" w:hAnsi="Arial"/>
                <w:sz w:val="18"/>
                <w:szCs w:val="18"/>
                <w:color w:val="auto"/>
              </w:rPr>
              <w:t>boardroom and governance practices</w:t>
            </w:r>
          </w:p>
        </w:tc>
      </w:tr>
      <w:tr>
        <w:trPr>
          <w:trHeight w:val="199"/>
        </w:trPr>
        <w:tc>
          <w:tcPr>
            <w:tcW w:w="560" w:type="dxa"/>
            <w:vAlign w:val="bottom"/>
            <w:tcBorders>
              <w:left w:val="single" w:sz="8" w:color="407CCA"/>
              <w:bottom w:val="single" w:sz="8" w:color="407CCA"/>
            </w:tcBorders>
          </w:tcPr>
          <w:p>
            <w:pPr>
              <w:spacing w:after="0"/>
              <w:rPr>
                <w:sz w:val="17"/>
                <w:szCs w:val="17"/>
                <w:color w:val="auto"/>
              </w:rPr>
            </w:pPr>
          </w:p>
        </w:tc>
        <w:tc>
          <w:tcPr>
            <w:tcW w:w="5040" w:type="dxa"/>
            <w:vAlign w:val="bottom"/>
            <w:tcBorders>
              <w:bottom w:val="single" w:sz="8" w:color="407CCA"/>
            </w:tcBorders>
          </w:tcPr>
          <w:p>
            <w:pPr>
              <w:spacing w:after="0"/>
              <w:rPr>
                <w:sz w:val="17"/>
                <w:szCs w:val="17"/>
                <w:color w:val="auto"/>
              </w:rPr>
            </w:pPr>
          </w:p>
        </w:tc>
        <w:tc>
          <w:tcPr>
            <w:tcW w:w="560" w:type="dxa"/>
            <w:vAlign w:val="bottom"/>
            <w:tcBorders>
              <w:bottom w:val="single" w:sz="8" w:color="407CCA"/>
            </w:tcBorders>
          </w:tcPr>
          <w:p>
            <w:pPr>
              <w:spacing w:after="0"/>
              <w:rPr>
                <w:sz w:val="17"/>
                <w:szCs w:val="17"/>
                <w:color w:val="auto"/>
              </w:rPr>
            </w:pPr>
          </w:p>
        </w:tc>
        <w:tc>
          <w:tcPr>
            <w:tcW w:w="4860" w:type="dxa"/>
            <w:vAlign w:val="bottom"/>
            <w:tcBorders>
              <w:bottom w:val="single" w:sz="8" w:color="407CCA"/>
              <w:right w:val="single" w:sz="8" w:color="407CCA"/>
            </w:tcBorders>
          </w:tcPr>
          <w:p>
            <w:pPr>
              <w:spacing w:after="0"/>
              <w:rPr>
                <w:sz w:val="17"/>
                <w:szCs w:val="17"/>
                <w:color w:val="auto"/>
              </w:rPr>
            </w:pPr>
          </w:p>
        </w:tc>
      </w:tr>
    </w:tbl>
    <w:p>
      <w:pPr>
        <w:spacing w:after="0" w:line="302"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Committees of the Board of Directors</w:t>
      </w:r>
    </w:p>
    <w:p>
      <w:pPr>
        <w:spacing w:after="0" w:line="121"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Our Board’s principal standing committees and their primary functions are described below.</w:t>
      </w:r>
    </w:p>
    <w:p>
      <w:pPr>
        <w:spacing w:after="0" w:line="117"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Executive Committee</w:t>
      </w:r>
    </w:p>
    <w:p>
      <w:pPr>
        <w:spacing w:after="0" w:line="117" w:lineRule="exact"/>
        <w:rPr>
          <w:sz w:val="20"/>
          <w:szCs w:val="20"/>
          <w:color w:val="auto"/>
        </w:rPr>
      </w:pPr>
    </w:p>
    <w:p>
      <w:pPr>
        <w:ind w:left="120" w:right="80" w:firstLine="881"/>
        <w:spacing w:after="0" w:line="277" w:lineRule="auto"/>
        <w:rPr>
          <w:sz w:val="20"/>
          <w:szCs w:val="20"/>
          <w:color w:val="auto"/>
        </w:rPr>
      </w:pPr>
      <w:r>
        <w:rPr>
          <w:rFonts w:ascii="Arial" w:cs="Arial" w:eastAsia="Arial" w:hAnsi="Arial"/>
          <w:sz w:val="18"/>
          <w:szCs w:val="18"/>
          <w:color w:val="auto"/>
        </w:rPr>
        <w:t>This committee has the authority to exercise all powers of the Board except for actions that must be taken by the full Board under Delaware law, our Certificate of Incorporation, or By-laws.</w:t>
      </w:r>
    </w:p>
    <w:p>
      <w:pPr>
        <w:spacing w:after="0" w:line="62"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Audit Committee</w:t>
      </w:r>
    </w:p>
    <w:p>
      <w:pPr>
        <w:spacing w:after="0" w:line="117"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This committee assists the Board in overseeing:</w:t>
      </w:r>
    </w:p>
    <w:p>
      <w:pPr>
        <w:spacing w:after="0" w:line="252" w:lineRule="exact"/>
        <w:rPr>
          <w:sz w:val="20"/>
          <w:szCs w:val="20"/>
          <w:color w:val="auto"/>
        </w:rPr>
      </w:pPr>
    </w:p>
    <w:p>
      <w:pPr>
        <w:ind w:left="980" w:hanging="432"/>
        <w:spacing w:after="0"/>
        <w:tabs>
          <w:tab w:leader="none" w:pos="980" w:val="left"/>
        </w:tabs>
        <w:numPr>
          <w:ilvl w:val="0"/>
          <w:numId w:val="9"/>
        </w:numPr>
        <w:rPr>
          <w:rFonts w:ascii="Arial" w:cs="Arial" w:eastAsia="Arial" w:hAnsi="Arial"/>
          <w:sz w:val="18"/>
          <w:szCs w:val="18"/>
          <w:color w:val="auto"/>
        </w:rPr>
      </w:pPr>
      <w:r>
        <w:rPr>
          <w:rFonts w:ascii="Arial" w:cs="Arial" w:eastAsia="Arial" w:hAnsi="Arial"/>
          <w:sz w:val="18"/>
          <w:szCs w:val="18"/>
          <w:color w:val="auto"/>
        </w:rPr>
        <w:t>our accounting and financial reporting processes;</w:t>
      </w:r>
    </w:p>
    <w:p>
      <w:pPr>
        <w:spacing w:after="0" w:line="23" w:lineRule="exact"/>
        <w:rPr>
          <w:rFonts w:ascii="Arial" w:cs="Arial" w:eastAsia="Arial" w:hAnsi="Arial"/>
          <w:sz w:val="18"/>
          <w:szCs w:val="18"/>
          <w:color w:val="auto"/>
        </w:rPr>
      </w:pPr>
    </w:p>
    <w:p>
      <w:pPr>
        <w:ind w:left="980" w:hanging="432"/>
        <w:spacing w:after="0"/>
        <w:tabs>
          <w:tab w:leader="none" w:pos="980" w:val="left"/>
        </w:tabs>
        <w:numPr>
          <w:ilvl w:val="0"/>
          <w:numId w:val="9"/>
        </w:numPr>
        <w:rPr>
          <w:rFonts w:ascii="Arial" w:cs="Arial" w:eastAsia="Arial" w:hAnsi="Arial"/>
          <w:sz w:val="18"/>
          <w:szCs w:val="18"/>
          <w:color w:val="auto"/>
        </w:rPr>
      </w:pPr>
      <w:r>
        <w:rPr>
          <w:rFonts w:ascii="Arial" w:cs="Arial" w:eastAsia="Arial" w:hAnsi="Arial"/>
          <w:sz w:val="18"/>
          <w:szCs w:val="18"/>
          <w:color w:val="auto"/>
        </w:rPr>
        <w:t>the integrity and audits of our financial statements;</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9"/>
        </w:numPr>
        <w:rPr>
          <w:rFonts w:ascii="Arial" w:cs="Arial" w:eastAsia="Arial" w:hAnsi="Arial"/>
          <w:sz w:val="17"/>
          <w:szCs w:val="17"/>
          <w:color w:val="auto"/>
        </w:rPr>
      </w:pPr>
      <w:r>
        <w:rPr>
          <w:rFonts w:ascii="Arial" w:cs="Arial" w:eastAsia="Arial" w:hAnsi="Arial"/>
          <w:sz w:val="17"/>
          <w:szCs w:val="17"/>
          <w:color w:val="auto"/>
        </w:rPr>
        <w:t>the adequacy of our internal controls over financial reporting, including controls relating to the preparation of our financial statements;</w:t>
      </w:r>
    </w:p>
    <w:p>
      <w:pPr>
        <w:spacing w:after="0" w:line="20" w:lineRule="exact"/>
        <w:rPr>
          <w:rFonts w:ascii="Arial" w:cs="Arial" w:eastAsia="Arial" w:hAnsi="Arial"/>
          <w:sz w:val="17"/>
          <w:szCs w:val="17"/>
          <w:color w:val="auto"/>
        </w:rPr>
      </w:pPr>
    </w:p>
    <w:p>
      <w:pPr>
        <w:ind w:left="980" w:hanging="432"/>
        <w:spacing w:after="0"/>
        <w:tabs>
          <w:tab w:leader="none" w:pos="980" w:val="left"/>
        </w:tabs>
        <w:numPr>
          <w:ilvl w:val="0"/>
          <w:numId w:val="9"/>
        </w:numPr>
        <w:rPr>
          <w:rFonts w:ascii="Arial" w:cs="Arial" w:eastAsia="Arial" w:hAnsi="Arial"/>
          <w:sz w:val="18"/>
          <w:szCs w:val="18"/>
          <w:color w:val="auto"/>
        </w:rPr>
      </w:pPr>
      <w:r>
        <w:rPr>
          <w:rFonts w:ascii="Arial" w:cs="Arial" w:eastAsia="Arial" w:hAnsi="Arial"/>
          <w:sz w:val="18"/>
          <w:szCs w:val="18"/>
          <w:color w:val="auto"/>
        </w:rPr>
        <w:t>our internal audit department and their annual scope of work;</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9"/>
        </w:numPr>
        <w:rPr>
          <w:rFonts w:ascii="Arial" w:cs="Arial" w:eastAsia="Arial" w:hAnsi="Arial"/>
          <w:sz w:val="18"/>
          <w:szCs w:val="18"/>
          <w:color w:val="auto"/>
        </w:rPr>
      </w:pPr>
      <w:r>
        <w:rPr>
          <w:rFonts w:ascii="Arial" w:cs="Arial" w:eastAsia="Arial" w:hAnsi="Arial"/>
          <w:sz w:val="18"/>
          <w:szCs w:val="18"/>
          <w:color w:val="auto"/>
        </w:rPr>
        <w:t>cybersecurity and other risks to information technology systems;</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9"/>
        </w:numPr>
        <w:rPr>
          <w:rFonts w:ascii="Arial" w:cs="Arial" w:eastAsia="Arial" w:hAnsi="Arial"/>
          <w:sz w:val="18"/>
          <w:szCs w:val="18"/>
          <w:color w:val="auto"/>
        </w:rPr>
      </w:pPr>
      <w:r>
        <w:rPr>
          <w:rFonts w:ascii="Arial" w:cs="Arial" w:eastAsia="Arial" w:hAnsi="Arial"/>
          <w:sz w:val="18"/>
          <w:szCs w:val="18"/>
          <w:color w:val="auto"/>
        </w:rPr>
        <w:t>our compliance with legal and regulatory requirements;</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9"/>
        </w:numPr>
        <w:rPr>
          <w:rFonts w:ascii="Arial" w:cs="Arial" w:eastAsia="Arial" w:hAnsi="Arial"/>
          <w:sz w:val="18"/>
          <w:szCs w:val="18"/>
          <w:color w:val="auto"/>
        </w:rPr>
      </w:pPr>
      <w:r>
        <w:rPr>
          <w:rFonts w:ascii="Arial" w:cs="Arial" w:eastAsia="Arial" w:hAnsi="Arial"/>
          <w:sz w:val="18"/>
          <w:szCs w:val="18"/>
          <w:color w:val="auto"/>
        </w:rPr>
        <w:t>compliance with our Code of Ethics and Conduct (“Code of Ethics”);</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9"/>
        </w:numPr>
        <w:rPr>
          <w:rFonts w:ascii="Arial" w:cs="Arial" w:eastAsia="Arial" w:hAnsi="Arial"/>
          <w:sz w:val="18"/>
          <w:szCs w:val="18"/>
          <w:color w:val="auto"/>
        </w:rPr>
      </w:pPr>
      <w:r>
        <w:rPr>
          <w:rFonts w:ascii="Arial" w:cs="Arial" w:eastAsia="Arial" w:hAnsi="Arial"/>
          <w:sz w:val="18"/>
          <w:szCs w:val="18"/>
          <w:color w:val="auto"/>
        </w:rPr>
        <w:t>the qualifications and independence of our independent registered public accounting firm; and</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9"/>
        </w:numPr>
        <w:rPr>
          <w:rFonts w:ascii="Arial" w:cs="Arial" w:eastAsia="Arial" w:hAnsi="Arial"/>
          <w:sz w:val="18"/>
          <w:szCs w:val="18"/>
          <w:color w:val="auto"/>
        </w:rPr>
      </w:pPr>
      <w:r>
        <w:rPr>
          <w:rFonts w:ascii="Arial" w:cs="Arial" w:eastAsia="Arial" w:hAnsi="Arial"/>
          <w:sz w:val="18"/>
          <w:szCs w:val="18"/>
          <w:color w:val="auto"/>
        </w:rPr>
        <w:t>the performance of our independent registered public accounting firm and any internal auditors.</w:t>
      </w:r>
    </w:p>
    <w:p>
      <w:pPr>
        <w:spacing w:after="0" w:line="211" w:lineRule="exact"/>
        <w:rPr>
          <w:sz w:val="20"/>
          <w:szCs w:val="20"/>
          <w:color w:val="auto"/>
        </w:rPr>
      </w:pPr>
    </w:p>
    <w:p>
      <w:pPr>
        <w:ind w:left="120" w:right="140" w:firstLine="881"/>
        <w:spacing w:after="0" w:line="263" w:lineRule="auto"/>
        <w:rPr>
          <w:sz w:val="20"/>
          <w:szCs w:val="20"/>
          <w:color w:val="auto"/>
        </w:rPr>
      </w:pPr>
      <w:r>
        <w:rPr>
          <w:rFonts w:ascii="Arial" w:cs="Arial" w:eastAsia="Arial" w:hAnsi="Arial"/>
          <w:sz w:val="18"/>
          <w:szCs w:val="18"/>
          <w:color w:val="auto"/>
        </w:rPr>
        <w:t>The Audit Committee is also responsible for engaging an independent registered public accounting firm, reviewing the plans and results of the audit engagement with the independent registered public accounting firm, approving professional services provided by the independent registered public accounting firm, and considering</w:t>
      </w:r>
    </w:p>
    <w:p>
      <w:pPr>
        <w:spacing w:after="0" w:line="112" w:lineRule="exact"/>
        <w:rPr>
          <w:sz w:val="20"/>
          <w:szCs w:val="20"/>
          <w:color w:val="auto"/>
        </w:rPr>
      </w:pPr>
    </w:p>
    <w:p>
      <w:pPr>
        <w:ind w:left="120"/>
        <w:spacing w:after="0"/>
        <w:tabs>
          <w:tab w:leader="none" w:pos="300" w:val="left"/>
        </w:tabs>
        <w:rPr>
          <w:sz w:val="20"/>
          <w:szCs w:val="20"/>
          <w:color w:val="auto"/>
        </w:rPr>
      </w:pPr>
      <w:r>
        <w:rPr>
          <w:rFonts w:ascii="Arial" w:cs="Arial" w:eastAsia="Arial" w:hAnsi="Arial"/>
          <w:sz w:val="14"/>
          <w:szCs w:val="14"/>
          <w:color w:val="407CCA"/>
        </w:rPr>
        <w:t>2</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40"/>
          </w:cols>
          <w:pgMar w:left="320" w:top="459" w:right="439" w:bottom="1440" w:gutter="0" w:footer="0" w:header="0"/>
        </w:sectPr>
      </w:pPr>
    </w:p>
    <w:bookmarkStart w:id="15" w:name="page16"/>
    <w:bookmarkEnd w:id="1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8560"/>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120" w:right="560"/>
        <w:spacing w:after="0" w:line="277" w:lineRule="auto"/>
        <w:rPr>
          <w:sz w:val="20"/>
          <w:szCs w:val="20"/>
          <w:color w:val="auto"/>
        </w:rPr>
      </w:pPr>
      <w:r>
        <w:rPr>
          <w:rFonts w:ascii="Arial" w:cs="Arial" w:eastAsia="Arial" w:hAnsi="Arial"/>
          <w:sz w:val="18"/>
          <w:szCs w:val="18"/>
          <w:color w:val="auto"/>
        </w:rPr>
        <w:t>the range of audit and non-audit fees. The committee’s meetings include, whenever appropriate, executive sessions with our independent external auditors, without the presence of management.</w:t>
      </w:r>
    </w:p>
    <w:p>
      <w:pPr>
        <w:spacing w:after="0" w:line="170"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Compensation and Corporate Governance Committee</w:t>
      </w:r>
    </w:p>
    <w:p>
      <w:pPr>
        <w:spacing w:after="0" w:line="117"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This committee’s principal functions are to:</w:t>
      </w:r>
    </w:p>
    <w:p>
      <w:pPr>
        <w:spacing w:after="0" w:line="252" w:lineRule="exact"/>
        <w:rPr>
          <w:sz w:val="20"/>
          <w:szCs w:val="20"/>
          <w:color w:val="auto"/>
        </w:rPr>
      </w:pPr>
    </w:p>
    <w:p>
      <w:pPr>
        <w:ind w:left="980" w:right="440" w:hanging="432"/>
        <w:spacing w:after="0" w:line="258" w:lineRule="auto"/>
        <w:tabs>
          <w:tab w:leader="none" w:pos="980" w:val="left"/>
        </w:tabs>
        <w:numPr>
          <w:ilvl w:val="0"/>
          <w:numId w:val="10"/>
        </w:numPr>
        <w:rPr>
          <w:rFonts w:ascii="Arial" w:cs="Arial" w:eastAsia="Arial" w:hAnsi="Arial"/>
          <w:sz w:val="18"/>
          <w:szCs w:val="18"/>
          <w:color w:val="auto"/>
        </w:rPr>
      </w:pPr>
      <w:r>
        <w:rPr>
          <w:rFonts w:ascii="Arial" w:cs="Arial" w:eastAsia="Arial" w:hAnsi="Arial"/>
          <w:sz w:val="18"/>
          <w:szCs w:val="18"/>
          <w:color w:val="auto"/>
        </w:rPr>
        <w:t>oversee and review our compensation practices with respect to our executive officers, employees, and members of the Board and make recommendations to the Board on these matters;</w:t>
      </w:r>
    </w:p>
    <w:p>
      <w:pPr>
        <w:spacing w:after="0" w:line="1" w:lineRule="exact"/>
        <w:rPr>
          <w:rFonts w:ascii="Arial" w:cs="Arial" w:eastAsia="Arial" w:hAnsi="Arial"/>
          <w:sz w:val="18"/>
          <w:szCs w:val="18"/>
          <w:color w:val="auto"/>
        </w:rPr>
      </w:pPr>
    </w:p>
    <w:p>
      <w:pPr>
        <w:ind w:left="980" w:right="180" w:hanging="432"/>
        <w:spacing w:after="0" w:line="250" w:lineRule="auto"/>
        <w:tabs>
          <w:tab w:leader="none" w:pos="980" w:val="left"/>
        </w:tabs>
        <w:numPr>
          <w:ilvl w:val="0"/>
          <w:numId w:val="10"/>
        </w:numPr>
        <w:rPr>
          <w:rFonts w:ascii="Arial" w:cs="Arial" w:eastAsia="Arial" w:hAnsi="Arial"/>
          <w:sz w:val="18"/>
          <w:szCs w:val="18"/>
          <w:color w:val="auto"/>
        </w:rPr>
      </w:pPr>
      <w:r>
        <w:rPr>
          <w:rFonts w:ascii="Arial" w:cs="Arial" w:eastAsia="Arial" w:hAnsi="Arial"/>
          <w:sz w:val="18"/>
          <w:szCs w:val="18"/>
          <w:color w:val="auto"/>
        </w:rPr>
        <w:t>set the terms of employment of our executive officers and recommend CEO compensation decisions for approval by all of the independent directors on our Board;</w:t>
      </w:r>
    </w:p>
    <w:p>
      <w:pPr>
        <w:ind w:left="980" w:hanging="432"/>
        <w:spacing w:after="0"/>
        <w:tabs>
          <w:tab w:leader="none" w:pos="980" w:val="left"/>
        </w:tabs>
        <w:numPr>
          <w:ilvl w:val="0"/>
          <w:numId w:val="10"/>
        </w:numPr>
        <w:rPr>
          <w:rFonts w:ascii="Arial" w:cs="Arial" w:eastAsia="Arial" w:hAnsi="Arial"/>
          <w:sz w:val="18"/>
          <w:szCs w:val="18"/>
          <w:color w:val="auto"/>
        </w:rPr>
      </w:pPr>
      <w:r>
        <w:rPr>
          <w:rFonts w:ascii="Arial" w:cs="Arial" w:eastAsia="Arial" w:hAnsi="Arial"/>
          <w:sz w:val="18"/>
          <w:szCs w:val="18"/>
          <w:color w:val="auto"/>
        </w:rPr>
        <w:t>administer our equity and incentive plans to the extent delegated authority by the Board;</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10"/>
        </w:numPr>
        <w:rPr>
          <w:rFonts w:ascii="Arial" w:cs="Arial" w:eastAsia="Arial" w:hAnsi="Arial"/>
          <w:sz w:val="18"/>
          <w:szCs w:val="18"/>
          <w:color w:val="auto"/>
        </w:rPr>
      </w:pPr>
      <w:r>
        <w:rPr>
          <w:rFonts w:ascii="Arial" w:cs="Arial" w:eastAsia="Arial" w:hAnsi="Arial"/>
          <w:sz w:val="18"/>
          <w:szCs w:val="18"/>
          <w:color w:val="auto"/>
        </w:rPr>
        <w:t>provide general oversight of our compensation structure, including any compensation plans;</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10"/>
        </w:numPr>
        <w:rPr>
          <w:rFonts w:ascii="Arial" w:cs="Arial" w:eastAsia="Arial" w:hAnsi="Arial"/>
          <w:sz w:val="18"/>
          <w:szCs w:val="18"/>
          <w:color w:val="auto"/>
        </w:rPr>
      </w:pPr>
      <w:r>
        <w:rPr>
          <w:rFonts w:ascii="Arial" w:cs="Arial" w:eastAsia="Arial" w:hAnsi="Arial"/>
          <w:sz w:val="18"/>
          <w:szCs w:val="18"/>
          <w:color w:val="auto"/>
        </w:rPr>
        <w:t>regularly evaluate and report to the Board on executive and director succession plans;</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10"/>
        </w:numPr>
        <w:rPr>
          <w:rFonts w:ascii="Arial" w:cs="Arial" w:eastAsia="Arial" w:hAnsi="Arial"/>
          <w:sz w:val="18"/>
          <w:szCs w:val="18"/>
          <w:color w:val="auto"/>
        </w:rPr>
      </w:pPr>
      <w:r>
        <w:rPr>
          <w:rFonts w:ascii="Arial" w:cs="Arial" w:eastAsia="Arial" w:hAnsi="Arial"/>
          <w:sz w:val="18"/>
          <w:szCs w:val="18"/>
          <w:color w:val="auto"/>
        </w:rPr>
        <w:t>identify and engage in leadership development opportunities for management and the Board;</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10"/>
        </w:numPr>
        <w:rPr>
          <w:rFonts w:ascii="Arial" w:cs="Arial" w:eastAsia="Arial" w:hAnsi="Arial"/>
          <w:sz w:val="16"/>
          <w:szCs w:val="16"/>
          <w:color w:val="auto"/>
        </w:rPr>
      </w:pPr>
      <w:r>
        <w:rPr>
          <w:rFonts w:ascii="Arial" w:cs="Arial" w:eastAsia="Arial" w:hAnsi="Arial"/>
          <w:sz w:val="16"/>
          <w:szCs w:val="16"/>
          <w:color w:val="auto"/>
        </w:rPr>
        <w:t>monitor and facilitate our governance, including membership of the Board and operations pursuant to our Corporate Governance Guidelines;</w:t>
      </w:r>
    </w:p>
    <w:p>
      <w:pPr>
        <w:spacing w:after="0" w:line="32" w:lineRule="exact"/>
        <w:rPr>
          <w:rFonts w:ascii="Arial" w:cs="Arial" w:eastAsia="Arial" w:hAnsi="Arial"/>
          <w:sz w:val="16"/>
          <w:szCs w:val="16"/>
          <w:color w:val="auto"/>
        </w:rPr>
      </w:pPr>
    </w:p>
    <w:p>
      <w:pPr>
        <w:ind w:left="980" w:hanging="432"/>
        <w:spacing w:after="0"/>
        <w:tabs>
          <w:tab w:leader="none" w:pos="980" w:val="left"/>
        </w:tabs>
        <w:numPr>
          <w:ilvl w:val="0"/>
          <w:numId w:val="10"/>
        </w:numPr>
        <w:rPr>
          <w:rFonts w:ascii="Arial" w:cs="Arial" w:eastAsia="Arial" w:hAnsi="Arial"/>
          <w:sz w:val="18"/>
          <w:szCs w:val="18"/>
          <w:color w:val="auto"/>
        </w:rPr>
      </w:pPr>
      <w:r>
        <w:rPr>
          <w:rFonts w:ascii="Arial" w:cs="Arial" w:eastAsia="Arial" w:hAnsi="Arial"/>
          <w:sz w:val="18"/>
          <w:szCs w:val="18"/>
          <w:color w:val="auto"/>
        </w:rPr>
        <w:t>review and evaluate the sufficiency of our Code of Ethics;</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10"/>
        </w:numPr>
        <w:rPr>
          <w:rFonts w:ascii="Arial" w:cs="Arial" w:eastAsia="Arial" w:hAnsi="Arial"/>
          <w:sz w:val="18"/>
          <w:szCs w:val="18"/>
          <w:color w:val="auto"/>
        </w:rPr>
      </w:pPr>
      <w:r>
        <w:rPr>
          <w:rFonts w:ascii="Arial" w:cs="Arial" w:eastAsia="Arial" w:hAnsi="Arial"/>
          <w:sz w:val="18"/>
          <w:szCs w:val="18"/>
          <w:color w:val="auto"/>
        </w:rPr>
        <w:t>oversee evaluation of our CEO and other executive officers; and</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10"/>
        </w:numPr>
        <w:rPr>
          <w:rFonts w:ascii="Arial" w:cs="Arial" w:eastAsia="Arial" w:hAnsi="Arial"/>
          <w:sz w:val="18"/>
          <w:szCs w:val="18"/>
          <w:color w:val="auto"/>
        </w:rPr>
      </w:pPr>
      <w:r>
        <w:rPr>
          <w:rFonts w:ascii="Arial" w:cs="Arial" w:eastAsia="Arial" w:hAnsi="Arial"/>
          <w:sz w:val="18"/>
          <w:szCs w:val="18"/>
          <w:color w:val="auto"/>
        </w:rPr>
        <w:t>produce a report on executive compensation required to be included in our proxy statement for our annual meetings.</w:t>
      </w:r>
    </w:p>
    <w:p>
      <w:pPr>
        <w:spacing w:after="0" w:line="210" w:lineRule="exact"/>
        <w:rPr>
          <w:rFonts w:ascii="Arial" w:cs="Arial" w:eastAsia="Arial" w:hAnsi="Arial"/>
          <w:sz w:val="18"/>
          <w:szCs w:val="18"/>
          <w:color w:val="auto"/>
        </w:rPr>
      </w:pPr>
    </w:p>
    <w:p>
      <w:pPr>
        <w:ind w:left="1000"/>
        <w:spacing w:after="0"/>
        <w:rPr>
          <w:rFonts w:ascii="Arial" w:cs="Arial" w:eastAsia="Arial" w:hAnsi="Arial"/>
          <w:sz w:val="18"/>
          <w:szCs w:val="18"/>
          <w:color w:val="auto"/>
        </w:rPr>
      </w:pPr>
      <w:r>
        <w:rPr>
          <w:rFonts w:ascii="Arial" w:cs="Arial" w:eastAsia="Arial" w:hAnsi="Arial"/>
          <w:sz w:val="16"/>
          <w:szCs w:val="16"/>
          <w:color w:val="auto"/>
        </w:rPr>
        <w:t>The Compensation Committee also serves as the Board’s standing nominating committee and as such performs the following functions:</w:t>
      </w:r>
    </w:p>
    <w:p>
      <w:pPr>
        <w:spacing w:after="0" w:line="275" w:lineRule="exact"/>
        <w:rPr>
          <w:rFonts w:ascii="Arial" w:cs="Arial" w:eastAsia="Arial" w:hAnsi="Arial"/>
          <w:sz w:val="18"/>
          <w:szCs w:val="18"/>
          <w:color w:val="auto"/>
        </w:rPr>
      </w:pPr>
    </w:p>
    <w:p>
      <w:pPr>
        <w:ind w:left="980" w:right="80" w:hanging="432"/>
        <w:spacing w:after="0" w:line="258" w:lineRule="auto"/>
        <w:tabs>
          <w:tab w:leader="none" w:pos="980" w:val="left"/>
        </w:tabs>
        <w:numPr>
          <w:ilvl w:val="0"/>
          <w:numId w:val="10"/>
        </w:numPr>
        <w:rPr>
          <w:rFonts w:ascii="Arial" w:cs="Arial" w:eastAsia="Arial" w:hAnsi="Arial"/>
          <w:sz w:val="18"/>
          <w:szCs w:val="18"/>
          <w:color w:val="auto"/>
        </w:rPr>
      </w:pPr>
      <w:r>
        <w:rPr>
          <w:rFonts w:ascii="Arial" w:cs="Arial" w:eastAsia="Arial" w:hAnsi="Arial"/>
          <w:sz w:val="18"/>
          <w:szCs w:val="18"/>
          <w:color w:val="auto"/>
        </w:rPr>
        <w:t>identifying, recruiting, and recommending to the Board qualified candidates for election as directors and recommending a slate of nominees for election as directors by our common stockholders at the annual meeting of stockholders;</w:t>
      </w:r>
    </w:p>
    <w:p>
      <w:pPr>
        <w:spacing w:after="0" w:line="1" w:lineRule="exact"/>
        <w:rPr>
          <w:rFonts w:ascii="Arial" w:cs="Arial" w:eastAsia="Arial" w:hAnsi="Arial"/>
          <w:sz w:val="18"/>
          <w:szCs w:val="18"/>
          <w:color w:val="auto"/>
        </w:rPr>
      </w:pPr>
    </w:p>
    <w:p>
      <w:pPr>
        <w:ind w:left="980" w:right="440" w:hanging="432"/>
        <w:spacing w:after="0" w:line="250" w:lineRule="auto"/>
        <w:tabs>
          <w:tab w:leader="none" w:pos="980" w:val="left"/>
        </w:tabs>
        <w:numPr>
          <w:ilvl w:val="0"/>
          <w:numId w:val="10"/>
        </w:numPr>
        <w:rPr>
          <w:rFonts w:ascii="Arial" w:cs="Arial" w:eastAsia="Arial" w:hAnsi="Arial"/>
          <w:sz w:val="18"/>
          <w:szCs w:val="18"/>
          <w:color w:val="auto"/>
        </w:rPr>
      </w:pPr>
      <w:r>
        <w:rPr>
          <w:rFonts w:ascii="Arial" w:cs="Arial" w:eastAsia="Arial" w:hAnsi="Arial"/>
          <w:sz w:val="18"/>
          <w:szCs w:val="18"/>
          <w:color w:val="auto"/>
        </w:rPr>
        <w:t>developing and recommending to the Board Corporate Governance Guidelines, including the committee’s selection criteria for director nominees;</w:t>
      </w:r>
    </w:p>
    <w:p>
      <w:pPr>
        <w:ind w:left="980" w:hanging="432"/>
        <w:spacing w:after="0"/>
        <w:tabs>
          <w:tab w:leader="none" w:pos="980" w:val="left"/>
        </w:tabs>
        <w:numPr>
          <w:ilvl w:val="0"/>
          <w:numId w:val="10"/>
        </w:numPr>
        <w:rPr>
          <w:rFonts w:ascii="Arial" w:cs="Arial" w:eastAsia="Arial" w:hAnsi="Arial"/>
          <w:sz w:val="18"/>
          <w:szCs w:val="18"/>
          <w:color w:val="auto"/>
        </w:rPr>
      </w:pPr>
      <w:r>
        <w:rPr>
          <w:rFonts w:ascii="Arial" w:cs="Arial" w:eastAsia="Arial" w:hAnsi="Arial"/>
          <w:sz w:val="18"/>
          <w:szCs w:val="18"/>
          <w:color w:val="auto"/>
        </w:rPr>
        <w:t>recommending to the Board nominees for each committee of the Board; and</w:t>
      </w:r>
    </w:p>
    <w:p>
      <w:pPr>
        <w:spacing w:after="0" w:line="9" w:lineRule="exact"/>
        <w:rPr>
          <w:rFonts w:ascii="Arial" w:cs="Arial" w:eastAsia="Arial" w:hAnsi="Arial"/>
          <w:sz w:val="18"/>
          <w:szCs w:val="18"/>
          <w:color w:val="auto"/>
        </w:rPr>
      </w:pPr>
    </w:p>
    <w:p>
      <w:pPr>
        <w:ind w:left="980" w:right="420" w:hanging="432"/>
        <w:spacing w:after="0" w:line="260" w:lineRule="auto"/>
        <w:tabs>
          <w:tab w:leader="none" w:pos="980" w:val="left"/>
        </w:tabs>
        <w:numPr>
          <w:ilvl w:val="0"/>
          <w:numId w:val="10"/>
        </w:numPr>
        <w:rPr>
          <w:rFonts w:ascii="Arial" w:cs="Arial" w:eastAsia="Arial" w:hAnsi="Arial"/>
          <w:sz w:val="18"/>
          <w:szCs w:val="18"/>
          <w:color w:val="auto"/>
        </w:rPr>
      </w:pPr>
      <w:r>
        <w:rPr>
          <w:rFonts w:ascii="Arial" w:cs="Arial" w:eastAsia="Arial" w:hAnsi="Arial"/>
          <w:sz w:val="18"/>
          <w:szCs w:val="18"/>
          <w:color w:val="auto"/>
        </w:rPr>
        <w:t>annually facilitating an assessment of Board, Board committee, and individual directors performance and making reports thereon to the Board.</w:t>
      </w:r>
    </w:p>
    <w:p>
      <w:pPr>
        <w:spacing w:after="0" w:line="185" w:lineRule="exact"/>
        <w:rPr>
          <w:sz w:val="20"/>
          <w:szCs w:val="20"/>
          <w:color w:val="auto"/>
        </w:rPr>
      </w:pPr>
    </w:p>
    <w:p>
      <w:pPr>
        <w:ind w:left="120" w:right="200" w:firstLine="881"/>
        <w:spacing w:after="0" w:line="301" w:lineRule="auto"/>
        <w:rPr>
          <w:sz w:val="20"/>
          <w:szCs w:val="20"/>
          <w:color w:val="auto"/>
        </w:rPr>
      </w:pPr>
      <w:r>
        <w:rPr>
          <w:rFonts w:ascii="Arial" w:cs="Arial" w:eastAsia="Arial" w:hAnsi="Arial"/>
          <w:sz w:val="16"/>
          <w:szCs w:val="16"/>
          <w:color w:val="auto"/>
        </w:rPr>
        <w:t>Under its charter, the Compensation Committee has the authority to select, retain, and terminate compensation consultants. In connection with the Internalization in 2016, the Compensation Committee retained Frederic W. Cook &amp; Co., Inc. (“FW Cook”) to assist the Compensation Committee in designing and establishing a compensation structure. Since that time, the Compensation Committee has engaged FW Cook on an annual basis to advise on and assist with the review and evaluation of executive compensation and compensation of our non-employee directors.</w:t>
      </w:r>
    </w:p>
    <w:p>
      <w:pPr>
        <w:spacing w:after="0" w:line="261"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Board and Committee Meetings</w:t>
      </w:r>
    </w:p>
    <w:p>
      <w:pPr>
        <w:spacing w:after="0" w:line="121" w:lineRule="exact"/>
        <w:rPr>
          <w:sz w:val="20"/>
          <w:szCs w:val="20"/>
          <w:color w:val="auto"/>
        </w:rPr>
      </w:pPr>
    </w:p>
    <w:p>
      <w:pPr>
        <w:ind w:left="120" w:right="60" w:firstLine="881"/>
        <w:spacing w:after="0" w:line="259" w:lineRule="auto"/>
        <w:rPr>
          <w:sz w:val="20"/>
          <w:szCs w:val="20"/>
          <w:color w:val="auto"/>
        </w:rPr>
      </w:pPr>
      <w:r>
        <w:rPr>
          <w:rFonts w:ascii="Arial" w:cs="Arial" w:eastAsia="Arial" w:hAnsi="Arial"/>
          <w:sz w:val="18"/>
          <w:szCs w:val="18"/>
          <w:color w:val="auto"/>
        </w:rPr>
        <w:t>Under our By-laws and Delaware law, the Board and its committees are permitted to take actions at regular or special meetings and by written consent. The Board generally holds regular quarterly meetings and meets on other occasions as necessary. The Board held 10 regular and special meetings during 2019. In addition, the independent directors met separately in executive sessions to discuss various matters, including our performance and the performance of our Chief Executive Officer and other executive officers.</w:t>
      </w:r>
    </w:p>
    <w:p>
      <w:pPr>
        <w:spacing w:after="0" w:line="115" w:lineRule="exact"/>
        <w:rPr>
          <w:sz w:val="20"/>
          <w:szCs w:val="20"/>
          <w:color w:val="auto"/>
        </w:rPr>
      </w:pPr>
    </w:p>
    <w:p>
      <w:pPr>
        <w:ind w:left="8040"/>
        <w:spacing w:after="0"/>
        <w:tabs>
          <w:tab w:leader="none" w:pos="1104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3</w:t>
      </w:r>
    </w:p>
    <w:p>
      <w:pPr>
        <w:sectPr>
          <w:pgSz w:w="11900" w:h="16838" w:orient="portrait"/>
          <w:cols w:equalWidth="0" w:num="1">
            <w:col w:w="11140"/>
          </w:cols>
          <w:pgMar w:left="320" w:top="459" w:right="439" w:bottom="1440" w:gutter="0" w:footer="0" w:header="0"/>
        </w:sectPr>
      </w:pPr>
    </w:p>
    <w:bookmarkStart w:id="16" w:name="page17"/>
    <w:bookmarkEnd w:id="1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120" w:firstLine="881"/>
        <w:spacing w:after="0" w:line="257" w:lineRule="auto"/>
        <w:rPr>
          <w:sz w:val="20"/>
          <w:szCs w:val="20"/>
          <w:color w:val="auto"/>
        </w:rPr>
      </w:pPr>
      <w:r>
        <w:rPr>
          <w:rFonts w:ascii="Arial" w:cs="Arial" w:eastAsia="Arial" w:hAnsi="Arial"/>
          <w:sz w:val="18"/>
          <w:szCs w:val="18"/>
          <w:color w:val="auto"/>
        </w:rPr>
        <w:t>Each of the Audit Committee and the Compensation Committee schedules regular meetings to coincide with the quarterly in-person meetings of the Board and also meets at the request of senior management or at such other times as its Chair determines. The Chair of each Committee, in consultation with our Secretary, sets the agendas for the meetings. Each committee reports to the Board on its activities at the next regularly scheduled Board meeting following its committee meetings and when appropriate. During 2019, the Audit Committee held five meetings, and the Compensation Committee held six meetings.</w:t>
      </w:r>
    </w:p>
    <w:p>
      <w:pPr>
        <w:spacing w:after="0" w:line="188" w:lineRule="exact"/>
        <w:rPr>
          <w:sz w:val="20"/>
          <w:szCs w:val="20"/>
          <w:color w:val="auto"/>
        </w:rPr>
      </w:pPr>
    </w:p>
    <w:p>
      <w:pPr>
        <w:ind w:left="120" w:right="340" w:firstLine="881"/>
        <w:spacing w:after="0" w:line="259" w:lineRule="auto"/>
        <w:rPr>
          <w:sz w:val="20"/>
          <w:szCs w:val="20"/>
          <w:color w:val="auto"/>
        </w:rPr>
      </w:pPr>
      <w:r>
        <w:rPr>
          <w:rFonts w:ascii="Arial" w:cs="Arial" w:eastAsia="Arial" w:hAnsi="Arial"/>
          <w:sz w:val="18"/>
          <w:szCs w:val="18"/>
          <w:color w:val="auto"/>
        </w:rPr>
        <w:t>Each of our independent directors attended all of the meetings of the Board and committees on which he or she served in 2019 with the exception of one independent director who was unable to attend one special meeting of the Board. Although we do not have a policy on director attendance at the Annual Meeting, directors are encouraged to attend, and each of our directors who was on the Board at that time attended the 2019 Annual Meeting in person.</w:t>
      </w:r>
    </w:p>
    <w:p>
      <w:pPr>
        <w:spacing w:after="0" w:line="291"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Director Nomination Process</w:t>
      </w:r>
    </w:p>
    <w:p>
      <w:pPr>
        <w:spacing w:after="0" w:line="121" w:lineRule="exact"/>
        <w:rPr>
          <w:sz w:val="20"/>
          <w:szCs w:val="20"/>
          <w:color w:val="auto"/>
        </w:rPr>
      </w:pPr>
    </w:p>
    <w:p>
      <w:pPr>
        <w:jc w:val="both"/>
        <w:ind w:left="120" w:right="40" w:firstLine="881"/>
        <w:spacing w:after="0" w:line="263" w:lineRule="auto"/>
        <w:rPr>
          <w:sz w:val="20"/>
          <w:szCs w:val="20"/>
          <w:color w:val="auto"/>
        </w:rPr>
      </w:pPr>
      <w:r>
        <w:rPr>
          <w:rFonts w:ascii="Arial" w:cs="Arial" w:eastAsia="Arial" w:hAnsi="Arial"/>
          <w:sz w:val="18"/>
          <w:szCs w:val="18"/>
          <w:color w:val="auto"/>
        </w:rPr>
        <w:t>Nominations for election to the Board may be made by the Compensation Committee or by any common stockholder entitled to vote for the election of directors. Candidates recommended by common stockholders will be evaluated by the Compensation Committee under the same criteria that are applied to other candidates.</w:t>
      </w:r>
    </w:p>
    <w:p>
      <w:pPr>
        <w:spacing w:after="0" w:line="288"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Board Membership Criteria</w:t>
      </w:r>
    </w:p>
    <w:p>
      <w:pPr>
        <w:spacing w:after="0" w:line="121" w:lineRule="exact"/>
        <w:rPr>
          <w:sz w:val="20"/>
          <w:szCs w:val="20"/>
          <w:color w:val="auto"/>
        </w:rPr>
      </w:pPr>
    </w:p>
    <w:p>
      <w:pPr>
        <w:ind w:left="120" w:firstLine="881"/>
        <w:spacing w:after="0" w:line="259" w:lineRule="auto"/>
        <w:rPr>
          <w:sz w:val="20"/>
          <w:szCs w:val="20"/>
          <w:color w:val="auto"/>
        </w:rPr>
      </w:pPr>
      <w:r>
        <w:rPr>
          <w:rFonts w:ascii="Arial" w:cs="Arial" w:eastAsia="Arial" w:hAnsi="Arial"/>
          <w:sz w:val="18"/>
          <w:szCs w:val="18"/>
          <w:color w:val="auto"/>
        </w:rPr>
        <w:t>The Compensation Committee endeavors to identify, recruit, and nominate candidates based on the following eligibility and experience criteria: a candidate’s integrity and business ethics, strength of character, judgment, experience, and independence, as well as factors relating to the composition of the Board, including its size and structure, the relative strengths and experience of current directors, and principles of diversity, including diversity of experience, personal and professional backgrounds, race, gender, and age.</w:t>
      </w:r>
    </w:p>
    <w:p>
      <w:pPr>
        <w:spacing w:after="0" w:line="115" w:lineRule="exact"/>
        <w:rPr>
          <w:sz w:val="20"/>
          <w:szCs w:val="20"/>
          <w:color w:val="auto"/>
        </w:rPr>
      </w:pPr>
    </w:p>
    <w:p>
      <w:pPr>
        <w:ind w:left="120"/>
        <w:spacing w:after="0"/>
        <w:tabs>
          <w:tab w:leader="none" w:pos="300" w:val="left"/>
        </w:tabs>
        <w:rPr>
          <w:sz w:val="20"/>
          <w:szCs w:val="20"/>
          <w:color w:val="auto"/>
        </w:rPr>
      </w:pPr>
      <w:r>
        <w:rPr>
          <w:rFonts w:ascii="Arial" w:cs="Arial" w:eastAsia="Arial" w:hAnsi="Arial"/>
          <w:sz w:val="14"/>
          <w:szCs w:val="14"/>
          <w:color w:val="407CCA"/>
        </w:rPr>
        <w:t>4</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20"/>
          </w:cols>
          <w:pgMar w:left="320" w:top="459" w:right="459" w:bottom="1440" w:gutter="0" w:footer="0" w:header="0"/>
        </w:sectPr>
      </w:pPr>
    </w:p>
    <w:bookmarkStart w:id="17" w:name="page18"/>
    <w:bookmarkEnd w:id="1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8560"/>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120" w:right="40" w:firstLine="881"/>
        <w:spacing w:after="0" w:line="291" w:lineRule="auto"/>
        <w:rPr>
          <w:sz w:val="20"/>
          <w:szCs w:val="20"/>
          <w:color w:val="auto"/>
        </w:rPr>
      </w:pPr>
      <w:r>
        <w:rPr>
          <w:rFonts w:ascii="Arial" w:cs="Arial" w:eastAsia="Arial" w:hAnsi="Arial"/>
          <w:sz w:val="16"/>
          <w:szCs w:val="16"/>
          <w:color w:val="auto"/>
        </w:rPr>
        <w:t>The Compensation Committee recognizes the importance of diverse viewpoints, experience, and backgrounds to a well-functioning Board. Although the committee does not have formal objective criteria for diversity on our Board, it is a significant consideration, and since 2013, 67% of new director nominations have been women or minority candidates. In nominating candidates to the Board, the committee determines whether the incumbent director is willing to stand for re-election. If so, the committee evaluates his or her contributions to determine suitability for continued service, taking into consideration the Board’s criteria for candidates, the Board evaluation process, and other perceived needs of the Board. The Company maintains a corporate membership in the National Association of Corporate Directors (the “NACD”), which provides each director with access to continuing education, research materials, and publications relating to corporate governance, board leadership, and other topical information.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1462405</wp:posOffset>
            </wp:positionH>
            <wp:positionV relativeFrom="paragraph">
              <wp:posOffset>132080</wp:posOffset>
            </wp:positionV>
            <wp:extent cx="4217670" cy="183451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4217670" cy="18345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2"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Oversight of Strategy and Key Risks</w:t>
      </w:r>
    </w:p>
    <w:p>
      <w:pPr>
        <w:spacing w:after="0" w:line="121" w:lineRule="exact"/>
        <w:rPr>
          <w:sz w:val="20"/>
          <w:szCs w:val="20"/>
          <w:color w:val="auto"/>
        </w:rPr>
      </w:pPr>
    </w:p>
    <w:p>
      <w:pPr>
        <w:ind w:left="120" w:right="220" w:firstLine="881"/>
        <w:spacing w:after="0" w:line="259" w:lineRule="auto"/>
        <w:rPr>
          <w:sz w:val="20"/>
          <w:szCs w:val="20"/>
          <w:color w:val="auto"/>
        </w:rPr>
      </w:pPr>
      <w:r>
        <w:rPr>
          <w:rFonts w:ascii="Arial" w:cs="Arial" w:eastAsia="Arial" w:hAnsi="Arial"/>
          <w:sz w:val="18"/>
          <w:szCs w:val="18"/>
          <w:color w:val="auto"/>
        </w:rPr>
        <w:t>Our Board is responsible for the general oversight of the Company, including our strategic direction, the performance of our executive officers, and the Company’s risk management processes, to assure that the long-term interests of our stockholders are being served. In performing this oversight function, the Board, directly or through its standing committees, regularly reviews and discusses our corporate strategy and our material strategic, operational, financial, compensation, and compliance risks with senior management.</w:t>
      </w:r>
    </w:p>
    <w:p>
      <w:pPr>
        <w:spacing w:after="0" w:line="187" w:lineRule="exact"/>
        <w:rPr>
          <w:sz w:val="20"/>
          <w:szCs w:val="20"/>
          <w:color w:val="auto"/>
        </w:rPr>
      </w:pPr>
    </w:p>
    <w:p>
      <w:pPr>
        <w:ind w:left="120" w:right="20" w:firstLine="881"/>
        <w:spacing w:after="0" w:line="257" w:lineRule="auto"/>
        <w:rPr>
          <w:sz w:val="20"/>
          <w:szCs w:val="20"/>
          <w:color w:val="auto"/>
        </w:rPr>
      </w:pPr>
      <w:r>
        <w:rPr>
          <w:rFonts w:ascii="Arial" w:cs="Arial" w:eastAsia="Arial" w:hAnsi="Arial"/>
          <w:sz w:val="18"/>
          <w:szCs w:val="18"/>
          <w:color w:val="auto"/>
        </w:rPr>
        <w:t>The Board receives updates at each regular meeting on the Company’s performance, market conditions, and other recent developments, including, among other things, the risks and opportunities facing us, as well as the strategies used to hedge the Company’s exposure to market risks, including interest rate, spread, prepayment, and extension risks. The Board periodically reviews and discusses with management and in executive session our strategic direction. The Board has also adopted, and regularly reviews our compliance with, various policies and procedures addressing other operational risks.</w:t>
      </w:r>
    </w:p>
    <w:p>
      <w:pPr>
        <w:spacing w:after="0" w:line="188" w:lineRule="exact"/>
        <w:rPr>
          <w:sz w:val="20"/>
          <w:szCs w:val="20"/>
          <w:color w:val="auto"/>
        </w:rPr>
      </w:pPr>
    </w:p>
    <w:p>
      <w:pPr>
        <w:ind w:left="120" w:right="80" w:firstLine="881"/>
        <w:spacing w:after="0" w:line="293" w:lineRule="auto"/>
        <w:rPr>
          <w:sz w:val="20"/>
          <w:szCs w:val="20"/>
          <w:color w:val="auto"/>
        </w:rPr>
      </w:pPr>
      <w:r>
        <w:rPr>
          <w:rFonts w:ascii="Arial" w:cs="Arial" w:eastAsia="Arial" w:hAnsi="Arial"/>
          <w:sz w:val="16"/>
          <w:szCs w:val="16"/>
          <w:color w:val="auto"/>
        </w:rPr>
        <w:t>The Board has evaluated the Company’s cybersecurity posture and risk exposure with management after considering our operations and the types of data retained on our systems. Our primary business involves investment in mortgages and mortgage-related instruments. We do not currently perform mortgage servicing, maintain customer accounts, or provide any direct mortgage lending and thus we do not receive personal information on individual mortgage borrowers as part of our regular operations. The Company contracts with third-party security firms to provide threat detection and conduct annual testing on our systems. In 2019 as part of its review and evaluation of our business and the nature of related cyber threats, the Board delegated oversight of AGNC’s cybersecurity risk to the Audit Committee. In making this delegation, the Board noted that the Audit</w:t>
      </w:r>
    </w:p>
    <w:p>
      <w:pPr>
        <w:spacing w:after="0" w:line="92" w:lineRule="exact"/>
        <w:rPr>
          <w:sz w:val="20"/>
          <w:szCs w:val="20"/>
          <w:color w:val="auto"/>
        </w:rPr>
      </w:pPr>
    </w:p>
    <w:p>
      <w:pPr>
        <w:ind w:left="8040"/>
        <w:spacing w:after="0"/>
        <w:tabs>
          <w:tab w:leader="none" w:pos="1104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5</w:t>
      </w:r>
    </w:p>
    <w:p>
      <w:pPr>
        <w:sectPr>
          <w:pgSz w:w="11900" w:h="16838" w:orient="portrait"/>
          <w:cols w:equalWidth="0" w:num="1">
            <w:col w:w="11140"/>
          </w:cols>
          <w:pgMar w:left="320" w:top="459" w:right="439" w:bottom="1440" w:gutter="0" w:footer="0" w:header="0"/>
        </w:sectPr>
      </w:pPr>
    </w:p>
    <w:bookmarkStart w:id="18" w:name="page19"/>
    <w:bookmarkEnd w:id="1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120" w:right="200"/>
        <w:spacing w:after="0" w:line="259" w:lineRule="auto"/>
        <w:rPr>
          <w:sz w:val="20"/>
          <w:szCs w:val="20"/>
          <w:color w:val="auto"/>
        </w:rPr>
      </w:pPr>
      <w:r>
        <w:rPr>
          <w:rFonts w:ascii="Arial" w:cs="Arial" w:eastAsia="Arial" w:hAnsi="Arial"/>
          <w:sz w:val="18"/>
          <w:szCs w:val="18"/>
          <w:color w:val="auto"/>
        </w:rPr>
        <w:t>Committee is also responsible for oversight of information technology and data security controls related to our financial reporting, and the Audit Committee charter was amended to reflect this additional responsibility. As had been previously undertaken by the full Board, the Audit Committee reviews cybersecurity and receives reports from the Company’s Senior Vice President for Information Technology on at least an annual basis and may also receive additional updates or reports as it deems necessary.</w:t>
      </w:r>
    </w:p>
    <w:p>
      <w:pPr>
        <w:spacing w:after="0" w:line="187" w:lineRule="exact"/>
        <w:rPr>
          <w:sz w:val="20"/>
          <w:szCs w:val="20"/>
          <w:color w:val="auto"/>
        </w:rPr>
      </w:pPr>
    </w:p>
    <w:p>
      <w:pPr>
        <w:ind w:left="120" w:firstLine="881"/>
        <w:spacing w:after="0" w:line="271" w:lineRule="auto"/>
        <w:rPr>
          <w:sz w:val="20"/>
          <w:szCs w:val="20"/>
          <w:color w:val="auto"/>
        </w:rPr>
      </w:pPr>
      <w:r>
        <w:rPr>
          <w:rFonts w:ascii="Arial" w:cs="Arial" w:eastAsia="Arial" w:hAnsi="Arial"/>
          <w:sz w:val="17"/>
          <w:szCs w:val="17"/>
          <w:color w:val="auto"/>
        </w:rPr>
        <w:t>The Board also recognizes the importance of effective executive leadership to our successful execution of strategy and promotion of an ethical and professional culture throughout our organization. The Board and the Compensation Committee are actively engaged in overseeing succession planning, including a routine review of staffing for critical roles, considering the operational needs of the Company and the potential leadership, industry knowledge, and investment skills of existing employees. Executives and other key employees in the Company are given exposure to the Board during meetings and other events to assist with their development and the Board’s evaluation. In addition, the Board receives updates on management’s strategies for recruiting, developing, and retaining outstanding personnel and minimizing employee turnover, as applicable. These strategies include the Company’s broad-based long-term incentive compensation program through which grants of RSUs are made to all employees at every level of the Company, thereby further aligning the interest of all of our employees with our stockholders.</w:t>
      </w:r>
    </w:p>
    <w:p>
      <w:pPr>
        <w:spacing w:after="0" w:line="178"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The Board has delegated certain risk management oversight responsibility to its committees as follows:</w:t>
      </w:r>
    </w:p>
    <w:p>
      <w:pPr>
        <w:spacing w:after="0" w:line="131" w:lineRule="exact"/>
        <w:rPr>
          <w:sz w:val="20"/>
          <w:szCs w:val="20"/>
          <w:color w:val="auto"/>
        </w:rPr>
      </w:pPr>
    </w:p>
    <w:p>
      <w:pPr>
        <w:ind w:left="980" w:right="120" w:hanging="432"/>
        <w:spacing w:after="0" w:line="259" w:lineRule="auto"/>
        <w:tabs>
          <w:tab w:leader="none" w:pos="980" w:val="left"/>
        </w:tabs>
        <w:numPr>
          <w:ilvl w:val="0"/>
          <w:numId w:val="11"/>
        </w:numPr>
        <w:rPr>
          <w:rFonts w:ascii="Arial" w:cs="Arial" w:eastAsia="Arial" w:hAnsi="Arial"/>
          <w:sz w:val="18"/>
          <w:szCs w:val="18"/>
          <w:color w:val="auto"/>
        </w:rPr>
      </w:pPr>
      <w:r>
        <w:rPr>
          <w:rFonts w:ascii="Arial" w:cs="Arial" w:eastAsia="Arial" w:hAnsi="Arial"/>
          <w:sz w:val="18"/>
          <w:szCs w:val="18"/>
          <w:i w:val="1"/>
          <w:iCs w:val="1"/>
          <w:color w:val="407CCA"/>
        </w:rPr>
        <w:t xml:space="preserve">Regulatory Compliance Risk: </w:t>
      </w:r>
      <w:r>
        <w:rPr>
          <w:rFonts w:ascii="Arial" w:cs="Arial" w:eastAsia="Arial" w:hAnsi="Arial"/>
          <w:sz w:val="18"/>
          <w:szCs w:val="18"/>
          <w:color w:val="000000"/>
        </w:rPr>
        <w:t>The Board, both directly and through the Audit Committee, receives regular reports from the Company’s</w:t>
      </w:r>
      <w:r>
        <w:rPr>
          <w:rFonts w:ascii="Arial" w:cs="Arial" w:eastAsia="Arial" w:hAnsi="Arial"/>
          <w:sz w:val="18"/>
          <w:szCs w:val="18"/>
          <w:i w:val="1"/>
          <w:iCs w:val="1"/>
          <w:color w:val="407CCA"/>
        </w:rPr>
        <w:t xml:space="preserve"> </w:t>
      </w:r>
      <w:r>
        <w:rPr>
          <w:rFonts w:ascii="Arial" w:cs="Arial" w:eastAsia="Arial" w:hAnsi="Arial"/>
          <w:sz w:val="18"/>
          <w:szCs w:val="18"/>
          <w:color w:val="000000"/>
        </w:rPr>
        <w:t>legal, accounting, and internal audit representatives on regulatory matters, including the Company’s compliance with its REIT qualification and exemption from the Investment Company Act of 1940, and compliance with our Code of Ethics, among other regulatory compliance matters.</w:t>
      </w:r>
    </w:p>
    <w:p>
      <w:pPr>
        <w:spacing w:after="0" w:line="92" w:lineRule="exact"/>
        <w:rPr>
          <w:rFonts w:ascii="Arial" w:cs="Arial" w:eastAsia="Arial" w:hAnsi="Arial"/>
          <w:sz w:val="18"/>
          <w:szCs w:val="18"/>
          <w:color w:val="auto"/>
        </w:rPr>
      </w:pPr>
    </w:p>
    <w:p>
      <w:pPr>
        <w:jc w:val="both"/>
        <w:ind w:left="980" w:right="160" w:hanging="432"/>
        <w:spacing w:after="0" w:line="311" w:lineRule="auto"/>
        <w:tabs>
          <w:tab w:leader="none" w:pos="980" w:val="left"/>
        </w:tabs>
        <w:numPr>
          <w:ilvl w:val="0"/>
          <w:numId w:val="11"/>
        </w:numPr>
        <w:rPr>
          <w:rFonts w:ascii="Arial" w:cs="Arial" w:eastAsia="Arial" w:hAnsi="Arial"/>
          <w:sz w:val="16"/>
          <w:szCs w:val="16"/>
          <w:color w:val="auto"/>
        </w:rPr>
      </w:pPr>
      <w:r>
        <w:rPr>
          <w:rFonts w:ascii="Arial" w:cs="Arial" w:eastAsia="Arial" w:hAnsi="Arial"/>
          <w:sz w:val="16"/>
          <w:szCs w:val="16"/>
          <w:i w:val="1"/>
          <w:iCs w:val="1"/>
          <w:color w:val="407CCA"/>
        </w:rPr>
        <w:t xml:space="preserve">Financial and Accounting Risk: </w:t>
      </w:r>
      <w:r>
        <w:rPr>
          <w:rFonts w:ascii="Arial" w:cs="Arial" w:eastAsia="Arial" w:hAnsi="Arial"/>
          <w:sz w:val="16"/>
          <w:szCs w:val="16"/>
          <w:color w:val="000000"/>
        </w:rPr>
        <w:t>The Audit Committee oversees the Company’s management of its financial, accounting, internal controls,</w:t>
      </w:r>
      <w:r>
        <w:rPr>
          <w:rFonts w:ascii="Arial" w:cs="Arial" w:eastAsia="Arial" w:hAnsi="Arial"/>
          <w:sz w:val="16"/>
          <w:szCs w:val="16"/>
          <w:i w:val="1"/>
          <w:iCs w:val="1"/>
          <w:color w:val="407CCA"/>
        </w:rPr>
        <w:t xml:space="preserve"> </w:t>
      </w:r>
      <w:r>
        <w:rPr>
          <w:rFonts w:ascii="Arial" w:cs="Arial" w:eastAsia="Arial" w:hAnsi="Arial"/>
          <w:sz w:val="16"/>
          <w:szCs w:val="16"/>
          <w:color w:val="000000"/>
        </w:rPr>
        <w:t>and regulatory compliance through regular meetings with our Chief Financial Officer, senior representatives of the Company’s accounting, tax, internal audit, and legal departments, and representatives of the Company’s independent public accountant.</w:t>
      </w:r>
    </w:p>
    <w:p>
      <w:pPr>
        <w:spacing w:after="0" w:line="54" w:lineRule="exact"/>
        <w:rPr>
          <w:rFonts w:ascii="Arial" w:cs="Arial" w:eastAsia="Arial" w:hAnsi="Arial"/>
          <w:sz w:val="16"/>
          <w:szCs w:val="16"/>
          <w:color w:val="auto"/>
        </w:rPr>
      </w:pPr>
    </w:p>
    <w:p>
      <w:pPr>
        <w:ind w:left="980" w:hanging="432"/>
        <w:spacing w:after="0"/>
        <w:tabs>
          <w:tab w:leader="none" w:pos="980" w:val="left"/>
        </w:tabs>
        <w:numPr>
          <w:ilvl w:val="0"/>
          <w:numId w:val="11"/>
        </w:numPr>
        <w:rPr>
          <w:rFonts w:ascii="Arial" w:cs="Arial" w:eastAsia="Arial" w:hAnsi="Arial"/>
          <w:sz w:val="18"/>
          <w:szCs w:val="18"/>
          <w:color w:val="auto"/>
        </w:rPr>
      </w:pPr>
      <w:r>
        <w:rPr>
          <w:rFonts w:ascii="Arial" w:cs="Arial" w:eastAsia="Arial" w:hAnsi="Arial"/>
          <w:sz w:val="18"/>
          <w:szCs w:val="18"/>
          <w:i w:val="1"/>
          <w:iCs w:val="1"/>
          <w:color w:val="407CCA"/>
        </w:rPr>
        <w:t xml:space="preserve">Litigation Risk: </w:t>
      </w:r>
      <w:r>
        <w:rPr>
          <w:rFonts w:ascii="Arial" w:cs="Arial" w:eastAsia="Arial" w:hAnsi="Arial"/>
          <w:sz w:val="18"/>
          <w:szCs w:val="18"/>
          <w:color w:val="000000"/>
        </w:rPr>
        <w:t>The Compensation Committee monitors the Company’s litigation, if any.</w:t>
      </w:r>
    </w:p>
    <w:p>
      <w:pPr>
        <w:spacing w:after="0" w:line="130" w:lineRule="exact"/>
        <w:rPr>
          <w:rFonts w:ascii="Arial" w:cs="Arial" w:eastAsia="Arial" w:hAnsi="Arial"/>
          <w:sz w:val="18"/>
          <w:szCs w:val="18"/>
          <w:color w:val="auto"/>
        </w:rPr>
      </w:pPr>
    </w:p>
    <w:p>
      <w:pPr>
        <w:ind w:left="980" w:right="300" w:hanging="432"/>
        <w:spacing w:after="0" w:line="277" w:lineRule="auto"/>
        <w:tabs>
          <w:tab w:leader="none" w:pos="980" w:val="left"/>
        </w:tabs>
        <w:numPr>
          <w:ilvl w:val="0"/>
          <w:numId w:val="11"/>
        </w:numPr>
        <w:rPr>
          <w:rFonts w:ascii="Arial" w:cs="Arial" w:eastAsia="Arial" w:hAnsi="Arial"/>
          <w:sz w:val="18"/>
          <w:szCs w:val="18"/>
          <w:color w:val="auto"/>
        </w:rPr>
      </w:pPr>
      <w:r>
        <w:rPr>
          <w:rFonts w:ascii="Arial" w:cs="Arial" w:eastAsia="Arial" w:hAnsi="Arial"/>
          <w:sz w:val="18"/>
          <w:szCs w:val="18"/>
          <w:i w:val="1"/>
          <w:iCs w:val="1"/>
          <w:color w:val="407CCA"/>
        </w:rPr>
        <w:t xml:space="preserve">Governance Risk: </w:t>
      </w:r>
      <w:r>
        <w:rPr>
          <w:rFonts w:ascii="Arial" w:cs="Arial" w:eastAsia="Arial" w:hAnsi="Arial"/>
          <w:sz w:val="18"/>
          <w:szCs w:val="18"/>
          <w:color w:val="000000"/>
        </w:rPr>
        <w:t>The Compensation Committee also oversees risks related to Board organization, membership, structure, and corporate</w:t>
      </w:r>
      <w:r>
        <w:rPr>
          <w:rFonts w:ascii="Arial" w:cs="Arial" w:eastAsia="Arial" w:hAnsi="Arial"/>
          <w:sz w:val="18"/>
          <w:szCs w:val="18"/>
          <w:i w:val="1"/>
          <w:iCs w:val="1"/>
          <w:color w:val="407CCA"/>
        </w:rPr>
        <w:t xml:space="preserve"> </w:t>
      </w:r>
      <w:r>
        <w:rPr>
          <w:rFonts w:ascii="Arial" w:cs="Arial" w:eastAsia="Arial" w:hAnsi="Arial"/>
          <w:sz w:val="18"/>
          <w:szCs w:val="18"/>
          <w:color w:val="000000"/>
        </w:rPr>
        <w:t>governance.</w:t>
      </w:r>
    </w:p>
    <w:p>
      <w:pPr>
        <w:spacing w:after="0" w:line="75" w:lineRule="exact"/>
        <w:rPr>
          <w:rFonts w:ascii="Arial" w:cs="Arial" w:eastAsia="Arial" w:hAnsi="Arial"/>
          <w:sz w:val="18"/>
          <w:szCs w:val="18"/>
          <w:color w:val="auto"/>
        </w:rPr>
      </w:pPr>
    </w:p>
    <w:p>
      <w:pPr>
        <w:ind w:left="980" w:right="200" w:hanging="432"/>
        <w:spacing w:after="0" w:line="342" w:lineRule="auto"/>
        <w:tabs>
          <w:tab w:leader="none" w:pos="980" w:val="left"/>
        </w:tabs>
        <w:numPr>
          <w:ilvl w:val="0"/>
          <w:numId w:val="11"/>
        </w:numPr>
        <w:rPr>
          <w:rFonts w:ascii="Arial" w:cs="Arial" w:eastAsia="Arial" w:hAnsi="Arial"/>
          <w:sz w:val="16"/>
          <w:szCs w:val="16"/>
          <w:color w:val="auto"/>
        </w:rPr>
      </w:pPr>
      <w:r>
        <w:rPr>
          <w:rFonts w:ascii="Arial" w:cs="Arial" w:eastAsia="Arial" w:hAnsi="Arial"/>
          <w:sz w:val="16"/>
          <w:szCs w:val="16"/>
          <w:i w:val="1"/>
          <w:iCs w:val="1"/>
          <w:color w:val="407CCA"/>
        </w:rPr>
        <w:t xml:space="preserve">Succession Planning and Human Capital Risk: </w:t>
      </w:r>
      <w:r>
        <w:rPr>
          <w:rFonts w:ascii="Arial" w:cs="Arial" w:eastAsia="Arial" w:hAnsi="Arial"/>
          <w:sz w:val="16"/>
          <w:szCs w:val="16"/>
          <w:color w:val="000000"/>
        </w:rPr>
        <w:t>The Compensation Committee is responsible for ensuring that a succession plan is in place</w:t>
      </w:r>
      <w:r>
        <w:rPr>
          <w:rFonts w:ascii="Arial" w:cs="Arial" w:eastAsia="Arial" w:hAnsi="Arial"/>
          <w:sz w:val="16"/>
          <w:szCs w:val="16"/>
          <w:i w:val="1"/>
          <w:iCs w:val="1"/>
          <w:color w:val="407CCA"/>
        </w:rPr>
        <w:t xml:space="preserve"> </w:t>
      </w:r>
      <w:r>
        <w:rPr>
          <w:rFonts w:ascii="Arial" w:cs="Arial" w:eastAsia="Arial" w:hAnsi="Arial"/>
          <w:sz w:val="16"/>
          <w:szCs w:val="16"/>
          <w:color w:val="000000"/>
        </w:rPr>
        <w:t>for our executive officers and other key employees and overseeing the Company’s management and development of its human capital.</w:t>
      </w:r>
    </w:p>
    <w:p>
      <w:pPr>
        <w:spacing w:after="0" w:line="52" w:lineRule="exact"/>
        <w:rPr>
          <w:sz w:val="20"/>
          <w:szCs w:val="20"/>
          <w:color w:val="auto"/>
        </w:rPr>
      </w:pPr>
    </w:p>
    <w:p>
      <w:pPr>
        <w:ind w:left="120"/>
        <w:spacing w:after="0"/>
        <w:tabs>
          <w:tab w:leader="none" w:pos="300" w:val="left"/>
        </w:tabs>
        <w:rPr>
          <w:sz w:val="20"/>
          <w:szCs w:val="20"/>
          <w:color w:val="auto"/>
        </w:rPr>
      </w:pPr>
      <w:r>
        <w:rPr>
          <w:rFonts w:ascii="Arial" w:cs="Arial" w:eastAsia="Arial" w:hAnsi="Arial"/>
          <w:sz w:val="14"/>
          <w:szCs w:val="14"/>
          <w:color w:val="407CCA"/>
        </w:rPr>
        <w:t>6</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40"/>
          </w:cols>
          <w:pgMar w:left="320" w:top="459" w:right="439" w:bottom="1440" w:gutter="0" w:footer="0" w:header="0"/>
        </w:sectPr>
      </w:pPr>
    </w:p>
    <w:bookmarkStart w:id="19" w:name="page20"/>
    <w:bookmarkEnd w:id="1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A diagram of our Board’s allocation of risk management responsibility is as follows: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973455</wp:posOffset>
            </wp:positionH>
            <wp:positionV relativeFrom="paragraph">
              <wp:posOffset>168910</wp:posOffset>
            </wp:positionV>
            <wp:extent cx="5203190" cy="289750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5203190" cy="28975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Corporate Responsibility</w:t>
      </w:r>
    </w:p>
    <w:p>
      <w:pPr>
        <w:spacing w:after="0" w:line="121" w:lineRule="exact"/>
        <w:rPr>
          <w:sz w:val="20"/>
          <w:szCs w:val="20"/>
          <w:color w:val="auto"/>
        </w:rPr>
      </w:pPr>
    </w:p>
    <w:p>
      <w:pPr>
        <w:ind w:left="120" w:right="20" w:firstLine="881"/>
        <w:spacing w:after="0" w:line="255" w:lineRule="auto"/>
        <w:rPr>
          <w:sz w:val="20"/>
          <w:szCs w:val="20"/>
          <w:color w:val="auto"/>
        </w:rPr>
      </w:pPr>
      <w:r>
        <w:rPr>
          <w:rFonts w:ascii="Arial" w:cs="Arial" w:eastAsia="Arial" w:hAnsi="Arial"/>
          <w:sz w:val="18"/>
          <w:szCs w:val="18"/>
          <w:color w:val="auto"/>
        </w:rPr>
        <w:t xml:space="preserve">We understand the importance of incorporating environmental and social considerations into our business and day-to-day operations, and we appreciate the increased interest of our stockholders in these matters. We consider the interests of all our stakeholders—our stockholders, employees, lenders and other counterparties, vendors, and community—in pursuing the long-term success of our business. Additional information regarding our efforts to implement environmental and social factors in the operation of our business is available in the Corporate Responsibility section of our website at </w:t>
      </w:r>
      <w:r>
        <w:rPr>
          <w:rFonts w:ascii="Arial" w:cs="Arial" w:eastAsia="Arial" w:hAnsi="Arial"/>
          <w:sz w:val="18"/>
          <w:szCs w:val="18"/>
          <w:i w:val="1"/>
          <w:iCs w:val="1"/>
          <w:color w:val="auto"/>
        </w:rPr>
        <w:t>www.AGNC.com</w:t>
      </w:r>
      <w:r>
        <w:rPr>
          <w:rFonts w:ascii="Arial" w:cs="Arial" w:eastAsia="Arial" w:hAnsi="Arial"/>
          <w:sz w:val="18"/>
          <w:szCs w:val="18"/>
          <w:color w:val="auto"/>
        </w:rPr>
        <w:t>. We continue to evaluate relevant corporate sustainability reporting frameworks with a goal of adopting and implementing an appropriate reporting framework in 2020.</w:t>
      </w:r>
    </w:p>
    <w:p>
      <w:pPr>
        <w:spacing w:after="0" w:line="192"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Social Considerations</w:t>
      </w:r>
    </w:p>
    <w:p>
      <w:pPr>
        <w:spacing w:after="0" w:line="117" w:lineRule="exact"/>
        <w:rPr>
          <w:sz w:val="20"/>
          <w:szCs w:val="20"/>
          <w:color w:val="auto"/>
        </w:rPr>
      </w:pPr>
    </w:p>
    <w:p>
      <w:pPr>
        <w:ind w:left="120" w:right="420" w:firstLine="881"/>
        <w:spacing w:after="0" w:line="277" w:lineRule="auto"/>
        <w:rPr>
          <w:sz w:val="20"/>
          <w:szCs w:val="20"/>
          <w:color w:val="auto"/>
        </w:rPr>
      </w:pPr>
      <w:r>
        <w:rPr>
          <w:rFonts w:ascii="Arial" w:cs="Arial" w:eastAsia="Arial" w:hAnsi="Arial"/>
          <w:sz w:val="18"/>
          <w:szCs w:val="18"/>
          <w:color w:val="auto"/>
        </w:rPr>
        <w:t>AGNC’s primary social considerations and impacts relate to our investment activity and human capital management, both of which are critical to our success as an organization.</w:t>
      </w:r>
    </w:p>
    <w:p>
      <w:pPr>
        <w:spacing w:after="0" w:line="274" w:lineRule="exact"/>
        <w:rPr>
          <w:sz w:val="20"/>
          <w:szCs w:val="20"/>
          <w:color w:val="auto"/>
        </w:rPr>
      </w:pPr>
    </w:p>
    <w:p>
      <w:pPr>
        <w:ind w:left="1880"/>
        <w:spacing w:after="0"/>
        <w:rPr>
          <w:sz w:val="20"/>
          <w:szCs w:val="20"/>
          <w:color w:val="auto"/>
        </w:rPr>
      </w:pPr>
      <w:r>
        <w:rPr>
          <w:rFonts w:ascii="Arial" w:cs="Arial" w:eastAsia="Arial" w:hAnsi="Arial"/>
          <w:sz w:val="18"/>
          <w:szCs w:val="18"/>
          <w:b w:val="1"/>
          <w:bCs w:val="1"/>
          <w:u w:val="single" w:color="auto"/>
          <w:color w:val="auto"/>
        </w:rPr>
        <w:t>Investment Activity</w:t>
      </w:r>
    </w:p>
    <w:p>
      <w:pPr>
        <w:spacing w:after="0" w:line="121" w:lineRule="exact"/>
        <w:rPr>
          <w:sz w:val="20"/>
          <w:szCs w:val="20"/>
          <w:color w:val="auto"/>
        </w:rPr>
      </w:pPr>
    </w:p>
    <w:p>
      <w:pPr>
        <w:ind w:left="120" w:right="20" w:firstLine="881"/>
        <w:spacing w:after="0" w:line="257" w:lineRule="auto"/>
        <w:rPr>
          <w:sz w:val="20"/>
          <w:szCs w:val="20"/>
          <w:color w:val="auto"/>
        </w:rPr>
      </w:pPr>
      <w:r>
        <w:rPr>
          <w:rFonts w:ascii="Arial" w:cs="Arial" w:eastAsia="Arial" w:hAnsi="Arial"/>
          <w:sz w:val="18"/>
          <w:szCs w:val="18"/>
          <w:color w:val="auto"/>
        </w:rPr>
        <w:t>As a provider of private capital to the U.S. housing market through our investments in residential mortgages, our business enhances liquidity in the residential real estate mortgage markets and, in turn, facilitates home ownership in the U.S. As of December 31, 2019, AGNC had $108 billion in aggregate mortgage and mortgage-related investments, representing over 1.5 million loans to homeowners. AGNC is also a substantial investor in “lower balance” and high loan-to-value (“LTV”) loans, including those originated under the Home Affordable Refinance Program (“HARP”), both of which support mortgage types that have been historically</w:t>
      </w:r>
    </w:p>
    <w:p>
      <w:pPr>
        <w:spacing w:after="0" w:line="116" w:lineRule="exact"/>
        <w:rPr>
          <w:sz w:val="20"/>
          <w:szCs w:val="20"/>
          <w:color w:val="auto"/>
        </w:rPr>
      </w:pPr>
    </w:p>
    <w:p>
      <w:pPr>
        <w:ind w:left="8040"/>
        <w:spacing w:after="0"/>
        <w:tabs>
          <w:tab w:leader="none" w:pos="1104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7</w:t>
      </w:r>
    </w:p>
    <w:p>
      <w:pPr>
        <w:sectPr>
          <w:pgSz w:w="11900" w:h="16838" w:orient="portrait"/>
          <w:cols w:equalWidth="0" w:num="1">
            <w:col w:w="11140"/>
          </w:cols>
          <w:pgMar w:left="320" w:top="459" w:right="439" w:bottom="1440" w:gutter="0" w:footer="0" w:header="0"/>
        </w:sectPr>
      </w:pPr>
    </w:p>
    <w:bookmarkStart w:id="20" w:name="page21"/>
    <w:bookmarkEnd w:id="2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120" w:right="20"/>
        <w:spacing w:after="0" w:line="263" w:lineRule="auto"/>
        <w:rPr>
          <w:sz w:val="20"/>
          <w:szCs w:val="20"/>
          <w:color w:val="auto"/>
        </w:rPr>
      </w:pPr>
      <w:r>
        <w:rPr>
          <w:rFonts w:ascii="Arial" w:cs="Arial" w:eastAsia="Arial" w:hAnsi="Arial"/>
          <w:sz w:val="18"/>
          <w:szCs w:val="18"/>
          <w:color w:val="auto"/>
        </w:rPr>
        <w:t>disfavored by mortgage originators or investors, thereby providing greater opportunities for home ownership. In aggregate, lower balance and high LTV loans, including HARP loans, constituted approximately 51%, or over $47 billion and 600,000 loans to homeowners, of our investment portfolio as of December 31, 2019.</w:t>
      </w:r>
    </w:p>
    <w:p>
      <w:pPr>
        <w:spacing w:after="0" w:line="288" w:lineRule="exact"/>
        <w:rPr>
          <w:sz w:val="20"/>
          <w:szCs w:val="20"/>
          <w:color w:val="auto"/>
        </w:rPr>
      </w:pPr>
    </w:p>
    <w:p>
      <w:pPr>
        <w:ind w:left="1880"/>
        <w:spacing w:after="0"/>
        <w:rPr>
          <w:sz w:val="20"/>
          <w:szCs w:val="20"/>
          <w:color w:val="auto"/>
        </w:rPr>
      </w:pPr>
      <w:r>
        <w:rPr>
          <w:rFonts w:ascii="Arial" w:cs="Arial" w:eastAsia="Arial" w:hAnsi="Arial"/>
          <w:sz w:val="18"/>
          <w:szCs w:val="18"/>
          <w:b w:val="1"/>
          <w:bCs w:val="1"/>
          <w:u w:val="single" w:color="auto"/>
          <w:color w:val="auto"/>
        </w:rPr>
        <w:t>Human Capital Management</w:t>
      </w:r>
    </w:p>
    <w:p>
      <w:pPr>
        <w:spacing w:after="0" w:line="121" w:lineRule="exact"/>
        <w:rPr>
          <w:sz w:val="20"/>
          <w:szCs w:val="20"/>
          <w:color w:val="auto"/>
        </w:rPr>
      </w:pPr>
    </w:p>
    <w:p>
      <w:pPr>
        <w:ind w:left="120" w:firstLine="881"/>
        <w:spacing w:after="0" w:line="271" w:lineRule="auto"/>
        <w:rPr>
          <w:sz w:val="20"/>
          <w:szCs w:val="20"/>
          <w:color w:val="auto"/>
        </w:rPr>
      </w:pPr>
      <w:r>
        <w:rPr>
          <w:rFonts w:ascii="Arial" w:cs="Arial" w:eastAsia="Arial" w:hAnsi="Arial"/>
          <w:sz w:val="17"/>
          <w:szCs w:val="17"/>
          <w:color w:val="auto"/>
        </w:rPr>
        <w:t>As an employer, we have a responsibility to our most important asset, our employees. We are committed to providing our employees an engaging, supportive, and inclusive atmosphere in which to grow professionally and contribute. We are also committed to promoting equality and further increasing diversity within our workforce. We recognize the importance of ongoing communication and engagement with our employees through direct channels, facilitated by our small employee base. In addition, we provide a hotline where employees can submit claims or report suspected abuses anonymously. In the fourth quarter of 2018, we completed an anonymous employee survey, and the Company had an over 90% satisfaction rating in many areas, including AGNC’s treatment of its employees, physical working conditions, commitment to integrity, and overall culture and environment. Based on the results of this survey, our Board and management implemented a number of changes in 2019 driven by employee feedback and continue to evaluate other recommendations that we received from employees.</w:t>
      </w:r>
    </w:p>
    <w:p>
      <w:pPr>
        <w:spacing w:after="0" w:line="178" w:lineRule="exact"/>
        <w:rPr>
          <w:sz w:val="20"/>
          <w:szCs w:val="20"/>
          <w:color w:val="auto"/>
        </w:rPr>
      </w:pPr>
    </w:p>
    <w:p>
      <w:pPr>
        <w:ind w:left="120" w:right="480" w:firstLine="881"/>
        <w:spacing w:after="0" w:line="277" w:lineRule="auto"/>
        <w:rPr>
          <w:sz w:val="20"/>
          <w:szCs w:val="20"/>
          <w:color w:val="auto"/>
        </w:rPr>
      </w:pPr>
      <w:r>
        <w:rPr>
          <w:rFonts w:ascii="Arial" w:cs="Arial" w:eastAsia="Arial" w:hAnsi="Arial"/>
          <w:sz w:val="18"/>
          <w:szCs w:val="18"/>
          <w:color w:val="auto"/>
        </w:rPr>
        <w:t>Finally, we pride ourselves on providing a wide selection of resources to protect our employees’ health, well-being, financial security, safety, and work-life balance, including: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973455</wp:posOffset>
            </wp:positionH>
            <wp:positionV relativeFrom="paragraph">
              <wp:posOffset>134620</wp:posOffset>
            </wp:positionV>
            <wp:extent cx="5194935" cy="264033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5194935" cy="26403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1"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Environmental Considerations</w:t>
      </w:r>
    </w:p>
    <w:p>
      <w:pPr>
        <w:spacing w:after="0" w:line="117" w:lineRule="exact"/>
        <w:rPr>
          <w:sz w:val="20"/>
          <w:szCs w:val="20"/>
          <w:color w:val="auto"/>
        </w:rPr>
      </w:pPr>
    </w:p>
    <w:p>
      <w:pPr>
        <w:ind w:left="1000"/>
        <w:spacing w:after="0"/>
        <w:rPr>
          <w:sz w:val="20"/>
          <w:szCs w:val="20"/>
          <w:color w:val="auto"/>
        </w:rPr>
      </w:pPr>
      <w:r>
        <w:rPr>
          <w:rFonts w:ascii="Arial" w:cs="Arial" w:eastAsia="Arial" w:hAnsi="Arial"/>
          <w:sz w:val="17"/>
          <w:szCs w:val="17"/>
          <w:color w:val="auto"/>
        </w:rPr>
        <w:t>As an investment firm with 51 office-based employees, our business operations have a relatively modest environmental impact.</w:t>
      </w:r>
    </w:p>
    <w:p>
      <w:pPr>
        <w:spacing w:after="0" w:line="35" w:lineRule="exact"/>
        <w:rPr>
          <w:sz w:val="20"/>
          <w:szCs w:val="20"/>
          <w:color w:val="auto"/>
        </w:rPr>
      </w:pPr>
    </w:p>
    <w:p>
      <w:pPr>
        <w:ind w:left="120"/>
        <w:spacing w:after="0"/>
        <w:rPr>
          <w:sz w:val="20"/>
          <w:szCs w:val="20"/>
          <w:color w:val="auto"/>
        </w:rPr>
      </w:pPr>
      <w:r>
        <w:rPr>
          <w:rFonts w:ascii="Arial" w:cs="Arial" w:eastAsia="Arial" w:hAnsi="Arial"/>
          <w:sz w:val="18"/>
          <w:szCs w:val="18"/>
          <w:color w:val="auto"/>
        </w:rPr>
        <w:t>Nevertheless, we do consider environmental risk factors and strive to use resources efficiently and responsibly.</w:t>
      </w:r>
    </w:p>
    <w:p>
      <w:pPr>
        <w:spacing w:after="0" w:line="211"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Our corporate efforts to reduce our environmental impact include:</w:t>
      </w:r>
    </w:p>
    <w:p>
      <w:pPr>
        <w:spacing w:after="0" w:line="131" w:lineRule="exact"/>
        <w:rPr>
          <w:sz w:val="20"/>
          <w:szCs w:val="20"/>
          <w:color w:val="auto"/>
        </w:rPr>
      </w:pPr>
    </w:p>
    <w:p>
      <w:pPr>
        <w:ind w:left="980" w:hanging="432"/>
        <w:spacing w:after="0"/>
        <w:tabs>
          <w:tab w:leader="none" w:pos="980" w:val="left"/>
        </w:tabs>
        <w:numPr>
          <w:ilvl w:val="0"/>
          <w:numId w:val="12"/>
        </w:numPr>
        <w:rPr>
          <w:rFonts w:ascii="Arial" w:cs="Arial" w:eastAsia="Arial" w:hAnsi="Arial"/>
          <w:sz w:val="18"/>
          <w:szCs w:val="18"/>
          <w:color w:val="auto"/>
        </w:rPr>
      </w:pPr>
      <w:r>
        <w:rPr>
          <w:rFonts w:ascii="Arial" w:cs="Arial" w:eastAsia="Arial" w:hAnsi="Arial"/>
          <w:sz w:val="18"/>
          <w:szCs w:val="18"/>
          <w:color w:val="auto"/>
        </w:rPr>
        <w:t>Headquarters located in a LEED certified and Energy Star</w:t>
      </w:r>
      <w:r>
        <w:rPr>
          <w:rFonts w:ascii="Arial" w:cs="Arial" w:eastAsia="Arial" w:hAnsi="Arial"/>
          <w:sz w:val="15"/>
          <w:szCs w:val="15"/>
          <w:color w:val="auto"/>
        </w:rPr>
        <w:t>®</w:t>
      </w:r>
      <w:r>
        <w:rPr>
          <w:rFonts w:ascii="Arial" w:cs="Arial" w:eastAsia="Arial" w:hAnsi="Arial"/>
          <w:sz w:val="18"/>
          <w:szCs w:val="18"/>
          <w:color w:val="auto"/>
        </w:rPr>
        <w:t xml:space="preserve"> labeled building</w:t>
      </w:r>
    </w:p>
    <w:p>
      <w:pPr>
        <w:spacing w:after="0" w:line="153" w:lineRule="exact"/>
        <w:rPr>
          <w:sz w:val="20"/>
          <w:szCs w:val="20"/>
          <w:color w:val="auto"/>
        </w:rPr>
      </w:pPr>
    </w:p>
    <w:p>
      <w:pPr>
        <w:ind w:left="120"/>
        <w:spacing w:after="0"/>
        <w:tabs>
          <w:tab w:leader="none" w:pos="300" w:val="left"/>
        </w:tabs>
        <w:rPr>
          <w:sz w:val="20"/>
          <w:szCs w:val="20"/>
          <w:color w:val="auto"/>
        </w:rPr>
      </w:pPr>
      <w:r>
        <w:rPr>
          <w:rFonts w:ascii="Arial" w:cs="Arial" w:eastAsia="Arial" w:hAnsi="Arial"/>
          <w:sz w:val="14"/>
          <w:szCs w:val="14"/>
          <w:color w:val="407CCA"/>
        </w:rPr>
        <w:t>8</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00"/>
          </w:cols>
          <w:pgMar w:left="320" w:top="459" w:right="479" w:bottom="1440" w:gutter="0" w:footer="0" w:header="0"/>
        </w:sectPr>
      </w:pPr>
    </w:p>
    <w:bookmarkStart w:id="21" w:name="page22"/>
    <w:bookmarkEnd w:id="2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980" w:hanging="432"/>
        <w:spacing w:after="0"/>
        <w:tabs>
          <w:tab w:leader="none" w:pos="980" w:val="left"/>
        </w:tabs>
        <w:numPr>
          <w:ilvl w:val="0"/>
          <w:numId w:val="13"/>
        </w:numPr>
        <w:rPr>
          <w:rFonts w:ascii="Arial" w:cs="Arial" w:eastAsia="Arial" w:hAnsi="Arial"/>
          <w:sz w:val="18"/>
          <w:szCs w:val="18"/>
          <w:color w:val="auto"/>
        </w:rPr>
      </w:pPr>
      <w:r>
        <w:rPr>
          <w:rFonts w:ascii="Arial" w:cs="Arial" w:eastAsia="Arial" w:hAnsi="Arial"/>
          <w:sz w:val="18"/>
          <w:szCs w:val="18"/>
          <w:color w:val="auto"/>
        </w:rPr>
        <w:t>Company-paid accessible public transit</w:t>
      </w:r>
    </w:p>
    <w:p>
      <w:pPr>
        <w:spacing w:after="0" w:line="23" w:lineRule="exact"/>
        <w:rPr>
          <w:rFonts w:ascii="Arial" w:cs="Arial" w:eastAsia="Arial" w:hAnsi="Arial"/>
          <w:sz w:val="18"/>
          <w:szCs w:val="18"/>
          <w:color w:val="auto"/>
        </w:rPr>
      </w:pPr>
    </w:p>
    <w:p>
      <w:pPr>
        <w:ind w:left="980" w:hanging="432"/>
        <w:spacing w:after="0"/>
        <w:tabs>
          <w:tab w:leader="none" w:pos="980" w:val="left"/>
        </w:tabs>
        <w:numPr>
          <w:ilvl w:val="0"/>
          <w:numId w:val="13"/>
        </w:numPr>
        <w:rPr>
          <w:rFonts w:ascii="Arial" w:cs="Arial" w:eastAsia="Arial" w:hAnsi="Arial"/>
          <w:sz w:val="18"/>
          <w:szCs w:val="18"/>
          <w:color w:val="auto"/>
        </w:rPr>
      </w:pPr>
      <w:r>
        <w:rPr>
          <w:rFonts w:ascii="Arial" w:cs="Arial" w:eastAsia="Arial" w:hAnsi="Arial"/>
          <w:sz w:val="18"/>
          <w:szCs w:val="18"/>
          <w:color w:val="auto"/>
        </w:rPr>
        <w:t>Office cleaning and pest control conducted with specific green products</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13"/>
        </w:numPr>
        <w:rPr>
          <w:rFonts w:ascii="Arial" w:cs="Arial" w:eastAsia="Arial" w:hAnsi="Arial"/>
          <w:sz w:val="18"/>
          <w:szCs w:val="18"/>
          <w:color w:val="auto"/>
        </w:rPr>
      </w:pPr>
      <w:r>
        <w:rPr>
          <w:rFonts w:ascii="Arial" w:cs="Arial" w:eastAsia="Arial" w:hAnsi="Arial"/>
          <w:sz w:val="18"/>
          <w:szCs w:val="18"/>
          <w:color w:val="auto"/>
        </w:rPr>
        <w:t>Single stream recycling as well as recycling containers at all desks and in common areas</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13"/>
        </w:numPr>
        <w:rPr>
          <w:rFonts w:ascii="Arial" w:cs="Arial" w:eastAsia="Arial" w:hAnsi="Arial"/>
          <w:sz w:val="18"/>
          <w:szCs w:val="18"/>
          <w:color w:val="auto"/>
        </w:rPr>
      </w:pPr>
      <w:r>
        <w:rPr>
          <w:rFonts w:ascii="Arial" w:cs="Arial" w:eastAsia="Arial" w:hAnsi="Arial"/>
          <w:sz w:val="18"/>
          <w:szCs w:val="18"/>
          <w:color w:val="auto"/>
        </w:rPr>
        <w:t>Recycling of electronic equipment and ink cartridges</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13"/>
        </w:numPr>
        <w:rPr>
          <w:rFonts w:ascii="Arial" w:cs="Arial" w:eastAsia="Arial" w:hAnsi="Arial"/>
          <w:sz w:val="18"/>
          <w:szCs w:val="18"/>
          <w:color w:val="auto"/>
        </w:rPr>
      </w:pPr>
      <w:r>
        <w:rPr>
          <w:rFonts w:ascii="Arial" w:cs="Arial" w:eastAsia="Arial" w:hAnsi="Arial"/>
          <w:sz w:val="18"/>
          <w:szCs w:val="18"/>
          <w:color w:val="auto"/>
        </w:rPr>
        <w:t>Energy Star</w:t>
      </w:r>
      <w:r>
        <w:rPr>
          <w:rFonts w:ascii="Arial" w:cs="Arial" w:eastAsia="Arial" w:hAnsi="Arial"/>
          <w:sz w:val="15"/>
          <w:szCs w:val="15"/>
          <w:color w:val="auto"/>
        </w:rPr>
        <w:t>®</w:t>
      </w:r>
      <w:r>
        <w:rPr>
          <w:rFonts w:ascii="Arial" w:cs="Arial" w:eastAsia="Arial" w:hAnsi="Arial"/>
          <w:sz w:val="18"/>
          <w:szCs w:val="18"/>
          <w:color w:val="auto"/>
        </w:rPr>
        <w:t xml:space="preserve"> printers</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13"/>
        </w:numPr>
        <w:rPr>
          <w:rFonts w:ascii="Arial" w:cs="Arial" w:eastAsia="Arial" w:hAnsi="Arial"/>
          <w:sz w:val="18"/>
          <w:szCs w:val="18"/>
          <w:color w:val="auto"/>
        </w:rPr>
      </w:pPr>
      <w:r>
        <w:rPr>
          <w:rFonts w:ascii="Arial" w:cs="Arial" w:eastAsia="Arial" w:hAnsi="Arial"/>
          <w:sz w:val="18"/>
          <w:szCs w:val="18"/>
          <w:color w:val="auto"/>
        </w:rPr>
        <w:t>Motion sensor control lighting in certain areas</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13"/>
        </w:numPr>
        <w:rPr>
          <w:rFonts w:ascii="Arial" w:cs="Arial" w:eastAsia="Arial" w:hAnsi="Arial"/>
          <w:sz w:val="18"/>
          <w:szCs w:val="18"/>
          <w:color w:val="auto"/>
        </w:rPr>
      </w:pPr>
      <w:r>
        <w:rPr>
          <w:rFonts w:ascii="Arial" w:cs="Arial" w:eastAsia="Arial" w:hAnsi="Arial"/>
          <w:sz w:val="18"/>
          <w:szCs w:val="18"/>
          <w:color w:val="auto"/>
        </w:rPr>
        <w:t>Water coolers</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13"/>
        </w:numPr>
        <w:rPr>
          <w:rFonts w:ascii="Arial" w:cs="Arial" w:eastAsia="Arial" w:hAnsi="Arial"/>
          <w:sz w:val="18"/>
          <w:szCs w:val="18"/>
          <w:color w:val="auto"/>
        </w:rPr>
      </w:pPr>
      <w:r>
        <w:rPr>
          <w:rFonts w:ascii="Arial" w:cs="Arial" w:eastAsia="Arial" w:hAnsi="Arial"/>
          <w:sz w:val="18"/>
          <w:szCs w:val="18"/>
          <w:color w:val="auto"/>
        </w:rPr>
        <w:t>Compostable and recycled kitchen products</w:t>
      </w:r>
    </w:p>
    <w:p>
      <w:pPr>
        <w:spacing w:after="0" w:line="211" w:lineRule="exact"/>
        <w:rPr>
          <w:sz w:val="20"/>
          <w:szCs w:val="20"/>
          <w:color w:val="auto"/>
        </w:rPr>
      </w:pPr>
    </w:p>
    <w:p>
      <w:pPr>
        <w:ind w:left="120" w:right="760" w:firstLine="881"/>
        <w:spacing w:after="0" w:line="277" w:lineRule="auto"/>
        <w:rPr>
          <w:sz w:val="20"/>
          <w:szCs w:val="20"/>
          <w:color w:val="auto"/>
        </w:rPr>
      </w:pPr>
      <w:r>
        <w:rPr>
          <w:rFonts w:ascii="Arial" w:cs="Arial" w:eastAsia="Arial" w:hAnsi="Arial"/>
          <w:sz w:val="18"/>
          <w:szCs w:val="18"/>
          <w:color w:val="auto"/>
        </w:rPr>
        <w:t xml:space="preserve">To learn more, please visit the Corporate Responsibility section of our website at </w:t>
      </w:r>
      <w:r>
        <w:rPr>
          <w:rFonts w:ascii="Arial" w:cs="Arial" w:eastAsia="Arial" w:hAnsi="Arial"/>
          <w:sz w:val="18"/>
          <w:szCs w:val="18"/>
          <w:i w:val="1"/>
          <w:iCs w:val="1"/>
          <w:color w:val="auto"/>
        </w:rPr>
        <w:t>www.agnc.com/corporate-responsibility</w:t>
      </w:r>
      <w:r>
        <w:rPr>
          <w:rFonts w:ascii="Arial" w:cs="Arial" w:eastAsia="Arial" w:hAnsi="Arial"/>
          <w:sz w:val="18"/>
          <w:szCs w:val="18"/>
          <w:color w:val="auto"/>
        </w:rPr>
        <w:t xml:space="preserve"> or email </w:t>
      </w:r>
      <w:r>
        <w:rPr>
          <w:rFonts w:ascii="Arial" w:cs="Arial" w:eastAsia="Arial" w:hAnsi="Arial"/>
          <w:sz w:val="18"/>
          <w:szCs w:val="18"/>
          <w:i w:val="1"/>
          <w:iCs w:val="1"/>
          <w:color w:val="auto"/>
        </w:rPr>
        <w:t>CR@agnc.com.</w:t>
      </w:r>
    </w:p>
    <w:p>
      <w:pPr>
        <w:spacing w:after="0" w:line="274"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Director Compensation</w:t>
      </w:r>
    </w:p>
    <w:p>
      <w:pPr>
        <w:spacing w:after="0" w:line="121" w:lineRule="exact"/>
        <w:rPr>
          <w:sz w:val="20"/>
          <w:szCs w:val="20"/>
          <w:color w:val="auto"/>
        </w:rPr>
      </w:pPr>
    </w:p>
    <w:p>
      <w:pPr>
        <w:ind w:left="120" w:right="20" w:firstLine="881"/>
        <w:spacing w:after="0" w:line="272" w:lineRule="auto"/>
        <w:rPr>
          <w:sz w:val="20"/>
          <w:szCs w:val="20"/>
          <w:color w:val="auto"/>
        </w:rPr>
      </w:pPr>
      <w:r>
        <w:rPr>
          <w:rFonts w:ascii="Arial" w:cs="Arial" w:eastAsia="Arial" w:hAnsi="Arial"/>
          <w:sz w:val="17"/>
          <w:szCs w:val="17"/>
          <w:color w:val="auto"/>
        </w:rPr>
        <w:t>As described in more detail below, we compensate our independent directors with cash retainers and equity-based awards. Directors who are employees of the Company or our subsidiaries do not receive any compensation for service as a member of the Board, although we reimburse all directors for travel expenses incurred in connection with Board and committee meetings and Board-related functions. The Compensation Committee periodically reviews the form and amount of compensation paid to our independent directors to ensure it remains consistent with quality corporate governance practices. In these reviews, the Compensation Committee regularly consults with FW Cook for advice on the design and structure of the program, information on recent trends and developments in non-employee director compensation, general industry data, and analyses of the competitiveness of our non-employee director compensation levels relative to comparable companies.</w:t>
      </w:r>
    </w:p>
    <w:p>
      <w:pPr>
        <w:spacing w:after="0" w:line="177" w:lineRule="exact"/>
        <w:rPr>
          <w:sz w:val="20"/>
          <w:szCs w:val="20"/>
          <w:color w:val="auto"/>
        </w:rPr>
      </w:pPr>
    </w:p>
    <w:p>
      <w:pPr>
        <w:ind w:left="120" w:right="20" w:firstLine="881"/>
        <w:spacing w:after="0" w:line="290" w:lineRule="auto"/>
        <w:rPr>
          <w:sz w:val="20"/>
          <w:szCs w:val="20"/>
          <w:color w:val="auto"/>
        </w:rPr>
      </w:pPr>
      <w:r>
        <w:rPr>
          <w:rFonts w:ascii="Arial" w:cs="Arial" w:eastAsia="Arial" w:hAnsi="Arial"/>
          <w:sz w:val="16"/>
          <w:szCs w:val="16"/>
          <w:color w:val="auto"/>
        </w:rPr>
        <w:t>In 2019, independent directors received a cash retainer for service on the Board at the annual rate of $100,000, payable quarterly in advance. The Chairs of our Audit Committee and Compensation Committee each received an additional retainer at an annual rate of $25,000, each payable quarterly in advance. Our Chair receives an additional annual retainer of $50,000, payable quarterly in advance. As part of its annual review of compensation for independent directors, the Board reviewed a compilation of compensation practices for independent directors at a group of comparable companies provided by FW Cook. Following its 2019 review, the Board concluded that the annual retainer paid to the independent directors for service on the Board should be increased from $100,000 per year to $112,500 per year effective January 1, 2020 after considering the increased expectations of our directors, competitive market practices, and noting that the annual retainer had been set at $100,000 since 2015. The Board concluded that the retainers for Board and committee chair positions continued to be reasonable in light of the work required in each role.</w:t>
      </w:r>
    </w:p>
    <w:p>
      <w:pPr>
        <w:spacing w:after="0" w:line="165" w:lineRule="exact"/>
        <w:rPr>
          <w:sz w:val="20"/>
          <w:szCs w:val="20"/>
          <w:color w:val="auto"/>
        </w:rPr>
      </w:pPr>
    </w:p>
    <w:p>
      <w:pPr>
        <w:ind w:left="120" w:right="100" w:firstLine="881"/>
        <w:spacing w:after="0" w:line="296" w:lineRule="auto"/>
        <w:rPr>
          <w:sz w:val="20"/>
          <w:szCs w:val="20"/>
          <w:color w:val="auto"/>
        </w:rPr>
      </w:pPr>
      <w:r>
        <w:rPr>
          <w:rFonts w:ascii="Arial" w:cs="Arial" w:eastAsia="Arial" w:hAnsi="Arial"/>
          <w:sz w:val="16"/>
          <w:szCs w:val="16"/>
          <w:color w:val="auto"/>
        </w:rPr>
        <w:t>The Board believes that a substantial portion of director compensation should consist of equity-based compensation to assist in aligning the long-term interests of our directors with those of our stockholders. On April 18, 2019, each of our independent directors serving on the Board at that time received 6,913 RSUs under the AGNC Investment Corp. 2016 Equity and Incentive Compensation Plan (the “2016 Plan”), which is described in more detail below. The RSUs vest on April 18, 2020, subject to the director’s continued service on our Board through the vesting date. Each RSU represents the right to receive an equivalent number of shares of our common stock, plus dividend equivalents, subject to the terms of the 2016 Plan.</w:t>
      </w:r>
    </w:p>
    <w:p>
      <w:pPr>
        <w:spacing w:after="0" w:line="90" w:lineRule="exact"/>
        <w:rPr>
          <w:sz w:val="20"/>
          <w:szCs w:val="20"/>
          <w:color w:val="auto"/>
        </w:rPr>
      </w:pPr>
    </w:p>
    <w:p>
      <w:pPr>
        <w:ind w:left="8040"/>
        <w:spacing w:after="0"/>
        <w:tabs>
          <w:tab w:leader="none" w:pos="1104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9</w:t>
      </w:r>
    </w:p>
    <w:p>
      <w:pPr>
        <w:sectPr>
          <w:pgSz w:w="11900" w:h="16838" w:orient="portrait"/>
          <w:cols w:equalWidth="0" w:num="1">
            <w:col w:w="11140"/>
          </w:cols>
          <w:pgMar w:left="320" w:top="459" w:right="439" w:bottom="1440" w:gutter="0" w:footer="0" w:header="0"/>
        </w:sectPr>
      </w:pPr>
    </w:p>
    <w:bookmarkStart w:id="22" w:name="page23"/>
    <w:bookmarkEnd w:id="2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The following table sets forth the compensation received by each independent director during 2019:</w:t>
      </w:r>
    </w:p>
    <w:p>
      <w:pPr>
        <w:spacing w:after="0" w:line="246" w:lineRule="exact"/>
        <w:rPr>
          <w:sz w:val="20"/>
          <w:szCs w:val="20"/>
          <w:color w:val="auto"/>
        </w:rPr>
      </w:pPr>
    </w:p>
    <w:tbl>
      <w:tblPr>
        <w:tblLayout w:type="fixed"/>
        <w:tblInd w:w="120" w:type="dxa"/>
        <w:tblCellMar>
          <w:top w:w="0" w:type="dxa"/>
          <w:left w:w="0" w:type="dxa"/>
          <w:bottom w:w="0" w:type="dxa"/>
          <w:right w:w="0" w:type="dxa"/>
        </w:tblCellMar>
      </w:tblPr>
      <w:tr>
        <w:trPr>
          <w:trHeight w:val="130"/>
        </w:trPr>
        <w:tc>
          <w:tcPr>
            <w:tcW w:w="880" w:type="dxa"/>
            <w:vAlign w:val="bottom"/>
          </w:tcPr>
          <w:p>
            <w:pPr>
              <w:spacing w:after="0"/>
              <w:rPr>
                <w:sz w:val="11"/>
                <w:szCs w:val="11"/>
                <w:color w:val="auto"/>
              </w:rPr>
            </w:pPr>
          </w:p>
        </w:tc>
        <w:tc>
          <w:tcPr>
            <w:tcW w:w="2980" w:type="dxa"/>
            <w:vAlign w:val="bottom"/>
            <w:tcBorders>
              <w:top w:val="single" w:sz="8" w:color="407CCA"/>
            </w:tcBorders>
          </w:tcPr>
          <w:p>
            <w:pPr>
              <w:spacing w:after="0"/>
              <w:rPr>
                <w:sz w:val="11"/>
                <w:szCs w:val="11"/>
                <w:color w:val="auto"/>
              </w:rPr>
            </w:pPr>
          </w:p>
        </w:tc>
        <w:tc>
          <w:tcPr>
            <w:tcW w:w="3720" w:type="dxa"/>
            <w:vAlign w:val="bottom"/>
            <w:tcBorders>
              <w:top w:val="single" w:sz="8" w:color="407CCA"/>
            </w:tcBorders>
          </w:tcPr>
          <w:p>
            <w:pPr>
              <w:jc w:val="center"/>
              <w:ind w:left="2261"/>
              <w:spacing w:after="0" w:line="131" w:lineRule="exact"/>
              <w:rPr>
                <w:sz w:val="20"/>
                <w:szCs w:val="20"/>
                <w:color w:val="auto"/>
              </w:rPr>
            </w:pPr>
            <w:r>
              <w:rPr>
                <w:rFonts w:ascii="Arial" w:cs="Arial" w:eastAsia="Arial" w:hAnsi="Arial"/>
                <w:sz w:val="13"/>
                <w:szCs w:val="13"/>
                <w:b w:val="1"/>
                <w:bCs w:val="1"/>
                <w:color w:val="auto"/>
                <w:w w:val="85"/>
              </w:rPr>
              <w:t>Fees Earned</w:t>
            </w:r>
          </w:p>
        </w:tc>
        <w:tc>
          <w:tcPr>
            <w:tcW w:w="1340" w:type="dxa"/>
            <w:vAlign w:val="bottom"/>
            <w:tcBorders>
              <w:top w:val="single" w:sz="8" w:color="407CCA"/>
            </w:tcBorders>
          </w:tcPr>
          <w:p>
            <w:pPr>
              <w:spacing w:after="0"/>
              <w:rPr>
                <w:sz w:val="11"/>
                <w:szCs w:val="11"/>
                <w:color w:val="auto"/>
              </w:rPr>
            </w:pPr>
          </w:p>
        </w:tc>
        <w:tc>
          <w:tcPr>
            <w:tcW w:w="1220" w:type="dxa"/>
            <w:vAlign w:val="bottom"/>
            <w:tcBorders>
              <w:top w:val="single" w:sz="8" w:color="407CCA"/>
            </w:tcBorders>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880" w:type="dxa"/>
            <w:vAlign w:val="bottom"/>
          </w:tcPr>
          <w:p>
            <w:pPr>
              <w:spacing w:after="0"/>
              <w:rPr>
                <w:sz w:val="11"/>
                <w:szCs w:val="11"/>
                <w:color w:val="auto"/>
              </w:rPr>
            </w:pPr>
          </w:p>
        </w:tc>
        <w:tc>
          <w:tcPr>
            <w:tcW w:w="2980" w:type="dxa"/>
            <w:vAlign w:val="bottom"/>
          </w:tcPr>
          <w:p>
            <w:pPr>
              <w:spacing w:after="0"/>
              <w:rPr>
                <w:sz w:val="11"/>
                <w:szCs w:val="11"/>
                <w:color w:val="auto"/>
              </w:rPr>
            </w:pPr>
          </w:p>
        </w:tc>
        <w:tc>
          <w:tcPr>
            <w:tcW w:w="3720" w:type="dxa"/>
            <w:vAlign w:val="bottom"/>
          </w:tcPr>
          <w:p>
            <w:pPr>
              <w:jc w:val="center"/>
              <w:ind w:left="2261"/>
              <w:spacing w:after="0" w:line="135" w:lineRule="exact"/>
              <w:rPr>
                <w:sz w:val="20"/>
                <w:szCs w:val="20"/>
                <w:color w:val="auto"/>
              </w:rPr>
            </w:pPr>
            <w:r>
              <w:rPr>
                <w:rFonts w:ascii="Arial" w:cs="Arial" w:eastAsia="Arial" w:hAnsi="Arial"/>
                <w:sz w:val="13"/>
                <w:szCs w:val="13"/>
                <w:b w:val="1"/>
                <w:bCs w:val="1"/>
                <w:color w:val="auto"/>
                <w:w w:val="91"/>
              </w:rPr>
              <w:t>or Paid in</w:t>
            </w:r>
          </w:p>
        </w:tc>
        <w:tc>
          <w:tcPr>
            <w:tcW w:w="134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84"/>
              </w:rPr>
              <w:t>Stock</w:t>
            </w:r>
          </w:p>
        </w:tc>
        <w:tc>
          <w:tcPr>
            <w:tcW w:w="12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880" w:type="dxa"/>
            <w:vAlign w:val="bottom"/>
          </w:tcPr>
          <w:p>
            <w:pPr>
              <w:spacing w:after="0"/>
              <w:rPr>
                <w:sz w:val="11"/>
                <w:szCs w:val="11"/>
                <w:color w:val="auto"/>
              </w:rPr>
            </w:pPr>
          </w:p>
        </w:tc>
        <w:tc>
          <w:tcPr>
            <w:tcW w:w="2980" w:type="dxa"/>
            <w:vAlign w:val="bottom"/>
            <w:vMerge w:val="restart"/>
          </w:tcPr>
          <w:p>
            <w:pPr>
              <w:ind w:left="100"/>
              <w:spacing w:after="0"/>
              <w:rPr>
                <w:sz w:val="20"/>
                <w:szCs w:val="20"/>
                <w:color w:val="auto"/>
              </w:rPr>
            </w:pPr>
            <w:r>
              <w:rPr>
                <w:rFonts w:ascii="Arial" w:cs="Arial" w:eastAsia="Arial" w:hAnsi="Arial"/>
                <w:sz w:val="18"/>
                <w:szCs w:val="18"/>
                <w:b w:val="1"/>
                <w:bCs w:val="1"/>
                <w:color w:val="auto"/>
              </w:rPr>
              <w:t>Name</w:t>
            </w:r>
          </w:p>
        </w:tc>
        <w:tc>
          <w:tcPr>
            <w:tcW w:w="3720" w:type="dxa"/>
            <w:vAlign w:val="bottom"/>
          </w:tcPr>
          <w:p>
            <w:pPr>
              <w:jc w:val="center"/>
              <w:ind w:left="2261"/>
              <w:spacing w:after="0" w:line="135" w:lineRule="exact"/>
              <w:rPr>
                <w:sz w:val="20"/>
                <w:szCs w:val="20"/>
                <w:color w:val="auto"/>
              </w:rPr>
            </w:pPr>
            <w:r>
              <w:rPr>
                <w:rFonts w:ascii="Arial" w:cs="Arial" w:eastAsia="Arial" w:hAnsi="Arial"/>
                <w:sz w:val="13"/>
                <w:szCs w:val="13"/>
                <w:b w:val="1"/>
                <w:bCs w:val="1"/>
                <w:color w:val="auto"/>
                <w:w w:val="81"/>
              </w:rPr>
              <w:t>Cash</w:t>
            </w:r>
          </w:p>
        </w:tc>
        <w:tc>
          <w:tcPr>
            <w:tcW w:w="134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85"/>
              </w:rPr>
              <w:t>Awards</w:t>
            </w:r>
          </w:p>
        </w:tc>
        <w:tc>
          <w:tcPr>
            <w:tcW w:w="1220" w:type="dxa"/>
            <w:vAlign w:val="bottom"/>
          </w:tcPr>
          <w:p>
            <w:pPr>
              <w:jc w:val="right"/>
              <w:ind w:right="357"/>
              <w:spacing w:after="0" w:line="135" w:lineRule="exact"/>
              <w:rPr>
                <w:sz w:val="20"/>
                <w:szCs w:val="20"/>
                <w:color w:val="auto"/>
              </w:rPr>
            </w:pPr>
            <w:r>
              <w:rPr>
                <w:rFonts w:ascii="Arial" w:cs="Arial" w:eastAsia="Arial" w:hAnsi="Arial"/>
                <w:sz w:val="13"/>
                <w:szCs w:val="13"/>
                <w:b w:val="1"/>
                <w:bCs w:val="1"/>
                <w:color w:val="auto"/>
              </w:rPr>
              <w:t>Total</w:t>
            </w:r>
          </w:p>
        </w:tc>
        <w:tc>
          <w:tcPr>
            <w:tcW w:w="0" w:type="dxa"/>
            <w:vAlign w:val="bottom"/>
          </w:tcPr>
          <w:p>
            <w:pPr>
              <w:spacing w:after="0"/>
              <w:rPr>
                <w:sz w:val="1"/>
                <w:szCs w:val="1"/>
                <w:color w:val="auto"/>
              </w:rPr>
            </w:pPr>
          </w:p>
        </w:tc>
      </w:tr>
      <w:tr>
        <w:trPr>
          <w:trHeight w:val="153"/>
        </w:trPr>
        <w:tc>
          <w:tcPr>
            <w:tcW w:w="880" w:type="dxa"/>
            <w:vAlign w:val="bottom"/>
          </w:tcPr>
          <w:p>
            <w:pPr>
              <w:spacing w:after="0"/>
              <w:rPr>
                <w:sz w:val="13"/>
                <w:szCs w:val="13"/>
                <w:color w:val="auto"/>
              </w:rPr>
            </w:pPr>
          </w:p>
        </w:tc>
        <w:tc>
          <w:tcPr>
            <w:tcW w:w="2980" w:type="dxa"/>
            <w:vAlign w:val="bottom"/>
            <w:tcBorders>
              <w:bottom w:val="single" w:sz="8" w:color="407CCA"/>
            </w:tcBorders>
            <w:vMerge w:val="continue"/>
          </w:tcPr>
          <w:p>
            <w:pPr>
              <w:spacing w:after="0"/>
              <w:rPr>
                <w:sz w:val="13"/>
                <w:szCs w:val="13"/>
                <w:color w:val="auto"/>
              </w:rPr>
            </w:pPr>
          </w:p>
        </w:tc>
        <w:tc>
          <w:tcPr>
            <w:tcW w:w="3720" w:type="dxa"/>
            <w:vAlign w:val="bottom"/>
            <w:tcBorders>
              <w:bottom w:val="single" w:sz="8" w:color="407CCA"/>
            </w:tcBorders>
          </w:tcPr>
          <w:p>
            <w:pPr>
              <w:jc w:val="center"/>
              <w:ind w:left="2261"/>
              <w:spacing w:after="0"/>
              <w:rPr>
                <w:sz w:val="20"/>
                <w:szCs w:val="20"/>
                <w:color w:val="auto"/>
              </w:rPr>
            </w:pPr>
            <w:r>
              <w:rPr>
                <w:rFonts w:ascii="Arial" w:cs="Arial" w:eastAsia="Arial" w:hAnsi="Arial"/>
                <w:sz w:val="13"/>
                <w:szCs w:val="13"/>
                <w:b w:val="1"/>
                <w:bCs w:val="1"/>
                <w:color w:val="auto"/>
                <w:w w:val="87"/>
              </w:rPr>
              <w:t>($)</w:t>
            </w:r>
          </w:p>
        </w:tc>
        <w:tc>
          <w:tcPr>
            <w:tcW w:w="1340" w:type="dxa"/>
            <w:vAlign w:val="bottom"/>
            <w:tcBorders>
              <w:bottom w:val="single" w:sz="8" w:color="407CCA"/>
            </w:tcBorders>
          </w:tcPr>
          <w:p>
            <w:pPr>
              <w:jc w:val="center"/>
              <w:spacing w:after="0"/>
              <w:rPr>
                <w:sz w:val="20"/>
                <w:szCs w:val="20"/>
                <w:color w:val="auto"/>
              </w:rPr>
            </w:pPr>
            <w:r>
              <w:rPr>
                <w:rFonts w:ascii="Arial" w:cs="Arial" w:eastAsia="Arial" w:hAnsi="Arial"/>
                <w:sz w:val="13"/>
                <w:szCs w:val="13"/>
                <w:b w:val="1"/>
                <w:bCs w:val="1"/>
                <w:color w:val="auto"/>
                <w:w w:val="99"/>
              </w:rPr>
              <w:t>($)</w:t>
            </w:r>
            <w:r>
              <w:rPr>
                <w:rFonts w:ascii="Arial" w:cs="Arial" w:eastAsia="Arial" w:hAnsi="Arial"/>
                <w:sz w:val="10"/>
                <w:szCs w:val="10"/>
                <w:b w:val="1"/>
                <w:bCs w:val="1"/>
                <w:color w:val="auto"/>
                <w:w w:val="99"/>
              </w:rPr>
              <w:t>(1)</w:t>
            </w:r>
          </w:p>
        </w:tc>
        <w:tc>
          <w:tcPr>
            <w:tcW w:w="1220" w:type="dxa"/>
            <w:vAlign w:val="bottom"/>
            <w:tcBorders>
              <w:bottom w:val="single" w:sz="8" w:color="407CCA"/>
            </w:tcBorders>
          </w:tcPr>
          <w:p>
            <w:pPr>
              <w:jc w:val="right"/>
              <w:ind w:right="437"/>
              <w:spacing w:after="0"/>
              <w:rPr>
                <w:sz w:val="20"/>
                <w:szCs w:val="20"/>
                <w:color w:val="auto"/>
              </w:rPr>
            </w:pPr>
            <w:r>
              <w:rPr>
                <w:rFonts w:ascii="Arial" w:cs="Arial" w:eastAsia="Arial" w:hAnsi="Arial"/>
                <w:sz w:val="13"/>
                <w:szCs w:val="13"/>
                <w:b w:val="1"/>
                <w:bCs w:val="1"/>
                <w:color w:val="auto"/>
              </w:rPr>
              <w:t>($)</w:t>
            </w:r>
          </w:p>
        </w:tc>
        <w:tc>
          <w:tcPr>
            <w:tcW w:w="0" w:type="dxa"/>
            <w:vAlign w:val="bottom"/>
          </w:tcPr>
          <w:p>
            <w:pPr>
              <w:spacing w:after="0"/>
              <w:rPr>
                <w:sz w:val="1"/>
                <w:szCs w:val="1"/>
                <w:color w:val="auto"/>
              </w:rPr>
            </w:pPr>
          </w:p>
        </w:tc>
      </w:tr>
      <w:tr>
        <w:trPr>
          <w:trHeight w:val="257"/>
        </w:trPr>
        <w:tc>
          <w:tcPr>
            <w:tcW w:w="880" w:type="dxa"/>
            <w:vAlign w:val="bottom"/>
          </w:tcPr>
          <w:p>
            <w:pPr>
              <w:spacing w:after="0"/>
              <w:rPr>
                <w:sz w:val="22"/>
                <w:szCs w:val="22"/>
                <w:color w:val="auto"/>
              </w:rPr>
            </w:pPr>
          </w:p>
        </w:tc>
        <w:tc>
          <w:tcPr>
            <w:tcW w:w="2980" w:type="dxa"/>
            <w:vAlign w:val="bottom"/>
            <w:tcBorders>
              <w:bottom w:val="single" w:sz="8" w:color="CCEEFF"/>
            </w:tcBorders>
            <w:shd w:val="clear" w:color="auto" w:fill="CCEEFF"/>
          </w:tcPr>
          <w:p>
            <w:pPr>
              <w:ind w:left="100"/>
              <w:spacing w:after="0"/>
              <w:rPr>
                <w:sz w:val="20"/>
                <w:szCs w:val="20"/>
                <w:color w:val="auto"/>
              </w:rPr>
            </w:pPr>
            <w:r>
              <w:rPr>
                <w:rFonts w:ascii="Arial" w:cs="Arial" w:eastAsia="Arial" w:hAnsi="Arial"/>
                <w:sz w:val="18"/>
                <w:szCs w:val="18"/>
                <w:color w:val="auto"/>
              </w:rPr>
              <w:t>Donna J. Blank</w:t>
            </w:r>
          </w:p>
        </w:tc>
        <w:tc>
          <w:tcPr>
            <w:tcW w:w="3720" w:type="dxa"/>
            <w:vAlign w:val="bottom"/>
            <w:tcBorders>
              <w:bottom w:val="single" w:sz="8" w:color="CCEEFF"/>
            </w:tcBorders>
            <w:shd w:val="clear" w:color="auto" w:fill="CCEEFF"/>
          </w:tcPr>
          <w:p>
            <w:pPr>
              <w:jc w:val="right"/>
              <w:ind w:right="361"/>
              <w:spacing w:after="0"/>
              <w:rPr>
                <w:sz w:val="20"/>
                <w:szCs w:val="20"/>
                <w:color w:val="auto"/>
              </w:rPr>
            </w:pPr>
            <w:r>
              <w:rPr>
                <w:rFonts w:ascii="Arial" w:cs="Arial" w:eastAsia="Arial" w:hAnsi="Arial"/>
                <w:sz w:val="18"/>
                <w:szCs w:val="18"/>
                <w:color w:val="auto"/>
              </w:rPr>
              <w:t>116,667</w:t>
            </w:r>
          </w:p>
        </w:tc>
        <w:tc>
          <w:tcPr>
            <w:tcW w:w="134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8"/>
                <w:szCs w:val="18"/>
                <w:color w:val="auto"/>
                <w:w w:val="89"/>
              </w:rPr>
              <w:t>125,000</w:t>
            </w:r>
          </w:p>
        </w:tc>
        <w:tc>
          <w:tcPr>
            <w:tcW w:w="1220" w:type="dxa"/>
            <w:vAlign w:val="bottom"/>
            <w:tcBorders>
              <w:bottom w:val="single" w:sz="8" w:color="CCEEFF"/>
            </w:tcBorders>
            <w:shd w:val="clear" w:color="auto" w:fill="CCEEFF"/>
          </w:tcPr>
          <w:p>
            <w:pPr>
              <w:jc w:val="right"/>
              <w:ind w:right="177"/>
              <w:spacing w:after="0"/>
              <w:rPr>
                <w:sz w:val="20"/>
                <w:szCs w:val="20"/>
                <w:color w:val="auto"/>
              </w:rPr>
            </w:pPr>
            <w:r>
              <w:rPr>
                <w:rFonts w:ascii="Arial" w:cs="Arial" w:eastAsia="Arial" w:hAnsi="Arial"/>
                <w:sz w:val="18"/>
                <w:szCs w:val="18"/>
                <w:color w:val="auto"/>
              </w:rPr>
              <w:t>241,667</w:t>
            </w:r>
          </w:p>
        </w:tc>
        <w:tc>
          <w:tcPr>
            <w:tcW w:w="0" w:type="dxa"/>
            <w:vAlign w:val="bottom"/>
          </w:tcPr>
          <w:p>
            <w:pPr>
              <w:spacing w:after="0"/>
              <w:rPr>
                <w:sz w:val="1"/>
                <w:szCs w:val="1"/>
                <w:color w:val="auto"/>
              </w:rPr>
            </w:pPr>
          </w:p>
        </w:tc>
      </w:tr>
      <w:tr>
        <w:trPr>
          <w:trHeight w:val="257"/>
        </w:trPr>
        <w:tc>
          <w:tcPr>
            <w:tcW w:w="880" w:type="dxa"/>
            <w:vAlign w:val="bottom"/>
          </w:tcPr>
          <w:p>
            <w:pPr>
              <w:spacing w:after="0"/>
              <w:rPr>
                <w:sz w:val="22"/>
                <w:szCs w:val="22"/>
                <w:color w:val="auto"/>
              </w:rPr>
            </w:pPr>
          </w:p>
        </w:tc>
        <w:tc>
          <w:tcPr>
            <w:tcW w:w="2980" w:type="dxa"/>
            <w:vAlign w:val="bottom"/>
          </w:tcPr>
          <w:p>
            <w:pPr>
              <w:ind w:left="100"/>
              <w:spacing w:after="0"/>
              <w:rPr>
                <w:sz w:val="20"/>
                <w:szCs w:val="20"/>
                <w:color w:val="auto"/>
              </w:rPr>
            </w:pPr>
            <w:r>
              <w:rPr>
                <w:rFonts w:ascii="Arial" w:cs="Arial" w:eastAsia="Arial" w:hAnsi="Arial"/>
                <w:sz w:val="18"/>
                <w:szCs w:val="18"/>
                <w:color w:val="auto"/>
              </w:rPr>
              <w:t>Morris A. Davis</w:t>
            </w:r>
          </w:p>
        </w:tc>
        <w:tc>
          <w:tcPr>
            <w:tcW w:w="3720" w:type="dxa"/>
            <w:vAlign w:val="bottom"/>
          </w:tcPr>
          <w:p>
            <w:pPr>
              <w:jc w:val="right"/>
              <w:ind w:right="361"/>
              <w:spacing w:after="0"/>
              <w:rPr>
                <w:sz w:val="20"/>
                <w:szCs w:val="20"/>
                <w:color w:val="auto"/>
              </w:rPr>
            </w:pPr>
            <w:r>
              <w:rPr>
                <w:rFonts w:ascii="Arial" w:cs="Arial" w:eastAsia="Arial" w:hAnsi="Arial"/>
                <w:sz w:val="18"/>
                <w:szCs w:val="18"/>
                <w:color w:val="auto"/>
              </w:rPr>
              <w:t>125,000</w:t>
            </w:r>
          </w:p>
        </w:tc>
        <w:tc>
          <w:tcPr>
            <w:tcW w:w="1340" w:type="dxa"/>
            <w:vAlign w:val="bottom"/>
          </w:tcPr>
          <w:p>
            <w:pPr>
              <w:jc w:val="center"/>
              <w:spacing w:after="0"/>
              <w:rPr>
                <w:sz w:val="20"/>
                <w:szCs w:val="20"/>
                <w:color w:val="auto"/>
              </w:rPr>
            </w:pPr>
            <w:r>
              <w:rPr>
                <w:rFonts w:ascii="Arial" w:cs="Arial" w:eastAsia="Arial" w:hAnsi="Arial"/>
                <w:sz w:val="18"/>
                <w:szCs w:val="18"/>
                <w:color w:val="auto"/>
                <w:w w:val="89"/>
              </w:rPr>
              <w:t>125,000</w:t>
            </w:r>
          </w:p>
        </w:tc>
        <w:tc>
          <w:tcPr>
            <w:tcW w:w="1220" w:type="dxa"/>
            <w:vAlign w:val="bottom"/>
          </w:tcPr>
          <w:p>
            <w:pPr>
              <w:jc w:val="right"/>
              <w:ind w:right="177"/>
              <w:spacing w:after="0"/>
              <w:rPr>
                <w:sz w:val="20"/>
                <w:szCs w:val="20"/>
                <w:color w:val="auto"/>
              </w:rPr>
            </w:pPr>
            <w:r>
              <w:rPr>
                <w:rFonts w:ascii="Arial" w:cs="Arial" w:eastAsia="Arial" w:hAnsi="Arial"/>
                <w:sz w:val="18"/>
                <w:szCs w:val="18"/>
                <w:color w:val="auto"/>
              </w:rPr>
              <w:t>250,000</w:t>
            </w:r>
          </w:p>
        </w:tc>
        <w:tc>
          <w:tcPr>
            <w:tcW w:w="0" w:type="dxa"/>
            <w:vAlign w:val="bottom"/>
          </w:tcPr>
          <w:p>
            <w:pPr>
              <w:spacing w:after="0"/>
              <w:rPr>
                <w:sz w:val="1"/>
                <w:szCs w:val="1"/>
                <w:color w:val="auto"/>
              </w:rPr>
            </w:pPr>
          </w:p>
        </w:tc>
      </w:tr>
      <w:tr>
        <w:trPr>
          <w:trHeight w:val="27"/>
        </w:trPr>
        <w:tc>
          <w:tcPr>
            <w:tcW w:w="880" w:type="dxa"/>
            <w:vAlign w:val="bottom"/>
          </w:tcPr>
          <w:p>
            <w:pPr>
              <w:spacing w:after="0"/>
              <w:rPr>
                <w:sz w:val="2"/>
                <w:szCs w:val="2"/>
                <w:color w:val="auto"/>
              </w:rPr>
            </w:pPr>
          </w:p>
        </w:tc>
        <w:tc>
          <w:tcPr>
            <w:tcW w:w="2980" w:type="dxa"/>
            <w:vAlign w:val="bottom"/>
          </w:tcPr>
          <w:p>
            <w:pPr>
              <w:spacing w:after="0"/>
              <w:rPr>
                <w:sz w:val="2"/>
                <w:szCs w:val="2"/>
                <w:color w:val="auto"/>
              </w:rPr>
            </w:pPr>
          </w:p>
        </w:tc>
        <w:tc>
          <w:tcPr>
            <w:tcW w:w="3720" w:type="dxa"/>
            <w:vAlign w:val="bottom"/>
          </w:tcPr>
          <w:p>
            <w:pPr>
              <w:spacing w:after="0"/>
              <w:rPr>
                <w:sz w:val="2"/>
                <w:szCs w:val="2"/>
                <w:color w:val="auto"/>
              </w:rPr>
            </w:pPr>
          </w:p>
        </w:tc>
        <w:tc>
          <w:tcPr>
            <w:tcW w:w="1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63"/>
        </w:trPr>
        <w:tc>
          <w:tcPr>
            <w:tcW w:w="880" w:type="dxa"/>
            <w:vAlign w:val="bottom"/>
          </w:tcPr>
          <w:p>
            <w:pPr>
              <w:spacing w:after="0"/>
              <w:rPr>
                <w:sz w:val="22"/>
                <w:szCs w:val="22"/>
                <w:color w:val="auto"/>
              </w:rPr>
            </w:pPr>
          </w:p>
        </w:tc>
        <w:tc>
          <w:tcPr>
            <w:tcW w:w="2980" w:type="dxa"/>
            <w:vAlign w:val="bottom"/>
            <w:tcBorders>
              <w:bottom w:val="single" w:sz="8" w:color="CCEEFF"/>
            </w:tcBorders>
            <w:shd w:val="clear" w:color="auto" w:fill="CCEEFF"/>
          </w:tcPr>
          <w:p>
            <w:pPr>
              <w:ind w:left="100"/>
              <w:spacing w:after="0"/>
              <w:rPr>
                <w:sz w:val="20"/>
                <w:szCs w:val="20"/>
                <w:color w:val="auto"/>
              </w:rPr>
            </w:pPr>
            <w:r>
              <w:rPr>
                <w:rFonts w:ascii="Arial" w:cs="Arial" w:eastAsia="Arial" w:hAnsi="Arial"/>
                <w:sz w:val="18"/>
                <w:szCs w:val="18"/>
                <w:color w:val="auto"/>
              </w:rPr>
              <w:t>Prue B. Larocca</w:t>
            </w:r>
          </w:p>
        </w:tc>
        <w:tc>
          <w:tcPr>
            <w:tcW w:w="3720" w:type="dxa"/>
            <w:vAlign w:val="bottom"/>
            <w:tcBorders>
              <w:bottom w:val="single" w:sz="8" w:color="CCEEFF"/>
            </w:tcBorders>
            <w:shd w:val="clear" w:color="auto" w:fill="CCEEFF"/>
          </w:tcPr>
          <w:p>
            <w:pPr>
              <w:jc w:val="right"/>
              <w:ind w:right="361"/>
              <w:spacing w:after="0"/>
              <w:rPr>
                <w:sz w:val="20"/>
                <w:szCs w:val="20"/>
                <w:color w:val="auto"/>
              </w:rPr>
            </w:pPr>
            <w:r>
              <w:rPr>
                <w:rFonts w:ascii="Arial" w:cs="Arial" w:eastAsia="Arial" w:hAnsi="Arial"/>
                <w:sz w:val="18"/>
                <w:szCs w:val="18"/>
                <w:color w:val="auto"/>
              </w:rPr>
              <w:t>150,000</w:t>
            </w:r>
          </w:p>
        </w:tc>
        <w:tc>
          <w:tcPr>
            <w:tcW w:w="134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8"/>
                <w:szCs w:val="18"/>
                <w:color w:val="auto"/>
                <w:w w:val="89"/>
              </w:rPr>
              <w:t>125,000</w:t>
            </w:r>
          </w:p>
        </w:tc>
        <w:tc>
          <w:tcPr>
            <w:tcW w:w="1220" w:type="dxa"/>
            <w:vAlign w:val="bottom"/>
            <w:tcBorders>
              <w:bottom w:val="single" w:sz="8" w:color="CCEEFF"/>
            </w:tcBorders>
            <w:shd w:val="clear" w:color="auto" w:fill="CCEEFF"/>
          </w:tcPr>
          <w:p>
            <w:pPr>
              <w:jc w:val="right"/>
              <w:ind w:right="177"/>
              <w:spacing w:after="0"/>
              <w:rPr>
                <w:sz w:val="20"/>
                <w:szCs w:val="20"/>
                <w:color w:val="auto"/>
              </w:rPr>
            </w:pPr>
            <w:r>
              <w:rPr>
                <w:rFonts w:ascii="Arial" w:cs="Arial" w:eastAsia="Arial" w:hAnsi="Arial"/>
                <w:sz w:val="18"/>
                <w:szCs w:val="18"/>
                <w:color w:val="auto"/>
              </w:rPr>
              <w:t>275,000</w:t>
            </w:r>
          </w:p>
        </w:tc>
        <w:tc>
          <w:tcPr>
            <w:tcW w:w="0" w:type="dxa"/>
            <w:vAlign w:val="bottom"/>
          </w:tcPr>
          <w:p>
            <w:pPr>
              <w:spacing w:after="0"/>
              <w:rPr>
                <w:sz w:val="1"/>
                <w:szCs w:val="1"/>
                <w:color w:val="auto"/>
              </w:rPr>
            </w:pPr>
          </w:p>
        </w:tc>
      </w:tr>
      <w:tr>
        <w:trPr>
          <w:trHeight w:val="283"/>
        </w:trPr>
        <w:tc>
          <w:tcPr>
            <w:tcW w:w="880" w:type="dxa"/>
            <w:vAlign w:val="bottom"/>
          </w:tcPr>
          <w:p>
            <w:pPr>
              <w:spacing w:after="0"/>
              <w:rPr>
                <w:sz w:val="24"/>
                <w:szCs w:val="24"/>
                <w:color w:val="auto"/>
              </w:rPr>
            </w:pPr>
          </w:p>
        </w:tc>
        <w:tc>
          <w:tcPr>
            <w:tcW w:w="2980" w:type="dxa"/>
            <w:vAlign w:val="bottom"/>
          </w:tcPr>
          <w:p>
            <w:pPr>
              <w:ind w:left="100"/>
              <w:spacing w:after="0" w:line="284" w:lineRule="exact"/>
              <w:rPr>
                <w:sz w:val="20"/>
                <w:szCs w:val="20"/>
                <w:color w:val="auto"/>
              </w:rPr>
            </w:pPr>
            <w:r>
              <w:rPr>
                <w:rFonts w:ascii="Arial" w:cs="Arial" w:eastAsia="Arial" w:hAnsi="Arial"/>
                <w:sz w:val="18"/>
                <w:szCs w:val="18"/>
                <w:color w:val="auto"/>
              </w:rPr>
              <w:t>John D. Fisk</w:t>
            </w:r>
            <w:r>
              <w:rPr>
                <w:rFonts w:ascii="Arial" w:cs="Arial" w:eastAsia="Arial" w:hAnsi="Arial"/>
                <w:sz w:val="30"/>
                <w:szCs w:val="30"/>
                <w:color w:val="auto"/>
                <w:vertAlign w:val="superscript"/>
              </w:rPr>
              <w:t>(2)</w:t>
            </w:r>
          </w:p>
        </w:tc>
        <w:tc>
          <w:tcPr>
            <w:tcW w:w="3720" w:type="dxa"/>
            <w:vAlign w:val="bottom"/>
          </w:tcPr>
          <w:p>
            <w:pPr>
              <w:jc w:val="right"/>
              <w:ind w:right="361"/>
              <w:spacing w:after="0"/>
              <w:rPr>
                <w:sz w:val="20"/>
                <w:szCs w:val="20"/>
                <w:color w:val="auto"/>
              </w:rPr>
            </w:pPr>
            <w:r>
              <w:rPr>
                <w:rFonts w:ascii="Arial" w:cs="Arial" w:eastAsia="Arial" w:hAnsi="Arial"/>
                <w:sz w:val="18"/>
                <w:szCs w:val="18"/>
                <w:color w:val="auto"/>
              </w:rPr>
              <w:t>30,278</w:t>
            </w:r>
          </w:p>
        </w:tc>
        <w:tc>
          <w:tcPr>
            <w:tcW w:w="1340" w:type="dxa"/>
            <w:vAlign w:val="bottom"/>
          </w:tcPr>
          <w:p>
            <w:pPr>
              <w:jc w:val="center"/>
              <w:spacing w:after="0"/>
              <w:rPr>
                <w:sz w:val="20"/>
                <w:szCs w:val="20"/>
                <w:color w:val="auto"/>
              </w:rPr>
            </w:pPr>
            <w:r>
              <w:rPr>
                <w:rFonts w:ascii="Arial" w:cs="Arial" w:eastAsia="Arial" w:hAnsi="Arial"/>
                <w:sz w:val="18"/>
                <w:szCs w:val="18"/>
                <w:color w:val="auto"/>
                <w:w w:val="99"/>
              </w:rPr>
              <w:t>–</w:t>
            </w:r>
          </w:p>
        </w:tc>
        <w:tc>
          <w:tcPr>
            <w:tcW w:w="1220" w:type="dxa"/>
            <w:vAlign w:val="bottom"/>
          </w:tcPr>
          <w:p>
            <w:pPr>
              <w:jc w:val="right"/>
              <w:ind w:right="177"/>
              <w:spacing w:after="0"/>
              <w:rPr>
                <w:sz w:val="20"/>
                <w:szCs w:val="20"/>
                <w:color w:val="auto"/>
              </w:rPr>
            </w:pPr>
            <w:r>
              <w:rPr>
                <w:rFonts w:ascii="Arial" w:cs="Arial" w:eastAsia="Arial" w:hAnsi="Arial"/>
                <w:sz w:val="18"/>
                <w:szCs w:val="18"/>
                <w:color w:val="auto"/>
              </w:rPr>
              <w:t>30,278</w:t>
            </w:r>
          </w:p>
        </w:tc>
        <w:tc>
          <w:tcPr>
            <w:tcW w:w="0" w:type="dxa"/>
            <w:vAlign w:val="bottom"/>
          </w:tcPr>
          <w:p>
            <w:pPr>
              <w:spacing w:after="0"/>
              <w:rPr>
                <w:sz w:val="1"/>
                <w:szCs w:val="1"/>
                <w:color w:val="auto"/>
              </w:rPr>
            </w:pPr>
          </w:p>
        </w:tc>
      </w:tr>
      <w:tr>
        <w:trPr>
          <w:trHeight w:val="264"/>
        </w:trPr>
        <w:tc>
          <w:tcPr>
            <w:tcW w:w="880" w:type="dxa"/>
            <w:vAlign w:val="bottom"/>
          </w:tcPr>
          <w:p>
            <w:pPr>
              <w:spacing w:after="0"/>
              <w:rPr>
                <w:sz w:val="22"/>
                <w:szCs w:val="22"/>
                <w:color w:val="auto"/>
              </w:rPr>
            </w:pPr>
          </w:p>
        </w:tc>
        <w:tc>
          <w:tcPr>
            <w:tcW w:w="2980" w:type="dxa"/>
            <w:vAlign w:val="bottom"/>
            <w:tcBorders>
              <w:bottom w:val="single" w:sz="8" w:color="CCEEFF"/>
            </w:tcBorders>
            <w:shd w:val="clear" w:color="auto" w:fill="CCEEFF"/>
          </w:tcPr>
          <w:p>
            <w:pPr>
              <w:ind w:left="100"/>
              <w:spacing w:after="0"/>
              <w:rPr>
                <w:sz w:val="20"/>
                <w:szCs w:val="20"/>
                <w:color w:val="auto"/>
              </w:rPr>
            </w:pPr>
            <w:r>
              <w:rPr>
                <w:rFonts w:ascii="Arial" w:cs="Arial" w:eastAsia="Arial" w:hAnsi="Arial"/>
                <w:sz w:val="18"/>
                <w:szCs w:val="18"/>
                <w:color w:val="auto"/>
              </w:rPr>
              <w:t>Paul E. Mullings</w:t>
            </w:r>
          </w:p>
        </w:tc>
        <w:tc>
          <w:tcPr>
            <w:tcW w:w="3720" w:type="dxa"/>
            <w:vAlign w:val="bottom"/>
            <w:tcBorders>
              <w:bottom w:val="single" w:sz="8" w:color="CCEEFF"/>
            </w:tcBorders>
            <w:shd w:val="clear" w:color="auto" w:fill="CCEEFF"/>
          </w:tcPr>
          <w:p>
            <w:pPr>
              <w:jc w:val="right"/>
              <w:ind w:right="361"/>
              <w:spacing w:after="0"/>
              <w:rPr>
                <w:sz w:val="20"/>
                <w:szCs w:val="20"/>
                <w:color w:val="auto"/>
              </w:rPr>
            </w:pPr>
            <w:r>
              <w:rPr>
                <w:rFonts w:ascii="Arial" w:cs="Arial" w:eastAsia="Arial" w:hAnsi="Arial"/>
                <w:sz w:val="18"/>
                <w:szCs w:val="18"/>
                <w:color w:val="auto"/>
              </w:rPr>
              <w:t>100,000</w:t>
            </w:r>
          </w:p>
        </w:tc>
        <w:tc>
          <w:tcPr>
            <w:tcW w:w="134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8"/>
                <w:szCs w:val="18"/>
                <w:color w:val="auto"/>
                <w:w w:val="89"/>
              </w:rPr>
              <w:t>125,000</w:t>
            </w:r>
          </w:p>
        </w:tc>
        <w:tc>
          <w:tcPr>
            <w:tcW w:w="1220" w:type="dxa"/>
            <w:vAlign w:val="bottom"/>
            <w:tcBorders>
              <w:bottom w:val="single" w:sz="8" w:color="CCEEFF"/>
            </w:tcBorders>
            <w:shd w:val="clear" w:color="auto" w:fill="CCEEFF"/>
          </w:tcPr>
          <w:p>
            <w:pPr>
              <w:jc w:val="right"/>
              <w:ind w:right="177"/>
              <w:spacing w:after="0"/>
              <w:rPr>
                <w:sz w:val="20"/>
                <w:szCs w:val="20"/>
                <w:color w:val="auto"/>
              </w:rPr>
            </w:pPr>
            <w:r>
              <w:rPr>
                <w:rFonts w:ascii="Arial" w:cs="Arial" w:eastAsia="Arial" w:hAnsi="Arial"/>
                <w:sz w:val="18"/>
                <w:szCs w:val="18"/>
                <w:color w:val="auto"/>
              </w:rPr>
              <w:t>225,000</w:t>
            </w:r>
          </w:p>
        </w:tc>
        <w:tc>
          <w:tcPr>
            <w:tcW w:w="0" w:type="dxa"/>
            <w:vAlign w:val="bottom"/>
          </w:tcPr>
          <w:p>
            <w:pPr>
              <w:spacing w:after="0"/>
              <w:rPr>
                <w:sz w:val="1"/>
                <w:szCs w:val="1"/>
                <w:color w:val="auto"/>
              </w:rPr>
            </w:pPr>
          </w:p>
        </w:tc>
      </w:tr>
      <w:tr>
        <w:trPr>
          <w:trHeight w:val="283"/>
        </w:trPr>
        <w:tc>
          <w:tcPr>
            <w:tcW w:w="880" w:type="dxa"/>
            <w:vAlign w:val="bottom"/>
          </w:tcPr>
          <w:p>
            <w:pPr>
              <w:spacing w:after="0"/>
              <w:rPr>
                <w:sz w:val="24"/>
                <w:szCs w:val="24"/>
                <w:color w:val="auto"/>
              </w:rPr>
            </w:pPr>
          </w:p>
        </w:tc>
        <w:tc>
          <w:tcPr>
            <w:tcW w:w="2980" w:type="dxa"/>
            <w:vAlign w:val="bottom"/>
            <w:tcBorders>
              <w:bottom w:val="single" w:sz="8" w:color="407CCA"/>
            </w:tcBorders>
          </w:tcPr>
          <w:p>
            <w:pPr>
              <w:ind w:left="100"/>
              <w:spacing w:after="0" w:line="284" w:lineRule="exact"/>
              <w:rPr>
                <w:sz w:val="20"/>
                <w:szCs w:val="20"/>
                <w:color w:val="auto"/>
              </w:rPr>
            </w:pPr>
            <w:r>
              <w:rPr>
                <w:rFonts w:ascii="Arial" w:cs="Arial" w:eastAsia="Arial" w:hAnsi="Arial"/>
                <w:sz w:val="18"/>
                <w:szCs w:val="18"/>
                <w:color w:val="auto"/>
              </w:rPr>
              <w:t>Frances R. Spark</w:t>
            </w:r>
            <w:r>
              <w:rPr>
                <w:rFonts w:ascii="Arial" w:cs="Arial" w:eastAsia="Arial" w:hAnsi="Arial"/>
                <w:sz w:val="30"/>
                <w:szCs w:val="30"/>
                <w:color w:val="auto"/>
                <w:vertAlign w:val="superscript"/>
              </w:rPr>
              <w:t>(2)</w:t>
            </w:r>
          </w:p>
        </w:tc>
        <w:tc>
          <w:tcPr>
            <w:tcW w:w="3720" w:type="dxa"/>
            <w:vAlign w:val="bottom"/>
            <w:tcBorders>
              <w:bottom w:val="single" w:sz="8" w:color="407CCA"/>
            </w:tcBorders>
          </w:tcPr>
          <w:p>
            <w:pPr>
              <w:jc w:val="right"/>
              <w:ind w:right="361"/>
              <w:spacing w:after="0"/>
              <w:rPr>
                <w:sz w:val="20"/>
                <w:szCs w:val="20"/>
                <w:color w:val="auto"/>
              </w:rPr>
            </w:pPr>
            <w:r>
              <w:rPr>
                <w:rFonts w:ascii="Arial" w:cs="Arial" w:eastAsia="Arial" w:hAnsi="Arial"/>
                <w:sz w:val="18"/>
                <w:szCs w:val="18"/>
                <w:color w:val="auto"/>
              </w:rPr>
              <w:t>30,278</w:t>
            </w:r>
          </w:p>
        </w:tc>
        <w:tc>
          <w:tcPr>
            <w:tcW w:w="1340" w:type="dxa"/>
            <w:vAlign w:val="bottom"/>
            <w:tcBorders>
              <w:bottom w:val="single" w:sz="8" w:color="407CCA"/>
            </w:tcBorders>
          </w:tcPr>
          <w:p>
            <w:pPr>
              <w:jc w:val="center"/>
              <w:spacing w:after="0"/>
              <w:rPr>
                <w:sz w:val="20"/>
                <w:szCs w:val="20"/>
                <w:color w:val="auto"/>
              </w:rPr>
            </w:pPr>
            <w:r>
              <w:rPr>
                <w:rFonts w:ascii="Arial" w:cs="Arial" w:eastAsia="Arial" w:hAnsi="Arial"/>
                <w:sz w:val="18"/>
                <w:szCs w:val="18"/>
                <w:color w:val="auto"/>
                <w:w w:val="99"/>
              </w:rPr>
              <w:t>–</w:t>
            </w:r>
          </w:p>
        </w:tc>
        <w:tc>
          <w:tcPr>
            <w:tcW w:w="1220" w:type="dxa"/>
            <w:vAlign w:val="bottom"/>
            <w:tcBorders>
              <w:bottom w:val="single" w:sz="8" w:color="407CCA"/>
            </w:tcBorders>
          </w:tcPr>
          <w:p>
            <w:pPr>
              <w:jc w:val="right"/>
              <w:ind w:right="177"/>
              <w:spacing w:after="0"/>
              <w:rPr>
                <w:sz w:val="20"/>
                <w:szCs w:val="20"/>
                <w:color w:val="auto"/>
              </w:rPr>
            </w:pPr>
            <w:r>
              <w:rPr>
                <w:rFonts w:ascii="Arial" w:cs="Arial" w:eastAsia="Arial" w:hAnsi="Arial"/>
                <w:sz w:val="18"/>
                <w:szCs w:val="18"/>
                <w:color w:val="auto"/>
              </w:rPr>
              <w:t>30,278</w:t>
            </w:r>
          </w:p>
        </w:tc>
        <w:tc>
          <w:tcPr>
            <w:tcW w:w="0" w:type="dxa"/>
            <w:vAlign w:val="bottom"/>
          </w:tcPr>
          <w:p>
            <w:pPr>
              <w:spacing w:after="0"/>
              <w:rPr>
                <w:sz w:val="1"/>
                <w:szCs w:val="1"/>
                <w:color w:val="auto"/>
              </w:rPr>
            </w:pPr>
          </w:p>
        </w:tc>
      </w:tr>
      <w:tr>
        <w:trPr>
          <w:trHeight w:val="128"/>
        </w:trPr>
        <w:tc>
          <w:tcPr>
            <w:tcW w:w="880" w:type="dxa"/>
            <w:vAlign w:val="bottom"/>
            <w:tcBorders>
              <w:bottom w:val="single" w:sz="8" w:color="auto"/>
            </w:tcBorders>
          </w:tcPr>
          <w:p>
            <w:pPr>
              <w:spacing w:after="0"/>
              <w:rPr>
                <w:sz w:val="11"/>
                <w:szCs w:val="11"/>
                <w:color w:val="auto"/>
              </w:rPr>
            </w:pPr>
          </w:p>
        </w:tc>
        <w:tc>
          <w:tcPr>
            <w:tcW w:w="2980" w:type="dxa"/>
            <w:vAlign w:val="bottom"/>
            <w:tcBorders>
              <w:bottom w:val="single" w:sz="8" w:color="auto"/>
            </w:tcBorders>
          </w:tcPr>
          <w:p>
            <w:pPr>
              <w:spacing w:after="0"/>
              <w:rPr>
                <w:sz w:val="11"/>
                <w:szCs w:val="11"/>
                <w:color w:val="auto"/>
              </w:rPr>
            </w:pPr>
          </w:p>
        </w:tc>
        <w:tc>
          <w:tcPr>
            <w:tcW w:w="3720" w:type="dxa"/>
            <w:vAlign w:val="bottom"/>
          </w:tcPr>
          <w:p>
            <w:pPr>
              <w:spacing w:after="0"/>
              <w:rPr>
                <w:sz w:val="11"/>
                <w:szCs w:val="11"/>
                <w:color w:val="auto"/>
              </w:rPr>
            </w:pPr>
          </w:p>
        </w:tc>
        <w:tc>
          <w:tcPr>
            <w:tcW w:w="1340" w:type="dxa"/>
            <w:vAlign w:val="bottom"/>
          </w:tcPr>
          <w:p>
            <w:pPr>
              <w:spacing w:after="0"/>
              <w:rPr>
                <w:sz w:val="11"/>
                <w:szCs w:val="11"/>
                <w:color w:val="auto"/>
              </w:rPr>
            </w:pPr>
          </w:p>
        </w:tc>
        <w:tc>
          <w:tcPr>
            <w:tcW w:w="1220" w:type="dxa"/>
            <w:vAlign w:val="bottom"/>
          </w:tcPr>
          <w:p>
            <w:pPr>
              <w:spacing w:after="0"/>
              <w:rPr>
                <w:sz w:val="11"/>
                <w:szCs w:val="11"/>
                <w:color w:val="auto"/>
              </w:rPr>
            </w:pPr>
          </w:p>
        </w:tc>
        <w:tc>
          <w:tcPr>
            <w:tcW w:w="0" w:type="dxa"/>
            <w:vAlign w:val="bottom"/>
          </w:tcPr>
          <w:p>
            <w:pPr>
              <w:spacing w:after="0"/>
              <w:rPr>
                <w:sz w:val="1"/>
                <w:szCs w:val="1"/>
                <w:color w:val="auto"/>
              </w:rPr>
            </w:pPr>
          </w:p>
        </w:tc>
      </w:tr>
    </w:tbl>
    <w:p>
      <w:pPr>
        <w:spacing w:after="0" w:line="22" w:lineRule="exact"/>
        <w:rPr>
          <w:sz w:val="20"/>
          <w:szCs w:val="20"/>
          <w:color w:val="auto"/>
        </w:rPr>
      </w:pPr>
    </w:p>
    <w:p>
      <w:pPr>
        <w:ind w:left="880" w:hanging="764"/>
        <w:spacing w:after="0" w:line="224" w:lineRule="auto"/>
        <w:tabs>
          <w:tab w:leader="none" w:pos="880" w:val="left"/>
        </w:tabs>
        <w:numPr>
          <w:ilvl w:val="0"/>
          <w:numId w:val="14"/>
        </w:numPr>
        <w:rPr>
          <w:rFonts w:ascii="Arial" w:cs="Arial" w:eastAsia="Arial" w:hAnsi="Arial"/>
          <w:sz w:val="14"/>
          <w:szCs w:val="14"/>
          <w:color w:val="auto"/>
        </w:rPr>
      </w:pPr>
      <w:r>
        <w:rPr>
          <w:rFonts w:ascii="Arial" w:cs="Arial" w:eastAsia="Arial" w:hAnsi="Arial"/>
          <w:sz w:val="14"/>
          <w:szCs w:val="14"/>
          <w:color w:val="auto"/>
        </w:rPr>
        <w:t xml:space="preserve">The amounts reported in the “Stock Awards” column represent the grant date fair value of each award granted calculated in accordance with Financial Accounting Standards Board ASC Topic 718, </w:t>
      </w:r>
      <w:r>
        <w:rPr>
          <w:rFonts w:ascii="Arial" w:cs="Arial" w:eastAsia="Arial" w:hAnsi="Arial"/>
          <w:sz w:val="14"/>
          <w:szCs w:val="14"/>
          <w:i w:val="1"/>
          <w:iCs w:val="1"/>
          <w:color w:val="auto"/>
        </w:rPr>
        <w:t>Compensation-Stock Compensation</w:t>
      </w:r>
      <w:r>
        <w:rPr>
          <w:rFonts w:ascii="Arial" w:cs="Arial" w:eastAsia="Arial" w:hAnsi="Arial"/>
          <w:sz w:val="14"/>
          <w:szCs w:val="14"/>
          <w:color w:val="auto"/>
        </w:rPr>
        <w:t xml:space="preserve"> (“ASC 718”), as required by Securities and Exchange Commission (“SEC”) regulations. Each award represents the right to receive 6,913 shares of common stock (calculated by dividing the value of the award by the closing price of a share of common stock on the grant date, which was $18.08 on April 18, 2019). As of December 31, 2019, in connection with these awards, each of Ms. Larocca and Blank, Dr. Davis, and Mr. Mullings had unvested RSUs relating to 7,534 shares of common stock, including dividend equivalents on the RSUs.</w:t>
      </w:r>
    </w:p>
    <w:p>
      <w:pPr>
        <w:spacing w:after="0" w:line="3" w:lineRule="exact"/>
        <w:rPr>
          <w:rFonts w:ascii="Arial" w:cs="Arial" w:eastAsia="Arial" w:hAnsi="Arial"/>
          <w:sz w:val="14"/>
          <w:szCs w:val="14"/>
          <w:color w:val="auto"/>
        </w:rPr>
      </w:pPr>
    </w:p>
    <w:p>
      <w:pPr>
        <w:ind w:left="880" w:hanging="764"/>
        <w:spacing w:after="0"/>
        <w:tabs>
          <w:tab w:leader="none" w:pos="880" w:val="left"/>
        </w:tabs>
        <w:numPr>
          <w:ilvl w:val="0"/>
          <w:numId w:val="14"/>
        </w:numPr>
        <w:rPr>
          <w:rFonts w:ascii="Arial" w:cs="Arial" w:eastAsia="Arial" w:hAnsi="Arial"/>
          <w:sz w:val="14"/>
          <w:szCs w:val="14"/>
          <w:color w:val="auto"/>
        </w:rPr>
      </w:pPr>
      <w:r>
        <w:rPr>
          <w:rFonts w:ascii="Arial" w:cs="Arial" w:eastAsia="Arial" w:hAnsi="Arial"/>
          <w:sz w:val="14"/>
          <w:szCs w:val="14"/>
          <w:color w:val="auto"/>
        </w:rPr>
        <w:t>Ms. Spark and Mr. Fisk were each appointed to the Board effective September 11, 2019.</w:t>
      </w:r>
    </w:p>
    <w:p>
      <w:pPr>
        <w:spacing w:after="0" w:line="196"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The 2016 Plan</w:t>
      </w:r>
    </w:p>
    <w:p>
      <w:pPr>
        <w:spacing w:after="0" w:line="117" w:lineRule="exact"/>
        <w:rPr>
          <w:sz w:val="20"/>
          <w:szCs w:val="20"/>
          <w:color w:val="auto"/>
        </w:rPr>
      </w:pPr>
    </w:p>
    <w:p>
      <w:pPr>
        <w:ind w:left="120" w:right="40" w:firstLine="881"/>
        <w:spacing w:after="0" w:line="273" w:lineRule="auto"/>
        <w:rPr>
          <w:sz w:val="20"/>
          <w:szCs w:val="20"/>
          <w:color w:val="auto"/>
        </w:rPr>
      </w:pPr>
      <w:r>
        <w:rPr>
          <w:rFonts w:ascii="Arial" w:cs="Arial" w:eastAsia="Arial" w:hAnsi="Arial"/>
          <w:sz w:val="17"/>
          <w:szCs w:val="17"/>
          <w:color w:val="auto"/>
        </w:rPr>
        <w:t>The Company maintains the 2016 Plan, which allows us to provide our directors, executive officers, and other employees with equity incentive compensation. Subject to adjustment as described in the 2016 Plan, total awards under the 2016 Plan are limited to 10,000,000 shares, inclusive of dividend equivalents paid on such awards. These shares may be shares of original issuance or treasury shares or a combination of the two. Pursuant to the 2016 Plan, the Company may grant stock options, stock appreciation rights, restricted shares, restricted stock units, performance shares, performance units, cash incentive awards, certain other awards based on or related to our common stock, and dividend equivalents paid with respect to awards under the 2016 Plan. Awards may be time-vested or performance-vested.</w:t>
      </w:r>
    </w:p>
    <w:p>
      <w:pPr>
        <w:spacing w:after="0" w:line="178" w:lineRule="exact"/>
        <w:rPr>
          <w:sz w:val="20"/>
          <w:szCs w:val="20"/>
          <w:color w:val="auto"/>
        </w:rPr>
      </w:pPr>
    </w:p>
    <w:p>
      <w:pPr>
        <w:ind w:left="120" w:right="40" w:firstLine="881"/>
        <w:spacing w:after="0" w:line="293" w:lineRule="auto"/>
        <w:rPr>
          <w:sz w:val="20"/>
          <w:szCs w:val="20"/>
          <w:color w:val="auto"/>
        </w:rPr>
      </w:pPr>
      <w:r>
        <w:rPr>
          <w:rFonts w:ascii="Arial" w:cs="Arial" w:eastAsia="Arial" w:hAnsi="Arial"/>
          <w:sz w:val="16"/>
          <w:szCs w:val="16"/>
          <w:color w:val="auto"/>
        </w:rPr>
        <w:t>The 2016 Plan authorizes the Compensation Committee to provide equity-based compensation in the form of stock options, appreciation rights, restricted shares, restricted stock units, performance shares, performance units, dividend equivalents, and certain other awards denominated or payable in, or otherwise based on, shares of common stock, plus cash incentive awards, for the purpose of providing our non-employee directors, officers, and other employees, and those of our subsidiaries, incentives and rewards for service or performance. The 2016 Plan places a limit on the dollar value of awards and other compensation that may be made to a director in any year. The grant agreements for awards under the 2016 Plan permit members of our Board and executive officers to defer distribution of their awards for a period of up to ten years.</w:t>
      </w:r>
    </w:p>
    <w:p>
      <w:pPr>
        <w:spacing w:after="0" w:line="164"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Independent Director Plan</w:t>
      </w:r>
    </w:p>
    <w:p>
      <w:pPr>
        <w:spacing w:after="0" w:line="117" w:lineRule="exact"/>
        <w:rPr>
          <w:sz w:val="20"/>
          <w:szCs w:val="20"/>
          <w:color w:val="auto"/>
        </w:rPr>
      </w:pPr>
    </w:p>
    <w:p>
      <w:pPr>
        <w:ind w:left="1000"/>
        <w:spacing w:after="0"/>
        <w:rPr>
          <w:sz w:val="20"/>
          <w:szCs w:val="20"/>
          <w:color w:val="auto"/>
        </w:rPr>
      </w:pPr>
      <w:r>
        <w:rPr>
          <w:rFonts w:ascii="Arial" w:cs="Arial" w:eastAsia="Arial" w:hAnsi="Arial"/>
          <w:sz w:val="17"/>
          <w:szCs w:val="17"/>
          <w:color w:val="auto"/>
        </w:rPr>
        <w:t>In connection with our IPO, we established the American Capital Agency Corp. Equity Incentive Plan for Independent Directors</w:t>
      </w:r>
    </w:p>
    <w:p>
      <w:pPr>
        <w:spacing w:after="0" w:line="35" w:lineRule="exact"/>
        <w:rPr>
          <w:sz w:val="20"/>
          <w:szCs w:val="20"/>
          <w:color w:val="auto"/>
        </w:rPr>
      </w:pPr>
    </w:p>
    <w:p>
      <w:pPr>
        <w:jc w:val="both"/>
        <w:ind w:left="120" w:right="180"/>
        <w:spacing w:after="0" w:line="281" w:lineRule="auto"/>
        <w:rPr>
          <w:sz w:val="20"/>
          <w:szCs w:val="20"/>
          <w:color w:val="auto"/>
        </w:rPr>
      </w:pPr>
      <w:r>
        <w:rPr>
          <w:rFonts w:ascii="Arial" w:cs="Arial" w:eastAsia="Arial" w:hAnsi="Arial"/>
          <w:sz w:val="16"/>
          <w:szCs w:val="16"/>
          <w:color w:val="auto"/>
        </w:rPr>
        <w:t>(the “Independent Director Plan”), which provided for the issuance of equity-based awards, including stock options, restricted stock, restricted stock units, unrestricted stock awards, and other awards based on our common stock that may be made by us to our independent directors. The Independent Director Plan was terminated when our stockholders approved the 2016 Plan on December 9, 2016, except with respect to then outstanding awards.</w:t>
      </w:r>
    </w:p>
    <w:p>
      <w:pPr>
        <w:spacing w:after="0" w:line="2" w:lineRule="exact"/>
        <w:rPr>
          <w:sz w:val="20"/>
          <w:szCs w:val="20"/>
          <w:color w:val="auto"/>
        </w:rPr>
      </w:pPr>
    </w:p>
    <w:p>
      <w:pPr>
        <w:ind w:left="120" w:right="520"/>
        <w:spacing w:after="0" w:line="260" w:lineRule="auto"/>
        <w:rPr>
          <w:sz w:val="20"/>
          <w:szCs w:val="20"/>
          <w:color w:val="auto"/>
        </w:rPr>
      </w:pPr>
      <w:r>
        <w:rPr>
          <w:rFonts w:ascii="Arial" w:cs="Arial" w:eastAsia="Arial" w:hAnsi="Arial"/>
          <w:sz w:val="18"/>
          <w:szCs w:val="18"/>
          <w:color w:val="auto"/>
        </w:rPr>
        <w:t>Restricted stock units awarded under the Independent Director Plan conferred to the participant the right to receive cash, common stock, or other property, as determined by the plan</w:t>
      </w:r>
    </w:p>
    <w:p>
      <w:pPr>
        <w:spacing w:after="0" w:line="113"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10</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060"/>
          </w:cols>
          <w:pgMar w:left="320" w:top="459" w:right="519" w:bottom="1440" w:gutter="0" w:footer="0" w:header="0"/>
        </w:sectPr>
      </w:pPr>
    </w:p>
    <w:bookmarkStart w:id="23" w:name="page24"/>
    <w:bookmarkEnd w:id="2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8560"/>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jc w:val="both"/>
        <w:ind w:left="120" w:right="300"/>
        <w:spacing w:after="0" w:line="263" w:lineRule="auto"/>
        <w:rPr>
          <w:sz w:val="20"/>
          <w:szCs w:val="20"/>
          <w:color w:val="auto"/>
        </w:rPr>
      </w:pPr>
      <w:r>
        <w:rPr>
          <w:rFonts w:ascii="Arial" w:cs="Arial" w:eastAsia="Arial" w:hAnsi="Arial"/>
          <w:sz w:val="18"/>
          <w:szCs w:val="18"/>
          <w:color w:val="auto"/>
        </w:rPr>
        <w:t>administrator, having a value equal to the number of shares of our common stock that were subject to the award. The holders of awards of restricted stock units were entitled to receive dividend equivalents, which in either case could be payable immediately or on a deferred basis, and could elect to defer distribution of their equity-based awards for a period of up to ten years.</w:t>
      </w:r>
    </w:p>
    <w:p>
      <w:pPr>
        <w:spacing w:after="0" w:line="288"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Stock Ownership Guidelines</w:t>
      </w:r>
    </w:p>
    <w:p>
      <w:pPr>
        <w:spacing w:after="0" w:line="121" w:lineRule="exact"/>
        <w:rPr>
          <w:sz w:val="20"/>
          <w:szCs w:val="20"/>
          <w:color w:val="auto"/>
        </w:rPr>
      </w:pPr>
    </w:p>
    <w:p>
      <w:pPr>
        <w:ind w:left="120" w:right="80" w:firstLine="881"/>
        <w:spacing w:after="0" w:line="293" w:lineRule="auto"/>
        <w:rPr>
          <w:sz w:val="20"/>
          <w:szCs w:val="20"/>
          <w:color w:val="auto"/>
        </w:rPr>
      </w:pPr>
      <w:r>
        <w:rPr>
          <w:rFonts w:ascii="Arial" w:cs="Arial" w:eastAsia="Arial" w:hAnsi="Arial"/>
          <w:sz w:val="16"/>
          <w:szCs w:val="16"/>
          <w:color w:val="auto"/>
        </w:rPr>
        <w:t>Our Board believes that directors more effectively represent the best interests of the Company if they are stockholders themselves. Thus, independent directors are encouraged to own shares of our common stock equal in value to 3x the annual cash Board retainer (which was $100,000 in 2019) within the later of five years of joining the Board or January 24, 2022. Shares of deferred or restricted stock or units (both vested and unvested and including shares for which a deferral election was made) granted to directors under the Independent Director Plan and the 2016 Plan are included in determining the number of shares held for this purpose. Until the stated minimum is met, each independent director must retain at least 50% of the shares of common stock received upon vesting, net of any shares withheld or sold to pay or reimburse taxes on such income.</w:t>
      </w:r>
    </w:p>
    <w:p>
      <w:pPr>
        <w:spacing w:after="0" w:line="164" w:lineRule="exact"/>
        <w:rPr>
          <w:sz w:val="20"/>
          <w:szCs w:val="20"/>
          <w:color w:val="auto"/>
        </w:rPr>
      </w:pPr>
    </w:p>
    <w:p>
      <w:pPr>
        <w:ind w:left="120" w:right="80" w:firstLine="881"/>
        <w:spacing w:after="0" w:line="279" w:lineRule="auto"/>
        <w:rPr>
          <w:sz w:val="20"/>
          <w:szCs w:val="20"/>
          <w:color w:val="auto"/>
        </w:rPr>
      </w:pPr>
      <w:r>
        <w:rPr>
          <w:rFonts w:ascii="Arial" w:cs="Arial" w:eastAsia="Arial" w:hAnsi="Arial"/>
          <w:sz w:val="17"/>
          <w:szCs w:val="17"/>
          <w:color w:val="auto"/>
        </w:rPr>
        <w:t>In addition, our Board has adopted a policy prohibiting our executive officers and directors from any hedging, pledging, or entering into margin loans with respect to any shares of our common stock (regardless of whether such stock is owned directly or indirectly, as such terms are used in the SEC rules promulgated under the Exchange Act) or from engaging in short sales of our common stock or entering into any other transaction or derivative agreement where he or she would earn a profit or offset losses due to a decline of our stock price.</w:t>
      </w:r>
    </w:p>
    <w:p>
      <w:pPr>
        <w:spacing w:after="0" w:line="171" w:lineRule="exact"/>
        <w:rPr>
          <w:sz w:val="20"/>
          <w:szCs w:val="20"/>
          <w:color w:val="auto"/>
        </w:rPr>
      </w:pPr>
    </w:p>
    <w:p>
      <w:pPr>
        <w:ind w:left="120" w:right="180" w:firstLine="881"/>
        <w:spacing w:after="0" w:line="277" w:lineRule="auto"/>
        <w:rPr>
          <w:sz w:val="20"/>
          <w:szCs w:val="20"/>
          <w:color w:val="auto"/>
        </w:rPr>
      </w:pPr>
      <w:r>
        <w:rPr>
          <w:rFonts w:ascii="Arial" w:cs="Arial" w:eastAsia="Arial" w:hAnsi="Arial"/>
          <w:sz w:val="18"/>
          <w:szCs w:val="18"/>
          <w:color w:val="auto"/>
        </w:rPr>
        <w:t>The following table sets forth the total stock ownership of our independent directors, including beneficially owned, unvested, and deferred shares, as calculated pursuant to our stock ownership guidelines as of February 24, 2020:</w:t>
      </w:r>
    </w:p>
    <w:p>
      <w:pPr>
        <w:spacing w:after="0" w:line="192" w:lineRule="exact"/>
        <w:rPr>
          <w:sz w:val="20"/>
          <w:szCs w:val="20"/>
          <w:color w:val="auto"/>
        </w:rPr>
      </w:pPr>
    </w:p>
    <w:tbl>
      <w:tblPr>
        <w:tblLayout w:type="fixed"/>
        <w:tblInd w:w="560" w:type="dxa"/>
        <w:tblCellMar>
          <w:top w:w="0" w:type="dxa"/>
          <w:left w:w="0" w:type="dxa"/>
          <w:bottom w:w="0" w:type="dxa"/>
          <w:right w:w="0" w:type="dxa"/>
        </w:tblCellMar>
      </w:tblPr>
      <w:tr>
        <w:trPr>
          <w:trHeight w:val="130"/>
        </w:trPr>
        <w:tc>
          <w:tcPr>
            <w:tcW w:w="3960" w:type="dxa"/>
            <w:vAlign w:val="bottom"/>
            <w:tcBorders>
              <w:top w:val="single" w:sz="8" w:color="407CCA"/>
            </w:tcBorders>
          </w:tcPr>
          <w:p>
            <w:pPr>
              <w:spacing w:after="0"/>
              <w:rPr>
                <w:sz w:val="11"/>
                <w:szCs w:val="11"/>
                <w:color w:val="auto"/>
              </w:rPr>
            </w:pPr>
          </w:p>
        </w:tc>
        <w:tc>
          <w:tcPr>
            <w:tcW w:w="3480" w:type="dxa"/>
            <w:vAlign w:val="bottom"/>
            <w:tcBorders>
              <w:top w:val="single" w:sz="8" w:color="407CCA"/>
            </w:tcBorders>
          </w:tcPr>
          <w:p>
            <w:pPr>
              <w:jc w:val="center"/>
              <w:ind w:left="2339"/>
              <w:spacing w:after="0" w:line="131" w:lineRule="exact"/>
              <w:rPr>
                <w:sz w:val="20"/>
                <w:szCs w:val="20"/>
                <w:color w:val="auto"/>
              </w:rPr>
            </w:pPr>
            <w:r>
              <w:rPr>
                <w:rFonts w:ascii="Arial" w:cs="Arial" w:eastAsia="Arial" w:hAnsi="Arial"/>
                <w:sz w:val="13"/>
                <w:szCs w:val="13"/>
                <w:b w:val="1"/>
                <w:bCs w:val="1"/>
                <w:color w:val="auto"/>
                <w:w w:val="85"/>
              </w:rPr>
              <w:t>Beneficially</w:t>
            </w:r>
          </w:p>
        </w:tc>
        <w:tc>
          <w:tcPr>
            <w:tcW w:w="900" w:type="dxa"/>
            <w:vAlign w:val="bottom"/>
            <w:tcBorders>
              <w:top w:val="single" w:sz="8" w:color="407CCA"/>
            </w:tcBorders>
          </w:tcPr>
          <w:p>
            <w:pPr>
              <w:jc w:val="right"/>
              <w:ind w:right="139"/>
              <w:spacing w:after="0" w:line="131" w:lineRule="exact"/>
              <w:rPr>
                <w:sz w:val="20"/>
                <w:szCs w:val="20"/>
                <w:color w:val="auto"/>
              </w:rPr>
            </w:pPr>
            <w:r>
              <w:rPr>
                <w:rFonts w:ascii="Arial" w:cs="Arial" w:eastAsia="Arial" w:hAnsi="Arial"/>
                <w:sz w:val="13"/>
                <w:szCs w:val="13"/>
                <w:b w:val="1"/>
                <w:bCs w:val="1"/>
                <w:color w:val="auto"/>
              </w:rPr>
              <w:t>Unvested</w:t>
            </w:r>
          </w:p>
        </w:tc>
        <w:tc>
          <w:tcPr>
            <w:tcW w:w="980" w:type="dxa"/>
            <w:vAlign w:val="bottom"/>
            <w:tcBorders>
              <w:top w:val="single" w:sz="8" w:color="407CCA"/>
            </w:tcBorders>
          </w:tcPr>
          <w:p>
            <w:pPr>
              <w:jc w:val="right"/>
              <w:ind w:right="199"/>
              <w:spacing w:after="0" w:line="131" w:lineRule="exact"/>
              <w:rPr>
                <w:sz w:val="20"/>
                <w:szCs w:val="20"/>
                <w:color w:val="auto"/>
              </w:rPr>
            </w:pPr>
            <w:r>
              <w:rPr>
                <w:rFonts w:ascii="Arial" w:cs="Arial" w:eastAsia="Arial" w:hAnsi="Arial"/>
                <w:sz w:val="13"/>
                <w:szCs w:val="13"/>
                <w:b w:val="1"/>
                <w:bCs w:val="1"/>
                <w:color w:val="auto"/>
              </w:rPr>
              <w:t>Deferred</w:t>
            </w:r>
          </w:p>
        </w:tc>
        <w:tc>
          <w:tcPr>
            <w:tcW w:w="800" w:type="dxa"/>
            <w:vAlign w:val="bottom"/>
            <w:tcBorders>
              <w:top w:val="single" w:sz="8" w:color="407CCA"/>
            </w:tcBorders>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3960" w:type="dxa"/>
            <w:vAlign w:val="bottom"/>
            <w:vMerge w:val="restart"/>
          </w:tcPr>
          <w:p>
            <w:pPr>
              <w:ind w:left="100"/>
              <w:spacing w:after="0"/>
              <w:rPr>
                <w:sz w:val="20"/>
                <w:szCs w:val="20"/>
                <w:color w:val="auto"/>
              </w:rPr>
            </w:pPr>
            <w:r>
              <w:rPr>
                <w:rFonts w:ascii="Arial" w:cs="Arial" w:eastAsia="Arial" w:hAnsi="Arial"/>
                <w:sz w:val="18"/>
                <w:szCs w:val="18"/>
                <w:b w:val="1"/>
                <w:bCs w:val="1"/>
                <w:color w:val="auto"/>
              </w:rPr>
              <w:t>Name</w:t>
            </w:r>
          </w:p>
        </w:tc>
        <w:tc>
          <w:tcPr>
            <w:tcW w:w="3480" w:type="dxa"/>
            <w:vAlign w:val="bottom"/>
          </w:tcPr>
          <w:p>
            <w:pPr>
              <w:jc w:val="center"/>
              <w:ind w:left="2339"/>
              <w:spacing w:after="0" w:line="135" w:lineRule="exact"/>
              <w:rPr>
                <w:sz w:val="20"/>
                <w:szCs w:val="20"/>
                <w:color w:val="auto"/>
              </w:rPr>
            </w:pPr>
            <w:r>
              <w:rPr>
                <w:rFonts w:ascii="Arial" w:cs="Arial" w:eastAsia="Arial" w:hAnsi="Arial"/>
                <w:sz w:val="13"/>
                <w:szCs w:val="13"/>
                <w:b w:val="1"/>
                <w:bCs w:val="1"/>
                <w:color w:val="auto"/>
                <w:w w:val="87"/>
              </w:rPr>
              <w:t>Owned</w:t>
            </w:r>
          </w:p>
        </w:tc>
        <w:tc>
          <w:tcPr>
            <w:tcW w:w="900" w:type="dxa"/>
            <w:vAlign w:val="bottom"/>
          </w:tcPr>
          <w:p>
            <w:pPr>
              <w:jc w:val="right"/>
              <w:ind w:right="199"/>
              <w:spacing w:after="0" w:line="135" w:lineRule="exact"/>
              <w:rPr>
                <w:sz w:val="20"/>
                <w:szCs w:val="20"/>
                <w:color w:val="auto"/>
              </w:rPr>
            </w:pPr>
            <w:r>
              <w:rPr>
                <w:rFonts w:ascii="Arial" w:cs="Arial" w:eastAsia="Arial" w:hAnsi="Arial"/>
                <w:sz w:val="13"/>
                <w:szCs w:val="13"/>
                <w:b w:val="1"/>
                <w:bCs w:val="1"/>
                <w:color w:val="auto"/>
              </w:rPr>
              <w:t>Shares</w:t>
            </w:r>
          </w:p>
        </w:tc>
        <w:tc>
          <w:tcPr>
            <w:tcW w:w="980" w:type="dxa"/>
            <w:vAlign w:val="bottom"/>
          </w:tcPr>
          <w:p>
            <w:pPr>
              <w:jc w:val="right"/>
              <w:ind w:right="259"/>
              <w:spacing w:after="0" w:line="135" w:lineRule="exact"/>
              <w:rPr>
                <w:sz w:val="20"/>
                <w:szCs w:val="20"/>
                <w:color w:val="auto"/>
              </w:rPr>
            </w:pPr>
            <w:r>
              <w:rPr>
                <w:rFonts w:ascii="Arial" w:cs="Arial" w:eastAsia="Arial" w:hAnsi="Arial"/>
                <w:sz w:val="13"/>
                <w:szCs w:val="13"/>
                <w:b w:val="1"/>
                <w:bCs w:val="1"/>
                <w:color w:val="auto"/>
              </w:rPr>
              <w:t>Shares</w:t>
            </w:r>
          </w:p>
        </w:tc>
        <w:tc>
          <w:tcPr>
            <w:tcW w:w="800" w:type="dxa"/>
            <w:vAlign w:val="bottom"/>
          </w:tcPr>
          <w:p>
            <w:pPr>
              <w:jc w:val="right"/>
              <w:ind w:right="157"/>
              <w:spacing w:after="0" w:line="135" w:lineRule="exact"/>
              <w:rPr>
                <w:sz w:val="20"/>
                <w:szCs w:val="20"/>
                <w:color w:val="auto"/>
              </w:rPr>
            </w:pPr>
            <w:r>
              <w:rPr>
                <w:rFonts w:ascii="Arial" w:cs="Arial" w:eastAsia="Arial" w:hAnsi="Arial"/>
                <w:sz w:val="13"/>
                <w:szCs w:val="13"/>
                <w:b w:val="1"/>
                <w:bCs w:val="1"/>
                <w:color w:val="auto"/>
              </w:rPr>
              <w:t>Total</w:t>
            </w:r>
          </w:p>
        </w:tc>
        <w:tc>
          <w:tcPr>
            <w:tcW w:w="0" w:type="dxa"/>
            <w:vAlign w:val="bottom"/>
          </w:tcPr>
          <w:p>
            <w:pPr>
              <w:spacing w:after="0"/>
              <w:rPr>
                <w:sz w:val="1"/>
                <w:szCs w:val="1"/>
                <w:color w:val="auto"/>
              </w:rPr>
            </w:pPr>
          </w:p>
        </w:tc>
      </w:tr>
      <w:tr>
        <w:trPr>
          <w:trHeight w:val="153"/>
        </w:trPr>
        <w:tc>
          <w:tcPr>
            <w:tcW w:w="3960" w:type="dxa"/>
            <w:vAlign w:val="bottom"/>
            <w:tcBorders>
              <w:bottom w:val="single" w:sz="8" w:color="407CCA"/>
            </w:tcBorders>
            <w:vMerge w:val="continue"/>
          </w:tcPr>
          <w:p>
            <w:pPr>
              <w:spacing w:after="0"/>
              <w:rPr>
                <w:sz w:val="13"/>
                <w:szCs w:val="13"/>
                <w:color w:val="auto"/>
              </w:rPr>
            </w:pPr>
          </w:p>
        </w:tc>
        <w:tc>
          <w:tcPr>
            <w:tcW w:w="3480" w:type="dxa"/>
            <w:vAlign w:val="bottom"/>
            <w:tcBorders>
              <w:bottom w:val="single" w:sz="8" w:color="407CCA"/>
            </w:tcBorders>
          </w:tcPr>
          <w:p>
            <w:pPr>
              <w:jc w:val="center"/>
              <w:ind w:left="2339"/>
              <w:spacing w:after="0"/>
              <w:rPr>
                <w:sz w:val="20"/>
                <w:szCs w:val="20"/>
                <w:color w:val="auto"/>
              </w:rPr>
            </w:pPr>
            <w:r>
              <w:rPr>
                <w:rFonts w:ascii="Arial" w:cs="Arial" w:eastAsia="Arial" w:hAnsi="Arial"/>
                <w:sz w:val="13"/>
                <w:szCs w:val="13"/>
                <w:b w:val="1"/>
                <w:bCs w:val="1"/>
                <w:color w:val="auto"/>
                <w:w w:val="85"/>
              </w:rPr>
              <w:t>Shares (#)</w:t>
            </w:r>
          </w:p>
        </w:tc>
        <w:tc>
          <w:tcPr>
            <w:tcW w:w="900" w:type="dxa"/>
            <w:vAlign w:val="bottom"/>
            <w:tcBorders>
              <w:bottom w:val="single" w:sz="8" w:color="407CCA"/>
            </w:tcBorders>
          </w:tcPr>
          <w:p>
            <w:pPr>
              <w:jc w:val="right"/>
              <w:ind w:right="319"/>
              <w:spacing w:after="0"/>
              <w:rPr>
                <w:sz w:val="20"/>
                <w:szCs w:val="20"/>
                <w:color w:val="auto"/>
              </w:rPr>
            </w:pPr>
            <w:r>
              <w:rPr>
                <w:rFonts w:ascii="Arial" w:cs="Arial" w:eastAsia="Arial" w:hAnsi="Arial"/>
                <w:sz w:val="13"/>
                <w:szCs w:val="13"/>
                <w:b w:val="1"/>
                <w:bCs w:val="1"/>
                <w:color w:val="auto"/>
              </w:rPr>
              <w:t>(#)</w:t>
            </w:r>
          </w:p>
        </w:tc>
        <w:tc>
          <w:tcPr>
            <w:tcW w:w="980" w:type="dxa"/>
            <w:vAlign w:val="bottom"/>
            <w:tcBorders>
              <w:bottom w:val="single" w:sz="8" w:color="407CCA"/>
            </w:tcBorders>
          </w:tcPr>
          <w:p>
            <w:pPr>
              <w:jc w:val="right"/>
              <w:ind w:right="379"/>
              <w:spacing w:after="0"/>
              <w:rPr>
                <w:sz w:val="20"/>
                <w:szCs w:val="20"/>
                <w:color w:val="auto"/>
              </w:rPr>
            </w:pPr>
            <w:r>
              <w:rPr>
                <w:rFonts w:ascii="Arial" w:cs="Arial" w:eastAsia="Arial" w:hAnsi="Arial"/>
                <w:sz w:val="13"/>
                <w:szCs w:val="13"/>
                <w:b w:val="1"/>
                <w:bCs w:val="1"/>
                <w:color w:val="auto"/>
              </w:rPr>
              <w:t>(#)</w:t>
            </w:r>
          </w:p>
        </w:tc>
        <w:tc>
          <w:tcPr>
            <w:tcW w:w="800" w:type="dxa"/>
            <w:vAlign w:val="bottom"/>
            <w:tcBorders>
              <w:bottom w:val="single" w:sz="8" w:color="407CCA"/>
            </w:tcBorders>
          </w:tcPr>
          <w:p>
            <w:pPr>
              <w:jc w:val="right"/>
              <w:ind w:right="217"/>
              <w:spacing w:after="0"/>
              <w:rPr>
                <w:sz w:val="20"/>
                <w:szCs w:val="20"/>
                <w:color w:val="auto"/>
              </w:rPr>
            </w:pPr>
            <w:r>
              <w:rPr>
                <w:rFonts w:ascii="Arial" w:cs="Arial" w:eastAsia="Arial" w:hAnsi="Arial"/>
                <w:sz w:val="13"/>
                <w:szCs w:val="13"/>
                <w:b w:val="1"/>
                <w:bCs w:val="1"/>
                <w:color w:val="auto"/>
              </w:rPr>
              <w:t>(#)</w:t>
            </w:r>
          </w:p>
        </w:tc>
        <w:tc>
          <w:tcPr>
            <w:tcW w:w="0" w:type="dxa"/>
            <w:vAlign w:val="bottom"/>
          </w:tcPr>
          <w:p>
            <w:pPr>
              <w:spacing w:after="0"/>
              <w:rPr>
                <w:sz w:val="1"/>
                <w:szCs w:val="1"/>
                <w:color w:val="auto"/>
              </w:rPr>
            </w:pPr>
          </w:p>
        </w:tc>
      </w:tr>
      <w:tr>
        <w:trPr>
          <w:trHeight w:val="257"/>
        </w:trPr>
        <w:tc>
          <w:tcPr>
            <w:tcW w:w="3960" w:type="dxa"/>
            <w:vAlign w:val="bottom"/>
            <w:tcBorders>
              <w:bottom w:val="single" w:sz="8" w:color="CCEEFF"/>
            </w:tcBorders>
            <w:shd w:val="clear" w:color="auto" w:fill="CCEEFF"/>
          </w:tcPr>
          <w:p>
            <w:pPr>
              <w:ind w:left="100"/>
              <w:spacing w:after="0"/>
              <w:rPr>
                <w:sz w:val="20"/>
                <w:szCs w:val="20"/>
                <w:color w:val="auto"/>
              </w:rPr>
            </w:pPr>
            <w:r>
              <w:rPr>
                <w:rFonts w:ascii="Arial" w:cs="Arial" w:eastAsia="Arial" w:hAnsi="Arial"/>
                <w:sz w:val="18"/>
                <w:szCs w:val="18"/>
                <w:color w:val="auto"/>
              </w:rPr>
              <w:t>Donna J. Blank</w:t>
            </w:r>
          </w:p>
        </w:tc>
        <w:tc>
          <w:tcPr>
            <w:tcW w:w="3480" w:type="dxa"/>
            <w:vAlign w:val="bottom"/>
            <w:tcBorders>
              <w:bottom w:val="single" w:sz="8" w:color="CCEEFF"/>
            </w:tcBorders>
            <w:shd w:val="clear" w:color="auto" w:fill="CCEEFF"/>
          </w:tcPr>
          <w:p>
            <w:pPr>
              <w:jc w:val="right"/>
              <w:ind w:right="379"/>
              <w:spacing w:after="0"/>
              <w:rPr>
                <w:sz w:val="20"/>
                <w:szCs w:val="20"/>
                <w:color w:val="auto"/>
              </w:rPr>
            </w:pPr>
            <w:r>
              <w:rPr>
                <w:rFonts w:ascii="Arial" w:cs="Arial" w:eastAsia="Arial" w:hAnsi="Arial"/>
                <w:sz w:val="18"/>
                <w:szCs w:val="18"/>
                <w:color w:val="auto"/>
              </w:rPr>
              <w:t>–</w:t>
            </w:r>
          </w:p>
        </w:tc>
        <w:tc>
          <w:tcPr>
            <w:tcW w:w="900" w:type="dxa"/>
            <w:vAlign w:val="bottom"/>
            <w:tcBorders>
              <w:bottom w:val="single" w:sz="8" w:color="CCEEFF"/>
            </w:tcBorders>
            <w:shd w:val="clear" w:color="auto" w:fill="CCEEFF"/>
          </w:tcPr>
          <w:p>
            <w:pPr>
              <w:jc w:val="right"/>
              <w:ind w:right="119"/>
              <w:spacing w:after="0"/>
              <w:rPr>
                <w:sz w:val="20"/>
                <w:szCs w:val="20"/>
                <w:color w:val="auto"/>
              </w:rPr>
            </w:pPr>
            <w:r>
              <w:rPr>
                <w:rFonts w:ascii="Arial" w:cs="Arial" w:eastAsia="Arial" w:hAnsi="Arial"/>
                <w:sz w:val="18"/>
                <w:szCs w:val="18"/>
                <w:color w:val="auto"/>
              </w:rPr>
              <w:t>7,598</w:t>
            </w:r>
          </w:p>
        </w:tc>
        <w:tc>
          <w:tcPr>
            <w:tcW w:w="980" w:type="dxa"/>
            <w:vAlign w:val="bottom"/>
            <w:tcBorders>
              <w:bottom w:val="single" w:sz="8" w:color="CCEEFF"/>
            </w:tcBorders>
            <w:shd w:val="clear" w:color="auto" w:fill="CCEEFF"/>
          </w:tcPr>
          <w:p>
            <w:pPr>
              <w:jc w:val="right"/>
              <w:ind w:right="379"/>
              <w:spacing w:after="0"/>
              <w:rPr>
                <w:sz w:val="20"/>
                <w:szCs w:val="20"/>
                <w:color w:val="auto"/>
              </w:rPr>
            </w:pPr>
            <w:r>
              <w:rPr>
                <w:rFonts w:ascii="Arial" w:cs="Arial" w:eastAsia="Arial" w:hAnsi="Arial"/>
                <w:sz w:val="18"/>
                <w:szCs w:val="18"/>
                <w:color w:val="auto"/>
              </w:rPr>
              <w:t>–</w:t>
            </w:r>
          </w:p>
        </w:tc>
        <w:tc>
          <w:tcPr>
            <w:tcW w:w="8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7,598</w:t>
            </w:r>
          </w:p>
        </w:tc>
        <w:tc>
          <w:tcPr>
            <w:tcW w:w="0" w:type="dxa"/>
            <w:vAlign w:val="bottom"/>
          </w:tcPr>
          <w:p>
            <w:pPr>
              <w:spacing w:after="0"/>
              <w:rPr>
                <w:sz w:val="1"/>
                <w:szCs w:val="1"/>
                <w:color w:val="auto"/>
              </w:rPr>
            </w:pPr>
          </w:p>
        </w:tc>
      </w:tr>
      <w:tr>
        <w:trPr>
          <w:trHeight w:val="257"/>
        </w:trPr>
        <w:tc>
          <w:tcPr>
            <w:tcW w:w="3960" w:type="dxa"/>
            <w:vAlign w:val="bottom"/>
          </w:tcPr>
          <w:p>
            <w:pPr>
              <w:ind w:left="100"/>
              <w:spacing w:after="0"/>
              <w:rPr>
                <w:sz w:val="20"/>
                <w:szCs w:val="20"/>
                <w:color w:val="auto"/>
              </w:rPr>
            </w:pPr>
            <w:r>
              <w:rPr>
                <w:rFonts w:ascii="Arial" w:cs="Arial" w:eastAsia="Arial" w:hAnsi="Arial"/>
                <w:sz w:val="18"/>
                <w:szCs w:val="18"/>
                <w:color w:val="auto"/>
              </w:rPr>
              <w:t>Morris A. Davis</w:t>
            </w:r>
          </w:p>
        </w:tc>
        <w:tc>
          <w:tcPr>
            <w:tcW w:w="3480" w:type="dxa"/>
            <w:vAlign w:val="bottom"/>
          </w:tcPr>
          <w:p>
            <w:pPr>
              <w:jc w:val="right"/>
              <w:ind w:right="99"/>
              <w:spacing w:after="0"/>
              <w:rPr>
                <w:sz w:val="20"/>
                <w:szCs w:val="20"/>
                <w:color w:val="auto"/>
              </w:rPr>
            </w:pPr>
            <w:r>
              <w:rPr>
                <w:rFonts w:ascii="Arial" w:cs="Arial" w:eastAsia="Arial" w:hAnsi="Arial"/>
                <w:sz w:val="18"/>
                <w:szCs w:val="18"/>
                <w:color w:val="auto"/>
              </w:rPr>
              <w:t>7,350</w:t>
            </w:r>
          </w:p>
        </w:tc>
        <w:tc>
          <w:tcPr>
            <w:tcW w:w="900" w:type="dxa"/>
            <w:vAlign w:val="bottom"/>
          </w:tcPr>
          <w:p>
            <w:pPr>
              <w:jc w:val="right"/>
              <w:ind w:right="119"/>
              <w:spacing w:after="0"/>
              <w:rPr>
                <w:sz w:val="20"/>
                <w:szCs w:val="20"/>
                <w:color w:val="auto"/>
              </w:rPr>
            </w:pPr>
            <w:r>
              <w:rPr>
                <w:rFonts w:ascii="Arial" w:cs="Arial" w:eastAsia="Arial" w:hAnsi="Arial"/>
                <w:sz w:val="18"/>
                <w:szCs w:val="18"/>
                <w:color w:val="auto"/>
              </w:rPr>
              <w:t>7,598</w:t>
            </w:r>
          </w:p>
        </w:tc>
        <w:tc>
          <w:tcPr>
            <w:tcW w:w="980" w:type="dxa"/>
            <w:vAlign w:val="bottom"/>
          </w:tcPr>
          <w:p>
            <w:pPr>
              <w:jc w:val="right"/>
              <w:ind w:right="159"/>
              <w:spacing w:after="0"/>
              <w:rPr>
                <w:sz w:val="20"/>
                <w:szCs w:val="20"/>
                <w:color w:val="auto"/>
              </w:rPr>
            </w:pPr>
            <w:r>
              <w:rPr>
                <w:rFonts w:ascii="Arial" w:cs="Arial" w:eastAsia="Arial" w:hAnsi="Arial"/>
                <w:sz w:val="18"/>
                <w:szCs w:val="18"/>
                <w:color w:val="auto"/>
              </w:rPr>
              <w:t>11,682</w:t>
            </w:r>
          </w:p>
        </w:tc>
        <w:tc>
          <w:tcPr>
            <w:tcW w:w="800" w:type="dxa"/>
            <w:vAlign w:val="bottom"/>
          </w:tcPr>
          <w:p>
            <w:pPr>
              <w:jc w:val="right"/>
              <w:spacing w:after="0"/>
              <w:rPr>
                <w:sz w:val="20"/>
                <w:szCs w:val="20"/>
                <w:color w:val="auto"/>
              </w:rPr>
            </w:pPr>
            <w:r>
              <w:rPr>
                <w:rFonts w:ascii="Arial" w:cs="Arial" w:eastAsia="Arial" w:hAnsi="Arial"/>
                <w:sz w:val="18"/>
                <w:szCs w:val="18"/>
                <w:color w:val="auto"/>
              </w:rPr>
              <w:t>26,630</w:t>
            </w:r>
          </w:p>
        </w:tc>
        <w:tc>
          <w:tcPr>
            <w:tcW w:w="0" w:type="dxa"/>
            <w:vAlign w:val="bottom"/>
          </w:tcPr>
          <w:p>
            <w:pPr>
              <w:spacing w:after="0"/>
              <w:rPr>
                <w:sz w:val="1"/>
                <w:szCs w:val="1"/>
                <w:color w:val="auto"/>
              </w:rPr>
            </w:pPr>
          </w:p>
        </w:tc>
      </w:tr>
      <w:tr>
        <w:trPr>
          <w:trHeight w:val="27"/>
        </w:trPr>
        <w:tc>
          <w:tcPr>
            <w:tcW w:w="3960" w:type="dxa"/>
            <w:vAlign w:val="bottom"/>
          </w:tcPr>
          <w:p>
            <w:pPr>
              <w:spacing w:after="0"/>
              <w:rPr>
                <w:sz w:val="2"/>
                <w:szCs w:val="2"/>
                <w:color w:val="auto"/>
              </w:rPr>
            </w:pPr>
          </w:p>
        </w:tc>
        <w:tc>
          <w:tcPr>
            <w:tcW w:w="3480" w:type="dxa"/>
            <w:vAlign w:val="bottom"/>
          </w:tcPr>
          <w:p>
            <w:pPr>
              <w:spacing w:after="0"/>
              <w:rPr>
                <w:sz w:val="2"/>
                <w:szCs w:val="2"/>
                <w:color w:val="auto"/>
              </w:rPr>
            </w:pPr>
          </w:p>
        </w:tc>
        <w:tc>
          <w:tcPr>
            <w:tcW w:w="900" w:type="dxa"/>
            <w:vAlign w:val="bottom"/>
          </w:tcPr>
          <w:p>
            <w:pPr>
              <w:spacing w:after="0"/>
              <w:rPr>
                <w:sz w:val="2"/>
                <w:szCs w:val="2"/>
                <w:color w:val="auto"/>
              </w:rPr>
            </w:pPr>
          </w:p>
        </w:tc>
        <w:tc>
          <w:tcPr>
            <w:tcW w:w="980" w:type="dxa"/>
            <w:vAlign w:val="bottom"/>
          </w:tcPr>
          <w:p>
            <w:pPr>
              <w:spacing w:after="0"/>
              <w:rPr>
                <w:sz w:val="2"/>
                <w:szCs w:val="2"/>
                <w:color w:val="auto"/>
              </w:rPr>
            </w:pPr>
          </w:p>
        </w:tc>
        <w:tc>
          <w:tcPr>
            <w:tcW w:w="8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64"/>
        </w:trPr>
        <w:tc>
          <w:tcPr>
            <w:tcW w:w="3960" w:type="dxa"/>
            <w:vAlign w:val="bottom"/>
            <w:tcBorders>
              <w:bottom w:val="single" w:sz="8" w:color="CCEEFF"/>
            </w:tcBorders>
            <w:shd w:val="clear" w:color="auto" w:fill="CCEEFF"/>
          </w:tcPr>
          <w:p>
            <w:pPr>
              <w:ind w:left="100"/>
              <w:spacing w:after="0"/>
              <w:rPr>
                <w:sz w:val="20"/>
                <w:szCs w:val="20"/>
                <w:color w:val="auto"/>
              </w:rPr>
            </w:pPr>
            <w:r>
              <w:rPr>
                <w:rFonts w:ascii="Arial" w:cs="Arial" w:eastAsia="Arial" w:hAnsi="Arial"/>
                <w:sz w:val="18"/>
                <w:szCs w:val="18"/>
                <w:color w:val="auto"/>
              </w:rPr>
              <w:t>John D. Fisk</w:t>
            </w:r>
          </w:p>
        </w:tc>
        <w:tc>
          <w:tcPr>
            <w:tcW w:w="3480" w:type="dxa"/>
            <w:vAlign w:val="bottom"/>
            <w:tcBorders>
              <w:bottom w:val="single" w:sz="8" w:color="CCEEFF"/>
            </w:tcBorders>
            <w:shd w:val="clear" w:color="auto" w:fill="CCEEFF"/>
          </w:tcPr>
          <w:p>
            <w:pPr>
              <w:jc w:val="right"/>
              <w:ind w:right="379"/>
              <w:spacing w:after="0"/>
              <w:rPr>
                <w:sz w:val="20"/>
                <w:szCs w:val="20"/>
                <w:color w:val="auto"/>
              </w:rPr>
            </w:pPr>
            <w:r>
              <w:rPr>
                <w:rFonts w:ascii="Arial" w:cs="Arial" w:eastAsia="Arial" w:hAnsi="Arial"/>
                <w:sz w:val="18"/>
                <w:szCs w:val="18"/>
                <w:color w:val="auto"/>
              </w:rPr>
              <w:t>–</w:t>
            </w:r>
          </w:p>
        </w:tc>
        <w:tc>
          <w:tcPr>
            <w:tcW w:w="900" w:type="dxa"/>
            <w:vAlign w:val="bottom"/>
            <w:tcBorders>
              <w:bottom w:val="single" w:sz="8" w:color="CCEEFF"/>
            </w:tcBorders>
            <w:shd w:val="clear" w:color="auto" w:fill="CCEEFF"/>
          </w:tcPr>
          <w:p>
            <w:pPr>
              <w:jc w:val="right"/>
              <w:ind w:right="319"/>
              <w:spacing w:after="0"/>
              <w:rPr>
                <w:sz w:val="20"/>
                <w:szCs w:val="20"/>
                <w:color w:val="auto"/>
              </w:rPr>
            </w:pPr>
            <w:r>
              <w:rPr>
                <w:rFonts w:ascii="Arial" w:cs="Arial" w:eastAsia="Arial" w:hAnsi="Arial"/>
                <w:sz w:val="18"/>
                <w:szCs w:val="18"/>
                <w:color w:val="auto"/>
              </w:rPr>
              <w:t>–</w:t>
            </w:r>
          </w:p>
        </w:tc>
        <w:tc>
          <w:tcPr>
            <w:tcW w:w="980" w:type="dxa"/>
            <w:vAlign w:val="bottom"/>
            <w:tcBorders>
              <w:bottom w:val="single" w:sz="8" w:color="CCEEFF"/>
            </w:tcBorders>
            <w:shd w:val="clear" w:color="auto" w:fill="CCEEFF"/>
          </w:tcPr>
          <w:p>
            <w:pPr>
              <w:jc w:val="right"/>
              <w:ind w:right="379"/>
              <w:spacing w:after="0"/>
              <w:rPr>
                <w:sz w:val="20"/>
                <w:szCs w:val="20"/>
                <w:color w:val="auto"/>
              </w:rPr>
            </w:pPr>
            <w:r>
              <w:rPr>
                <w:rFonts w:ascii="Arial" w:cs="Arial" w:eastAsia="Arial" w:hAnsi="Arial"/>
                <w:sz w:val="18"/>
                <w:szCs w:val="18"/>
                <w:color w:val="auto"/>
              </w:rPr>
              <w:t>–</w:t>
            </w:r>
          </w:p>
        </w:tc>
        <w:tc>
          <w:tcPr>
            <w:tcW w:w="800" w:type="dxa"/>
            <w:vAlign w:val="bottom"/>
            <w:tcBorders>
              <w:bottom w:val="single" w:sz="8" w:color="CCEEFF"/>
            </w:tcBorders>
            <w:shd w:val="clear" w:color="auto" w:fill="CCEEFF"/>
          </w:tcPr>
          <w:p>
            <w:pPr>
              <w:jc w:val="right"/>
              <w:ind w:right="217"/>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56"/>
        </w:trPr>
        <w:tc>
          <w:tcPr>
            <w:tcW w:w="3960" w:type="dxa"/>
            <w:vAlign w:val="bottom"/>
          </w:tcPr>
          <w:p>
            <w:pPr>
              <w:ind w:left="100"/>
              <w:spacing w:after="0"/>
              <w:rPr>
                <w:sz w:val="20"/>
                <w:szCs w:val="20"/>
                <w:color w:val="auto"/>
              </w:rPr>
            </w:pPr>
            <w:r>
              <w:rPr>
                <w:rFonts w:ascii="Arial" w:cs="Arial" w:eastAsia="Arial" w:hAnsi="Arial"/>
                <w:sz w:val="18"/>
                <w:szCs w:val="18"/>
                <w:color w:val="auto"/>
              </w:rPr>
              <w:t>Prue B. Larocca</w:t>
            </w:r>
          </w:p>
        </w:tc>
        <w:tc>
          <w:tcPr>
            <w:tcW w:w="3480" w:type="dxa"/>
            <w:vAlign w:val="bottom"/>
          </w:tcPr>
          <w:p>
            <w:pPr>
              <w:jc w:val="right"/>
              <w:ind w:right="99"/>
              <w:spacing w:after="0"/>
              <w:rPr>
                <w:sz w:val="20"/>
                <w:szCs w:val="20"/>
                <w:color w:val="auto"/>
              </w:rPr>
            </w:pPr>
            <w:r>
              <w:rPr>
                <w:rFonts w:ascii="Arial" w:cs="Arial" w:eastAsia="Arial" w:hAnsi="Arial"/>
                <w:sz w:val="18"/>
                <w:szCs w:val="18"/>
                <w:color w:val="auto"/>
              </w:rPr>
              <w:t>25,506</w:t>
            </w:r>
          </w:p>
        </w:tc>
        <w:tc>
          <w:tcPr>
            <w:tcW w:w="900" w:type="dxa"/>
            <w:vAlign w:val="bottom"/>
          </w:tcPr>
          <w:p>
            <w:pPr>
              <w:jc w:val="right"/>
              <w:ind w:right="119"/>
              <w:spacing w:after="0"/>
              <w:rPr>
                <w:sz w:val="20"/>
                <w:szCs w:val="20"/>
                <w:color w:val="auto"/>
              </w:rPr>
            </w:pPr>
            <w:r>
              <w:rPr>
                <w:rFonts w:ascii="Arial" w:cs="Arial" w:eastAsia="Arial" w:hAnsi="Arial"/>
                <w:sz w:val="18"/>
                <w:szCs w:val="18"/>
                <w:color w:val="auto"/>
              </w:rPr>
              <w:t>7,598</w:t>
            </w:r>
          </w:p>
        </w:tc>
        <w:tc>
          <w:tcPr>
            <w:tcW w:w="980" w:type="dxa"/>
            <w:vAlign w:val="bottom"/>
          </w:tcPr>
          <w:p>
            <w:pPr>
              <w:jc w:val="right"/>
              <w:ind w:right="159"/>
              <w:spacing w:after="0"/>
              <w:rPr>
                <w:sz w:val="20"/>
                <w:szCs w:val="20"/>
                <w:color w:val="auto"/>
              </w:rPr>
            </w:pPr>
            <w:r>
              <w:rPr>
                <w:rFonts w:ascii="Arial" w:cs="Arial" w:eastAsia="Arial" w:hAnsi="Arial"/>
                <w:sz w:val="18"/>
                <w:szCs w:val="18"/>
                <w:color w:val="auto"/>
              </w:rPr>
              <w:t>16,545</w:t>
            </w:r>
          </w:p>
        </w:tc>
        <w:tc>
          <w:tcPr>
            <w:tcW w:w="800" w:type="dxa"/>
            <w:vAlign w:val="bottom"/>
          </w:tcPr>
          <w:p>
            <w:pPr>
              <w:jc w:val="right"/>
              <w:spacing w:after="0"/>
              <w:rPr>
                <w:sz w:val="20"/>
                <w:szCs w:val="20"/>
                <w:color w:val="auto"/>
              </w:rPr>
            </w:pPr>
            <w:r>
              <w:rPr>
                <w:rFonts w:ascii="Arial" w:cs="Arial" w:eastAsia="Arial" w:hAnsi="Arial"/>
                <w:sz w:val="18"/>
                <w:szCs w:val="18"/>
                <w:color w:val="auto"/>
              </w:rPr>
              <w:t>49,649</w:t>
            </w:r>
          </w:p>
        </w:tc>
        <w:tc>
          <w:tcPr>
            <w:tcW w:w="0" w:type="dxa"/>
            <w:vAlign w:val="bottom"/>
          </w:tcPr>
          <w:p>
            <w:pPr>
              <w:spacing w:after="0"/>
              <w:rPr>
                <w:sz w:val="1"/>
                <w:szCs w:val="1"/>
                <w:color w:val="auto"/>
              </w:rPr>
            </w:pPr>
          </w:p>
        </w:tc>
      </w:tr>
      <w:tr>
        <w:trPr>
          <w:trHeight w:val="27"/>
        </w:trPr>
        <w:tc>
          <w:tcPr>
            <w:tcW w:w="3960" w:type="dxa"/>
            <w:vAlign w:val="bottom"/>
          </w:tcPr>
          <w:p>
            <w:pPr>
              <w:spacing w:after="0"/>
              <w:rPr>
                <w:sz w:val="2"/>
                <w:szCs w:val="2"/>
                <w:color w:val="auto"/>
              </w:rPr>
            </w:pPr>
          </w:p>
        </w:tc>
        <w:tc>
          <w:tcPr>
            <w:tcW w:w="3480" w:type="dxa"/>
            <w:vAlign w:val="bottom"/>
          </w:tcPr>
          <w:p>
            <w:pPr>
              <w:spacing w:after="0"/>
              <w:rPr>
                <w:sz w:val="2"/>
                <w:szCs w:val="2"/>
                <w:color w:val="auto"/>
              </w:rPr>
            </w:pPr>
          </w:p>
        </w:tc>
        <w:tc>
          <w:tcPr>
            <w:tcW w:w="900" w:type="dxa"/>
            <w:vAlign w:val="bottom"/>
          </w:tcPr>
          <w:p>
            <w:pPr>
              <w:spacing w:after="0"/>
              <w:rPr>
                <w:sz w:val="2"/>
                <w:szCs w:val="2"/>
                <w:color w:val="auto"/>
              </w:rPr>
            </w:pPr>
          </w:p>
        </w:tc>
        <w:tc>
          <w:tcPr>
            <w:tcW w:w="980" w:type="dxa"/>
            <w:vAlign w:val="bottom"/>
          </w:tcPr>
          <w:p>
            <w:pPr>
              <w:spacing w:after="0"/>
              <w:rPr>
                <w:sz w:val="2"/>
                <w:szCs w:val="2"/>
                <w:color w:val="auto"/>
              </w:rPr>
            </w:pPr>
          </w:p>
        </w:tc>
        <w:tc>
          <w:tcPr>
            <w:tcW w:w="8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63"/>
        </w:trPr>
        <w:tc>
          <w:tcPr>
            <w:tcW w:w="3960" w:type="dxa"/>
            <w:vAlign w:val="bottom"/>
            <w:tcBorders>
              <w:bottom w:val="single" w:sz="8" w:color="CCEEFF"/>
            </w:tcBorders>
            <w:shd w:val="clear" w:color="auto" w:fill="CCEEFF"/>
          </w:tcPr>
          <w:p>
            <w:pPr>
              <w:ind w:left="100"/>
              <w:spacing w:after="0"/>
              <w:rPr>
                <w:sz w:val="20"/>
                <w:szCs w:val="20"/>
                <w:color w:val="auto"/>
              </w:rPr>
            </w:pPr>
            <w:r>
              <w:rPr>
                <w:rFonts w:ascii="Arial" w:cs="Arial" w:eastAsia="Arial" w:hAnsi="Arial"/>
                <w:sz w:val="18"/>
                <w:szCs w:val="18"/>
                <w:color w:val="auto"/>
              </w:rPr>
              <w:t>Paul E. Mullings</w:t>
            </w:r>
          </w:p>
        </w:tc>
        <w:tc>
          <w:tcPr>
            <w:tcW w:w="3480" w:type="dxa"/>
            <w:vAlign w:val="bottom"/>
            <w:tcBorders>
              <w:bottom w:val="single" w:sz="8" w:color="CCEEFF"/>
            </w:tcBorders>
            <w:shd w:val="clear" w:color="auto" w:fill="CCEEFF"/>
          </w:tcPr>
          <w:p>
            <w:pPr>
              <w:jc w:val="right"/>
              <w:ind w:right="379"/>
              <w:spacing w:after="0"/>
              <w:rPr>
                <w:sz w:val="20"/>
                <w:szCs w:val="20"/>
                <w:color w:val="auto"/>
              </w:rPr>
            </w:pPr>
            <w:r>
              <w:rPr>
                <w:rFonts w:ascii="Arial" w:cs="Arial" w:eastAsia="Arial" w:hAnsi="Arial"/>
                <w:sz w:val="18"/>
                <w:szCs w:val="18"/>
                <w:color w:val="auto"/>
              </w:rPr>
              <w:t>–</w:t>
            </w:r>
          </w:p>
        </w:tc>
        <w:tc>
          <w:tcPr>
            <w:tcW w:w="900" w:type="dxa"/>
            <w:vAlign w:val="bottom"/>
            <w:tcBorders>
              <w:bottom w:val="single" w:sz="8" w:color="CCEEFF"/>
            </w:tcBorders>
            <w:shd w:val="clear" w:color="auto" w:fill="CCEEFF"/>
          </w:tcPr>
          <w:p>
            <w:pPr>
              <w:jc w:val="right"/>
              <w:ind w:right="119"/>
              <w:spacing w:after="0"/>
              <w:rPr>
                <w:sz w:val="20"/>
                <w:szCs w:val="20"/>
                <w:color w:val="auto"/>
              </w:rPr>
            </w:pPr>
            <w:r>
              <w:rPr>
                <w:rFonts w:ascii="Arial" w:cs="Arial" w:eastAsia="Arial" w:hAnsi="Arial"/>
                <w:sz w:val="18"/>
                <w:szCs w:val="18"/>
                <w:color w:val="auto"/>
              </w:rPr>
              <w:t>7,598</w:t>
            </w:r>
          </w:p>
        </w:tc>
        <w:tc>
          <w:tcPr>
            <w:tcW w:w="980" w:type="dxa"/>
            <w:vAlign w:val="bottom"/>
            <w:tcBorders>
              <w:bottom w:val="single" w:sz="8" w:color="CCEEFF"/>
            </w:tcBorders>
            <w:shd w:val="clear" w:color="auto" w:fill="CCEEFF"/>
          </w:tcPr>
          <w:p>
            <w:pPr>
              <w:jc w:val="right"/>
              <w:ind w:right="159"/>
              <w:spacing w:after="0"/>
              <w:rPr>
                <w:sz w:val="20"/>
                <w:szCs w:val="20"/>
                <w:color w:val="auto"/>
              </w:rPr>
            </w:pPr>
            <w:r>
              <w:rPr>
                <w:rFonts w:ascii="Arial" w:cs="Arial" w:eastAsia="Arial" w:hAnsi="Arial"/>
                <w:sz w:val="18"/>
                <w:szCs w:val="18"/>
                <w:color w:val="auto"/>
              </w:rPr>
              <w:t>16,564</w:t>
            </w:r>
          </w:p>
        </w:tc>
        <w:tc>
          <w:tcPr>
            <w:tcW w:w="8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24,162</w:t>
            </w:r>
          </w:p>
        </w:tc>
        <w:tc>
          <w:tcPr>
            <w:tcW w:w="0" w:type="dxa"/>
            <w:vAlign w:val="bottom"/>
          </w:tcPr>
          <w:p>
            <w:pPr>
              <w:spacing w:after="0"/>
              <w:rPr>
                <w:sz w:val="1"/>
                <w:szCs w:val="1"/>
                <w:color w:val="auto"/>
              </w:rPr>
            </w:pPr>
          </w:p>
        </w:tc>
      </w:tr>
      <w:tr>
        <w:trPr>
          <w:trHeight w:val="257"/>
        </w:trPr>
        <w:tc>
          <w:tcPr>
            <w:tcW w:w="3960" w:type="dxa"/>
            <w:vAlign w:val="bottom"/>
          </w:tcPr>
          <w:p>
            <w:pPr>
              <w:ind w:left="100"/>
              <w:spacing w:after="0"/>
              <w:rPr>
                <w:sz w:val="20"/>
                <w:szCs w:val="20"/>
                <w:color w:val="auto"/>
              </w:rPr>
            </w:pPr>
            <w:r>
              <w:rPr>
                <w:rFonts w:ascii="Arial" w:cs="Arial" w:eastAsia="Arial" w:hAnsi="Arial"/>
                <w:sz w:val="18"/>
                <w:szCs w:val="18"/>
                <w:color w:val="auto"/>
              </w:rPr>
              <w:t>Frances R. Spark</w:t>
            </w:r>
          </w:p>
        </w:tc>
        <w:tc>
          <w:tcPr>
            <w:tcW w:w="3480" w:type="dxa"/>
            <w:vAlign w:val="bottom"/>
          </w:tcPr>
          <w:p>
            <w:pPr>
              <w:jc w:val="right"/>
              <w:ind w:right="99"/>
              <w:spacing w:after="0"/>
              <w:rPr>
                <w:sz w:val="20"/>
                <w:szCs w:val="20"/>
                <w:color w:val="auto"/>
              </w:rPr>
            </w:pPr>
            <w:r>
              <w:rPr>
                <w:rFonts w:ascii="Arial" w:cs="Arial" w:eastAsia="Arial" w:hAnsi="Arial"/>
                <w:sz w:val="18"/>
                <w:szCs w:val="18"/>
                <w:color w:val="auto"/>
              </w:rPr>
              <w:t>5,000</w:t>
            </w:r>
          </w:p>
        </w:tc>
        <w:tc>
          <w:tcPr>
            <w:tcW w:w="900" w:type="dxa"/>
            <w:vAlign w:val="bottom"/>
          </w:tcPr>
          <w:p>
            <w:pPr>
              <w:jc w:val="right"/>
              <w:ind w:right="319"/>
              <w:spacing w:after="0"/>
              <w:rPr>
                <w:sz w:val="20"/>
                <w:szCs w:val="20"/>
                <w:color w:val="auto"/>
              </w:rPr>
            </w:pPr>
            <w:r>
              <w:rPr>
                <w:rFonts w:ascii="Arial" w:cs="Arial" w:eastAsia="Arial" w:hAnsi="Arial"/>
                <w:sz w:val="18"/>
                <w:szCs w:val="18"/>
                <w:color w:val="auto"/>
              </w:rPr>
              <w:t>–</w:t>
            </w:r>
          </w:p>
        </w:tc>
        <w:tc>
          <w:tcPr>
            <w:tcW w:w="980" w:type="dxa"/>
            <w:vAlign w:val="bottom"/>
          </w:tcPr>
          <w:p>
            <w:pPr>
              <w:jc w:val="right"/>
              <w:ind w:right="379"/>
              <w:spacing w:after="0"/>
              <w:rPr>
                <w:sz w:val="20"/>
                <w:szCs w:val="20"/>
                <w:color w:val="auto"/>
              </w:rPr>
            </w:pPr>
            <w:r>
              <w:rPr>
                <w:rFonts w:ascii="Arial" w:cs="Arial" w:eastAsia="Arial" w:hAnsi="Arial"/>
                <w:sz w:val="18"/>
                <w:szCs w:val="18"/>
                <w:color w:val="auto"/>
              </w:rPr>
              <w:t>–</w:t>
            </w:r>
          </w:p>
        </w:tc>
        <w:tc>
          <w:tcPr>
            <w:tcW w:w="800" w:type="dxa"/>
            <w:vAlign w:val="bottom"/>
          </w:tcPr>
          <w:p>
            <w:pPr>
              <w:jc w:val="right"/>
              <w:spacing w:after="0"/>
              <w:rPr>
                <w:sz w:val="20"/>
                <w:szCs w:val="20"/>
                <w:color w:val="auto"/>
              </w:rPr>
            </w:pPr>
            <w:r>
              <w:rPr>
                <w:rFonts w:ascii="Arial" w:cs="Arial" w:eastAsia="Arial" w:hAnsi="Arial"/>
                <w:sz w:val="18"/>
                <w:szCs w:val="18"/>
                <w:color w:val="auto"/>
              </w:rPr>
              <w:t>5,000</w:t>
            </w:r>
          </w:p>
        </w:tc>
        <w:tc>
          <w:tcPr>
            <w:tcW w:w="0" w:type="dxa"/>
            <w:vAlign w:val="bottom"/>
          </w:tcPr>
          <w:p>
            <w:pPr>
              <w:spacing w:after="0"/>
              <w:rPr>
                <w:sz w:val="1"/>
                <w:szCs w:val="1"/>
                <w:color w:val="auto"/>
              </w:rPr>
            </w:pPr>
          </w:p>
        </w:tc>
      </w:tr>
      <w:tr>
        <w:trPr>
          <w:trHeight w:val="27"/>
        </w:trPr>
        <w:tc>
          <w:tcPr>
            <w:tcW w:w="3960" w:type="dxa"/>
            <w:vAlign w:val="bottom"/>
            <w:tcBorders>
              <w:bottom w:val="single" w:sz="8" w:color="407CCA"/>
            </w:tcBorders>
          </w:tcPr>
          <w:p>
            <w:pPr>
              <w:spacing w:after="0"/>
              <w:rPr>
                <w:sz w:val="2"/>
                <w:szCs w:val="2"/>
                <w:color w:val="auto"/>
              </w:rPr>
            </w:pPr>
          </w:p>
        </w:tc>
        <w:tc>
          <w:tcPr>
            <w:tcW w:w="3480" w:type="dxa"/>
            <w:vAlign w:val="bottom"/>
            <w:tcBorders>
              <w:bottom w:val="single" w:sz="8" w:color="407CCA"/>
            </w:tcBorders>
          </w:tcPr>
          <w:p>
            <w:pPr>
              <w:spacing w:after="0"/>
              <w:rPr>
                <w:sz w:val="2"/>
                <w:szCs w:val="2"/>
                <w:color w:val="auto"/>
              </w:rPr>
            </w:pPr>
          </w:p>
        </w:tc>
        <w:tc>
          <w:tcPr>
            <w:tcW w:w="900" w:type="dxa"/>
            <w:vAlign w:val="bottom"/>
            <w:tcBorders>
              <w:bottom w:val="single" w:sz="8" w:color="407CCA"/>
            </w:tcBorders>
          </w:tcPr>
          <w:p>
            <w:pPr>
              <w:spacing w:after="0"/>
              <w:rPr>
                <w:sz w:val="2"/>
                <w:szCs w:val="2"/>
                <w:color w:val="auto"/>
              </w:rPr>
            </w:pPr>
          </w:p>
        </w:tc>
        <w:tc>
          <w:tcPr>
            <w:tcW w:w="980" w:type="dxa"/>
            <w:vAlign w:val="bottom"/>
            <w:tcBorders>
              <w:bottom w:val="single" w:sz="8" w:color="407CCA"/>
            </w:tcBorders>
          </w:tcPr>
          <w:p>
            <w:pPr>
              <w:spacing w:after="0"/>
              <w:rPr>
                <w:sz w:val="2"/>
                <w:szCs w:val="2"/>
                <w:color w:val="auto"/>
              </w:rPr>
            </w:pPr>
          </w:p>
        </w:tc>
        <w:tc>
          <w:tcPr>
            <w:tcW w:w="800" w:type="dxa"/>
            <w:vAlign w:val="bottom"/>
            <w:tcBorders>
              <w:bottom w:val="single" w:sz="8" w:color="407CCA"/>
            </w:tcBorders>
          </w:tcPr>
          <w:p>
            <w:pPr>
              <w:spacing w:after="0"/>
              <w:rPr>
                <w:sz w:val="2"/>
                <w:szCs w:val="2"/>
                <w:color w:val="auto"/>
              </w:rPr>
            </w:pPr>
          </w:p>
        </w:tc>
        <w:tc>
          <w:tcPr>
            <w:tcW w:w="0" w:type="dxa"/>
            <w:vAlign w:val="bottom"/>
          </w:tcPr>
          <w:p>
            <w:pPr>
              <w:spacing w:after="0"/>
              <w:rPr>
                <w:sz w:val="1"/>
                <w:szCs w:val="1"/>
                <w:color w:val="auto"/>
              </w:rPr>
            </w:pPr>
          </w:p>
        </w:tc>
      </w:tr>
    </w:tbl>
    <w:p>
      <w:pPr>
        <w:spacing w:after="0" w:line="306"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Director Resignation Policy</w:t>
      </w:r>
    </w:p>
    <w:p>
      <w:pPr>
        <w:spacing w:after="0" w:line="121" w:lineRule="exact"/>
        <w:rPr>
          <w:sz w:val="20"/>
          <w:szCs w:val="20"/>
          <w:color w:val="auto"/>
        </w:rPr>
      </w:pPr>
    </w:p>
    <w:p>
      <w:pPr>
        <w:ind w:left="120" w:right="240" w:firstLine="881"/>
        <w:spacing w:after="0" w:line="271" w:lineRule="auto"/>
        <w:rPr>
          <w:sz w:val="20"/>
          <w:szCs w:val="20"/>
          <w:color w:val="auto"/>
        </w:rPr>
      </w:pPr>
      <w:r>
        <w:rPr>
          <w:rFonts w:ascii="Arial" w:cs="Arial" w:eastAsia="Arial" w:hAnsi="Arial"/>
          <w:sz w:val="17"/>
          <w:szCs w:val="17"/>
          <w:color w:val="auto"/>
        </w:rPr>
        <w:t>Our By-laws require a candidate in an uncontested election for director to receive a majority of the votes cast in order to be elected as a director. Under this provision, each vote is specifically counted “for” or “against” the director’s election, unless a common stockholder abstains from voting with respect to the matter. Thus, a director nominee is required to receive more votes “for” than “against” to be elected. Pursuant to Delaware law, a director shall remain in office until his or her successor is elected and qualified even if the director has not received a vote sufficient for re-election. Thus, a corporation could have a “holdover” director. However, pursuant to our Board-approved director resignation policy, an incumbent director must tender his or her resignation to the Board if the director is nominated but not re-elected. The policy also requires the Compensation Committee to make a recommendation to the full Board on whether to accept or reject the resignation within 90 days of receipt of the tendered resignation and the full Board to make that determination.</w:t>
      </w:r>
    </w:p>
    <w:p>
      <w:pPr>
        <w:spacing w:after="0" w:line="106"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11</w:t>
      </w:r>
    </w:p>
    <w:p>
      <w:pPr>
        <w:sectPr>
          <w:pgSz w:w="11900" w:h="16838" w:orient="portrait"/>
          <w:cols w:equalWidth="0" w:num="1">
            <w:col w:w="11140"/>
          </w:cols>
          <w:pgMar w:left="320" w:top="459" w:right="439" w:bottom="1440" w:gutter="0" w:footer="0" w:header="0"/>
        </w:sectPr>
      </w:pPr>
    </w:p>
    <w:bookmarkStart w:id="24" w:name="page25"/>
    <w:bookmarkEnd w:id="2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120"/>
        <w:spacing w:after="0"/>
        <w:rPr>
          <w:sz w:val="20"/>
          <w:szCs w:val="20"/>
          <w:color w:val="auto"/>
        </w:rPr>
      </w:pPr>
      <w:r>
        <w:rPr>
          <w:rFonts w:ascii="Arial" w:cs="Arial" w:eastAsia="Arial" w:hAnsi="Arial"/>
          <w:sz w:val="17"/>
          <w:szCs w:val="17"/>
          <w:color w:val="auto"/>
        </w:rPr>
        <w:t>The Board would publicly disclose its decision by filing a Current Report on Form 8-K with the SEC within four days of making its determination.</w:t>
      </w:r>
    </w:p>
    <w:p>
      <w:pPr>
        <w:spacing w:after="0" w:line="237" w:lineRule="exact"/>
        <w:rPr>
          <w:sz w:val="20"/>
          <w:szCs w:val="20"/>
          <w:color w:val="auto"/>
        </w:rPr>
      </w:pPr>
    </w:p>
    <w:p>
      <w:pPr>
        <w:ind w:left="120" w:firstLine="881"/>
        <w:spacing w:after="0" w:line="296" w:lineRule="auto"/>
        <w:rPr>
          <w:sz w:val="20"/>
          <w:szCs w:val="20"/>
          <w:color w:val="auto"/>
        </w:rPr>
      </w:pPr>
      <w:r>
        <w:rPr>
          <w:rFonts w:ascii="Arial" w:cs="Arial" w:eastAsia="Arial" w:hAnsi="Arial"/>
          <w:sz w:val="16"/>
          <w:szCs w:val="16"/>
          <w:color w:val="auto"/>
        </w:rPr>
        <w:t>Any director who tenders his or her resignation pursuant to this policy may not participate in the Compensation Committee recommendation or Board action regarding whether to accept the resignation offer. If each member of the Compensation Committee does not receive a vote sufficient for re-election, then the independent directors who did receive a sufficient vote shall appoint a committee amongst themselves to consider the resignation offers and recommend to the Board whether to accept them. If only three or fewer directors receive a sufficient vote for re-election, all directors (other than the director who tendered the resignation under review) may participate in the action regarding whether to accept the resignation offers.</w:t>
      </w:r>
    </w:p>
    <w:p>
      <w:pPr>
        <w:spacing w:after="0" w:line="265"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Certain Transactions with Related Persons</w:t>
      </w:r>
    </w:p>
    <w:p>
      <w:pPr>
        <w:spacing w:after="0" w:line="121"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Related Person Transaction Policies</w:t>
      </w:r>
    </w:p>
    <w:p>
      <w:pPr>
        <w:spacing w:after="0" w:line="117" w:lineRule="exact"/>
        <w:rPr>
          <w:sz w:val="20"/>
          <w:szCs w:val="20"/>
          <w:color w:val="auto"/>
        </w:rPr>
      </w:pPr>
    </w:p>
    <w:p>
      <w:pPr>
        <w:ind w:left="120" w:right="20" w:firstLine="881"/>
        <w:spacing w:after="0" w:line="289" w:lineRule="auto"/>
        <w:rPr>
          <w:sz w:val="20"/>
          <w:szCs w:val="20"/>
          <w:color w:val="auto"/>
        </w:rPr>
      </w:pPr>
      <w:r>
        <w:rPr>
          <w:rFonts w:ascii="Arial" w:cs="Arial" w:eastAsia="Arial" w:hAnsi="Arial"/>
          <w:sz w:val="16"/>
          <w:szCs w:val="16"/>
          <w:color w:val="auto"/>
        </w:rPr>
        <w:t>Our Board has adopted a policy regarding the approval of any “related person transaction,” which is any transaction or series of transactions in which we or any of our subsidiaries is or are to be a participant, the amount involved exceeds $120,000, and a “related person” (as defined under SEC rules) has a direct or indirect material interest. Under the policy, a related person would need to promptly disclose to our Secretary any related person transaction and all material facts about the transaction. Our Secretary would then promptly assess and communicate that information to the Compensation Committee. Based on its consideration of all of the relevant facts and circumstances, the Compensation Committee will decide whether or not to approve such transaction and will generally approve only those transactions that do not create a conflict of interest. If we become aware of an existing related person transaction that has not been pre-approved under this policy, the transaction will be referred to the Compensation Committee, which will evaluate all options available, including ratification, revision, or termination of such transaction. Our policy requires any director who may be interested in a related person transaction to recuse himself or herself from any consideration of such related person transaction.</w:t>
      </w:r>
    </w:p>
    <w:p>
      <w:pPr>
        <w:spacing w:after="0" w:line="166" w:lineRule="exact"/>
        <w:rPr>
          <w:sz w:val="20"/>
          <w:szCs w:val="20"/>
          <w:color w:val="auto"/>
        </w:rPr>
      </w:pPr>
    </w:p>
    <w:p>
      <w:pPr>
        <w:ind w:left="120" w:right="100" w:firstLine="881"/>
        <w:spacing w:after="0" w:line="269" w:lineRule="auto"/>
        <w:rPr>
          <w:sz w:val="20"/>
          <w:szCs w:val="20"/>
          <w:color w:val="auto"/>
        </w:rPr>
      </w:pPr>
      <w:r>
        <w:rPr>
          <w:rFonts w:ascii="Arial" w:cs="Arial" w:eastAsia="Arial" w:hAnsi="Arial"/>
          <w:sz w:val="17"/>
          <w:szCs w:val="17"/>
          <w:color w:val="auto"/>
        </w:rPr>
        <w:t xml:space="preserve">Our Code of Ethics, which is reviewed by our Board and provided to all of our directors, officers, and employees, requires that all such persons avoid any situations or relationships that involve actual or potential conflicts of interest, or perceived conflicts of interest, between an individual’s personal interests and the interests of AGNC. Pursuant to our Code of Ethics, each of these persons must disclose any conflicts of interest, or actions or relationships that might give rise to a conflict, to their supervisor or our chief compliance officer. If a conflict is determined to exist, the person must disengage from the conflict situation or terminate his or her provision of services to us. Our chief executive officer, president, chief financial officer, principal accounting officer, controller, directors and certain other persons who may be designated by our Board or its Audit Committee, whom we collectively refer to as our financial executives, must consult with our chief compliance officer with respect to any proposed actions or arrangements that are not clearly consistent with our Code of Ethics. In the event that a financial executive desires to engage in a proposed action or arrangement that is not consistent with our Code of Ethics, the financial executive must obtain a waiver of the relevant provisions of our Code of Ethics in advance from our Audit Committee. We intend to post amendments to or waivers from the Code of Ethics (to the extent applicable to our financial executives) on our web site at </w:t>
      </w:r>
      <w:r>
        <w:rPr>
          <w:rFonts w:ascii="Arial" w:cs="Arial" w:eastAsia="Arial" w:hAnsi="Arial"/>
          <w:sz w:val="17"/>
          <w:szCs w:val="17"/>
          <w:i w:val="1"/>
          <w:iCs w:val="1"/>
          <w:color w:val="auto"/>
        </w:rPr>
        <w:t>www.AGNC.com</w:t>
      </w:r>
      <w:r>
        <w:rPr>
          <w:rFonts w:ascii="Arial" w:cs="Arial" w:eastAsia="Arial" w:hAnsi="Arial"/>
          <w:sz w:val="17"/>
          <w:szCs w:val="17"/>
          <w:color w:val="auto"/>
        </w:rPr>
        <w:t>.</w:t>
      </w:r>
    </w:p>
    <w:p>
      <w:pPr>
        <w:spacing w:after="0" w:line="182"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Related Person Transactions</w:t>
      </w:r>
    </w:p>
    <w:p>
      <w:pPr>
        <w:spacing w:after="0" w:line="117"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We did not enter into any transactions in 2019 in which any related person of ours had any material interest.</w:t>
      </w:r>
    </w:p>
    <w:p>
      <w:pPr>
        <w:spacing w:after="0" w:line="153"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12</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20"/>
          </w:cols>
          <w:pgMar w:left="320" w:top="459" w:right="459" w:bottom="1440" w:gutter="0" w:footer="0" w:header="0"/>
        </w:sectPr>
      </w:pPr>
    </w:p>
    <w:bookmarkStart w:id="25" w:name="page26"/>
    <w:bookmarkEnd w:id="2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4"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Compensation Committee Interlocks and Insider Participation</w:t>
      </w:r>
    </w:p>
    <w:p>
      <w:pPr>
        <w:spacing w:after="0" w:line="121" w:lineRule="exact"/>
        <w:rPr>
          <w:sz w:val="20"/>
          <w:szCs w:val="20"/>
          <w:color w:val="auto"/>
        </w:rPr>
      </w:pPr>
    </w:p>
    <w:p>
      <w:pPr>
        <w:ind w:left="120" w:right="500" w:firstLine="881"/>
        <w:spacing w:after="0" w:line="263" w:lineRule="auto"/>
        <w:rPr>
          <w:sz w:val="20"/>
          <w:szCs w:val="20"/>
          <w:color w:val="auto"/>
        </w:rPr>
      </w:pPr>
      <w:r>
        <w:rPr>
          <w:rFonts w:ascii="Arial" w:cs="Arial" w:eastAsia="Arial" w:hAnsi="Arial"/>
          <w:sz w:val="18"/>
          <w:szCs w:val="18"/>
          <w:color w:val="auto"/>
        </w:rPr>
        <w:t>No member of the Compensation Committee during fiscal year 2019 served as an officer, former officer, or employee of ours or had a relationship disclosable under “Board and Governance Matters—Certain Transactions with Related Persons.” Further, during 2019, none of our executive officers served as:</w:t>
      </w:r>
    </w:p>
    <w:p>
      <w:pPr>
        <w:spacing w:after="0" w:line="89" w:lineRule="exact"/>
        <w:rPr>
          <w:sz w:val="20"/>
          <w:szCs w:val="20"/>
          <w:color w:val="auto"/>
        </w:rPr>
      </w:pPr>
    </w:p>
    <w:p>
      <w:pPr>
        <w:ind w:left="980" w:right="120" w:hanging="432"/>
        <w:spacing w:after="0" w:line="277" w:lineRule="auto"/>
        <w:tabs>
          <w:tab w:leader="none" w:pos="9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a member of the compensation committee (or equivalent) of any other entity, one of whose executive officers served as one of our directors or was an immediate family member of a director, or served on our Compensation Committee; or</w:t>
      </w:r>
    </w:p>
    <w:p>
      <w:pPr>
        <w:spacing w:after="0" w:line="75" w:lineRule="exact"/>
        <w:rPr>
          <w:rFonts w:ascii="Arial" w:cs="Arial" w:eastAsia="Arial" w:hAnsi="Arial"/>
          <w:sz w:val="18"/>
          <w:szCs w:val="18"/>
          <w:color w:val="auto"/>
        </w:rPr>
      </w:pPr>
    </w:p>
    <w:p>
      <w:pPr>
        <w:ind w:left="980" w:hanging="432"/>
        <w:spacing w:after="0"/>
        <w:tabs>
          <w:tab w:leader="none" w:pos="980" w:val="left"/>
        </w:tabs>
        <w:numPr>
          <w:ilvl w:val="0"/>
          <w:numId w:val="15"/>
        </w:numPr>
        <w:rPr>
          <w:rFonts w:ascii="Arial" w:cs="Arial" w:eastAsia="Arial" w:hAnsi="Arial"/>
          <w:sz w:val="16"/>
          <w:szCs w:val="16"/>
          <w:color w:val="auto"/>
        </w:rPr>
      </w:pPr>
      <w:r>
        <w:rPr>
          <w:rFonts w:ascii="Arial" w:cs="Arial" w:eastAsia="Arial" w:hAnsi="Arial"/>
          <w:sz w:val="16"/>
          <w:szCs w:val="16"/>
          <w:color w:val="auto"/>
        </w:rPr>
        <w:t>a director of any other entity, one of whose executive officers or their immediate family member served on our Compensation Committee.</w:t>
      </w:r>
    </w:p>
    <w:p>
      <w:pPr>
        <w:spacing w:after="0" w:line="176" w:lineRule="exact"/>
        <w:rPr>
          <w:sz w:val="20"/>
          <w:szCs w:val="20"/>
          <w:color w:val="auto"/>
        </w:rPr>
      </w:pPr>
    </w:p>
    <w:p>
      <w:pPr>
        <w:ind w:left="7960"/>
        <w:spacing w:after="0"/>
        <w:tabs>
          <w:tab w:leader="none" w:pos="109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13</w:t>
      </w:r>
    </w:p>
    <w:p>
      <w:pPr>
        <w:sectPr>
          <w:pgSz w:w="11900" w:h="16838" w:orient="portrait"/>
          <w:cols w:equalWidth="0" w:num="1">
            <w:col w:w="11140"/>
          </w:cols>
          <w:pgMar w:left="320" w:top="459" w:right="439" w:bottom="1440" w:gutter="0" w:footer="0" w:header="0"/>
        </w:sectPr>
      </w:pPr>
    </w:p>
    <w:bookmarkStart w:id="26" w:name="page27"/>
    <w:bookmarkEnd w:id="2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PROPOSAL 1: ELECTION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75" w:lineRule="exact"/>
        <w:rPr>
          <w:sz w:val="20"/>
          <w:szCs w:val="20"/>
          <w:color w:val="auto"/>
        </w:rPr>
      </w:pPr>
    </w:p>
    <w:p>
      <w:pPr>
        <w:jc w:val="center"/>
        <w:ind w:right="-139"/>
        <w:spacing w:after="0"/>
        <w:rPr>
          <w:sz w:val="20"/>
          <w:szCs w:val="20"/>
          <w:color w:val="auto"/>
        </w:rPr>
      </w:pPr>
      <w:r>
        <w:rPr>
          <w:rFonts w:ascii="Arial" w:cs="Arial" w:eastAsia="Arial" w:hAnsi="Arial"/>
          <w:sz w:val="22"/>
          <w:szCs w:val="22"/>
          <w:b w:val="1"/>
          <w:bCs w:val="1"/>
          <w:color w:val="407CCA"/>
        </w:rPr>
        <w:t>PROPOSAL 1: ELECTION OF DIRECTORS</w:t>
      </w:r>
    </w:p>
    <w:p>
      <w:pPr>
        <w:spacing w:after="0" w:line="111" w:lineRule="exact"/>
        <w:rPr>
          <w:sz w:val="20"/>
          <w:szCs w:val="20"/>
          <w:color w:val="auto"/>
        </w:rPr>
      </w:pPr>
    </w:p>
    <w:p>
      <w:pPr>
        <w:ind w:left="120" w:firstLine="881"/>
        <w:spacing w:after="0" w:line="273" w:lineRule="auto"/>
        <w:rPr>
          <w:sz w:val="20"/>
          <w:szCs w:val="20"/>
          <w:color w:val="auto"/>
        </w:rPr>
      </w:pPr>
      <w:r>
        <w:rPr>
          <w:rFonts w:ascii="Arial" w:cs="Arial" w:eastAsia="Arial" w:hAnsi="Arial"/>
          <w:sz w:val="17"/>
          <w:szCs w:val="17"/>
          <w:color w:val="auto"/>
        </w:rPr>
        <w:t>Pursuant to our Certificate of Incorporation, our common stockholders elect each of the members of the Board annually. The term of each director will expire at the Annual Meeting. Each director has been nominated by the Compensation Committee of the Board, in accordance with our By-laws, to stand for election at the Annual Meeting and to serve as a director until our Annual Meeting to be held in 2021 and until his or her successor is elected and qualified. It is expected that each of the nominees will be able to serve, but if any such nominee is unable to serve for any reason, the proxies reserve discretion to vote or refrain from voting for a substitute nominee or nominees. A common stockholder using the enclosed form of proxy can vote for or against any or all of the nominees or may abstain from voting for any or all of the nominees.</w:t>
      </w:r>
    </w:p>
    <w:p>
      <w:pPr>
        <w:spacing w:after="0" w:line="178" w:lineRule="exact"/>
        <w:rPr>
          <w:sz w:val="20"/>
          <w:szCs w:val="20"/>
          <w:color w:val="auto"/>
        </w:rPr>
      </w:pPr>
    </w:p>
    <w:p>
      <w:pPr>
        <w:ind w:left="120" w:right="100" w:firstLine="881"/>
        <w:spacing w:after="0" w:line="257" w:lineRule="auto"/>
        <w:rPr>
          <w:sz w:val="20"/>
          <w:szCs w:val="20"/>
          <w:color w:val="auto"/>
        </w:rPr>
      </w:pPr>
      <w:r>
        <w:rPr>
          <w:rFonts w:ascii="Arial" w:cs="Arial" w:eastAsia="Arial" w:hAnsi="Arial"/>
          <w:sz w:val="18"/>
          <w:szCs w:val="18"/>
          <w:color w:val="auto"/>
        </w:rPr>
        <w:t>We believe that all of our nominees possess the personal and professional qualifications necessary to serve as a member of our Board and collectively represent a balance of industry knowledge, skills, and expertise. Our directors have been evaluated by the Compensation Committee pursuant to the guidelines described above under “Board and Governance Matters</w:t>
      </w:r>
      <w:r>
        <w:rPr>
          <w:rFonts w:ascii="Arial" w:cs="Arial" w:eastAsia="Arial" w:hAnsi="Arial"/>
          <w:sz w:val="18"/>
          <w:szCs w:val="18"/>
          <w:b w:val="1"/>
          <w:bCs w:val="1"/>
          <w:color w:val="auto"/>
        </w:rPr>
        <w:t>—</w:t>
      </w:r>
      <w:r>
        <w:rPr>
          <w:rFonts w:ascii="Arial" w:cs="Arial" w:eastAsia="Arial" w:hAnsi="Arial"/>
          <w:sz w:val="18"/>
          <w:szCs w:val="18"/>
          <w:color w:val="auto"/>
        </w:rPr>
        <w:t>Board Membership Criteria,” and the determination was made that each of them fulfills and exceeds the qualities that we look for in members of our Board. Mr. Kain is our Chief Executive Officer and Chief Investment Officer. All other nominees are independent as defined in the Nasdaq rules.</w:t>
      </w:r>
    </w:p>
    <w:p>
      <w:pPr>
        <w:spacing w:after="0" w:line="292"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Summary of Our Board’s Industry and Functional Expertise</w:t>
      </w:r>
    </w:p>
    <w:p>
      <w:pPr>
        <w:spacing w:after="0" w:line="121" w:lineRule="exact"/>
        <w:rPr>
          <w:sz w:val="20"/>
          <w:szCs w:val="20"/>
          <w:color w:val="auto"/>
        </w:rPr>
      </w:pPr>
    </w:p>
    <w:p>
      <w:pPr>
        <w:ind w:left="120" w:right="300" w:firstLine="881"/>
        <w:spacing w:after="0" w:line="277" w:lineRule="auto"/>
        <w:rPr>
          <w:sz w:val="20"/>
          <w:szCs w:val="20"/>
          <w:color w:val="auto"/>
        </w:rPr>
      </w:pPr>
      <w:r>
        <w:rPr>
          <w:rFonts w:ascii="Arial" w:cs="Arial" w:eastAsia="Arial" w:hAnsi="Arial"/>
          <w:sz w:val="18"/>
          <w:szCs w:val="18"/>
          <w:color w:val="auto"/>
        </w:rPr>
        <w:t>We believe that our Directors have a diversity of experience and a wide variety of skills and qualifications that strengthen their ability to provide guidance and oversight to the Company and management on behalf of stockholders.</w:t>
      </w:r>
    </w:p>
    <w:p>
      <w:pPr>
        <w:spacing w:after="0" w:line="98"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14</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00"/>
          </w:cols>
          <w:pgMar w:left="320" w:top="459" w:right="479" w:bottom="1440" w:gutter="0" w:footer="0" w:header="0"/>
        </w:sectPr>
      </w:pPr>
    </w:p>
    <w:bookmarkStart w:id="27" w:name="page28"/>
    <w:bookmarkEnd w:id="2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8460"/>
        <w:spacing w:after="0"/>
        <w:rPr>
          <w:sz w:val="20"/>
          <w:szCs w:val="20"/>
          <w:color w:val="auto"/>
        </w:rPr>
      </w:pPr>
      <w:r>
        <w:rPr>
          <w:rFonts w:ascii="Arial" w:cs="Arial" w:eastAsia="Arial" w:hAnsi="Arial"/>
          <w:sz w:val="13"/>
          <w:szCs w:val="13"/>
          <w:color w:val="407CCA"/>
        </w:rPr>
        <w:t>PROPOSAL 1: ELECTION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28575</wp:posOffset>
            </wp:positionV>
            <wp:extent cx="6995160" cy="825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99" w:lineRule="exact"/>
        <w:rPr>
          <w:sz w:val="20"/>
          <w:szCs w:val="20"/>
          <w:color w:val="auto"/>
        </w:rPr>
      </w:pPr>
    </w:p>
    <w:p>
      <w:pPr>
        <w:jc w:val="both"/>
        <w:ind w:left="120" w:right="100" w:firstLine="991"/>
        <w:spacing w:after="0" w:line="263" w:lineRule="auto"/>
        <w:rPr>
          <w:sz w:val="20"/>
          <w:szCs w:val="20"/>
          <w:color w:val="auto"/>
        </w:rPr>
      </w:pPr>
      <w:r>
        <w:rPr>
          <w:rFonts w:ascii="Arial" w:cs="Arial" w:eastAsia="Arial" w:hAnsi="Arial"/>
          <w:sz w:val="18"/>
          <w:szCs w:val="18"/>
          <w:color w:val="auto"/>
        </w:rPr>
        <w:t>The information set forth below with respect to each of our directors, each of whom is a nominee for election at the Annual Meeting, is as of February 24, 2020. The business address of each nominee is c/o AGNC Investment Corp., 2 Bethesda Metro Center, 12</w:t>
      </w:r>
      <w:r>
        <w:rPr>
          <w:rFonts w:ascii="Arial" w:cs="Arial" w:eastAsia="Arial" w:hAnsi="Arial"/>
          <w:sz w:val="15"/>
          <w:szCs w:val="15"/>
          <w:color w:val="auto"/>
        </w:rPr>
        <w:t>th</w:t>
      </w:r>
      <w:r>
        <w:rPr>
          <w:rFonts w:ascii="Arial" w:cs="Arial" w:eastAsia="Arial" w:hAnsi="Arial"/>
          <w:sz w:val="18"/>
          <w:szCs w:val="18"/>
          <w:color w:val="auto"/>
        </w:rPr>
        <w:t xml:space="preserve"> Floor, Bethesda, Maryland 20814. We have highlighted specific attributes for each Board member below.</w:t>
      </w:r>
    </w:p>
    <w:p>
      <w:pPr>
        <w:spacing w:after="0" w:line="72"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Director Nominee Biographies and Qualifications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94615</wp:posOffset>
            </wp:positionV>
            <wp:extent cx="6789420" cy="260604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extLst>
                    </a:blip>
                    <a:srcRect/>
                    <a:stretch>
                      <a:fillRect/>
                    </a:stretch>
                  </pic:blipFill>
                  <pic:spPr bwMode="auto">
                    <a:xfrm>
                      <a:off x="0" y="0"/>
                      <a:ext cx="6789420" cy="2606040"/>
                    </a:xfrm>
                    <a:prstGeom prst="rect">
                      <a:avLst/>
                    </a:prstGeom>
                    <a:noFill/>
                  </pic:spPr>
                </pic:pic>
              </a:graphicData>
            </a:graphic>
          </wp:anchor>
        </w:drawing>
      </w:r>
    </w:p>
    <w:p>
      <w:pPr>
        <w:spacing w:after="0" w:line="246"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DONNA J. BLANK, 58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17145</wp:posOffset>
            </wp:positionV>
            <wp:extent cx="5177790" cy="825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extLst>
                    </a:blip>
                    <a:srcRect/>
                    <a:stretch>
                      <a:fillRect/>
                    </a:stretch>
                  </pic:blipFill>
                  <pic:spPr bwMode="auto">
                    <a:xfrm>
                      <a:off x="0" y="0"/>
                      <a:ext cx="5177790" cy="8255"/>
                    </a:xfrm>
                    <a:prstGeom prst="rect">
                      <a:avLst/>
                    </a:prstGeom>
                    <a:noFill/>
                  </pic:spPr>
                </pic:pic>
              </a:graphicData>
            </a:graphic>
          </wp:anchor>
        </w:drawing>
      </w:r>
    </w:p>
    <w:p>
      <w:pPr>
        <w:spacing w:after="0" w:line="124"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407CCA"/>
        </w:rPr>
        <w:t>Professional Experience:</w:t>
      </w:r>
    </w:p>
    <w:p>
      <w:pPr>
        <w:spacing w:after="0" w:line="27" w:lineRule="exact"/>
        <w:rPr>
          <w:sz w:val="20"/>
          <w:szCs w:val="20"/>
          <w:color w:val="auto"/>
        </w:rPr>
      </w:pPr>
    </w:p>
    <w:p>
      <w:pPr>
        <w:ind w:left="120" w:right="2880"/>
        <w:spacing w:after="0" w:line="267" w:lineRule="auto"/>
        <w:rPr>
          <w:sz w:val="20"/>
          <w:szCs w:val="20"/>
          <w:color w:val="auto"/>
        </w:rPr>
      </w:pPr>
      <w:r>
        <w:rPr>
          <w:rFonts w:ascii="Arial" w:cs="Arial" w:eastAsia="Arial" w:hAnsi="Arial"/>
          <w:sz w:val="17"/>
          <w:szCs w:val="17"/>
          <w:color w:val="auto"/>
        </w:rPr>
        <w:t>Ms. Blank is a finance executive with over 30 years of financial and operational experience, primarily in financial services. From 2015 through 2016, she was Chief Financial Officer at ZAIS Group, LLC, an alternative asset manager. While at ZAIS, Ms. Blank also served as the Chief Financial Officer of its externally-managed publicly traded residential mortgage REIT and its public holding company. Prior to her role at ZAIS, she served as Chief Financial Officer and Executive Vice President at NFP Corp., a publicly traded insurance brokerage, from 2008 until 2013. From 2003 to 2008, Ms. Blank was Chief Financial Officer at Financial Guaranty Insurance Company, both before and subsequent to its sale by GE Capital to an investor group in late 2003. She currently serves as an Independent Director and member of the Audit Committee at American Enterprise Mutual Holding Company. Ms. Blank holds an MBA in Finance and a Master of International Affairs, both from Columbia University. Ms. Blank is an “audit committee financial expert” (as defined in Item 407 of Regulation S-K under the Securities Act).</w:t>
      </w:r>
    </w:p>
    <w:p>
      <w:pPr>
        <w:spacing w:after="0" w:line="209"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407CCA"/>
        </w:rPr>
        <w:t>Director Qualifications:</w:t>
      </w:r>
    </w:p>
    <w:p>
      <w:pPr>
        <w:spacing w:after="0" w:line="27" w:lineRule="exact"/>
        <w:rPr>
          <w:sz w:val="20"/>
          <w:szCs w:val="20"/>
          <w:color w:val="auto"/>
        </w:rPr>
      </w:pPr>
    </w:p>
    <w:p>
      <w:pPr>
        <w:ind w:left="120" w:right="3160"/>
        <w:spacing w:after="0" w:line="255" w:lineRule="auto"/>
        <w:rPr>
          <w:sz w:val="20"/>
          <w:szCs w:val="20"/>
          <w:color w:val="auto"/>
        </w:rPr>
      </w:pPr>
      <w:r>
        <w:rPr>
          <w:rFonts w:ascii="Arial" w:cs="Arial" w:eastAsia="Arial" w:hAnsi="Arial"/>
          <w:sz w:val="18"/>
          <w:szCs w:val="18"/>
          <w:color w:val="auto"/>
        </w:rPr>
        <w:t>Ms. Blank’s extensive public company accounting and operational experience in the financial services sector, including her senior executive role at a publicly traded residential mortgage REIT, strengthens our Board’s collective qualifications, skills, experience, and viewpoints.</w:t>
      </w:r>
    </w:p>
    <w:p>
      <w:pPr>
        <w:spacing w:after="0" w:line="132" w:lineRule="exact"/>
        <w:rPr>
          <w:sz w:val="20"/>
          <w:szCs w:val="20"/>
          <w:color w:val="auto"/>
        </w:rPr>
      </w:pPr>
    </w:p>
    <w:p>
      <w:pPr>
        <w:ind w:left="7960"/>
        <w:spacing w:after="0"/>
        <w:tabs>
          <w:tab w:leader="none" w:pos="109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15</w:t>
      </w:r>
    </w:p>
    <w:p>
      <w:pPr>
        <w:sectPr>
          <w:pgSz w:w="11900" w:h="16838" w:orient="portrait"/>
          <w:cols w:equalWidth="0" w:num="1">
            <w:col w:w="11140"/>
          </w:cols>
          <w:pgMar w:left="320" w:top="459" w:right="439" w:bottom="1440" w:gutter="0" w:footer="0" w:header="0"/>
        </w:sectPr>
      </w:pPr>
    </w:p>
    <w:bookmarkStart w:id="28" w:name="page29"/>
    <w:bookmarkEnd w:id="2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PROPOSAL 1: ELECTION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272605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extLst>
                    </a:blip>
                    <a:srcRect/>
                    <a:stretch>
                      <a:fillRect/>
                    </a:stretch>
                  </pic:blipFill>
                  <pic:spPr bwMode="auto">
                    <a:xfrm>
                      <a:off x="0" y="0"/>
                      <a:ext cx="6995160" cy="2726055"/>
                    </a:xfrm>
                    <a:prstGeom prst="rect">
                      <a:avLst/>
                    </a:prstGeom>
                    <a:noFill/>
                  </pic:spPr>
                </pic:pic>
              </a:graphicData>
            </a:graphic>
          </wp:anchor>
        </w:drawing>
      </w:r>
    </w:p>
    <w:p>
      <w:pPr>
        <w:spacing w:after="0" w:line="319"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MORRIS A. DAVIS, 48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17145</wp:posOffset>
            </wp:positionV>
            <wp:extent cx="5177790" cy="825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extLst>
                    </a:blip>
                    <a:srcRect/>
                    <a:stretch>
                      <a:fillRect/>
                    </a:stretch>
                  </pic:blipFill>
                  <pic:spPr bwMode="auto">
                    <a:xfrm>
                      <a:off x="0" y="0"/>
                      <a:ext cx="5177790" cy="8255"/>
                    </a:xfrm>
                    <a:prstGeom prst="rect">
                      <a:avLst/>
                    </a:prstGeom>
                    <a:noFill/>
                  </pic:spPr>
                </pic:pic>
              </a:graphicData>
            </a:graphic>
          </wp:anchor>
        </w:drawing>
      </w:r>
    </w:p>
    <w:p>
      <w:pPr>
        <w:spacing w:after="0" w:line="138"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407CCA"/>
        </w:rPr>
        <w:t>Professional Experience:</w:t>
      </w:r>
    </w:p>
    <w:p>
      <w:pPr>
        <w:spacing w:after="0" w:line="27" w:lineRule="exact"/>
        <w:rPr>
          <w:sz w:val="20"/>
          <w:szCs w:val="20"/>
          <w:color w:val="auto"/>
        </w:rPr>
      </w:pPr>
    </w:p>
    <w:p>
      <w:pPr>
        <w:ind w:left="120" w:right="1959"/>
        <w:spacing w:after="0" w:line="281" w:lineRule="auto"/>
        <w:rPr>
          <w:sz w:val="20"/>
          <w:szCs w:val="20"/>
          <w:color w:val="auto"/>
        </w:rPr>
      </w:pPr>
      <w:r>
        <w:rPr>
          <w:rFonts w:ascii="Arial" w:cs="Arial" w:eastAsia="Arial" w:hAnsi="Arial"/>
          <w:sz w:val="16"/>
          <w:szCs w:val="16"/>
          <w:color w:val="auto"/>
        </w:rPr>
        <w:t>Dr. Davis is the Paul V. Profeta Chair of Real Estate and Academic Director of the Center for Real Estate at Rutgers Business School, where he has worked since September 2014. Dr. Davis is also currently an Adjunct Scholar at the American Enterprise Institute and is a Senior Scholar of the Opportunity and Inclusive Growth Institute of the Federal Reserve Bank of Minneapolis. Previously, Dr. Davis was the James A. Graaskamp Chair of Real Estate in the Department of Real Estate at the University of Wisconsin-Madison, where he worked from September 2006 through August 2014. Dr. Davis was also the Academic Director of the James A. Graaskamp Center for Real Estate at the University of Wisconsin-Madison. From July 2002 to August 2006, Dr. Davis was an economist at the Federal Reserve Board working in the Flow of Funds Section. From October 2001 to July 2002, he was Director of Yield Optimization at Return Buy, Inc. and from August 1998 to October 2001,</w:t>
      </w:r>
    </w:p>
    <w:p>
      <w:pPr>
        <w:spacing w:after="0" w:line="5" w:lineRule="exact"/>
        <w:rPr>
          <w:sz w:val="20"/>
          <w:szCs w:val="20"/>
          <w:color w:val="auto"/>
        </w:rPr>
      </w:pPr>
    </w:p>
    <w:p>
      <w:pPr>
        <w:ind w:left="120" w:right="1899"/>
        <w:spacing w:after="0" w:line="287" w:lineRule="auto"/>
        <w:rPr>
          <w:sz w:val="20"/>
          <w:szCs w:val="20"/>
          <w:color w:val="auto"/>
        </w:rPr>
      </w:pPr>
      <w:r>
        <w:rPr>
          <w:rFonts w:ascii="Arial" w:cs="Arial" w:eastAsia="Arial" w:hAnsi="Arial"/>
          <w:sz w:val="16"/>
          <w:szCs w:val="16"/>
          <w:color w:val="auto"/>
        </w:rPr>
        <w:t>Dr. Davis was an economist at the Macroeconomics and Quantitative Studies Section of the Federal Reserve Board. Dr. Davis also previously served on the board of directors of MTGE Investment Corp. (Nasdaq: MTGE) from August 2011 until May 2016. Additionally, he served on the board of directors of the SkyBridge Opportunity Zone Real Estate Investment Trust, Inc., a private REIT, from November, 2018 until September, 2019 where he was the chair of the valuation committee. Dr. Davis was also formerly on the Academic Advisory Council of the Federal Reserve Bank of Chicago and served as a Research Associate at the Federal Reserve Bank of Cleveland. Dr. Davis is widely published on issues related to the U.S. housing markets and a frequent lecturer. He holds a Ph.D. in Economics from the University of Pennsylvania.</w:t>
      </w:r>
    </w:p>
    <w:p>
      <w:pPr>
        <w:spacing w:after="0" w:line="193"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407CCA"/>
        </w:rPr>
        <w:t>Director Qualifications:</w:t>
      </w:r>
    </w:p>
    <w:p>
      <w:pPr>
        <w:spacing w:after="0" w:line="27" w:lineRule="exact"/>
        <w:rPr>
          <w:sz w:val="20"/>
          <w:szCs w:val="20"/>
          <w:color w:val="auto"/>
        </w:rPr>
      </w:pPr>
    </w:p>
    <w:p>
      <w:pPr>
        <w:ind w:left="120" w:right="2399"/>
        <w:spacing w:after="0" w:line="260" w:lineRule="auto"/>
        <w:rPr>
          <w:sz w:val="20"/>
          <w:szCs w:val="20"/>
          <w:color w:val="auto"/>
        </w:rPr>
      </w:pPr>
      <w:r>
        <w:rPr>
          <w:rFonts w:ascii="Arial" w:cs="Arial" w:eastAsia="Arial" w:hAnsi="Arial"/>
          <w:sz w:val="18"/>
          <w:szCs w:val="18"/>
          <w:color w:val="auto"/>
        </w:rPr>
        <w:t>Dr. Davis’s extensive expertise in economics, housing policy, and finance matters strengthens our Board’s collective qualifications, skills, experience, and viewpoints.</w:t>
      </w:r>
    </w:p>
    <w:p>
      <w:pPr>
        <w:spacing w:after="0" w:line="127"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16</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0139"/>
          </w:cols>
          <w:pgMar w:left="320" w:top="459" w:right="1440" w:bottom="1440" w:gutter="0" w:footer="0" w:header="0"/>
        </w:sectPr>
      </w:pPr>
    </w:p>
    <w:bookmarkStart w:id="29" w:name="page30"/>
    <w:bookmarkEnd w:id="2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PROPOSAL 1: ELECTION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272605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extLst>
                    </a:blip>
                    <a:srcRect/>
                    <a:stretch>
                      <a:fillRect/>
                    </a:stretch>
                  </pic:blipFill>
                  <pic:spPr bwMode="auto">
                    <a:xfrm>
                      <a:off x="0" y="0"/>
                      <a:ext cx="6995160" cy="2726055"/>
                    </a:xfrm>
                    <a:prstGeom prst="rect">
                      <a:avLst/>
                    </a:prstGeom>
                    <a:noFill/>
                  </pic:spPr>
                </pic:pic>
              </a:graphicData>
            </a:graphic>
          </wp:anchor>
        </w:drawing>
      </w:r>
    </w:p>
    <w:p>
      <w:pPr>
        <w:spacing w:after="0" w:line="319"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JOHN D. FISK, 63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17145</wp:posOffset>
            </wp:positionV>
            <wp:extent cx="5100320" cy="825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extLst>
                    </a:blip>
                    <a:srcRect/>
                    <a:stretch>
                      <a:fillRect/>
                    </a:stretch>
                  </pic:blipFill>
                  <pic:spPr bwMode="auto">
                    <a:xfrm>
                      <a:off x="0" y="0"/>
                      <a:ext cx="5100320" cy="8255"/>
                    </a:xfrm>
                    <a:prstGeom prst="rect">
                      <a:avLst/>
                    </a:prstGeom>
                    <a:noFill/>
                  </pic:spPr>
                </pic:pic>
              </a:graphicData>
            </a:graphic>
          </wp:anchor>
        </w:drawing>
      </w:r>
    </w:p>
    <w:p>
      <w:pPr>
        <w:spacing w:after="0" w:line="192"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407CCA"/>
        </w:rPr>
        <w:t>Professional Experience:</w:t>
      </w:r>
    </w:p>
    <w:p>
      <w:pPr>
        <w:spacing w:after="0" w:line="27" w:lineRule="exact"/>
        <w:rPr>
          <w:sz w:val="20"/>
          <w:szCs w:val="20"/>
          <w:color w:val="auto"/>
        </w:rPr>
      </w:pPr>
    </w:p>
    <w:p>
      <w:pPr>
        <w:ind w:left="120" w:right="3160"/>
        <w:spacing w:after="0" w:line="287" w:lineRule="auto"/>
        <w:rPr>
          <w:sz w:val="20"/>
          <w:szCs w:val="20"/>
          <w:color w:val="auto"/>
        </w:rPr>
      </w:pPr>
      <w:r>
        <w:rPr>
          <w:rFonts w:ascii="Arial" w:cs="Arial" w:eastAsia="Arial" w:hAnsi="Arial"/>
          <w:sz w:val="16"/>
          <w:szCs w:val="16"/>
          <w:color w:val="auto"/>
        </w:rPr>
        <w:t>Mr. Fisk retired in March 2019 as the Chief Executive Officer of the FHLBanks Office of Finance, a division of the Federal Home Loan Banks that issues and services all debt securities for the regional Federal Home Loan Banks, supporting borrowings of $1 trillion. Mr. Fisk had previously served as the Deputy Managing Director and Chief Operating Officer of the FHLBanks Office of Finance from 2004 until 2007 when he became the Chief Executive Officer. Prior to joining the FHLBanks Office of Finance, Mr. Fisk was the Executive Vice President of Strategic Planning at MGIC Investment Corporation, one of the nation’s largest providers of mortgage insurance, from 2002 until 2004. Mr. Fisk holds an MBA in Finance and Public Management from The Wharton School at the University of Pennsylvania and a BA from Yale University.</w:t>
      </w:r>
    </w:p>
    <w:p>
      <w:pPr>
        <w:spacing w:after="0" w:line="193"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407CCA"/>
        </w:rPr>
        <w:t>Director Qualifications:</w:t>
      </w:r>
    </w:p>
    <w:p>
      <w:pPr>
        <w:spacing w:after="0" w:line="27" w:lineRule="exact"/>
        <w:rPr>
          <w:sz w:val="20"/>
          <w:szCs w:val="20"/>
          <w:color w:val="auto"/>
        </w:rPr>
      </w:pPr>
    </w:p>
    <w:p>
      <w:pPr>
        <w:ind w:left="120" w:right="3160"/>
        <w:spacing w:after="0" w:line="255" w:lineRule="auto"/>
        <w:rPr>
          <w:sz w:val="20"/>
          <w:szCs w:val="20"/>
          <w:color w:val="auto"/>
        </w:rPr>
      </w:pPr>
      <w:r>
        <w:rPr>
          <w:rFonts w:ascii="Arial" w:cs="Arial" w:eastAsia="Arial" w:hAnsi="Arial"/>
          <w:sz w:val="18"/>
          <w:szCs w:val="18"/>
          <w:color w:val="auto"/>
        </w:rPr>
        <w:t>Mr. Fisk’s expertise in the US housing sector, including debt issuance and mortgage insurance, and his senior executive officer experience overseeing human capital management strengthens our Board’s collective qualifications, skills, experience, and viewpoints.</w:t>
      </w: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ind w:left="7960"/>
        <w:spacing w:after="0"/>
        <w:tabs>
          <w:tab w:leader="none" w:pos="109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17</w:t>
      </w:r>
    </w:p>
    <w:p>
      <w:pPr>
        <w:sectPr>
          <w:pgSz w:w="11900" w:h="16838" w:orient="portrait"/>
          <w:cols w:equalWidth="0" w:num="1">
            <w:col w:w="11140"/>
          </w:cols>
          <w:pgMar w:left="320" w:top="459" w:right="439" w:bottom="1440" w:gutter="0" w:footer="0" w:header="0"/>
        </w:sectPr>
      </w:pPr>
    </w:p>
    <w:bookmarkStart w:id="30" w:name="page31"/>
    <w:bookmarkEnd w:id="3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PROPOSAL 1: ELECTION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288861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extLst>
                    </a:blip>
                    <a:srcRect/>
                    <a:stretch>
                      <a:fillRect/>
                    </a:stretch>
                  </pic:blipFill>
                  <pic:spPr bwMode="auto">
                    <a:xfrm>
                      <a:off x="0" y="0"/>
                      <a:ext cx="6995160" cy="2888615"/>
                    </a:xfrm>
                    <a:prstGeom prst="rect">
                      <a:avLst/>
                    </a:prstGeom>
                    <a:noFill/>
                  </pic:spPr>
                </pic:pic>
              </a:graphicData>
            </a:graphic>
          </wp:anchor>
        </w:drawing>
      </w:r>
    </w:p>
    <w:p>
      <w:pPr>
        <w:spacing w:after="0" w:line="346" w:lineRule="exact"/>
        <w:rPr>
          <w:sz w:val="20"/>
          <w:szCs w:val="20"/>
          <w:color w:val="auto"/>
        </w:rPr>
      </w:pPr>
    </w:p>
    <w:p>
      <w:pPr>
        <w:ind w:left="3000"/>
        <w:spacing w:after="0"/>
        <w:rPr>
          <w:sz w:val="20"/>
          <w:szCs w:val="20"/>
          <w:color w:val="auto"/>
        </w:rPr>
      </w:pPr>
      <w:r>
        <w:rPr>
          <w:rFonts w:ascii="Arial" w:cs="Arial" w:eastAsia="Arial" w:hAnsi="Arial"/>
          <w:sz w:val="18"/>
          <w:szCs w:val="18"/>
          <w:b w:val="1"/>
          <w:bCs w:val="1"/>
          <w:color w:val="auto"/>
        </w:rPr>
        <w:t>PRUE B. LAROCCA, 68</w:t>
      </w:r>
    </w:p>
    <w:p>
      <w:pPr>
        <w:spacing w:after="0" w:line="144" w:lineRule="exact"/>
        <w:rPr>
          <w:sz w:val="20"/>
          <w:szCs w:val="20"/>
          <w:color w:val="auto"/>
        </w:rPr>
      </w:pPr>
    </w:p>
    <w:p>
      <w:pPr>
        <w:ind w:left="3000"/>
        <w:spacing w:after="0"/>
        <w:rPr>
          <w:sz w:val="20"/>
          <w:szCs w:val="20"/>
          <w:color w:val="auto"/>
        </w:rPr>
      </w:pPr>
      <w:r>
        <w:rPr>
          <w:rFonts w:ascii="Arial" w:cs="Arial" w:eastAsia="Arial" w:hAnsi="Arial"/>
          <w:sz w:val="18"/>
          <w:szCs w:val="18"/>
          <w:b w:val="1"/>
          <w:bCs w:val="1"/>
          <w:color w:val="407CCA"/>
        </w:rPr>
        <w:t>Professional Experience:</w:t>
      </w:r>
    </w:p>
    <w:p>
      <w:pPr>
        <w:spacing w:after="0" w:line="27" w:lineRule="exact"/>
        <w:rPr>
          <w:sz w:val="20"/>
          <w:szCs w:val="20"/>
          <w:color w:val="auto"/>
        </w:rPr>
      </w:pPr>
    </w:p>
    <w:p>
      <w:pPr>
        <w:ind w:left="3000" w:right="20"/>
        <w:spacing w:after="0" w:line="281" w:lineRule="auto"/>
        <w:rPr>
          <w:sz w:val="20"/>
          <w:szCs w:val="20"/>
          <w:color w:val="auto"/>
        </w:rPr>
      </w:pPr>
      <w:r>
        <w:rPr>
          <w:rFonts w:ascii="Arial" w:cs="Arial" w:eastAsia="Arial" w:hAnsi="Arial"/>
          <w:sz w:val="16"/>
          <w:szCs w:val="16"/>
          <w:color w:val="auto"/>
        </w:rPr>
        <w:t>Ms. Larocca has served as our Chair and Lead Independent Director since May 2016. She is a retired investment banking executive and a widely recognized expert in the areas of housing finance and securitization.</w:t>
      </w:r>
    </w:p>
    <w:p>
      <w:pPr>
        <w:spacing w:after="0" w:line="1" w:lineRule="exact"/>
        <w:rPr>
          <w:sz w:val="20"/>
          <w:szCs w:val="20"/>
          <w:color w:val="auto"/>
        </w:rPr>
      </w:pPr>
    </w:p>
    <w:p>
      <w:pPr>
        <w:ind w:left="3000" w:right="80"/>
        <w:spacing w:after="0" w:line="268" w:lineRule="auto"/>
        <w:rPr>
          <w:sz w:val="20"/>
          <w:szCs w:val="20"/>
          <w:color w:val="auto"/>
        </w:rPr>
      </w:pPr>
      <w:r>
        <w:rPr>
          <w:rFonts w:ascii="Arial" w:cs="Arial" w:eastAsia="Arial" w:hAnsi="Arial"/>
          <w:sz w:val="17"/>
          <w:szCs w:val="17"/>
          <w:color w:val="auto"/>
        </w:rPr>
        <w:t>Ms. Larocca previously served as a member of the board of the Housing Preservation Foundation, the Washington School for Girls, and the American Securitization Trade Association. Ms. Larocca was a Managing Director of Royal Bank of Scotland (“RBS”) in the Mortgage Backed and Asset Backed Finance Group from 1997 until her retirement from RBS in 2011. Prior to joining RBS, Ms. Larocca was a Senior Vice President at Lehman Brothers in the mortgage finance business, managed the consumer and single-family securitization business for the Resolution Trust Corporation, and practiced law with the firms of Milbank, Tweed, Hadley and McCloy and Kutak Rock. She is a graduate of the Georgetown University Law Center and Indiana University. Ms. Larocca previously served on the board of directors of MTGE Investment Corp. (Nasdaq: MTGE) from February 2013 until May 2016.</w:t>
      </w:r>
    </w:p>
    <w:p>
      <w:pPr>
        <w:spacing w:after="0" w:line="204" w:lineRule="exact"/>
        <w:rPr>
          <w:sz w:val="20"/>
          <w:szCs w:val="20"/>
          <w:color w:val="auto"/>
        </w:rPr>
      </w:pPr>
    </w:p>
    <w:p>
      <w:pPr>
        <w:ind w:left="3000"/>
        <w:spacing w:after="0"/>
        <w:rPr>
          <w:sz w:val="20"/>
          <w:szCs w:val="20"/>
          <w:color w:val="auto"/>
        </w:rPr>
      </w:pPr>
      <w:r>
        <w:rPr>
          <w:rFonts w:ascii="Arial" w:cs="Arial" w:eastAsia="Arial" w:hAnsi="Arial"/>
          <w:sz w:val="18"/>
          <w:szCs w:val="18"/>
          <w:b w:val="1"/>
          <w:bCs w:val="1"/>
          <w:color w:val="407CCA"/>
        </w:rPr>
        <w:t>Director Qualifications:</w:t>
      </w:r>
    </w:p>
    <w:p>
      <w:pPr>
        <w:spacing w:after="0" w:line="27" w:lineRule="exact"/>
        <w:rPr>
          <w:sz w:val="20"/>
          <w:szCs w:val="20"/>
          <w:color w:val="auto"/>
        </w:rPr>
      </w:pPr>
    </w:p>
    <w:p>
      <w:pPr>
        <w:ind w:left="3000" w:right="460"/>
        <w:spacing w:after="0" w:line="260" w:lineRule="auto"/>
        <w:rPr>
          <w:sz w:val="20"/>
          <w:szCs w:val="20"/>
          <w:color w:val="auto"/>
        </w:rPr>
      </w:pPr>
      <w:r>
        <w:rPr>
          <w:rFonts w:ascii="Arial" w:cs="Arial" w:eastAsia="Arial" w:hAnsi="Arial"/>
          <w:sz w:val="18"/>
          <w:szCs w:val="18"/>
          <w:color w:val="auto"/>
        </w:rPr>
        <w:t>Ms. Larocca’s extensive and lengthy expertise in mortgage finance and asset securitization strengthens our Board’s collective qualifications, skills, experience, and viewpoints.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287655</wp:posOffset>
            </wp:positionH>
            <wp:positionV relativeFrom="paragraph">
              <wp:posOffset>375285</wp:posOffset>
            </wp:positionV>
            <wp:extent cx="6780530" cy="253746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extLst>
                    </a:blip>
                    <a:srcRect/>
                    <a:stretch>
                      <a:fillRect/>
                    </a:stretch>
                  </pic:blipFill>
                  <pic:spPr bwMode="auto">
                    <a:xfrm>
                      <a:off x="0" y="0"/>
                      <a:ext cx="6780530" cy="25374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ind w:left="3000"/>
        <w:spacing w:after="0"/>
        <w:rPr>
          <w:sz w:val="20"/>
          <w:szCs w:val="20"/>
          <w:color w:val="auto"/>
        </w:rPr>
      </w:pPr>
      <w:r>
        <w:rPr>
          <w:rFonts w:ascii="Arial" w:cs="Arial" w:eastAsia="Arial" w:hAnsi="Arial"/>
          <w:sz w:val="18"/>
          <w:szCs w:val="18"/>
          <w:b w:val="1"/>
          <w:bCs w:val="1"/>
          <w:color w:val="auto"/>
        </w:rPr>
        <w:t>PAUL E. MULLINGS, 69</w:t>
      </w:r>
    </w:p>
    <w:p>
      <w:pPr>
        <w:spacing w:after="0" w:line="144" w:lineRule="exact"/>
        <w:rPr>
          <w:sz w:val="20"/>
          <w:szCs w:val="20"/>
          <w:color w:val="auto"/>
        </w:rPr>
      </w:pPr>
    </w:p>
    <w:p>
      <w:pPr>
        <w:ind w:left="3000"/>
        <w:spacing w:after="0"/>
        <w:rPr>
          <w:sz w:val="20"/>
          <w:szCs w:val="20"/>
          <w:color w:val="auto"/>
        </w:rPr>
      </w:pPr>
      <w:r>
        <w:rPr>
          <w:rFonts w:ascii="Arial" w:cs="Arial" w:eastAsia="Arial" w:hAnsi="Arial"/>
          <w:sz w:val="18"/>
          <w:szCs w:val="18"/>
          <w:b w:val="1"/>
          <w:bCs w:val="1"/>
          <w:color w:val="407CCA"/>
        </w:rPr>
        <w:t>Professional Experience:</w:t>
      </w:r>
    </w:p>
    <w:p>
      <w:pPr>
        <w:spacing w:after="0" w:line="27" w:lineRule="exact"/>
        <w:rPr>
          <w:sz w:val="20"/>
          <w:szCs w:val="20"/>
          <w:color w:val="auto"/>
        </w:rPr>
      </w:pPr>
    </w:p>
    <w:p>
      <w:pPr>
        <w:ind w:left="3000"/>
        <w:spacing w:after="0" w:line="281" w:lineRule="auto"/>
        <w:rPr>
          <w:sz w:val="20"/>
          <w:szCs w:val="20"/>
          <w:color w:val="auto"/>
        </w:rPr>
      </w:pPr>
      <w:r>
        <w:rPr>
          <w:rFonts w:ascii="Arial" w:cs="Arial" w:eastAsia="Arial" w:hAnsi="Arial"/>
          <w:sz w:val="16"/>
          <w:szCs w:val="16"/>
          <w:color w:val="auto"/>
        </w:rPr>
        <w:t>Mr. Mullings has 40 years’ experience in the mortgage banking sector. Mr. Mullings currently serves as a Managing Director of The Collingwood Group, a SitusAMC company, a business advisory and risk management firm focused on the financial services industry, a position he has held since 2015. From 2005 to 2015,</w:t>
      </w:r>
    </w:p>
    <w:p>
      <w:pPr>
        <w:spacing w:after="0" w:line="2" w:lineRule="exact"/>
        <w:rPr>
          <w:sz w:val="20"/>
          <w:szCs w:val="20"/>
          <w:color w:val="auto"/>
        </w:rPr>
      </w:pPr>
    </w:p>
    <w:p>
      <w:pPr>
        <w:ind w:left="3000" w:right="20"/>
        <w:spacing w:after="0" w:line="251" w:lineRule="auto"/>
        <w:rPr>
          <w:sz w:val="20"/>
          <w:szCs w:val="20"/>
          <w:color w:val="auto"/>
        </w:rPr>
      </w:pPr>
      <w:r>
        <w:rPr>
          <w:rFonts w:ascii="Arial" w:cs="Arial" w:eastAsia="Arial" w:hAnsi="Arial"/>
          <w:sz w:val="18"/>
          <w:szCs w:val="18"/>
          <w:color w:val="auto"/>
        </w:rPr>
        <w:t>Mr. Mullings served as a Senior Vice President of Freddie Mac in the Single-Family Business division. While at Freddie Mac, he also served on the Operating, Management and Credit Risk Committees. Prior to joining Freddie Mac, Mr. Mullings was a Senior Vice President at J.P. Morgan Chase &amp; Co. from 1997 to 2005 in the home finance area. Previously, Mr. Mullings was the President and Chief Executive Officer of the Mortgage Electronic Registration Systems, Inc. (MERS) and the President and Chief Executive Officer of the Residential Mortgage Division of the First Interstate Bank in Los Angeles. Mr. Mullings received his Overseas Certificate in Business Studies from the College of Arts, Science and Technology in Kingston, Jamaica, following which he became a Member of The Institute of Accounting Staff in conjunction with the Association of Certified Accountants in London, England.</w:t>
      </w:r>
    </w:p>
    <w:p>
      <w:pPr>
        <w:spacing w:after="0" w:line="220" w:lineRule="exact"/>
        <w:rPr>
          <w:sz w:val="20"/>
          <w:szCs w:val="20"/>
          <w:color w:val="auto"/>
        </w:rPr>
      </w:pPr>
    </w:p>
    <w:p>
      <w:pPr>
        <w:ind w:left="3000"/>
        <w:spacing w:after="0"/>
        <w:rPr>
          <w:sz w:val="20"/>
          <w:szCs w:val="20"/>
          <w:color w:val="auto"/>
        </w:rPr>
      </w:pPr>
      <w:r>
        <w:rPr>
          <w:rFonts w:ascii="Arial" w:cs="Arial" w:eastAsia="Arial" w:hAnsi="Arial"/>
          <w:sz w:val="18"/>
          <w:szCs w:val="18"/>
          <w:b w:val="1"/>
          <w:bCs w:val="1"/>
          <w:color w:val="407CCA"/>
        </w:rPr>
        <w:t>Director Qualifications:</w:t>
      </w:r>
    </w:p>
    <w:p>
      <w:pPr>
        <w:spacing w:after="0" w:line="27" w:lineRule="exact"/>
        <w:rPr>
          <w:sz w:val="20"/>
          <w:szCs w:val="20"/>
          <w:color w:val="auto"/>
        </w:rPr>
      </w:pPr>
    </w:p>
    <w:p>
      <w:pPr>
        <w:ind w:left="3000" w:right="220"/>
        <w:spacing w:after="0" w:line="323" w:lineRule="auto"/>
        <w:rPr>
          <w:sz w:val="20"/>
          <w:szCs w:val="20"/>
          <w:color w:val="auto"/>
        </w:rPr>
      </w:pPr>
      <w:r>
        <w:rPr>
          <w:rFonts w:ascii="Arial" w:cs="Arial" w:eastAsia="Arial" w:hAnsi="Arial"/>
          <w:sz w:val="16"/>
          <w:szCs w:val="16"/>
          <w:color w:val="auto"/>
        </w:rPr>
        <w:t>Mr. Mullings’ extensive senior executive officer experience in the mortgage banking sector and the secondary mortgage market strengthens our Board’s collective qualifications, skills, experience, and viewpoints.</w:t>
      </w:r>
    </w:p>
    <w:p>
      <w:pPr>
        <w:spacing w:after="0" w:line="80"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18</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20"/>
          </w:cols>
          <w:pgMar w:left="320" w:top="459" w:right="459" w:bottom="1440" w:gutter="0" w:footer="0" w:header="0"/>
        </w:sectPr>
      </w:pPr>
    </w:p>
    <w:bookmarkStart w:id="31" w:name="page32"/>
    <w:bookmarkEnd w:id="3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PROPOSAL 1: ELECTION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272605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extLst>
                    </a:blip>
                    <a:srcRect/>
                    <a:stretch>
                      <a:fillRect/>
                    </a:stretch>
                  </pic:blipFill>
                  <pic:spPr bwMode="auto">
                    <a:xfrm>
                      <a:off x="0" y="0"/>
                      <a:ext cx="6995160" cy="2726055"/>
                    </a:xfrm>
                    <a:prstGeom prst="rect">
                      <a:avLst/>
                    </a:prstGeom>
                    <a:noFill/>
                  </pic:spPr>
                </pic:pic>
              </a:graphicData>
            </a:graphic>
          </wp:anchor>
        </w:drawing>
      </w:r>
    </w:p>
    <w:p>
      <w:pPr>
        <w:spacing w:after="0" w:line="319" w:lineRule="exact"/>
        <w:rPr>
          <w:sz w:val="20"/>
          <w:szCs w:val="20"/>
          <w:color w:val="auto"/>
        </w:rPr>
      </w:pPr>
    </w:p>
    <w:p>
      <w:pPr>
        <w:ind w:left="2320"/>
        <w:spacing w:after="0"/>
        <w:rPr>
          <w:sz w:val="20"/>
          <w:szCs w:val="20"/>
          <w:color w:val="auto"/>
        </w:rPr>
      </w:pPr>
      <w:r>
        <w:rPr>
          <w:rFonts w:ascii="Arial" w:cs="Arial" w:eastAsia="Arial" w:hAnsi="Arial"/>
          <w:sz w:val="18"/>
          <w:szCs w:val="18"/>
          <w:b w:val="1"/>
          <w:bCs w:val="1"/>
          <w:color w:val="auto"/>
        </w:rPr>
        <w:t>FRANCES R. SPARK, 61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1470660</wp:posOffset>
            </wp:positionH>
            <wp:positionV relativeFrom="paragraph">
              <wp:posOffset>17145</wp:posOffset>
            </wp:positionV>
            <wp:extent cx="5597525" cy="825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extLst>
                    </a:blip>
                    <a:srcRect/>
                    <a:stretch>
                      <a:fillRect/>
                    </a:stretch>
                  </pic:blipFill>
                  <pic:spPr bwMode="auto">
                    <a:xfrm>
                      <a:off x="0" y="0"/>
                      <a:ext cx="5597525" cy="8255"/>
                    </a:xfrm>
                    <a:prstGeom prst="rect">
                      <a:avLst/>
                    </a:prstGeom>
                    <a:noFill/>
                  </pic:spPr>
                </pic:pic>
              </a:graphicData>
            </a:graphic>
          </wp:anchor>
        </w:drawing>
      </w:r>
    </w:p>
    <w:p>
      <w:pPr>
        <w:spacing w:after="0" w:line="138" w:lineRule="exact"/>
        <w:rPr>
          <w:sz w:val="20"/>
          <w:szCs w:val="20"/>
          <w:color w:val="auto"/>
        </w:rPr>
      </w:pPr>
    </w:p>
    <w:p>
      <w:pPr>
        <w:ind w:left="2320"/>
        <w:spacing w:after="0"/>
        <w:rPr>
          <w:sz w:val="20"/>
          <w:szCs w:val="20"/>
          <w:color w:val="auto"/>
        </w:rPr>
      </w:pPr>
      <w:r>
        <w:rPr>
          <w:rFonts w:ascii="Arial" w:cs="Arial" w:eastAsia="Arial" w:hAnsi="Arial"/>
          <w:sz w:val="18"/>
          <w:szCs w:val="18"/>
          <w:b w:val="1"/>
          <w:bCs w:val="1"/>
          <w:color w:val="407CCA"/>
        </w:rPr>
        <w:t>Professional Experience:</w:t>
      </w:r>
    </w:p>
    <w:p>
      <w:pPr>
        <w:spacing w:after="0" w:line="27" w:lineRule="exact"/>
        <w:rPr>
          <w:sz w:val="20"/>
          <w:szCs w:val="20"/>
          <w:color w:val="auto"/>
        </w:rPr>
      </w:pPr>
    </w:p>
    <w:p>
      <w:pPr>
        <w:ind w:left="2320" w:right="60"/>
        <w:spacing w:after="0" w:line="281" w:lineRule="auto"/>
        <w:rPr>
          <w:sz w:val="20"/>
          <w:szCs w:val="20"/>
          <w:color w:val="auto"/>
        </w:rPr>
      </w:pPr>
      <w:r>
        <w:rPr>
          <w:rFonts w:ascii="Arial" w:cs="Arial" w:eastAsia="Arial" w:hAnsi="Arial"/>
          <w:sz w:val="16"/>
          <w:szCs w:val="16"/>
          <w:color w:val="auto"/>
        </w:rPr>
        <w:t>Ms. Spark is an experienced finance professional with broad expertise in mortgage finance and financial reporting for publicly-traded companies, including mortgage REITs. Ms. Spark served as the Chief Financial Officer and Treasurer for CYS Investments, Inc., a publicly traded mortgage REIT that invested predominantly in Agency MBS from 2009 through 2016. Prior to the internalization of CYS’s management in 2011, Ms. Spark also served as the Chief Financial Officer and Treasurer of CYS’s external manager, Sharpridge Capital Management, LP. She had served as a director and Audit Committee chair of CYS from its initial capitalization in 2006 until shortly after its initial public offering. Prior to CYS, Ms. Spark was the Chief Financial Officer for MVC Capital, Inc., a business development company, from 2003 until 2005. Ms. Spark’s career has included managing Spark Consulting, a privately owned strategic advisory and business consulting firm, and executive positions with financial services firms in the United States and the United Kingdom.</w:t>
      </w:r>
    </w:p>
    <w:p>
      <w:pPr>
        <w:spacing w:after="0" w:line="5" w:lineRule="exact"/>
        <w:rPr>
          <w:sz w:val="20"/>
          <w:szCs w:val="20"/>
          <w:color w:val="auto"/>
        </w:rPr>
      </w:pPr>
    </w:p>
    <w:p>
      <w:pPr>
        <w:ind w:left="2320" w:right="80"/>
        <w:spacing w:after="0" w:line="253" w:lineRule="auto"/>
        <w:rPr>
          <w:sz w:val="20"/>
          <w:szCs w:val="20"/>
          <w:color w:val="auto"/>
        </w:rPr>
      </w:pPr>
      <w:r>
        <w:rPr>
          <w:rFonts w:ascii="Arial" w:cs="Arial" w:eastAsia="Arial" w:hAnsi="Arial"/>
          <w:sz w:val="18"/>
          <w:szCs w:val="18"/>
          <w:color w:val="auto"/>
        </w:rPr>
        <w:t>Ms. Spark is a Chartered Accountant and previously worked as an auditor with KPMG in the United Kingdom. She holds a BS from the University of Southampton in the United Kingdom. Ms. Spark has served as an independent director and a member of the Audit and Risk Committees of Reverse Mortgage Investment Trust, a private finance company operating in the reverse mortgage industry, since 2015.</w:t>
      </w:r>
    </w:p>
    <w:p>
      <w:pPr>
        <w:spacing w:after="0" w:line="216" w:lineRule="exact"/>
        <w:rPr>
          <w:sz w:val="20"/>
          <w:szCs w:val="20"/>
          <w:color w:val="auto"/>
        </w:rPr>
      </w:pPr>
    </w:p>
    <w:p>
      <w:pPr>
        <w:ind w:left="2320"/>
        <w:spacing w:after="0"/>
        <w:rPr>
          <w:sz w:val="20"/>
          <w:szCs w:val="20"/>
          <w:color w:val="auto"/>
        </w:rPr>
      </w:pPr>
      <w:r>
        <w:rPr>
          <w:rFonts w:ascii="Arial" w:cs="Arial" w:eastAsia="Arial" w:hAnsi="Arial"/>
          <w:sz w:val="18"/>
          <w:szCs w:val="18"/>
          <w:b w:val="1"/>
          <w:bCs w:val="1"/>
          <w:color w:val="407CCA"/>
        </w:rPr>
        <w:t>Director Qualifications:</w:t>
      </w:r>
    </w:p>
    <w:p>
      <w:pPr>
        <w:spacing w:after="0" w:line="27" w:lineRule="exact"/>
        <w:rPr>
          <w:sz w:val="20"/>
          <w:szCs w:val="20"/>
          <w:color w:val="auto"/>
        </w:rPr>
      </w:pPr>
    </w:p>
    <w:p>
      <w:pPr>
        <w:ind w:left="2320" w:right="140"/>
        <w:spacing w:after="0" w:line="255" w:lineRule="auto"/>
        <w:rPr>
          <w:sz w:val="20"/>
          <w:szCs w:val="20"/>
          <w:color w:val="auto"/>
        </w:rPr>
      </w:pPr>
      <w:r>
        <w:rPr>
          <w:rFonts w:ascii="Arial" w:cs="Arial" w:eastAsia="Arial" w:hAnsi="Arial"/>
          <w:sz w:val="18"/>
          <w:szCs w:val="18"/>
          <w:color w:val="auto"/>
        </w:rPr>
        <w:t>Ms. Spark’s public company accounting, finance, and risk management expertise in the mortgage REIT sector, including her role as a senior executive officer at a publicly traded residential mortgage REIT, strengthens our Board’s collective qualifications, skills, experience, and viewpoints.</w:t>
      </w:r>
    </w:p>
    <w:p>
      <w:pPr>
        <w:spacing w:after="0" w:line="132" w:lineRule="exact"/>
        <w:rPr>
          <w:sz w:val="20"/>
          <w:szCs w:val="20"/>
          <w:color w:val="auto"/>
        </w:rPr>
      </w:pPr>
    </w:p>
    <w:p>
      <w:pPr>
        <w:ind w:left="7960"/>
        <w:spacing w:after="0"/>
        <w:tabs>
          <w:tab w:leader="none" w:pos="109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19</w:t>
      </w:r>
    </w:p>
    <w:p>
      <w:pPr>
        <w:sectPr>
          <w:pgSz w:w="11900" w:h="16838" w:orient="portrait"/>
          <w:cols w:equalWidth="0" w:num="1">
            <w:col w:w="11140"/>
          </w:cols>
          <w:pgMar w:left="320" w:top="459" w:right="439" w:bottom="1440" w:gutter="0" w:footer="0" w:header="0"/>
        </w:sectPr>
      </w:pPr>
    </w:p>
    <w:bookmarkStart w:id="32" w:name="page33"/>
    <w:bookmarkEnd w:id="3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PROPOSAL 1: ELECTION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249428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extLst>
                    </a:blip>
                    <a:srcRect/>
                    <a:stretch>
                      <a:fillRect/>
                    </a:stretch>
                  </pic:blipFill>
                  <pic:spPr bwMode="auto">
                    <a:xfrm>
                      <a:off x="0" y="0"/>
                      <a:ext cx="6995160" cy="2494280"/>
                    </a:xfrm>
                    <a:prstGeom prst="rect">
                      <a:avLst/>
                    </a:prstGeom>
                    <a:noFill/>
                  </pic:spPr>
                </pic:pic>
              </a:graphicData>
            </a:graphic>
          </wp:anchor>
        </w:drawing>
      </w:r>
    </w:p>
    <w:p>
      <w:pPr>
        <w:spacing w:after="0" w:line="319" w:lineRule="exact"/>
        <w:rPr>
          <w:sz w:val="20"/>
          <w:szCs w:val="20"/>
          <w:color w:val="auto"/>
        </w:rPr>
      </w:pPr>
    </w:p>
    <w:p>
      <w:pPr>
        <w:ind w:left="2320"/>
        <w:spacing w:after="0"/>
        <w:rPr>
          <w:sz w:val="20"/>
          <w:szCs w:val="20"/>
          <w:color w:val="auto"/>
        </w:rPr>
      </w:pPr>
      <w:r>
        <w:rPr>
          <w:rFonts w:ascii="Arial" w:cs="Arial" w:eastAsia="Arial" w:hAnsi="Arial"/>
          <w:sz w:val="18"/>
          <w:szCs w:val="18"/>
          <w:b w:val="1"/>
          <w:bCs w:val="1"/>
          <w:color w:val="auto"/>
        </w:rPr>
        <w:t>GARY D. KAIN, 55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1410970</wp:posOffset>
            </wp:positionH>
            <wp:positionV relativeFrom="paragraph">
              <wp:posOffset>77470</wp:posOffset>
            </wp:positionV>
            <wp:extent cx="5657850" cy="825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extLst>
                    </a:blip>
                    <a:srcRect/>
                    <a:stretch>
                      <a:fillRect/>
                    </a:stretch>
                  </pic:blipFill>
                  <pic:spPr bwMode="auto">
                    <a:xfrm>
                      <a:off x="0" y="0"/>
                      <a:ext cx="5657850" cy="8255"/>
                    </a:xfrm>
                    <a:prstGeom prst="rect">
                      <a:avLst/>
                    </a:prstGeom>
                    <a:noFill/>
                  </pic:spPr>
                </pic:pic>
              </a:graphicData>
            </a:graphic>
          </wp:anchor>
        </w:drawing>
      </w:r>
    </w:p>
    <w:p>
      <w:pPr>
        <w:spacing w:after="0" w:line="219" w:lineRule="exact"/>
        <w:rPr>
          <w:sz w:val="20"/>
          <w:szCs w:val="20"/>
          <w:color w:val="auto"/>
        </w:rPr>
      </w:pPr>
    </w:p>
    <w:p>
      <w:pPr>
        <w:ind w:left="2320"/>
        <w:spacing w:after="0"/>
        <w:rPr>
          <w:sz w:val="20"/>
          <w:szCs w:val="20"/>
          <w:color w:val="auto"/>
        </w:rPr>
      </w:pPr>
      <w:r>
        <w:rPr>
          <w:rFonts w:ascii="Arial" w:cs="Arial" w:eastAsia="Arial" w:hAnsi="Arial"/>
          <w:sz w:val="18"/>
          <w:szCs w:val="18"/>
          <w:b w:val="1"/>
          <w:bCs w:val="1"/>
          <w:color w:val="407CCA"/>
        </w:rPr>
        <w:t>Professional Experience:</w:t>
      </w:r>
    </w:p>
    <w:p>
      <w:pPr>
        <w:spacing w:after="0" w:line="27" w:lineRule="exact"/>
        <w:rPr>
          <w:sz w:val="20"/>
          <w:szCs w:val="20"/>
          <w:color w:val="auto"/>
        </w:rPr>
      </w:pPr>
    </w:p>
    <w:p>
      <w:pPr>
        <w:ind w:left="2320" w:right="120"/>
        <w:spacing w:after="0" w:line="260" w:lineRule="auto"/>
        <w:rPr>
          <w:sz w:val="20"/>
          <w:szCs w:val="20"/>
          <w:color w:val="auto"/>
        </w:rPr>
      </w:pPr>
      <w:r>
        <w:rPr>
          <w:rFonts w:ascii="Arial" w:cs="Arial" w:eastAsia="Arial" w:hAnsi="Arial"/>
          <w:sz w:val="18"/>
          <w:szCs w:val="18"/>
          <w:color w:val="auto"/>
        </w:rPr>
        <w:t>Mr. Kain has served as a Director and our Chief Executive Officer since March 2016 and Chief Investment Officer since January 2009. He previously was our President from April 2011 until March 2018.</w:t>
      </w:r>
    </w:p>
    <w:p>
      <w:pPr>
        <w:spacing w:after="0" w:line="212" w:lineRule="exact"/>
        <w:rPr>
          <w:sz w:val="20"/>
          <w:szCs w:val="20"/>
          <w:color w:val="auto"/>
        </w:rPr>
      </w:pPr>
    </w:p>
    <w:p>
      <w:pPr>
        <w:ind w:left="2320"/>
        <w:spacing w:after="0" w:line="284" w:lineRule="auto"/>
        <w:rPr>
          <w:sz w:val="20"/>
          <w:szCs w:val="20"/>
          <w:color w:val="auto"/>
        </w:rPr>
      </w:pPr>
      <w:r>
        <w:rPr>
          <w:rFonts w:ascii="Arial" w:cs="Arial" w:eastAsia="Arial" w:hAnsi="Arial"/>
          <w:sz w:val="16"/>
          <w:szCs w:val="16"/>
          <w:color w:val="auto"/>
        </w:rPr>
        <w:t>Prior to joining AGNC Investment Corp., Mr. Kain was Senior Vice President of Investments and Capital Markets of Freddie Mac from May 2008 to January 2009. He also served as Senior Vice President of Mortgage Investments &amp; Structuring of Freddie Mac from February 2005 to April 2008, during which time he was responsible for managing all of Freddie Mac’s mortgage investment activities for the company’s $700 billion retained portfolio. From 2001 to 2005, Mr. Kain served as Vice President of Mortgage Portfolio Strategy at Freddie Mac. From 1995 to 2001, he was the head trader in Freddie Mac’s Securities Sales &amp; Trading Group, where he was responsible for managing all trading decisions including REMIC structuring and underwriting, hedging all mortgage positions, income generation, and risk management. Prior to that, he served as a senior trader, responsible for managing the adjustable-rate mortgage and REMIC sectors.</w:t>
      </w:r>
    </w:p>
    <w:p>
      <w:pPr>
        <w:spacing w:after="0" w:line="1" w:lineRule="exact"/>
        <w:rPr>
          <w:sz w:val="20"/>
          <w:szCs w:val="20"/>
          <w:color w:val="auto"/>
        </w:rPr>
      </w:pPr>
    </w:p>
    <w:p>
      <w:pPr>
        <w:jc w:val="both"/>
        <w:ind w:left="2320" w:right="40"/>
        <w:spacing w:after="0" w:line="255" w:lineRule="auto"/>
        <w:rPr>
          <w:sz w:val="20"/>
          <w:szCs w:val="20"/>
          <w:color w:val="auto"/>
        </w:rPr>
      </w:pPr>
      <w:r>
        <w:rPr>
          <w:rFonts w:ascii="Arial" w:cs="Arial" w:eastAsia="Arial" w:hAnsi="Arial"/>
          <w:sz w:val="18"/>
          <w:szCs w:val="18"/>
          <w:color w:val="auto"/>
        </w:rPr>
        <w:t>Mr. Kain previously served as a Director and Chief Executive Officer of MTGE Investment Corp. (Nasdaq: MTGE) from March 2016 until May 2018 and as Chief Investment Officer from March 2011 until May 2018. In addition, he served as President from March 2011 until March 2018 of MTGE.</w:t>
      </w:r>
    </w:p>
    <w:p>
      <w:pPr>
        <w:spacing w:after="0" w:line="213" w:lineRule="exact"/>
        <w:rPr>
          <w:sz w:val="20"/>
          <w:szCs w:val="20"/>
          <w:color w:val="auto"/>
        </w:rPr>
      </w:pPr>
    </w:p>
    <w:p>
      <w:pPr>
        <w:ind w:left="2320"/>
        <w:spacing w:after="0"/>
        <w:rPr>
          <w:sz w:val="20"/>
          <w:szCs w:val="20"/>
          <w:color w:val="auto"/>
        </w:rPr>
      </w:pPr>
      <w:r>
        <w:rPr>
          <w:rFonts w:ascii="Arial" w:cs="Arial" w:eastAsia="Arial" w:hAnsi="Arial"/>
          <w:sz w:val="18"/>
          <w:szCs w:val="18"/>
          <w:b w:val="1"/>
          <w:bCs w:val="1"/>
          <w:color w:val="407CCA"/>
        </w:rPr>
        <w:t>Director Qualifications:</w:t>
      </w:r>
    </w:p>
    <w:p>
      <w:pPr>
        <w:spacing w:after="0" w:line="27" w:lineRule="exact"/>
        <w:rPr>
          <w:sz w:val="20"/>
          <w:szCs w:val="20"/>
          <w:color w:val="auto"/>
        </w:rPr>
      </w:pPr>
    </w:p>
    <w:p>
      <w:pPr>
        <w:jc w:val="both"/>
        <w:ind w:left="2320" w:right="20"/>
        <w:spacing w:after="0" w:line="255" w:lineRule="auto"/>
        <w:rPr>
          <w:sz w:val="20"/>
          <w:szCs w:val="20"/>
          <w:color w:val="auto"/>
        </w:rPr>
      </w:pPr>
      <w:r>
        <w:rPr>
          <w:rFonts w:ascii="Arial" w:cs="Arial" w:eastAsia="Arial" w:hAnsi="Arial"/>
          <w:sz w:val="18"/>
          <w:szCs w:val="18"/>
          <w:color w:val="auto"/>
        </w:rPr>
        <w:t>Mr. Kain’s extensive and lengthy expertise in the Agency mortgage sector and his deep knowledge of our business as our Chief Executive Officer and Chief Investment Officer strengthens our Board’s collective qualifications, skills, experience, and viewpoints.</w:t>
      </w:r>
    </w:p>
    <w:p>
      <w:pPr>
        <w:spacing w:after="0" w:line="307"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Conclusion and Recommendation; Vote Required</w:t>
      </w:r>
    </w:p>
    <w:p>
      <w:pPr>
        <w:spacing w:after="0" w:line="121" w:lineRule="exact"/>
        <w:rPr>
          <w:sz w:val="20"/>
          <w:szCs w:val="20"/>
          <w:color w:val="auto"/>
        </w:rPr>
      </w:pPr>
    </w:p>
    <w:p>
      <w:pPr>
        <w:ind w:left="120" w:right="100" w:firstLine="881"/>
        <w:spacing w:after="0" w:line="255" w:lineRule="auto"/>
        <w:rPr>
          <w:sz w:val="20"/>
          <w:szCs w:val="20"/>
          <w:color w:val="auto"/>
        </w:rPr>
      </w:pPr>
      <w:r>
        <w:rPr>
          <w:rFonts w:ascii="Arial" w:cs="Arial" w:eastAsia="Arial" w:hAnsi="Arial"/>
          <w:sz w:val="18"/>
          <w:szCs w:val="18"/>
          <w:color w:val="auto"/>
        </w:rPr>
        <w:t xml:space="preserve">The election of directors nominated in Proposal 1 requires the affirmative vote of a majority of the votes cast by holders of our common stock at the Annual Meeting. The affirmative vote of a “majority” of the votes cast means that the number of votes cast “for” a director nominee must exceed the votes cast “against” that nominee. In the context of the election of seven directors at the Annual Meeting, it will mean that each of the seven candidates will be required to receive more votes “for” than “against” to be elected. Abstentions and broker non-votes will have no effect on the outcome of the proposal. THE BOARD OF DIRECTORS RECOMMENDS A VOTE </w:t>
      </w:r>
      <w:r>
        <w:rPr>
          <w:rFonts w:ascii="Arial" w:cs="Arial" w:eastAsia="Arial" w:hAnsi="Arial"/>
          <w:sz w:val="18"/>
          <w:szCs w:val="18"/>
          <w:b w:val="1"/>
          <w:bCs w:val="1"/>
          <w:color w:val="auto"/>
        </w:rPr>
        <w:t>FOR</w:t>
      </w:r>
      <w:r>
        <w:rPr>
          <w:rFonts w:ascii="Arial" w:cs="Arial" w:eastAsia="Arial" w:hAnsi="Arial"/>
          <w:sz w:val="18"/>
          <w:szCs w:val="18"/>
          <w:color w:val="auto"/>
        </w:rPr>
        <w:t xml:space="preserve"> THE ELECTION OF ALL THE NOMINEES NAMED ABOVE.</w:t>
      </w:r>
    </w:p>
    <w:p>
      <w:pPr>
        <w:spacing w:after="0" w:line="121"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20</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20"/>
          </w:cols>
          <w:pgMar w:left="320" w:top="459" w:right="459" w:bottom="1440" w:gutter="0" w:footer="0" w:header="0"/>
        </w:sectPr>
      </w:pPr>
    </w:p>
    <w:bookmarkStart w:id="33" w:name="page34"/>
    <w:bookmarkEnd w:id="3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ind w:left="320"/>
        <w:spacing w:after="0" w:line="253" w:lineRule="auto"/>
        <w:rPr>
          <w:sz w:val="20"/>
          <w:szCs w:val="20"/>
          <w:color w:val="auto"/>
        </w:rPr>
      </w:pPr>
      <w:r>
        <w:rPr>
          <w:rFonts w:ascii="Arial" w:cs="Arial" w:eastAsia="Arial" w:hAnsi="Arial"/>
          <w:sz w:val="14"/>
          <w:szCs w:val="14"/>
          <w:color w:val="407CCA"/>
        </w:rPr>
        <w:t>PROPOSAL 2: APPROVAL OF THE AMENDMENT TO OUR AMENDED AND RESTATED CERTIFICATE OF INCORPORATION TO INCREASE THE AUTHORIZED NUMBER OF SHARES OF COMMON STOCK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1905</wp:posOffset>
            </wp:positionV>
            <wp:extent cx="6995160" cy="889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extLst>
                    </a:blip>
                    <a:srcRect/>
                    <a:stretch>
                      <a:fillRect/>
                    </a:stretch>
                  </pic:blipFill>
                  <pic:spPr bwMode="auto">
                    <a:xfrm>
                      <a:off x="0" y="0"/>
                      <a:ext cx="6995160" cy="8890"/>
                    </a:xfrm>
                    <a:prstGeom prst="rect">
                      <a:avLst/>
                    </a:prstGeom>
                    <a:noFill/>
                  </pic:spPr>
                </pic:pic>
              </a:graphicData>
            </a:graphic>
          </wp:anchor>
        </w:drawing>
      </w:r>
    </w:p>
    <w:p>
      <w:pPr>
        <w:spacing w:after="0" w:line="145" w:lineRule="exact"/>
        <w:rPr>
          <w:sz w:val="20"/>
          <w:szCs w:val="20"/>
          <w:color w:val="auto"/>
        </w:rPr>
      </w:pPr>
    </w:p>
    <w:p>
      <w:pPr>
        <w:jc w:val="center"/>
        <w:ind w:right="-119"/>
        <w:spacing w:after="0"/>
        <w:rPr>
          <w:sz w:val="20"/>
          <w:szCs w:val="20"/>
          <w:color w:val="auto"/>
        </w:rPr>
      </w:pPr>
      <w:r>
        <w:rPr>
          <w:rFonts w:ascii="Arial" w:cs="Arial" w:eastAsia="Arial" w:hAnsi="Arial"/>
          <w:sz w:val="22"/>
          <w:szCs w:val="22"/>
          <w:b w:val="1"/>
          <w:bCs w:val="1"/>
          <w:color w:val="407CCA"/>
        </w:rPr>
        <w:t>PROPOSAL 2:</w:t>
      </w:r>
    </w:p>
    <w:p>
      <w:pPr>
        <w:spacing w:after="0" w:line="14" w:lineRule="exact"/>
        <w:rPr>
          <w:sz w:val="20"/>
          <w:szCs w:val="20"/>
          <w:color w:val="auto"/>
        </w:rPr>
      </w:pPr>
    </w:p>
    <w:p>
      <w:pPr>
        <w:jc w:val="center"/>
        <w:ind w:left="420" w:right="1860"/>
        <w:spacing w:after="0" w:line="234" w:lineRule="auto"/>
        <w:rPr>
          <w:sz w:val="20"/>
          <w:szCs w:val="20"/>
          <w:color w:val="auto"/>
        </w:rPr>
      </w:pPr>
      <w:r>
        <w:rPr>
          <w:rFonts w:ascii="Arial" w:cs="Arial" w:eastAsia="Arial" w:hAnsi="Arial"/>
          <w:sz w:val="22"/>
          <w:szCs w:val="22"/>
          <w:b w:val="1"/>
          <w:bCs w:val="1"/>
          <w:color w:val="407CCA"/>
        </w:rPr>
        <w:t>APPROVAL OF THE AMENDMENT TO OUR AMENDED AND RESTATED CERTIFICATE OF INCORPORATION TO INCREASE THE AUTHORIZED NUMBER OF SHARES OF COMMON STOCK</w:t>
      </w:r>
    </w:p>
    <w:p>
      <w:pPr>
        <w:spacing w:after="0" w:line="190"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General Information</w:t>
      </w:r>
    </w:p>
    <w:p>
      <w:pPr>
        <w:spacing w:after="0" w:line="121" w:lineRule="exact"/>
        <w:rPr>
          <w:sz w:val="20"/>
          <w:szCs w:val="20"/>
          <w:color w:val="auto"/>
        </w:rPr>
      </w:pPr>
    </w:p>
    <w:p>
      <w:pPr>
        <w:ind w:left="120" w:right="100" w:firstLine="881"/>
        <w:spacing w:after="0" w:line="259" w:lineRule="auto"/>
        <w:rPr>
          <w:sz w:val="20"/>
          <w:szCs w:val="20"/>
          <w:color w:val="auto"/>
        </w:rPr>
      </w:pPr>
      <w:r>
        <w:rPr>
          <w:rFonts w:ascii="Arial" w:cs="Arial" w:eastAsia="Arial" w:hAnsi="Arial"/>
          <w:sz w:val="18"/>
          <w:szCs w:val="18"/>
          <w:color w:val="auto"/>
        </w:rPr>
        <w:t>Our authorized capital stock consists of 900,000,000 shares of common stock and 10,000,000 shares of preferred stock, $0.01 par value per share. On January 23, 2020, the Board of Directors approved, and recommended that the stockholders adopt, an amendment to Article IV of our Certificate of Incorporation that would increase the authorized number of shares of our common stock from 900,000,000 to 1,500,000,000. If approved, Section 4.1 of the Certificate of Incorporation would read in its entirety as follows:</w:t>
      </w:r>
    </w:p>
    <w:p>
      <w:pPr>
        <w:spacing w:after="0" w:line="187" w:lineRule="exact"/>
        <w:rPr>
          <w:sz w:val="20"/>
          <w:szCs w:val="20"/>
          <w:color w:val="auto"/>
        </w:rPr>
      </w:pPr>
    </w:p>
    <w:p>
      <w:pPr>
        <w:ind w:left="1100" w:right="20"/>
        <w:spacing w:after="0" w:line="296" w:lineRule="auto"/>
        <w:rPr>
          <w:sz w:val="20"/>
          <w:szCs w:val="20"/>
          <w:color w:val="auto"/>
        </w:rPr>
      </w:pPr>
      <w:r>
        <w:rPr>
          <w:rFonts w:ascii="Arial" w:cs="Arial" w:eastAsia="Arial" w:hAnsi="Arial"/>
          <w:sz w:val="16"/>
          <w:szCs w:val="16"/>
          <w:color w:val="auto"/>
        </w:rPr>
        <w:t>“Section 4.1. Total Number of Shares of Capital Stock. The total number of shares of capital stock of all classes that the Corporation shall have authority to issue is 1,510,000,000 shares. The authorized stock is divided into 10,000,000 shares of preferred stock, with the par value of $0.01 each (the “Preferred Stock”), and 1,500,000,000 shares of common stock, with the par value of $0.01 each (the “Common Stock”). The Board of Directors of the Corporation (the “Board of Directors”) may classify any unissued shares of stock and reclassify any previously classified but unissued shares of stock from time to time, in one or more classes or series, of stock.”</w:t>
      </w:r>
    </w:p>
    <w:p>
      <w:pPr>
        <w:spacing w:after="0" w:line="161" w:lineRule="exact"/>
        <w:rPr>
          <w:sz w:val="20"/>
          <w:szCs w:val="20"/>
          <w:color w:val="auto"/>
        </w:rPr>
      </w:pPr>
    </w:p>
    <w:p>
      <w:pPr>
        <w:ind w:left="120" w:right="20" w:firstLine="881"/>
        <w:spacing w:after="0" w:line="277" w:lineRule="auto"/>
        <w:rPr>
          <w:sz w:val="20"/>
          <w:szCs w:val="20"/>
          <w:color w:val="auto"/>
        </w:rPr>
      </w:pPr>
      <w:r>
        <w:rPr>
          <w:rFonts w:ascii="Arial" w:cs="Arial" w:eastAsia="Arial" w:hAnsi="Arial"/>
          <w:sz w:val="18"/>
          <w:szCs w:val="18"/>
          <w:color w:val="auto"/>
        </w:rPr>
        <w:t>Assuming approval of this Proposal to amend our Certificate of Incorporation, the aggregate number of shares of common stock that we will have the authority to issue, at our discretion, will be 1,500,000,000.</w:t>
      </w:r>
    </w:p>
    <w:p>
      <w:pPr>
        <w:spacing w:after="0" w:line="274"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Background and Rationale</w:t>
      </w:r>
    </w:p>
    <w:p>
      <w:pPr>
        <w:spacing w:after="0" w:line="121" w:lineRule="exact"/>
        <w:rPr>
          <w:sz w:val="20"/>
          <w:szCs w:val="20"/>
          <w:color w:val="auto"/>
        </w:rPr>
      </w:pPr>
    </w:p>
    <w:p>
      <w:pPr>
        <w:ind w:left="120" w:right="20" w:firstLine="881"/>
        <w:spacing w:after="0" w:line="257" w:lineRule="auto"/>
        <w:rPr>
          <w:sz w:val="20"/>
          <w:szCs w:val="20"/>
          <w:color w:val="auto"/>
        </w:rPr>
      </w:pPr>
      <w:r>
        <w:rPr>
          <w:rFonts w:ascii="Arial" w:cs="Arial" w:eastAsia="Arial" w:hAnsi="Arial"/>
          <w:sz w:val="18"/>
          <w:szCs w:val="18"/>
          <w:color w:val="auto"/>
        </w:rPr>
        <w:t>The Board of Directors believes that the increased authorized number of shares of common stock contemplated by the proposed amendment to our Certificate of Incorporation is desirable to make additional unreserved shares of common stock available for issuance or reservation. The Board of Directors believes that having such additional shares authorized and available for issuance or reservation will provide greater flexibility to pursue potential future actions involving the issuance of stock to provide capital for investment activity, mergers and acquisitions, stock dividends or splits, and general corporate purposes.</w:t>
      </w:r>
    </w:p>
    <w:p>
      <w:pPr>
        <w:spacing w:after="0" w:line="188" w:lineRule="exact"/>
        <w:rPr>
          <w:sz w:val="20"/>
          <w:szCs w:val="20"/>
          <w:color w:val="auto"/>
        </w:rPr>
      </w:pPr>
    </w:p>
    <w:p>
      <w:pPr>
        <w:ind w:left="120" w:right="40" w:firstLine="881"/>
        <w:spacing w:after="0" w:line="269" w:lineRule="auto"/>
        <w:rPr>
          <w:sz w:val="20"/>
          <w:szCs w:val="20"/>
          <w:color w:val="auto"/>
        </w:rPr>
      </w:pPr>
      <w:r>
        <w:rPr>
          <w:rFonts w:ascii="Arial" w:cs="Arial" w:eastAsia="Arial" w:hAnsi="Arial"/>
          <w:sz w:val="17"/>
          <w:szCs w:val="17"/>
          <w:color w:val="auto"/>
        </w:rPr>
        <w:t>As of February 24, 2020, we had 540.9 million shares of issued and outstanding common stock and 224.1 million shares of common stock reserved for future issuance, including shares reserved for future issuance under our At-The-Market issuance program (“ATM”), the terms of our outstanding preferred stock providing for conversion of shares under certain circumstances, our Dividend Reinvestment and Direct Stock Purchase Plan, and the 2016 Plan. After accounting for the issued and outstanding shares and the shares reserved for issuance under our equity incentive plans, our Dividend Reinvestment and Direct Stock Purchase Plan, our ATM program, and the potential conversion of our preferred stock under the circumstances described in the prospectus supplements filed with the SEC for each series of our preferred stock, AGNC has 135.0 million unallocated shares available for issuance at the current common stock authorization level in our Certificate of Incorporation. From January 1, 2019 through February 11, 2020 AGNC issued 11.4 million shares under our ATM program and reserved over 138.0 million shares of common stock in connection with the issuance of our 6.125% Series F Fixed-to-Floating Cumulative Redeemable Preferred Stock, 6.50% Series E Fixed-to-Floating Cumulative Redeemable Preferred Stock, and 6.875% Series D Fixed-to-Floating Cumulative Redeemable Preferred Stock, utilizing over 149.4 million shares of authorized common stock during this period. AGNC did not issue any stock</w:t>
      </w:r>
    </w:p>
    <w:p>
      <w:pPr>
        <w:spacing w:after="0" w:line="110" w:lineRule="exact"/>
        <w:rPr>
          <w:sz w:val="20"/>
          <w:szCs w:val="20"/>
          <w:color w:val="auto"/>
        </w:rPr>
      </w:pPr>
    </w:p>
    <w:p>
      <w:pPr>
        <w:ind w:left="7960"/>
        <w:spacing w:after="0"/>
        <w:tabs>
          <w:tab w:leader="none" w:pos="109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21</w:t>
      </w:r>
    </w:p>
    <w:p>
      <w:pPr>
        <w:sectPr>
          <w:pgSz w:w="11900" w:h="16838" w:orient="portrait"/>
          <w:cols w:equalWidth="0" w:num="1">
            <w:col w:w="11140"/>
          </w:cols>
          <w:pgMar w:left="320" w:top="459" w:right="439" w:bottom="1440" w:gutter="0" w:footer="0" w:header="0"/>
        </w:sectPr>
      </w:pPr>
    </w:p>
    <w:bookmarkStart w:id="34" w:name="page35"/>
    <w:bookmarkEnd w:id="3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right="140"/>
        <w:spacing w:after="0" w:line="253" w:lineRule="auto"/>
        <w:rPr>
          <w:sz w:val="20"/>
          <w:szCs w:val="20"/>
          <w:color w:val="auto"/>
        </w:rPr>
      </w:pPr>
      <w:r>
        <w:rPr>
          <w:rFonts w:ascii="Arial" w:cs="Arial" w:eastAsia="Arial" w:hAnsi="Arial"/>
          <w:sz w:val="14"/>
          <w:szCs w:val="14"/>
          <w:color w:val="407CCA"/>
        </w:rPr>
        <w:t>PROPOSAL 2: APPROVAL OF THE AMENDMENT TO OUR AMENDED AND RESTATED CERTIFICATE OF INCORPORATION TO INCREASE THE AUTHORIZED NUMBER OF SHARES OF COMMON STOCK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1905</wp:posOffset>
            </wp:positionV>
            <wp:extent cx="6995160" cy="889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extLst>
                    </a:blip>
                    <a:srcRect/>
                    <a:stretch>
                      <a:fillRect/>
                    </a:stretch>
                  </pic:blipFill>
                  <pic:spPr bwMode="auto">
                    <a:xfrm>
                      <a:off x="0" y="0"/>
                      <a:ext cx="6995160" cy="8890"/>
                    </a:xfrm>
                    <a:prstGeom prst="rect">
                      <a:avLst/>
                    </a:prstGeom>
                    <a:noFill/>
                  </pic:spPr>
                </pic:pic>
              </a:graphicData>
            </a:graphic>
          </wp:anchor>
        </w:drawing>
      </w:r>
    </w:p>
    <w:p>
      <w:pPr>
        <w:spacing w:after="0" w:line="158" w:lineRule="exact"/>
        <w:rPr>
          <w:sz w:val="20"/>
          <w:szCs w:val="20"/>
          <w:color w:val="auto"/>
        </w:rPr>
      </w:pPr>
    </w:p>
    <w:p>
      <w:pPr>
        <w:jc w:val="both"/>
        <w:ind w:left="120" w:right="100"/>
        <w:spacing w:after="0" w:line="263" w:lineRule="auto"/>
        <w:rPr>
          <w:sz w:val="20"/>
          <w:szCs w:val="20"/>
          <w:color w:val="auto"/>
        </w:rPr>
      </w:pPr>
      <w:r>
        <w:rPr>
          <w:rFonts w:ascii="Arial" w:cs="Arial" w:eastAsia="Arial" w:hAnsi="Arial"/>
          <w:sz w:val="18"/>
          <w:szCs w:val="18"/>
          <w:color w:val="auto"/>
        </w:rPr>
        <w:t>pursuant to a follow on offering in 2019, unlike prior years (e.g., we issued 124.2 million common shares pursuant to follow on offerings in 2018). As such, the current level of authorized shares could impact AGNC’s ability to pursue accretive capital markets opportunities in 2020 at current levels and become restrictive starting in 2021, absent an increase in the number of authorized common shares.</w:t>
      </w:r>
    </w:p>
    <w:p>
      <w:pPr>
        <w:spacing w:after="0" w:line="184" w:lineRule="exact"/>
        <w:rPr>
          <w:sz w:val="20"/>
          <w:szCs w:val="20"/>
          <w:color w:val="auto"/>
        </w:rPr>
      </w:pPr>
    </w:p>
    <w:p>
      <w:pPr>
        <w:ind w:left="120" w:firstLine="881"/>
        <w:spacing w:after="0" w:line="275" w:lineRule="auto"/>
        <w:rPr>
          <w:sz w:val="20"/>
          <w:szCs w:val="20"/>
          <w:color w:val="auto"/>
        </w:rPr>
      </w:pPr>
      <w:r>
        <w:rPr>
          <w:rFonts w:ascii="Arial" w:cs="Arial" w:eastAsia="Arial" w:hAnsi="Arial"/>
          <w:sz w:val="17"/>
          <w:szCs w:val="17"/>
          <w:color w:val="auto"/>
        </w:rPr>
        <w:t>We believe that increasing our authorized number of shares of common stock to facilitate additional capital raising activity is in our stockholders’ best interests. As a REIT, we distribute substantially all of our taxable income to our stockholders in the form of dividends and do not currently retain a significant portion of our earnings for growth. In order to pursue new incremental investment opportunities, we raise additional capital through a variety of means, including common stock offerings. We believe that our historical track record of identifying attractive investment opportunities, in addition to accretive equity offerings, has been instrumental to our strong financial performance.</w:t>
      </w:r>
    </w:p>
    <w:p>
      <w:pPr>
        <w:spacing w:after="0" w:line="176" w:lineRule="exact"/>
        <w:rPr>
          <w:sz w:val="20"/>
          <w:szCs w:val="20"/>
          <w:color w:val="auto"/>
        </w:rPr>
      </w:pPr>
    </w:p>
    <w:p>
      <w:pPr>
        <w:ind w:left="120" w:right="20" w:firstLine="881"/>
        <w:spacing w:after="0" w:line="275" w:lineRule="auto"/>
        <w:rPr>
          <w:sz w:val="20"/>
          <w:szCs w:val="20"/>
          <w:color w:val="auto"/>
        </w:rPr>
      </w:pPr>
      <w:r>
        <w:rPr>
          <w:rFonts w:ascii="Arial" w:cs="Arial" w:eastAsia="Arial" w:hAnsi="Arial"/>
          <w:sz w:val="17"/>
          <w:szCs w:val="17"/>
          <w:color w:val="auto"/>
        </w:rPr>
        <w:t>We would generally intend to issue additional shares of common stock in follow on offerings primarily when our net issuance price exceeds our tangible net book value or in other circumstances that are believed to be accretive to our stockholders. Further, as an internally-managed REIT, we do not pay a management fee based upon our equity, so an offering of additional common stock does not result in a proportional increase in our expenses. Because we do not pay management fees based on our equity, additional capital raising activities enable us to leverage our operating costs over a larger equity base, benefitting our stockholders through decreased operating costs per share.</w:t>
      </w:r>
    </w:p>
    <w:p>
      <w:pPr>
        <w:spacing w:after="0" w:line="176" w:lineRule="exact"/>
        <w:rPr>
          <w:sz w:val="20"/>
          <w:szCs w:val="20"/>
          <w:color w:val="auto"/>
        </w:rPr>
      </w:pPr>
    </w:p>
    <w:p>
      <w:pPr>
        <w:ind w:left="120" w:right="200" w:firstLine="881"/>
        <w:spacing w:after="0" w:line="290" w:lineRule="auto"/>
        <w:rPr>
          <w:sz w:val="20"/>
          <w:szCs w:val="20"/>
          <w:color w:val="auto"/>
        </w:rPr>
      </w:pPr>
      <w:r>
        <w:rPr>
          <w:rFonts w:ascii="Arial" w:cs="Arial" w:eastAsia="Arial" w:hAnsi="Arial"/>
          <w:sz w:val="16"/>
          <w:szCs w:val="16"/>
          <w:color w:val="auto"/>
        </w:rPr>
        <w:t>We anticipate that 2020 and beyond could potentially provide compelling investment opportunities for AGNC. We believe that Agency MBS are positioned to provide attractive risk-adjusted returns on both an absolute and relative basis. Mortgage spreads to benchmark rates have widened over the past several years to levels more consistent with longer-term averages, which, together with improvements in repurchase agreement (“repo”) funding, have improved projected returns on equity for levered investors such as AGNC. In addition, Congress continues to contemplate potential housing reform, and possibilities for such legislation typically involve an increased role for private capital in housing finance. Although it is difficult to predict the likelihood that substantial housing reform measures will be adopted, those that contemplate a more substantial role for private capital providers, such as the Company, could also generate favorable investment opportunities. Authorizing additional shares of common stock will provide the Company with the flexibility to raise incremental equity capital or issue common stock to benefit from such opportunities.</w:t>
      </w:r>
    </w:p>
    <w:p>
      <w:pPr>
        <w:spacing w:after="0" w:line="269"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Potential Effect</w:t>
      </w:r>
    </w:p>
    <w:p>
      <w:pPr>
        <w:spacing w:after="0" w:line="121" w:lineRule="exact"/>
        <w:rPr>
          <w:sz w:val="20"/>
          <w:szCs w:val="20"/>
          <w:color w:val="auto"/>
        </w:rPr>
      </w:pPr>
    </w:p>
    <w:p>
      <w:pPr>
        <w:ind w:left="120" w:right="20" w:firstLine="881"/>
        <w:spacing w:after="0" w:line="293" w:lineRule="auto"/>
        <w:rPr>
          <w:sz w:val="20"/>
          <w:szCs w:val="20"/>
          <w:color w:val="auto"/>
        </w:rPr>
      </w:pPr>
      <w:r>
        <w:rPr>
          <w:rFonts w:ascii="Arial" w:cs="Arial" w:eastAsia="Arial" w:hAnsi="Arial"/>
          <w:sz w:val="16"/>
          <w:szCs w:val="16"/>
          <w:color w:val="auto"/>
        </w:rPr>
        <w:t>Authorizing us to issue more shares of common stock than currently authorized by the Certificate of Incorporation will not affect materially any substantive rights, powers, or privileges of our stockholders. Our common stock does not have cumulative voting rights or preemptive rights for the purchase of additional shares of any class of capital stock. The additional shares of common stock for which authorization is sought are identical to the shares of our common stock now authorized. However, the issuance of additional shares of common stock may, among other things, have a dilutive effect on the earnings per share and on the equity and voting power of existing stockholders and may adversely affect the market price for our common stock. There can be no assurance that offerings of common stock will in fact be accretive to our stockholders.</w:t>
      </w:r>
    </w:p>
    <w:p>
      <w:pPr>
        <w:spacing w:after="0" w:line="164" w:lineRule="exact"/>
        <w:rPr>
          <w:sz w:val="20"/>
          <w:szCs w:val="20"/>
          <w:color w:val="auto"/>
        </w:rPr>
      </w:pPr>
    </w:p>
    <w:p>
      <w:pPr>
        <w:ind w:left="120" w:right="80" w:firstLine="881"/>
        <w:spacing w:after="0" w:line="277" w:lineRule="auto"/>
        <w:rPr>
          <w:sz w:val="20"/>
          <w:szCs w:val="20"/>
          <w:color w:val="auto"/>
        </w:rPr>
      </w:pPr>
      <w:r>
        <w:rPr>
          <w:rFonts w:ascii="Arial" w:cs="Arial" w:eastAsia="Arial" w:hAnsi="Arial"/>
          <w:sz w:val="18"/>
          <w:szCs w:val="18"/>
          <w:color w:val="auto"/>
        </w:rPr>
        <w:t>On the other hand, if we do not receive stockholder approval on this Proposal 2, we will be hindered in our ability to raise capital to pursue new investment opportunities that could be beneficial to our stockholders, or</w:t>
      </w:r>
    </w:p>
    <w:p>
      <w:pPr>
        <w:spacing w:after="0" w:line="98"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22</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080"/>
          </w:cols>
          <w:pgMar w:left="320" w:top="459" w:right="499" w:bottom="1440" w:gutter="0" w:footer="0" w:header="0"/>
        </w:sectPr>
      </w:pPr>
    </w:p>
    <w:bookmarkStart w:id="35" w:name="page36"/>
    <w:bookmarkEnd w:id="3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ind w:left="320"/>
        <w:spacing w:after="0" w:line="253" w:lineRule="auto"/>
        <w:rPr>
          <w:sz w:val="20"/>
          <w:szCs w:val="20"/>
          <w:color w:val="auto"/>
        </w:rPr>
      </w:pPr>
      <w:r>
        <w:rPr>
          <w:rFonts w:ascii="Arial" w:cs="Arial" w:eastAsia="Arial" w:hAnsi="Arial"/>
          <w:sz w:val="14"/>
          <w:szCs w:val="14"/>
          <w:color w:val="407CCA"/>
        </w:rPr>
        <w:t>PROPOSAL 2: APPROVAL OF THE AMENDMENT TO OUR AMENDED AND RESTATED CERTIFICATE OF INCORPORATION TO INCREASE THE AUTHORIZED NUMBER OF SHARES OF COMMON STOCK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1905</wp:posOffset>
            </wp:positionV>
            <wp:extent cx="6995160" cy="825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58" w:lineRule="exact"/>
        <w:rPr>
          <w:sz w:val="20"/>
          <w:szCs w:val="20"/>
          <w:color w:val="auto"/>
        </w:rPr>
      </w:pPr>
    </w:p>
    <w:p>
      <w:pPr>
        <w:ind w:left="120" w:right="380"/>
        <w:spacing w:after="0" w:line="277" w:lineRule="auto"/>
        <w:rPr>
          <w:sz w:val="20"/>
          <w:szCs w:val="20"/>
          <w:color w:val="auto"/>
        </w:rPr>
      </w:pPr>
      <w:r>
        <w:rPr>
          <w:rFonts w:ascii="Arial" w:cs="Arial" w:eastAsia="Arial" w:hAnsi="Arial"/>
          <w:sz w:val="18"/>
          <w:szCs w:val="18"/>
          <w:color w:val="auto"/>
        </w:rPr>
        <w:t>in certain circumstances from raising capital to reduce leverage, if market conditions warrant. This reduced flexibility would put us at a competitive disadvantage to other mortgage REITs or Agency MBS investors.</w:t>
      </w:r>
    </w:p>
    <w:p>
      <w:pPr>
        <w:spacing w:after="0" w:line="170" w:lineRule="exact"/>
        <w:rPr>
          <w:sz w:val="20"/>
          <w:szCs w:val="20"/>
          <w:color w:val="auto"/>
        </w:rPr>
      </w:pPr>
    </w:p>
    <w:p>
      <w:pPr>
        <w:ind w:left="120" w:right="260" w:firstLine="881"/>
        <w:spacing w:after="0" w:line="311" w:lineRule="auto"/>
        <w:rPr>
          <w:sz w:val="20"/>
          <w:szCs w:val="20"/>
          <w:color w:val="auto"/>
        </w:rPr>
      </w:pPr>
      <w:r>
        <w:rPr>
          <w:rFonts w:ascii="Arial" w:cs="Arial" w:eastAsia="Arial" w:hAnsi="Arial"/>
          <w:sz w:val="16"/>
          <w:szCs w:val="16"/>
          <w:color w:val="auto"/>
        </w:rPr>
        <w:t>From the February 24, 2020 record date until the date of our Annual Meeting, we may offer to the public shares of our authorized but unissued common stock in one or more public offerings, including through underwriters, our ATM, or through our registered Amended and Restated Dividend Reinvestment and Direct Stock Purchase Plan. However, any such newly issued shares will not be able to vote at the 2020 Annual Meeting.</w:t>
      </w:r>
    </w:p>
    <w:p>
      <w:pPr>
        <w:spacing w:after="0" w:line="253"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Conclusion and Recommendation; Vote Required</w:t>
      </w:r>
    </w:p>
    <w:p>
      <w:pPr>
        <w:spacing w:after="0" w:line="121" w:lineRule="exact"/>
        <w:rPr>
          <w:sz w:val="20"/>
          <w:szCs w:val="20"/>
          <w:color w:val="auto"/>
        </w:rPr>
      </w:pPr>
    </w:p>
    <w:p>
      <w:pPr>
        <w:ind w:left="120" w:right="20" w:firstLine="881"/>
        <w:spacing w:after="0" w:line="291" w:lineRule="auto"/>
        <w:rPr>
          <w:sz w:val="20"/>
          <w:szCs w:val="20"/>
          <w:color w:val="auto"/>
        </w:rPr>
      </w:pPr>
      <w:r>
        <w:rPr>
          <w:rFonts w:ascii="Arial" w:cs="Arial" w:eastAsia="Arial" w:hAnsi="Arial"/>
          <w:sz w:val="16"/>
          <w:szCs w:val="16"/>
          <w:color w:val="auto"/>
        </w:rPr>
        <w:t xml:space="preserve">The Board of Directors is submitting and recommending the amendment to the Certificate of Incorporation to increase the total authorized number of shares of our common stock from 900,000,000 to 1,500,000,000. The approval of the amendment to the Certificate of Incorporation requires the affirmative vote by the holders of a majority of all shares of our common stock entitled to vote generally in the election of directors at the Annual Meeting. Abstentions have the same effect as voting against the proposal. The Board of Directors believes that the proposal is in our best interests and in the best interests of the stockholders and has unanimously approved the amendment to the Certificate of Incorporation. THE BOARD OF DIRECTORS RECOMMENDS A VOTE </w:t>
      </w:r>
      <w:r>
        <w:rPr>
          <w:rFonts w:ascii="Arial" w:cs="Arial" w:eastAsia="Arial" w:hAnsi="Arial"/>
          <w:sz w:val="16"/>
          <w:szCs w:val="16"/>
          <w:b w:val="1"/>
          <w:bCs w:val="1"/>
          <w:color w:val="auto"/>
        </w:rPr>
        <w:t>FOR</w:t>
      </w:r>
      <w:r>
        <w:rPr>
          <w:rFonts w:ascii="Arial" w:cs="Arial" w:eastAsia="Arial" w:hAnsi="Arial"/>
          <w:sz w:val="16"/>
          <w:szCs w:val="16"/>
          <w:color w:val="auto"/>
        </w:rPr>
        <w:t xml:space="preserve"> THE APPROVAL OF THE AMENDMENT TO THE CERTIFICATE OF INCORPORATION TO INCREASE THE TOTAL AUTHORIZED NUMBER OF SHARES OF OUR COMMON STOCK FROM 900,000,000 to 1,500,000,000.</w:t>
      </w:r>
    </w:p>
    <w:p>
      <w:pPr>
        <w:spacing w:after="0" w:line="95" w:lineRule="exact"/>
        <w:rPr>
          <w:sz w:val="20"/>
          <w:szCs w:val="20"/>
          <w:color w:val="auto"/>
        </w:rPr>
      </w:pPr>
    </w:p>
    <w:p>
      <w:pPr>
        <w:ind w:left="7960"/>
        <w:spacing w:after="0"/>
        <w:tabs>
          <w:tab w:leader="none" w:pos="109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23</w:t>
      </w:r>
    </w:p>
    <w:p>
      <w:pPr>
        <w:sectPr>
          <w:pgSz w:w="11900" w:h="16838" w:orient="portrait"/>
          <w:cols w:equalWidth="0" w:num="1">
            <w:col w:w="11140"/>
          </w:cols>
          <w:pgMar w:left="320" w:top="459" w:right="439" w:bottom="1440" w:gutter="0" w:footer="0" w:header="0"/>
        </w:sectPr>
      </w:pPr>
    </w:p>
    <w:bookmarkStart w:id="36" w:name="page37"/>
    <w:bookmarkEnd w:id="3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PROPOSAL 3: ADVISORY RESOLUTION ON 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89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extLst>
                    </a:blip>
                    <a:srcRect/>
                    <a:stretch>
                      <a:fillRect/>
                    </a:stretch>
                  </pic:blipFill>
                  <pic:spPr bwMode="auto">
                    <a:xfrm>
                      <a:off x="0" y="0"/>
                      <a:ext cx="6995160" cy="8890"/>
                    </a:xfrm>
                    <a:prstGeom prst="rect">
                      <a:avLst/>
                    </a:prstGeom>
                    <a:noFill/>
                  </pic:spPr>
                </pic:pic>
              </a:graphicData>
            </a:graphic>
          </wp:anchor>
        </w:drawing>
      </w:r>
    </w:p>
    <w:p>
      <w:pPr>
        <w:spacing w:after="0" w:line="175" w:lineRule="exact"/>
        <w:rPr>
          <w:sz w:val="20"/>
          <w:szCs w:val="20"/>
          <w:color w:val="auto"/>
        </w:rPr>
      </w:pPr>
    </w:p>
    <w:p>
      <w:pPr>
        <w:jc w:val="center"/>
        <w:ind w:right="-119"/>
        <w:spacing w:after="0"/>
        <w:rPr>
          <w:sz w:val="20"/>
          <w:szCs w:val="20"/>
          <w:color w:val="auto"/>
        </w:rPr>
      </w:pPr>
      <w:r>
        <w:rPr>
          <w:rFonts w:ascii="Arial" w:cs="Arial" w:eastAsia="Arial" w:hAnsi="Arial"/>
          <w:sz w:val="22"/>
          <w:szCs w:val="22"/>
          <w:b w:val="1"/>
          <w:bCs w:val="1"/>
          <w:color w:val="407CCA"/>
        </w:rPr>
        <w:t>PROPOSAL 3:</w:t>
      </w:r>
    </w:p>
    <w:p>
      <w:pPr>
        <w:spacing w:after="0" w:line="14" w:lineRule="exact"/>
        <w:rPr>
          <w:sz w:val="20"/>
          <w:szCs w:val="20"/>
          <w:color w:val="auto"/>
        </w:rPr>
      </w:pPr>
    </w:p>
    <w:p>
      <w:pPr>
        <w:jc w:val="center"/>
        <w:ind w:right="-119"/>
        <w:spacing w:after="0"/>
        <w:rPr>
          <w:sz w:val="20"/>
          <w:szCs w:val="20"/>
          <w:color w:val="auto"/>
        </w:rPr>
      </w:pPr>
      <w:r>
        <w:rPr>
          <w:rFonts w:ascii="Arial" w:cs="Arial" w:eastAsia="Arial" w:hAnsi="Arial"/>
          <w:sz w:val="22"/>
          <w:szCs w:val="22"/>
          <w:b w:val="1"/>
          <w:bCs w:val="1"/>
          <w:color w:val="407CCA"/>
        </w:rPr>
        <w:t>ADVISORY RESOLUTION ON EXECUTIVE COMPENSATION</w:t>
      </w:r>
    </w:p>
    <w:p>
      <w:pPr>
        <w:spacing w:after="0" w:line="191"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General Information</w:t>
      </w:r>
    </w:p>
    <w:p>
      <w:pPr>
        <w:spacing w:after="0" w:line="121" w:lineRule="exact"/>
        <w:rPr>
          <w:sz w:val="20"/>
          <w:szCs w:val="20"/>
          <w:color w:val="auto"/>
        </w:rPr>
      </w:pPr>
    </w:p>
    <w:p>
      <w:pPr>
        <w:ind w:left="120" w:right="160" w:firstLine="881"/>
        <w:spacing w:after="0" w:line="308" w:lineRule="auto"/>
        <w:rPr>
          <w:sz w:val="20"/>
          <w:szCs w:val="20"/>
          <w:color w:val="auto"/>
        </w:rPr>
      </w:pPr>
      <w:r>
        <w:rPr>
          <w:rFonts w:ascii="Arial" w:cs="Arial" w:eastAsia="Arial" w:hAnsi="Arial"/>
          <w:sz w:val="17"/>
          <w:szCs w:val="17"/>
          <w:color w:val="auto"/>
        </w:rPr>
        <w:t>As required by Section 14A of the Securities Exchange Act of 1934, we are asking for your advisory vote on the compensation paid to our named executive officers as disclosed in this proxy statement. Our Board has determined to hold this “say-on-pay” vote every year.</w:t>
      </w:r>
    </w:p>
    <w:p>
      <w:pPr>
        <w:spacing w:after="0" w:line="146" w:lineRule="exact"/>
        <w:rPr>
          <w:sz w:val="20"/>
          <w:szCs w:val="20"/>
          <w:color w:val="auto"/>
        </w:rPr>
      </w:pPr>
    </w:p>
    <w:p>
      <w:pPr>
        <w:ind w:left="120" w:firstLine="881"/>
        <w:spacing w:after="0" w:line="291" w:lineRule="auto"/>
        <w:rPr>
          <w:sz w:val="20"/>
          <w:szCs w:val="20"/>
          <w:color w:val="auto"/>
        </w:rPr>
      </w:pPr>
      <w:r>
        <w:rPr>
          <w:rFonts w:ascii="Arial" w:cs="Arial" w:eastAsia="Arial" w:hAnsi="Arial"/>
          <w:sz w:val="16"/>
          <w:szCs w:val="16"/>
          <w:color w:val="auto"/>
        </w:rPr>
        <w:t>We urge you to review carefully our compensation policies and decisions regarding our named executive officers as presented in the “Compensation Discussion and Analysis,” the accompanying compensation tables, and the related narrative disclosures section appearing on pages 30 to</w:t>
      </w:r>
    </w:p>
    <w:p>
      <w:pPr>
        <w:jc w:val="both"/>
        <w:ind w:left="120" w:right="180" w:hanging="4"/>
        <w:spacing w:after="0" w:line="255" w:lineRule="auto"/>
        <w:tabs>
          <w:tab w:leader="none" w:pos="390" w:val="left"/>
        </w:tabs>
        <w:numPr>
          <w:ilvl w:val="0"/>
          <w:numId w:val="16"/>
        </w:numPr>
        <w:rPr>
          <w:rFonts w:ascii="Arial" w:cs="Arial" w:eastAsia="Arial" w:hAnsi="Arial"/>
          <w:sz w:val="18"/>
          <w:szCs w:val="18"/>
          <w:color w:val="auto"/>
        </w:rPr>
      </w:pPr>
      <w:r>
        <w:rPr>
          <w:rFonts w:ascii="Arial" w:cs="Arial" w:eastAsia="Arial" w:hAnsi="Arial"/>
          <w:sz w:val="18"/>
          <w:szCs w:val="18"/>
          <w:color w:val="auto"/>
        </w:rPr>
        <w:t>As described in detail in this proxy statement, we believe that our executive compensation program applies a pay-for-performance philosophy that effectively aligns the interests of our NEOs with those of our stockholders and allows us to attract, retain, and appropriately incent executives with the skills and experience necessary to achieve our key business objectives.</w:t>
      </w:r>
    </w:p>
    <w:p>
      <w:pPr>
        <w:spacing w:after="0" w:line="190" w:lineRule="exact"/>
        <w:rPr>
          <w:sz w:val="20"/>
          <w:szCs w:val="20"/>
          <w:color w:val="auto"/>
        </w:rPr>
      </w:pPr>
    </w:p>
    <w:p>
      <w:pPr>
        <w:ind w:left="120" w:right="240" w:firstLine="881"/>
        <w:spacing w:after="0" w:line="277" w:lineRule="auto"/>
        <w:rPr>
          <w:sz w:val="20"/>
          <w:szCs w:val="20"/>
          <w:color w:val="auto"/>
        </w:rPr>
      </w:pPr>
      <w:r>
        <w:rPr>
          <w:rFonts w:ascii="Arial" w:cs="Arial" w:eastAsia="Arial" w:hAnsi="Arial"/>
          <w:sz w:val="18"/>
          <w:szCs w:val="18"/>
          <w:color w:val="auto"/>
        </w:rPr>
        <w:t>While the vote on this proposal is advisory in nature and not binding, the Board and the Compensation Committee will take the results of the vote into account in making future compensation decisions.</w:t>
      </w:r>
    </w:p>
    <w:p>
      <w:pPr>
        <w:spacing w:after="0" w:line="170"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We are requesting our stockholders to approve, in a non-binding, advisory vote, the following resolution:</w:t>
      </w:r>
    </w:p>
    <w:p>
      <w:pPr>
        <w:spacing w:after="0" w:line="225" w:lineRule="exact"/>
        <w:rPr>
          <w:sz w:val="20"/>
          <w:szCs w:val="20"/>
          <w:color w:val="auto"/>
        </w:rPr>
      </w:pPr>
    </w:p>
    <w:p>
      <w:pPr>
        <w:ind w:left="1100" w:right="120"/>
        <w:spacing w:after="0" w:line="259" w:lineRule="auto"/>
        <w:rPr>
          <w:sz w:val="20"/>
          <w:szCs w:val="20"/>
          <w:color w:val="auto"/>
        </w:rPr>
      </w:pPr>
      <w:r>
        <w:rPr>
          <w:rFonts w:ascii="Arial" w:cs="Arial" w:eastAsia="Arial" w:hAnsi="Arial"/>
          <w:sz w:val="18"/>
          <w:szCs w:val="18"/>
          <w:color w:val="auto"/>
        </w:rPr>
        <w:t>“RESOLVED, that the stockholders of the Company hereby approve the compensation paid to our named executive officers, as disclosed in the proxy statement for the 2020 Annual Meeting of Stockholders pursuant to the disclosure rules of the Securities and Exchange Commission, including the Compensation Discussion and Analysis, compensation tables, and related material disclosed in the proxy statement.”</w:t>
      </w:r>
    </w:p>
    <w:p>
      <w:pPr>
        <w:spacing w:after="0" w:line="291"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Conclusion and Recommendation; Vote Required</w:t>
      </w:r>
    </w:p>
    <w:p>
      <w:pPr>
        <w:spacing w:after="0" w:line="121" w:lineRule="exact"/>
        <w:rPr>
          <w:sz w:val="20"/>
          <w:szCs w:val="20"/>
          <w:color w:val="auto"/>
        </w:rPr>
      </w:pPr>
    </w:p>
    <w:p>
      <w:pPr>
        <w:ind w:left="120" w:right="60" w:firstLine="881"/>
        <w:spacing w:after="0" w:line="286" w:lineRule="auto"/>
        <w:rPr>
          <w:sz w:val="20"/>
          <w:szCs w:val="20"/>
          <w:color w:val="auto"/>
        </w:rPr>
      </w:pPr>
      <w:r>
        <w:rPr>
          <w:rFonts w:ascii="Arial" w:cs="Arial" w:eastAsia="Arial" w:hAnsi="Arial"/>
          <w:sz w:val="17"/>
          <w:szCs w:val="17"/>
          <w:color w:val="auto"/>
        </w:rPr>
        <w:t xml:space="preserve">The affirmative vote of a majority of all shares of common stock present or represented and entitled to vote at the Annual Meeting is required for advisory approval of this proposal. Abstentions and broker non-votes will have no effect on the outcome of the proposal. THE BOARD OF DIRECTORS RECOMMENDS A VOTE </w:t>
      </w:r>
      <w:r>
        <w:rPr>
          <w:rFonts w:ascii="Arial" w:cs="Arial" w:eastAsia="Arial" w:hAnsi="Arial"/>
          <w:sz w:val="17"/>
          <w:szCs w:val="17"/>
          <w:b w:val="1"/>
          <w:bCs w:val="1"/>
          <w:color w:val="auto"/>
        </w:rPr>
        <w:t>FOR</w:t>
      </w:r>
      <w:r>
        <w:rPr>
          <w:rFonts w:ascii="Arial" w:cs="Arial" w:eastAsia="Arial" w:hAnsi="Arial"/>
          <w:sz w:val="17"/>
          <w:szCs w:val="17"/>
          <w:color w:val="auto"/>
        </w:rPr>
        <w:t xml:space="preserve"> APPROVAL OF THE ADVISORY RESOLUTION ON EXECUTIVE COMPENSATION.</w:t>
      </w:r>
    </w:p>
    <w:p>
      <w:pPr>
        <w:spacing w:after="0" w:line="93"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24</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20"/>
          </w:cols>
          <w:pgMar w:left="320" w:top="459" w:right="459" w:bottom="1440" w:gutter="0" w:footer="0" w:header="0"/>
        </w:sectPr>
      </w:pPr>
    </w:p>
    <w:bookmarkStart w:id="37" w:name="page38"/>
    <w:bookmarkEnd w:id="3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5140"/>
        <w:spacing w:after="0"/>
        <w:rPr>
          <w:sz w:val="20"/>
          <w:szCs w:val="20"/>
          <w:color w:val="auto"/>
        </w:rPr>
      </w:pPr>
      <w:r>
        <w:rPr>
          <w:rFonts w:ascii="Arial" w:cs="Arial" w:eastAsia="Arial" w:hAnsi="Arial"/>
          <w:sz w:val="13"/>
          <w:szCs w:val="13"/>
          <w:color w:val="407CCA"/>
        </w:rPr>
        <w:t>PROPOSAL 4: RATIFICATION OF APPOINTMENT OF INDEPENDENT PUBLIC ACCOUNTANT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28575</wp:posOffset>
            </wp:positionV>
            <wp:extent cx="6995160" cy="889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extLst>
                    </a:blip>
                    <a:srcRect/>
                    <a:stretch>
                      <a:fillRect/>
                    </a:stretch>
                  </pic:blipFill>
                  <pic:spPr bwMode="auto">
                    <a:xfrm>
                      <a:off x="0" y="0"/>
                      <a:ext cx="6995160" cy="8890"/>
                    </a:xfrm>
                    <a:prstGeom prst="rect">
                      <a:avLst/>
                    </a:prstGeom>
                    <a:noFill/>
                  </pic:spPr>
                </pic:pic>
              </a:graphicData>
            </a:graphic>
          </wp:anchor>
        </w:drawing>
      </w:r>
    </w:p>
    <w:p>
      <w:pPr>
        <w:spacing w:after="0" w:line="186" w:lineRule="exact"/>
        <w:rPr>
          <w:sz w:val="20"/>
          <w:szCs w:val="20"/>
          <w:color w:val="auto"/>
        </w:rPr>
      </w:pPr>
    </w:p>
    <w:p>
      <w:pPr>
        <w:jc w:val="center"/>
        <w:ind w:right="-99"/>
        <w:spacing w:after="0"/>
        <w:rPr>
          <w:sz w:val="20"/>
          <w:szCs w:val="20"/>
          <w:color w:val="auto"/>
        </w:rPr>
      </w:pPr>
      <w:r>
        <w:rPr>
          <w:rFonts w:ascii="Arial" w:cs="Arial" w:eastAsia="Arial" w:hAnsi="Arial"/>
          <w:sz w:val="22"/>
          <w:szCs w:val="22"/>
          <w:b w:val="1"/>
          <w:bCs w:val="1"/>
          <w:color w:val="407CCA"/>
        </w:rPr>
        <w:t>PROPOSAL 4:</w:t>
      </w:r>
    </w:p>
    <w:p>
      <w:pPr>
        <w:spacing w:after="0" w:line="14" w:lineRule="exact"/>
        <w:rPr>
          <w:sz w:val="20"/>
          <w:szCs w:val="20"/>
          <w:color w:val="auto"/>
        </w:rPr>
      </w:pPr>
    </w:p>
    <w:p>
      <w:pPr>
        <w:jc w:val="center"/>
        <w:ind w:right="-99"/>
        <w:spacing w:after="0"/>
        <w:rPr>
          <w:sz w:val="20"/>
          <w:szCs w:val="20"/>
          <w:color w:val="auto"/>
        </w:rPr>
      </w:pPr>
      <w:r>
        <w:rPr>
          <w:rFonts w:ascii="Arial" w:cs="Arial" w:eastAsia="Arial" w:hAnsi="Arial"/>
          <w:sz w:val="22"/>
          <w:szCs w:val="22"/>
          <w:b w:val="1"/>
          <w:bCs w:val="1"/>
          <w:color w:val="407CCA"/>
        </w:rPr>
        <w:t>RATIFICATION OF APPOINTMENT OF INDEPENDENT PUBLIC ACCOUNTANT</w:t>
      </w:r>
    </w:p>
    <w:p>
      <w:pPr>
        <w:spacing w:after="0" w:line="195" w:lineRule="exact"/>
        <w:rPr>
          <w:sz w:val="20"/>
          <w:szCs w:val="20"/>
          <w:color w:val="auto"/>
        </w:rPr>
      </w:pPr>
    </w:p>
    <w:p>
      <w:pPr>
        <w:ind w:left="120" w:right="380" w:firstLine="881"/>
        <w:spacing w:after="0" w:line="279" w:lineRule="auto"/>
        <w:rPr>
          <w:sz w:val="20"/>
          <w:szCs w:val="20"/>
          <w:color w:val="auto"/>
        </w:rPr>
      </w:pPr>
      <w:r>
        <w:rPr>
          <w:rFonts w:ascii="Arial" w:cs="Arial" w:eastAsia="Arial" w:hAnsi="Arial"/>
          <w:sz w:val="17"/>
          <w:szCs w:val="17"/>
          <w:color w:val="auto"/>
        </w:rPr>
        <w:t>Ernst &amp; Young LLP (“EY”) has served as our independent public accountant since our IPO. The Audit Committee evaluates EY’s performance on an annual basis and makes a determination as to whether the Company should re-engage EY or consider the engagement of another audit firm. At a meeting on February 20, 2020, the Audit Committee approved the appointment of EY to audit our financial statements for 2020. In making this determination, the Audit Committee carefully considered a number of factors including:</w:t>
      </w:r>
    </w:p>
    <w:p>
      <w:pPr>
        <w:spacing w:after="0" w:line="198" w:lineRule="exact"/>
        <w:rPr>
          <w:sz w:val="20"/>
          <w:szCs w:val="20"/>
          <w:color w:val="auto"/>
        </w:rPr>
      </w:pPr>
    </w:p>
    <w:p>
      <w:pPr>
        <w:ind w:left="980" w:hanging="432"/>
        <w:spacing w:after="0"/>
        <w:tabs>
          <w:tab w:leader="none" w:pos="9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EY’s independence, objectivity, and professional skepticism;</w:t>
      </w:r>
    </w:p>
    <w:p>
      <w:pPr>
        <w:spacing w:after="0" w:line="23" w:lineRule="exact"/>
        <w:rPr>
          <w:rFonts w:ascii="Arial" w:cs="Arial" w:eastAsia="Arial" w:hAnsi="Arial"/>
          <w:sz w:val="18"/>
          <w:szCs w:val="18"/>
          <w:color w:val="auto"/>
        </w:rPr>
      </w:pPr>
    </w:p>
    <w:p>
      <w:pPr>
        <w:ind w:left="980" w:right="540" w:hanging="432"/>
        <w:spacing w:after="0" w:line="250" w:lineRule="auto"/>
        <w:tabs>
          <w:tab w:leader="none" w:pos="9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EY’s significant knowledge of the Company’s operations, personnel, accounting policies and practices, internal control over financial reporting, and the impact of such knowledge on audit quality;</w:t>
      </w:r>
    </w:p>
    <w:p>
      <w:pPr>
        <w:ind w:left="980" w:hanging="432"/>
        <w:spacing w:after="0"/>
        <w:tabs>
          <w:tab w:leader="none" w:pos="9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EY’s significant industry and sector specific experience, including the number of other mortgage REITs audited by EY;</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the quality and efficiency of services provided by EY based on feedback from Audit Committee members and management;</w:t>
      </w:r>
    </w:p>
    <w:p>
      <w:pPr>
        <w:spacing w:after="0" w:line="9" w:lineRule="exact"/>
        <w:rPr>
          <w:rFonts w:ascii="Arial" w:cs="Arial" w:eastAsia="Arial" w:hAnsi="Arial"/>
          <w:sz w:val="18"/>
          <w:szCs w:val="18"/>
          <w:color w:val="auto"/>
        </w:rPr>
      </w:pPr>
    </w:p>
    <w:p>
      <w:pPr>
        <w:ind w:left="980" w:right="240" w:hanging="432"/>
        <w:spacing w:after="0" w:line="250" w:lineRule="auto"/>
        <w:tabs>
          <w:tab w:leader="none" w:pos="9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EY’s resources, capabilities, technical expertise, including sharing industry insights, trends, and latest practices with the Audit Committee and management;</w:t>
      </w:r>
    </w:p>
    <w:p>
      <w:pPr>
        <w:ind w:left="980" w:hanging="432"/>
        <w:spacing w:after="0"/>
        <w:tabs>
          <w:tab w:leader="none" w:pos="9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the quality and candor of EY’s communications;</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recent Public Company Accounting Oversight Board (PCAOB) reports on the firm;</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the appropriateness of fees charged for audit and non-audit services;</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17"/>
        </w:numPr>
        <w:rPr>
          <w:rFonts w:ascii="Arial" w:cs="Arial" w:eastAsia="Arial" w:hAnsi="Arial"/>
          <w:sz w:val="17"/>
          <w:szCs w:val="17"/>
          <w:color w:val="auto"/>
        </w:rPr>
      </w:pPr>
      <w:r>
        <w:rPr>
          <w:rFonts w:ascii="Arial" w:cs="Arial" w:eastAsia="Arial" w:hAnsi="Arial"/>
          <w:sz w:val="17"/>
          <w:szCs w:val="17"/>
          <w:color w:val="auto"/>
        </w:rPr>
        <w:t>EY’s compliance with, and practices regarding, the SEC’s rules requiring lead engagement partner rotation every five years; and</w:t>
      </w:r>
    </w:p>
    <w:p>
      <w:pPr>
        <w:spacing w:after="0" w:line="20" w:lineRule="exact"/>
        <w:rPr>
          <w:rFonts w:ascii="Arial" w:cs="Arial" w:eastAsia="Arial" w:hAnsi="Arial"/>
          <w:sz w:val="17"/>
          <w:szCs w:val="17"/>
          <w:color w:val="auto"/>
        </w:rPr>
      </w:pPr>
    </w:p>
    <w:p>
      <w:pPr>
        <w:ind w:left="980" w:hanging="432"/>
        <w:spacing w:after="0"/>
        <w:tabs>
          <w:tab w:leader="none" w:pos="980" w:val="left"/>
        </w:tabs>
        <w:numPr>
          <w:ilvl w:val="0"/>
          <w:numId w:val="17"/>
        </w:numPr>
        <w:rPr>
          <w:rFonts w:ascii="Arial" w:cs="Arial" w:eastAsia="Arial" w:hAnsi="Arial"/>
          <w:sz w:val="16"/>
          <w:szCs w:val="16"/>
          <w:color w:val="auto"/>
        </w:rPr>
      </w:pPr>
      <w:r>
        <w:rPr>
          <w:rFonts w:ascii="Arial" w:cs="Arial" w:eastAsia="Arial" w:hAnsi="Arial"/>
          <w:sz w:val="16"/>
          <w:szCs w:val="16"/>
          <w:color w:val="auto"/>
        </w:rPr>
        <w:t>the length of time EY has served as our independent public accountant, the benefits of longer tenure, and the impact of changing auditors.</w:t>
      </w:r>
    </w:p>
    <w:p>
      <w:pPr>
        <w:spacing w:after="0" w:line="234" w:lineRule="exact"/>
        <w:rPr>
          <w:sz w:val="20"/>
          <w:szCs w:val="20"/>
          <w:color w:val="auto"/>
        </w:rPr>
      </w:pPr>
    </w:p>
    <w:p>
      <w:pPr>
        <w:ind w:left="120" w:right="100" w:firstLine="881"/>
        <w:spacing w:after="0" w:line="259" w:lineRule="auto"/>
        <w:rPr>
          <w:sz w:val="20"/>
          <w:szCs w:val="20"/>
          <w:color w:val="auto"/>
        </w:rPr>
      </w:pPr>
      <w:r>
        <w:rPr>
          <w:rFonts w:ascii="Arial" w:cs="Arial" w:eastAsia="Arial" w:hAnsi="Arial"/>
          <w:sz w:val="18"/>
          <w:szCs w:val="18"/>
          <w:color w:val="auto"/>
        </w:rPr>
        <w:t>Based on this evaluation, the Audit Committee determined that it was in the best interests of the Company and our stockholders to continue to engage EY as our independent public accountant. This appointment is subject to ratification or rejection by our common stockholders. A representative of Ernst &amp; Young LLP is expected to be present at the Annual Meeting. The representative will have an opportunity to make a statement if he or she so desires and is expected to be available to respond to appropriate questions.</w:t>
      </w:r>
    </w:p>
    <w:p>
      <w:pPr>
        <w:spacing w:after="0" w:line="75"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Independent Public Accountant’s Fees</w:t>
      </w:r>
    </w:p>
    <w:p>
      <w:pPr>
        <w:spacing w:after="0" w:line="121" w:lineRule="exact"/>
        <w:rPr>
          <w:sz w:val="20"/>
          <w:szCs w:val="20"/>
          <w:color w:val="auto"/>
        </w:rPr>
      </w:pPr>
    </w:p>
    <w:p>
      <w:pPr>
        <w:ind w:left="1000"/>
        <w:spacing w:after="0"/>
        <w:rPr>
          <w:sz w:val="20"/>
          <w:szCs w:val="20"/>
          <w:color w:val="auto"/>
        </w:rPr>
      </w:pPr>
      <w:r>
        <w:rPr>
          <w:rFonts w:ascii="Arial" w:cs="Arial" w:eastAsia="Arial" w:hAnsi="Arial"/>
          <w:sz w:val="16"/>
          <w:szCs w:val="16"/>
          <w:color w:val="auto"/>
        </w:rPr>
        <w:t>EY performed various audit and other services for us during 2019 and 2018. Fees for professional services provided by EY in 2019 and</w:t>
      </w:r>
    </w:p>
    <w:p>
      <w:pPr>
        <w:spacing w:after="0" w:line="46" w:lineRule="exact"/>
        <w:rPr>
          <w:sz w:val="20"/>
          <w:szCs w:val="20"/>
          <w:color w:val="auto"/>
        </w:rPr>
      </w:pPr>
    </w:p>
    <w:p>
      <w:pPr>
        <w:ind w:left="120"/>
        <w:spacing w:after="0"/>
        <w:rPr>
          <w:sz w:val="20"/>
          <w:szCs w:val="20"/>
          <w:color w:val="auto"/>
        </w:rPr>
      </w:pPr>
      <w:r>
        <w:rPr>
          <w:rFonts w:ascii="Arial" w:cs="Arial" w:eastAsia="Arial" w:hAnsi="Arial"/>
          <w:sz w:val="18"/>
          <w:szCs w:val="18"/>
          <w:color w:val="auto"/>
        </w:rPr>
        <w:t>2018 in each of the following categories were:</w:t>
      </w:r>
    </w:p>
    <w:p>
      <w:pPr>
        <w:spacing w:after="0" w:line="232" w:lineRule="exact"/>
        <w:rPr>
          <w:sz w:val="20"/>
          <w:szCs w:val="20"/>
          <w:color w:val="auto"/>
        </w:rPr>
      </w:pPr>
    </w:p>
    <w:tbl>
      <w:tblPr>
        <w:tblLayout w:type="fixed"/>
        <w:tblInd w:w="120" w:type="dxa"/>
        <w:tblCellMar>
          <w:top w:w="0" w:type="dxa"/>
          <w:left w:w="0" w:type="dxa"/>
          <w:bottom w:w="0" w:type="dxa"/>
          <w:right w:w="0" w:type="dxa"/>
        </w:tblCellMar>
      </w:tblPr>
      <w:tr>
        <w:trPr>
          <w:trHeight w:val="149"/>
        </w:trPr>
        <w:tc>
          <w:tcPr>
            <w:tcW w:w="5120" w:type="dxa"/>
            <w:vAlign w:val="bottom"/>
            <w:tcBorders>
              <w:top w:val="single" w:sz="8" w:color="407CCA"/>
              <w:bottom w:val="single" w:sz="8" w:color="407CCA"/>
            </w:tcBorders>
          </w:tcPr>
          <w:p>
            <w:pPr>
              <w:spacing w:after="0"/>
              <w:rPr>
                <w:sz w:val="12"/>
                <w:szCs w:val="12"/>
                <w:color w:val="auto"/>
              </w:rPr>
            </w:pPr>
          </w:p>
        </w:tc>
        <w:tc>
          <w:tcPr>
            <w:tcW w:w="4640" w:type="dxa"/>
            <w:vAlign w:val="bottom"/>
            <w:tcBorders>
              <w:top w:val="single" w:sz="8" w:color="407CCA"/>
              <w:bottom w:val="single" w:sz="8" w:color="407CCA"/>
            </w:tcBorders>
          </w:tcPr>
          <w:p>
            <w:pPr>
              <w:jc w:val="right"/>
              <w:ind w:right="335"/>
              <w:spacing w:after="0"/>
              <w:rPr>
                <w:sz w:val="20"/>
                <w:szCs w:val="20"/>
                <w:color w:val="auto"/>
              </w:rPr>
            </w:pPr>
            <w:r>
              <w:rPr>
                <w:rFonts w:ascii="Arial" w:cs="Arial" w:eastAsia="Arial" w:hAnsi="Arial"/>
                <w:sz w:val="13"/>
                <w:szCs w:val="13"/>
                <w:b w:val="1"/>
                <w:bCs w:val="1"/>
                <w:color w:val="auto"/>
              </w:rPr>
              <w:t>2019</w:t>
            </w:r>
          </w:p>
        </w:tc>
        <w:tc>
          <w:tcPr>
            <w:tcW w:w="1260" w:type="dxa"/>
            <w:vAlign w:val="bottom"/>
            <w:tcBorders>
              <w:top w:val="single" w:sz="8" w:color="407CCA"/>
              <w:bottom w:val="single" w:sz="8" w:color="407CCA"/>
            </w:tcBorders>
          </w:tcPr>
          <w:p>
            <w:pPr>
              <w:jc w:val="right"/>
              <w:ind w:right="375"/>
              <w:spacing w:after="0"/>
              <w:rPr>
                <w:sz w:val="20"/>
                <w:szCs w:val="20"/>
                <w:color w:val="auto"/>
              </w:rPr>
            </w:pPr>
            <w:r>
              <w:rPr>
                <w:rFonts w:ascii="Arial" w:cs="Arial" w:eastAsia="Arial" w:hAnsi="Arial"/>
                <w:sz w:val="13"/>
                <w:szCs w:val="13"/>
                <w:b w:val="1"/>
                <w:bCs w:val="1"/>
                <w:color w:val="auto"/>
              </w:rPr>
              <w:t>2018</w:t>
            </w:r>
          </w:p>
        </w:tc>
      </w:tr>
      <w:tr>
        <w:trPr>
          <w:trHeight w:val="257"/>
        </w:trPr>
        <w:tc>
          <w:tcPr>
            <w:tcW w:w="5120" w:type="dxa"/>
            <w:vAlign w:val="bottom"/>
            <w:tcBorders>
              <w:bottom w:val="single" w:sz="8" w:color="CCEEFF"/>
            </w:tcBorders>
            <w:shd w:val="clear" w:color="auto" w:fill="CCEEFF"/>
          </w:tcPr>
          <w:p>
            <w:pPr>
              <w:ind w:left="80"/>
              <w:spacing w:after="0"/>
              <w:rPr>
                <w:sz w:val="20"/>
                <w:szCs w:val="20"/>
                <w:color w:val="auto"/>
              </w:rPr>
            </w:pPr>
            <w:r>
              <w:rPr>
                <w:rFonts w:ascii="Arial" w:cs="Arial" w:eastAsia="Arial" w:hAnsi="Arial"/>
                <w:sz w:val="18"/>
                <w:szCs w:val="18"/>
                <w:color w:val="auto"/>
              </w:rPr>
              <w:t>Audit Fees</w:t>
            </w:r>
          </w:p>
        </w:tc>
        <w:tc>
          <w:tcPr>
            <w:tcW w:w="4640" w:type="dxa"/>
            <w:vAlign w:val="bottom"/>
            <w:tcBorders>
              <w:bottom w:val="single" w:sz="8" w:color="CCEEFF"/>
            </w:tcBorders>
            <w:shd w:val="clear" w:color="auto" w:fill="CCEEFF"/>
          </w:tcPr>
          <w:p>
            <w:pPr>
              <w:jc w:val="right"/>
              <w:ind w:right="115"/>
              <w:spacing w:after="0"/>
              <w:rPr>
                <w:sz w:val="20"/>
                <w:szCs w:val="20"/>
                <w:color w:val="auto"/>
              </w:rPr>
            </w:pPr>
            <w:r>
              <w:rPr>
                <w:rFonts w:ascii="Arial" w:cs="Arial" w:eastAsia="Arial" w:hAnsi="Arial"/>
                <w:sz w:val="18"/>
                <w:szCs w:val="18"/>
                <w:color w:val="auto"/>
              </w:rPr>
              <w:t>$1,757,000</w:t>
            </w:r>
          </w:p>
        </w:tc>
        <w:tc>
          <w:tcPr>
            <w:tcW w:w="1260" w:type="dxa"/>
            <w:vAlign w:val="bottom"/>
            <w:tcBorders>
              <w:bottom w:val="single" w:sz="8" w:color="CCEEFF"/>
            </w:tcBorders>
            <w:shd w:val="clear" w:color="auto" w:fill="CCEEFF"/>
          </w:tcPr>
          <w:p>
            <w:pPr>
              <w:jc w:val="right"/>
              <w:ind w:right="155"/>
              <w:spacing w:after="0"/>
              <w:rPr>
                <w:sz w:val="20"/>
                <w:szCs w:val="20"/>
                <w:color w:val="auto"/>
              </w:rPr>
            </w:pPr>
            <w:r>
              <w:rPr>
                <w:rFonts w:ascii="Arial" w:cs="Arial" w:eastAsia="Arial" w:hAnsi="Arial"/>
                <w:sz w:val="18"/>
                <w:szCs w:val="18"/>
                <w:color w:val="auto"/>
              </w:rPr>
              <w:t>$1,656,500</w:t>
            </w:r>
          </w:p>
        </w:tc>
      </w:tr>
      <w:tr>
        <w:trPr>
          <w:trHeight w:val="257"/>
        </w:trPr>
        <w:tc>
          <w:tcPr>
            <w:tcW w:w="5120" w:type="dxa"/>
            <w:vAlign w:val="bottom"/>
          </w:tcPr>
          <w:p>
            <w:pPr>
              <w:ind w:left="80"/>
              <w:spacing w:after="0"/>
              <w:rPr>
                <w:sz w:val="20"/>
                <w:szCs w:val="20"/>
                <w:color w:val="auto"/>
              </w:rPr>
            </w:pPr>
            <w:r>
              <w:rPr>
                <w:rFonts w:ascii="Arial" w:cs="Arial" w:eastAsia="Arial" w:hAnsi="Arial"/>
                <w:sz w:val="18"/>
                <w:szCs w:val="18"/>
                <w:color w:val="auto"/>
              </w:rPr>
              <w:t>Audit-Related Fees</w:t>
            </w:r>
          </w:p>
        </w:tc>
        <w:tc>
          <w:tcPr>
            <w:tcW w:w="4640" w:type="dxa"/>
            <w:vAlign w:val="bottom"/>
          </w:tcPr>
          <w:p>
            <w:pPr>
              <w:jc w:val="right"/>
              <w:ind w:right="475"/>
              <w:spacing w:after="0"/>
              <w:rPr>
                <w:sz w:val="20"/>
                <w:szCs w:val="20"/>
                <w:color w:val="auto"/>
              </w:rPr>
            </w:pPr>
            <w:r>
              <w:rPr>
                <w:rFonts w:ascii="Arial" w:cs="Arial" w:eastAsia="Arial" w:hAnsi="Arial"/>
                <w:sz w:val="18"/>
                <w:szCs w:val="18"/>
                <w:color w:val="auto"/>
              </w:rPr>
              <w:t>–</w:t>
            </w:r>
          </w:p>
        </w:tc>
        <w:tc>
          <w:tcPr>
            <w:tcW w:w="1260" w:type="dxa"/>
            <w:vAlign w:val="bottom"/>
          </w:tcPr>
          <w:p>
            <w:pPr>
              <w:jc w:val="right"/>
              <w:ind w:right="515"/>
              <w:spacing w:after="0"/>
              <w:rPr>
                <w:sz w:val="20"/>
                <w:szCs w:val="20"/>
                <w:color w:val="auto"/>
              </w:rPr>
            </w:pPr>
            <w:r>
              <w:rPr>
                <w:rFonts w:ascii="Arial" w:cs="Arial" w:eastAsia="Arial" w:hAnsi="Arial"/>
                <w:sz w:val="18"/>
                <w:szCs w:val="18"/>
                <w:color w:val="auto"/>
              </w:rPr>
              <w:t>–</w:t>
            </w:r>
          </w:p>
        </w:tc>
      </w:tr>
      <w:tr>
        <w:trPr>
          <w:trHeight w:val="27"/>
        </w:trPr>
        <w:tc>
          <w:tcPr>
            <w:tcW w:w="5120" w:type="dxa"/>
            <w:vAlign w:val="bottom"/>
          </w:tcPr>
          <w:p>
            <w:pPr>
              <w:spacing w:after="0"/>
              <w:rPr>
                <w:sz w:val="2"/>
                <w:szCs w:val="2"/>
                <w:color w:val="auto"/>
              </w:rPr>
            </w:pPr>
          </w:p>
        </w:tc>
        <w:tc>
          <w:tcPr>
            <w:tcW w:w="4640" w:type="dxa"/>
            <w:vAlign w:val="bottom"/>
          </w:tcPr>
          <w:p>
            <w:pPr>
              <w:spacing w:after="0"/>
              <w:rPr>
                <w:sz w:val="2"/>
                <w:szCs w:val="2"/>
                <w:color w:val="auto"/>
              </w:rPr>
            </w:pPr>
          </w:p>
        </w:tc>
        <w:tc>
          <w:tcPr>
            <w:tcW w:w="1260" w:type="dxa"/>
            <w:vAlign w:val="bottom"/>
          </w:tcPr>
          <w:p>
            <w:pPr>
              <w:spacing w:after="0"/>
              <w:rPr>
                <w:sz w:val="2"/>
                <w:szCs w:val="2"/>
                <w:color w:val="auto"/>
              </w:rPr>
            </w:pPr>
          </w:p>
        </w:tc>
      </w:tr>
      <w:tr>
        <w:trPr>
          <w:trHeight w:val="263"/>
        </w:trPr>
        <w:tc>
          <w:tcPr>
            <w:tcW w:w="5120" w:type="dxa"/>
            <w:vAlign w:val="bottom"/>
            <w:tcBorders>
              <w:bottom w:val="single" w:sz="8" w:color="CCEEFF"/>
            </w:tcBorders>
            <w:shd w:val="clear" w:color="auto" w:fill="CCEEFF"/>
          </w:tcPr>
          <w:p>
            <w:pPr>
              <w:ind w:left="80"/>
              <w:spacing w:after="0"/>
              <w:rPr>
                <w:sz w:val="20"/>
                <w:szCs w:val="20"/>
                <w:color w:val="auto"/>
              </w:rPr>
            </w:pPr>
            <w:r>
              <w:rPr>
                <w:rFonts w:ascii="Arial" w:cs="Arial" w:eastAsia="Arial" w:hAnsi="Arial"/>
                <w:sz w:val="18"/>
                <w:szCs w:val="18"/>
                <w:color w:val="auto"/>
              </w:rPr>
              <w:t>Tax Fees</w:t>
            </w:r>
          </w:p>
        </w:tc>
        <w:tc>
          <w:tcPr>
            <w:tcW w:w="4640" w:type="dxa"/>
            <w:vAlign w:val="bottom"/>
            <w:tcBorders>
              <w:bottom w:val="single" w:sz="8" w:color="CCEEFF"/>
            </w:tcBorders>
            <w:shd w:val="clear" w:color="auto" w:fill="CCEEFF"/>
          </w:tcPr>
          <w:p>
            <w:pPr>
              <w:jc w:val="right"/>
              <w:ind w:right="115"/>
              <w:spacing w:after="0"/>
              <w:rPr>
                <w:sz w:val="20"/>
                <w:szCs w:val="20"/>
                <w:color w:val="auto"/>
              </w:rPr>
            </w:pPr>
            <w:r>
              <w:rPr>
                <w:rFonts w:ascii="Arial" w:cs="Arial" w:eastAsia="Arial" w:hAnsi="Arial"/>
                <w:sz w:val="18"/>
                <w:szCs w:val="18"/>
                <w:color w:val="auto"/>
              </w:rPr>
              <w:t>111,693</w:t>
            </w:r>
          </w:p>
        </w:tc>
        <w:tc>
          <w:tcPr>
            <w:tcW w:w="1260" w:type="dxa"/>
            <w:vAlign w:val="bottom"/>
            <w:tcBorders>
              <w:bottom w:val="single" w:sz="8" w:color="CCEEFF"/>
            </w:tcBorders>
            <w:shd w:val="clear" w:color="auto" w:fill="CCEEFF"/>
          </w:tcPr>
          <w:p>
            <w:pPr>
              <w:jc w:val="right"/>
              <w:ind w:right="155"/>
              <w:spacing w:after="0"/>
              <w:rPr>
                <w:sz w:val="20"/>
                <w:szCs w:val="20"/>
                <w:color w:val="auto"/>
              </w:rPr>
            </w:pPr>
            <w:r>
              <w:rPr>
                <w:rFonts w:ascii="Arial" w:cs="Arial" w:eastAsia="Arial" w:hAnsi="Arial"/>
                <w:sz w:val="18"/>
                <w:szCs w:val="18"/>
                <w:color w:val="auto"/>
              </w:rPr>
              <w:t>58,440</w:t>
            </w:r>
          </w:p>
        </w:tc>
      </w:tr>
      <w:tr>
        <w:trPr>
          <w:trHeight w:val="257"/>
        </w:trPr>
        <w:tc>
          <w:tcPr>
            <w:tcW w:w="5120" w:type="dxa"/>
            <w:vAlign w:val="bottom"/>
          </w:tcPr>
          <w:p>
            <w:pPr>
              <w:ind w:left="80"/>
              <w:spacing w:after="0"/>
              <w:rPr>
                <w:sz w:val="20"/>
                <w:szCs w:val="20"/>
                <w:color w:val="auto"/>
              </w:rPr>
            </w:pPr>
            <w:r>
              <w:rPr>
                <w:rFonts w:ascii="Arial" w:cs="Arial" w:eastAsia="Arial" w:hAnsi="Arial"/>
                <w:sz w:val="18"/>
                <w:szCs w:val="18"/>
                <w:color w:val="auto"/>
              </w:rPr>
              <w:t>All Other Fees</w:t>
            </w:r>
          </w:p>
        </w:tc>
        <w:tc>
          <w:tcPr>
            <w:tcW w:w="4640" w:type="dxa"/>
            <w:vAlign w:val="bottom"/>
          </w:tcPr>
          <w:p>
            <w:pPr>
              <w:jc w:val="right"/>
              <w:ind w:right="475"/>
              <w:spacing w:after="0"/>
              <w:rPr>
                <w:sz w:val="20"/>
                <w:szCs w:val="20"/>
                <w:color w:val="auto"/>
              </w:rPr>
            </w:pPr>
            <w:r>
              <w:rPr>
                <w:rFonts w:ascii="Arial" w:cs="Arial" w:eastAsia="Arial" w:hAnsi="Arial"/>
                <w:sz w:val="18"/>
                <w:szCs w:val="18"/>
                <w:color w:val="auto"/>
              </w:rPr>
              <w:t>–</w:t>
            </w:r>
          </w:p>
        </w:tc>
        <w:tc>
          <w:tcPr>
            <w:tcW w:w="1260" w:type="dxa"/>
            <w:vAlign w:val="bottom"/>
          </w:tcPr>
          <w:p>
            <w:pPr>
              <w:jc w:val="right"/>
              <w:ind w:right="515"/>
              <w:spacing w:after="0"/>
              <w:rPr>
                <w:sz w:val="20"/>
                <w:szCs w:val="20"/>
                <w:color w:val="auto"/>
              </w:rPr>
            </w:pPr>
            <w:r>
              <w:rPr>
                <w:rFonts w:ascii="Arial" w:cs="Arial" w:eastAsia="Arial" w:hAnsi="Arial"/>
                <w:sz w:val="18"/>
                <w:szCs w:val="18"/>
                <w:color w:val="auto"/>
              </w:rPr>
              <w:t>–</w:t>
            </w:r>
          </w:p>
        </w:tc>
      </w:tr>
      <w:tr>
        <w:trPr>
          <w:trHeight w:val="27"/>
        </w:trPr>
        <w:tc>
          <w:tcPr>
            <w:tcW w:w="5120" w:type="dxa"/>
            <w:vAlign w:val="bottom"/>
            <w:tcBorders>
              <w:bottom w:val="single" w:sz="8" w:color="407CCA"/>
            </w:tcBorders>
          </w:tcPr>
          <w:p>
            <w:pPr>
              <w:spacing w:after="0"/>
              <w:rPr>
                <w:sz w:val="2"/>
                <w:szCs w:val="2"/>
                <w:color w:val="auto"/>
              </w:rPr>
            </w:pPr>
          </w:p>
        </w:tc>
        <w:tc>
          <w:tcPr>
            <w:tcW w:w="4640" w:type="dxa"/>
            <w:vAlign w:val="bottom"/>
            <w:tcBorders>
              <w:bottom w:val="single" w:sz="8" w:color="407CCA"/>
            </w:tcBorders>
          </w:tcPr>
          <w:p>
            <w:pPr>
              <w:spacing w:after="0"/>
              <w:rPr>
                <w:sz w:val="2"/>
                <w:szCs w:val="2"/>
                <w:color w:val="auto"/>
              </w:rPr>
            </w:pPr>
          </w:p>
        </w:tc>
        <w:tc>
          <w:tcPr>
            <w:tcW w:w="1260" w:type="dxa"/>
            <w:vAlign w:val="bottom"/>
            <w:tcBorders>
              <w:bottom w:val="single" w:sz="8" w:color="407CCA"/>
            </w:tcBorders>
          </w:tcPr>
          <w:p>
            <w:pPr>
              <w:spacing w:after="0"/>
              <w:rPr>
                <w:sz w:val="2"/>
                <w:szCs w:val="2"/>
                <w:color w:val="auto"/>
              </w:rPr>
            </w:pPr>
          </w:p>
        </w:tc>
      </w:tr>
      <w:tr>
        <w:trPr>
          <w:trHeight w:val="257"/>
        </w:trPr>
        <w:tc>
          <w:tcPr>
            <w:tcW w:w="5120" w:type="dxa"/>
            <w:vAlign w:val="bottom"/>
            <w:tcBorders>
              <w:bottom w:val="single" w:sz="8" w:color="CCEEFF"/>
            </w:tcBorders>
            <w:shd w:val="clear" w:color="auto" w:fill="CCEEFF"/>
          </w:tcPr>
          <w:p>
            <w:pPr>
              <w:ind w:left="80"/>
              <w:spacing w:after="0"/>
              <w:rPr>
                <w:sz w:val="20"/>
                <w:szCs w:val="20"/>
                <w:color w:val="auto"/>
              </w:rPr>
            </w:pPr>
            <w:r>
              <w:rPr>
                <w:rFonts w:ascii="Arial" w:cs="Arial" w:eastAsia="Arial" w:hAnsi="Arial"/>
                <w:sz w:val="18"/>
                <w:szCs w:val="18"/>
                <w:color w:val="auto"/>
              </w:rPr>
              <w:t>Total Fees</w:t>
            </w:r>
          </w:p>
        </w:tc>
        <w:tc>
          <w:tcPr>
            <w:tcW w:w="4640" w:type="dxa"/>
            <w:vAlign w:val="bottom"/>
            <w:tcBorders>
              <w:bottom w:val="single" w:sz="8" w:color="CCEEFF"/>
            </w:tcBorders>
            <w:shd w:val="clear" w:color="auto" w:fill="CCEEFF"/>
          </w:tcPr>
          <w:p>
            <w:pPr>
              <w:jc w:val="right"/>
              <w:ind w:right="115"/>
              <w:spacing w:after="0"/>
              <w:rPr>
                <w:sz w:val="20"/>
                <w:szCs w:val="20"/>
                <w:color w:val="auto"/>
              </w:rPr>
            </w:pPr>
            <w:r>
              <w:rPr>
                <w:rFonts w:ascii="Arial" w:cs="Arial" w:eastAsia="Arial" w:hAnsi="Arial"/>
                <w:sz w:val="18"/>
                <w:szCs w:val="18"/>
                <w:color w:val="auto"/>
              </w:rPr>
              <w:t>$1,868,693</w:t>
            </w:r>
          </w:p>
        </w:tc>
        <w:tc>
          <w:tcPr>
            <w:tcW w:w="1260" w:type="dxa"/>
            <w:vAlign w:val="bottom"/>
            <w:tcBorders>
              <w:bottom w:val="single" w:sz="8" w:color="CCEEFF"/>
            </w:tcBorders>
            <w:shd w:val="clear" w:color="auto" w:fill="CCEEFF"/>
          </w:tcPr>
          <w:p>
            <w:pPr>
              <w:jc w:val="right"/>
              <w:ind w:right="155"/>
              <w:spacing w:after="0"/>
              <w:rPr>
                <w:sz w:val="20"/>
                <w:szCs w:val="20"/>
                <w:color w:val="auto"/>
              </w:rPr>
            </w:pPr>
            <w:r>
              <w:rPr>
                <w:rFonts w:ascii="Arial" w:cs="Arial" w:eastAsia="Arial" w:hAnsi="Arial"/>
                <w:sz w:val="18"/>
                <w:szCs w:val="18"/>
                <w:color w:val="auto"/>
              </w:rPr>
              <w:t>$1,714,940</w:t>
            </w:r>
          </w:p>
        </w:tc>
      </w:tr>
      <w:tr>
        <w:trPr>
          <w:trHeight w:val="20"/>
        </w:trPr>
        <w:tc>
          <w:tcPr>
            <w:tcW w:w="5120" w:type="dxa"/>
            <w:vAlign w:val="bottom"/>
            <w:shd w:val="clear" w:color="auto" w:fill="407CCA"/>
          </w:tcPr>
          <w:p>
            <w:pPr>
              <w:spacing w:after="0" w:line="20" w:lineRule="exact"/>
              <w:rPr>
                <w:sz w:val="1"/>
                <w:szCs w:val="1"/>
                <w:color w:val="auto"/>
              </w:rPr>
            </w:pPr>
          </w:p>
        </w:tc>
        <w:tc>
          <w:tcPr>
            <w:tcW w:w="4640" w:type="dxa"/>
            <w:vAlign w:val="bottom"/>
            <w:shd w:val="clear" w:color="auto" w:fill="407CCA"/>
          </w:tcPr>
          <w:p>
            <w:pPr>
              <w:spacing w:after="0" w:line="20" w:lineRule="exact"/>
              <w:rPr>
                <w:sz w:val="1"/>
                <w:szCs w:val="1"/>
                <w:color w:val="auto"/>
              </w:rPr>
            </w:pPr>
          </w:p>
        </w:tc>
        <w:tc>
          <w:tcPr>
            <w:tcW w:w="1260" w:type="dxa"/>
            <w:vAlign w:val="bottom"/>
            <w:shd w:val="clear" w:color="auto" w:fill="407CCA"/>
          </w:tcPr>
          <w:p>
            <w:pPr>
              <w:spacing w:after="0" w:line="20" w:lineRule="exact"/>
              <w:rPr>
                <w:sz w:val="1"/>
                <w:szCs w:val="1"/>
                <w:color w:val="auto"/>
              </w:rPr>
            </w:pPr>
          </w:p>
        </w:tc>
      </w:tr>
    </w:tbl>
    <w:p>
      <w:pPr>
        <w:spacing w:after="0" w:line="310"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Audit Fees</w:t>
      </w:r>
    </w:p>
    <w:p>
      <w:pPr>
        <w:spacing w:after="0" w:line="117" w:lineRule="exact"/>
        <w:rPr>
          <w:sz w:val="20"/>
          <w:szCs w:val="20"/>
          <w:color w:val="auto"/>
        </w:rPr>
      </w:pPr>
    </w:p>
    <w:p>
      <w:pPr>
        <w:ind w:left="120" w:right="120" w:firstLine="881"/>
        <w:spacing w:after="0" w:line="263" w:lineRule="auto"/>
        <w:rPr>
          <w:sz w:val="20"/>
          <w:szCs w:val="20"/>
          <w:color w:val="auto"/>
        </w:rPr>
      </w:pPr>
      <w:r>
        <w:rPr>
          <w:rFonts w:ascii="Arial" w:cs="Arial" w:eastAsia="Arial" w:hAnsi="Arial"/>
          <w:sz w:val="18"/>
          <w:szCs w:val="18"/>
          <w:color w:val="auto"/>
        </w:rPr>
        <w:t>“Audit Fees” relate to fees and expenses billed by EY for the annual audit, including the audit of our financial statements, services required by statute and regulation, audit of internal control over financial reporting, review of our quarterly financial statements, and for comfort letters and consents related to stock issuances.</w:t>
      </w:r>
    </w:p>
    <w:p>
      <w:pPr>
        <w:spacing w:after="0" w:line="112" w:lineRule="exact"/>
        <w:rPr>
          <w:sz w:val="20"/>
          <w:szCs w:val="20"/>
          <w:color w:val="auto"/>
        </w:rPr>
      </w:pPr>
    </w:p>
    <w:p>
      <w:pPr>
        <w:ind w:left="7960"/>
        <w:spacing w:after="0"/>
        <w:tabs>
          <w:tab w:leader="none" w:pos="109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25</w:t>
      </w:r>
    </w:p>
    <w:p>
      <w:pPr>
        <w:sectPr>
          <w:pgSz w:w="11900" w:h="16838" w:orient="portrait"/>
          <w:cols w:equalWidth="0" w:num="1">
            <w:col w:w="11140"/>
          </w:cols>
          <w:pgMar w:left="320" w:top="459" w:right="439" w:bottom="1440" w:gutter="0" w:footer="0" w:header="0"/>
        </w:sectPr>
      </w:pPr>
    </w:p>
    <w:bookmarkStart w:id="38" w:name="page39"/>
    <w:bookmarkEnd w:id="3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PROPOSAL 4: RATIFICATION OF APPOINTMENT OF INDEPENDENT PUBLIC ACCOUNTANT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89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extLst>
                    </a:blip>
                    <a:srcRect/>
                    <a:stretch>
                      <a:fillRect/>
                    </a:stretch>
                  </pic:blipFill>
                  <pic:spPr bwMode="auto">
                    <a:xfrm>
                      <a:off x="0" y="0"/>
                      <a:ext cx="6995160" cy="8890"/>
                    </a:xfrm>
                    <a:prstGeom prst="rect">
                      <a:avLst/>
                    </a:prstGeom>
                    <a:noFill/>
                  </pic:spPr>
                </pic:pic>
              </a:graphicData>
            </a:graphic>
          </wp:anchor>
        </w:drawing>
      </w:r>
    </w:p>
    <w:p>
      <w:pPr>
        <w:spacing w:after="0" w:line="188"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Tax Fees</w:t>
      </w:r>
    </w:p>
    <w:p>
      <w:pPr>
        <w:spacing w:after="0" w:line="117" w:lineRule="exact"/>
        <w:rPr>
          <w:sz w:val="20"/>
          <w:szCs w:val="20"/>
          <w:color w:val="auto"/>
        </w:rPr>
      </w:pPr>
    </w:p>
    <w:p>
      <w:pPr>
        <w:ind w:left="120" w:right="1900" w:firstLine="881"/>
        <w:spacing w:after="0" w:line="375" w:lineRule="auto"/>
        <w:rPr>
          <w:sz w:val="20"/>
          <w:szCs w:val="20"/>
          <w:color w:val="auto"/>
        </w:rPr>
      </w:pPr>
      <w:r>
        <w:rPr>
          <w:rFonts w:ascii="Arial" w:cs="Arial" w:eastAsia="Arial" w:hAnsi="Arial"/>
          <w:sz w:val="18"/>
          <w:szCs w:val="18"/>
          <w:color w:val="auto"/>
        </w:rPr>
        <w:t xml:space="preserve">“Tax Fees” relate to fees billed for professional services for tax compliance and consulting on tax-related matters. </w:t>
      </w:r>
      <w:r>
        <w:rPr>
          <w:rFonts w:ascii="Arial" w:cs="Arial" w:eastAsia="Arial" w:hAnsi="Arial"/>
          <w:sz w:val="18"/>
          <w:szCs w:val="18"/>
          <w:b w:val="1"/>
          <w:bCs w:val="1"/>
          <w:color w:val="auto"/>
        </w:rPr>
        <w:t>Pre-Approval Policy</w:t>
      </w:r>
    </w:p>
    <w:p>
      <w:pPr>
        <w:spacing w:after="0" w:line="1" w:lineRule="exact"/>
        <w:rPr>
          <w:sz w:val="20"/>
          <w:szCs w:val="20"/>
          <w:color w:val="auto"/>
        </w:rPr>
      </w:pPr>
    </w:p>
    <w:p>
      <w:pPr>
        <w:ind w:left="120" w:firstLine="991"/>
        <w:spacing w:after="0" w:line="287" w:lineRule="auto"/>
        <w:rPr>
          <w:sz w:val="20"/>
          <w:szCs w:val="20"/>
          <w:color w:val="auto"/>
        </w:rPr>
      </w:pPr>
      <w:r>
        <w:rPr>
          <w:rFonts w:ascii="Arial" w:cs="Arial" w:eastAsia="Arial" w:hAnsi="Arial"/>
          <w:sz w:val="16"/>
          <w:szCs w:val="16"/>
          <w:color w:val="auto"/>
        </w:rPr>
        <w:t xml:space="preserve">All services rendered by EY were permissible under applicable laws and regulations and were pre-approved by the Audit Committee for 2019 in accordance with its pre-approval policy. The Audit Committee has established a policy regarding the pre-approval of all audit and permissible non-audit services provided by our independent public accountant. The policy requires the Audit Committee to approve each audit or non-audit engagement or accounting project involving the independent public accountant, and the related fees, prior to commencement of the engagement or project to make certain that the provision of such services does not impair the firm’s independence. The committee may delegate its pre-approval authority to one or more of its members, and such member(s) are required to report any pre-approval decisions to the Audit Committee at its next meeting. The Audit Committee has delegated authority to its Chair to pre-approve the engagement and related fees of the independent public accountant for any additional audit or permissible non-audit services. In addition, pursuant to the policy, pre-approval is not required for additional non-audit services if such services result in a </w:t>
      </w:r>
      <w:r>
        <w:rPr>
          <w:rFonts w:ascii="Arial" w:cs="Arial" w:eastAsia="Arial" w:hAnsi="Arial"/>
          <w:sz w:val="16"/>
          <w:szCs w:val="16"/>
          <w:i w:val="1"/>
          <w:iCs w:val="1"/>
          <w:color w:val="auto"/>
        </w:rPr>
        <w:t>de minimus</w:t>
      </w:r>
      <w:r>
        <w:rPr>
          <w:rFonts w:ascii="Arial" w:cs="Arial" w:eastAsia="Arial" w:hAnsi="Arial"/>
          <w:sz w:val="16"/>
          <w:szCs w:val="16"/>
          <w:color w:val="auto"/>
        </w:rPr>
        <w:t xml:space="preserve"> amount of less than 5% of the total annual fees paid by us to the independent public accountant during the fiscal year in which the non-audit services are provided, were not recognized by us at the time of engagement to be non-audit services, and are reported to the Audit Committee promptly thereafter and approved prior to the completion of the annual audit.</w:t>
      </w:r>
    </w:p>
    <w:p>
      <w:pPr>
        <w:spacing w:after="0" w:line="60"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Conclusion and Recommendation; Vote Required</w:t>
      </w:r>
    </w:p>
    <w:p>
      <w:pPr>
        <w:spacing w:after="0" w:line="121" w:lineRule="exact"/>
        <w:rPr>
          <w:sz w:val="20"/>
          <w:szCs w:val="20"/>
          <w:color w:val="auto"/>
        </w:rPr>
      </w:pPr>
    </w:p>
    <w:p>
      <w:pPr>
        <w:ind w:left="120" w:right="100" w:firstLine="991"/>
        <w:spacing w:after="0" w:line="259" w:lineRule="auto"/>
        <w:rPr>
          <w:sz w:val="20"/>
          <w:szCs w:val="20"/>
          <w:color w:val="auto"/>
        </w:rPr>
      </w:pPr>
      <w:r>
        <w:rPr>
          <w:rFonts w:ascii="Arial" w:cs="Arial" w:eastAsia="Arial" w:hAnsi="Arial"/>
          <w:sz w:val="18"/>
          <w:szCs w:val="18"/>
          <w:color w:val="auto"/>
        </w:rPr>
        <w:t xml:space="preserve">The affirmative vote of the holders of a majority of all shares of our common stock present or represented and entitled to vote at the Annual Meeting is required to ratify the appointment of our independent public accountant. Abstentions will have no effect on the outcome of the proposal. THE BOARD OF DIRECTORS RECOMMENDS A VOTE </w:t>
      </w:r>
      <w:r>
        <w:rPr>
          <w:rFonts w:ascii="Arial" w:cs="Arial" w:eastAsia="Arial" w:hAnsi="Arial"/>
          <w:sz w:val="18"/>
          <w:szCs w:val="18"/>
          <w:b w:val="1"/>
          <w:bCs w:val="1"/>
          <w:color w:val="auto"/>
        </w:rPr>
        <w:t>FOR</w:t>
      </w:r>
      <w:r>
        <w:rPr>
          <w:rFonts w:ascii="Arial" w:cs="Arial" w:eastAsia="Arial" w:hAnsi="Arial"/>
          <w:sz w:val="18"/>
          <w:szCs w:val="18"/>
          <w:color w:val="auto"/>
        </w:rPr>
        <w:t xml:space="preserve"> RATIFICATION OF THE APPOINTMENT OF ERNST &amp; YOUNG LLP AS OUR INDEPENDENT PUBLIC ACCOUNTANT FOR 2020.</w:t>
      </w:r>
    </w:p>
    <w:p>
      <w:pPr>
        <w:spacing w:after="0" w:line="115"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26</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080"/>
          </w:cols>
          <w:pgMar w:left="320" w:top="459" w:right="499" w:bottom="1440" w:gutter="0" w:footer="0" w:header="0"/>
        </w:sectPr>
      </w:pPr>
    </w:p>
    <w:bookmarkStart w:id="39" w:name="page40"/>
    <w:bookmarkEnd w:id="3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REPORT OF THE AUDIT COMMITTEE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89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extLst>
                    </a:blip>
                    <a:srcRect/>
                    <a:stretch>
                      <a:fillRect/>
                    </a:stretch>
                  </pic:blipFill>
                  <pic:spPr bwMode="auto">
                    <a:xfrm>
                      <a:off x="0" y="0"/>
                      <a:ext cx="6995160" cy="8890"/>
                    </a:xfrm>
                    <a:prstGeom prst="rect">
                      <a:avLst/>
                    </a:prstGeom>
                    <a:noFill/>
                  </pic:spPr>
                </pic:pic>
              </a:graphicData>
            </a:graphic>
          </wp:anchor>
        </w:drawing>
      </w:r>
    </w:p>
    <w:p>
      <w:pPr>
        <w:spacing w:after="0" w:line="175" w:lineRule="exact"/>
        <w:rPr>
          <w:sz w:val="20"/>
          <w:szCs w:val="20"/>
          <w:color w:val="auto"/>
        </w:rPr>
      </w:pPr>
    </w:p>
    <w:p>
      <w:pPr>
        <w:jc w:val="center"/>
        <w:ind w:right="-119"/>
        <w:spacing w:after="0"/>
        <w:rPr>
          <w:sz w:val="20"/>
          <w:szCs w:val="20"/>
          <w:color w:val="auto"/>
        </w:rPr>
      </w:pPr>
      <w:r>
        <w:rPr>
          <w:rFonts w:ascii="Arial" w:cs="Arial" w:eastAsia="Arial" w:hAnsi="Arial"/>
          <w:sz w:val="22"/>
          <w:szCs w:val="22"/>
          <w:b w:val="1"/>
          <w:bCs w:val="1"/>
          <w:color w:val="407CCA"/>
        </w:rPr>
        <w:t>REPORT OF THE AUDIT COMMITTEE</w:t>
      </w:r>
    </w:p>
    <w:p>
      <w:pPr>
        <w:spacing w:after="0" w:line="219" w:lineRule="exact"/>
        <w:rPr>
          <w:sz w:val="20"/>
          <w:szCs w:val="20"/>
          <w:color w:val="auto"/>
        </w:rPr>
      </w:pPr>
    </w:p>
    <w:p>
      <w:pPr>
        <w:ind w:left="1000"/>
        <w:spacing w:after="0"/>
        <w:rPr>
          <w:sz w:val="20"/>
          <w:szCs w:val="20"/>
          <w:color w:val="auto"/>
        </w:rPr>
      </w:pPr>
      <w:r>
        <w:rPr>
          <w:rFonts w:ascii="Arial" w:cs="Arial" w:eastAsia="Arial" w:hAnsi="Arial"/>
          <w:sz w:val="17"/>
          <w:szCs w:val="17"/>
          <w:color w:val="auto"/>
        </w:rPr>
        <w:t>The Board of Directors has appointed an Audit Committee presently composed of four directors, Mss. Blank, Larocca and Spark and</w:t>
      </w:r>
    </w:p>
    <w:p>
      <w:pPr>
        <w:spacing w:after="0" w:line="35" w:lineRule="exact"/>
        <w:rPr>
          <w:sz w:val="20"/>
          <w:szCs w:val="20"/>
          <w:color w:val="auto"/>
        </w:rPr>
      </w:pPr>
    </w:p>
    <w:p>
      <w:pPr>
        <w:ind w:left="120" w:right="80"/>
        <w:spacing w:after="0" w:line="260" w:lineRule="auto"/>
        <w:rPr>
          <w:sz w:val="20"/>
          <w:szCs w:val="20"/>
          <w:color w:val="auto"/>
        </w:rPr>
      </w:pPr>
      <w:r>
        <w:rPr>
          <w:rFonts w:ascii="Arial" w:cs="Arial" w:eastAsia="Arial" w:hAnsi="Arial"/>
          <w:sz w:val="18"/>
          <w:szCs w:val="18"/>
          <w:color w:val="auto"/>
        </w:rPr>
        <w:t>Mr. Mullings. Each of the directors is independent as defined in the Nasdaq rules. The Board of Directors has determined that Mss. Blank and Spark are each an “audit committee financial expert” (as defined in Item 407 of Regulation S-K under the Securities Act).</w:t>
      </w:r>
    </w:p>
    <w:p>
      <w:pPr>
        <w:spacing w:after="0" w:line="185" w:lineRule="exact"/>
        <w:rPr>
          <w:sz w:val="20"/>
          <w:szCs w:val="20"/>
          <w:color w:val="auto"/>
        </w:rPr>
      </w:pPr>
    </w:p>
    <w:p>
      <w:pPr>
        <w:ind w:left="120" w:right="100" w:firstLine="881"/>
        <w:spacing w:after="0" w:line="273" w:lineRule="auto"/>
        <w:rPr>
          <w:sz w:val="20"/>
          <w:szCs w:val="20"/>
          <w:color w:val="auto"/>
        </w:rPr>
      </w:pPr>
      <w:r>
        <w:rPr>
          <w:rFonts w:ascii="Arial" w:cs="Arial" w:eastAsia="Arial" w:hAnsi="Arial"/>
          <w:sz w:val="17"/>
          <w:szCs w:val="17"/>
          <w:color w:val="auto"/>
        </w:rPr>
        <w:t xml:space="preserve">The Audit Committee’s responsibility is one of oversight as set forth in its charter, which is available in the Investors section of our website at </w:t>
      </w:r>
      <w:r>
        <w:rPr>
          <w:rFonts w:ascii="Arial" w:cs="Arial" w:eastAsia="Arial" w:hAnsi="Arial"/>
          <w:sz w:val="17"/>
          <w:szCs w:val="17"/>
          <w:i w:val="1"/>
          <w:iCs w:val="1"/>
          <w:color w:val="auto"/>
        </w:rPr>
        <w:t>www.AGNC.com</w:t>
      </w:r>
      <w:r>
        <w:rPr>
          <w:rFonts w:ascii="Arial" w:cs="Arial" w:eastAsia="Arial" w:hAnsi="Arial"/>
          <w:sz w:val="17"/>
          <w:szCs w:val="17"/>
          <w:color w:val="auto"/>
        </w:rPr>
        <w:t>. It is not the duty of the Audit Committee to prepare our financial statements, to plan or conduct audits, or to determine that our financial statements are complete and accurate and are in accordance with U.S. generally accepted accounting principles. Our management is responsible for preparing our financial statements and for maintaining internal controls. The independent auditors are responsible for auditing the financial statements and for expressing an opinion as to whether those audited financial statements fairly present our financial position, results of operations, and cash flows in conformity with U.S. generally accepted accounting principles.</w:t>
      </w:r>
    </w:p>
    <w:p>
      <w:pPr>
        <w:spacing w:after="0" w:line="178" w:lineRule="exact"/>
        <w:rPr>
          <w:sz w:val="20"/>
          <w:szCs w:val="20"/>
          <w:color w:val="auto"/>
        </w:rPr>
      </w:pPr>
    </w:p>
    <w:p>
      <w:pPr>
        <w:ind w:left="120" w:right="120" w:firstLine="881"/>
        <w:spacing w:after="0" w:line="277" w:lineRule="auto"/>
        <w:rPr>
          <w:sz w:val="20"/>
          <w:szCs w:val="20"/>
          <w:color w:val="auto"/>
        </w:rPr>
      </w:pPr>
      <w:r>
        <w:rPr>
          <w:rFonts w:ascii="Arial" w:cs="Arial" w:eastAsia="Arial" w:hAnsi="Arial"/>
          <w:sz w:val="18"/>
          <w:szCs w:val="18"/>
          <w:color w:val="auto"/>
        </w:rPr>
        <w:t>The Audit Committee has reviewed and discussed our audited consolidated financial statements with management and with Ernst &amp; Young LLP, our independent auditors for 2019.</w:t>
      </w:r>
    </w:p>
    <w:p>
      <w:pPr>
        <w:spacing w:after="0" w:line="170" w:lineRule="exact"/>
        <w:rPr>
          <w:sz w:val="20"/>
          <w:szCs w:val="20"/>
          <w:color w:val="auto"/>
        </w:rPr>
      </w:pPr>
    </w:p>
    <w:p>
      <w:pPr>
        <w:ind w:left="120" w:right="80" w:firstLine="881"/>
        <w:spacing w:after="0" w:line="277" w:lineRule="auto"/>
        <w:rPr>
          <w:sz w:val="20"/>
          <w:szCs w:val="20"/>
          <w:color w:val="auto"/>
        </w:rPr>
      </w:pPr>
      <w:r>
        <w:rPr>
          <w:rFonts w:ascii="Arial" w:cs="Arial" w:eastAsia="Arial" w:hAnsi="Arial"/>
          <w:sz w:val="18"/>
          <w:szCs w:val="18"/>
          <w:color w:val="auto"/>
        </w:rPr>
        <w:t>The Audit Committee has discussed with Ernst &amp; Young LLP the matters required to be discussed by Auditing Standard No. 16, as adopted by the Public Company Accounting Oversight Board.</w:t>
      </w:r>
    </w:p>
    <w:p>
      <w:pPr>
        <w:spacing w:after="0" w:line="170" w:lineRule="exact"/>
        <w:rPr>
          <w:sz w:val="20"/>
          <w:szCs w:val="20"/>
          <w:color w:val="auto"/>
        </w:rPr>
      </w:pPr>
    </w:p>
    <w:p>
      <w:pPr>
        <w:ind w:left="120" w:right="20" w:firstLine="881"/>
        <w:spacing w:after="0" w:line="263" w:lineRule="auto"/>
        <w:rPr>
          <w:sz w:val="20"/>
          <w:szCs w:val="20"/>
          <w:color w:val="auto"/>
        </w:rPr>
      </w:pPr>
      <w:r>
        <w:rPr>
          <w:rFonts w:ascii="Arial" w:cs="Arial" w:eastAsia="Arial" w:hAnsi="Arial"/>
          <w:sz w:val="18"/>
          <w:szCs w:val="18"/>
          <w:color w:val="auto"/>
        </w:rPr>
        <w:t>The Audit Committee has received from Ernst &amp; Young LLP the written statements required by Public Company Accounting Oversight Board Rule No. 3526, “</w:t>
      </w:r>
      <w:r>
        <w:rPr>
          <w:rFonts w:ascii="Arial" w:cs="Arial" w:eastAsia="Arial" w:hAnsi="Arial"/>
          <w:sz w:val="18"/>
          <w:szCs w:val="18"/>
          <w:i w:val="1"/>
          <w:iCs w:val="1"/>
          <w:color w:val="auto"/>
        </w:rPr>
        <w:t>Communications with Audit Committees Concerning Independence</w:t>
      </w:r>
      <w:r>
        <w:rPr>
          <w:rFonts w:ascii="Arial" w:cs="Arial" w:eastAsia="Arial" w:hAnsi="Arial"/>
          <w:sz w:val="18"/>
          <w:szCs w:val="18"/>
          <w:color w:val="auto"/>
        </w:rPr>
        <w:t>,” and has discussed Ernst &amp; Young LLP’s independence with Ernst &amp; Young LLP, and has considered the compatibility of non-audit services with the auditor’s independence.</w:t>
      </w:r>
    </w:p>
    <w:p>
      <w:pPr>
        <w:spacing w:after="0" w:line="184" w:lineRule="exact"/>
        <w:rPr>
          <w:sz w:val="20"/>
          <w:szCs w:val="20"/>
          <w:color w:val="auto"/>
        </w:rPr>
      </w:pPr>
    </w:p>
    <w:p>
      <w:pPr>
        <w:ind w:left="120" w:right="560" w:firstLine="881"/>
        <w:spacing w:after="0" w:line="263" w:lineRule="auto"/>
        <w:rPr>
          <w:sz w:val="20"/>
          <w:szCs w:val="20"/>
          <w:color w:val="auto"/>
        </w:rPr>
      </w:pPr>
      <w:r>
        <w:rPr>
          <w:rFonts w:ascii="Arial" w:cs="Arial" w:eastAsia="Arial" w:hAnsi="Arial"/>
          <w:sz w:val="18"/>
          <w:szCs w:val="18"/>
          <w:color w:val="auto"/>
        </w:rPr>
        <w:t>Based on the review and discussions referred to above, the Audit Committee recommended to the Board of Directors that the audited consolidated financial statements for the year ended December 31, 2019 be included in our annual report on Form 10-K for the year ended December 31, 2019, for filing with the Securities and Exchange Commission.</w:t>
      </w:r>
    </w:p>
    <w:p>
      <w:pPr>
        <w:spacing w:after="0" w:line="184" w:lineRule="exact"/>
        <w:rPr>
          <w:sz w:val="20"/>
          <w:szCs w:val="20"/>
          <w:color w:val="auto"/>
        </w:rPr>
      </w:pPr>
    </w:p>
    <w:p>
      <w:pPr>
        <w:ind w:left="120" w:right="400" w:firstLine="881"/>
        <w:spacing w:after="0" w:line="342" w:lineRule="auto"/>
        <w:rPr>
          <w:sz w:val="20"/>
          <w:szCs w:val="20"/>
          <w:color w:val="auto"/>
        </w:rPr>
      </w:pPr>
      <w:r>
        <w:rPr>
          <w:rFonts w:ascii="Arial" w:cs="Arial" w:eastAsia="Arial" w:hAnsi="Arial"/>
          <w:sz w:val="16"/>
          <w:szCs w:val="16"/>
          <w:color w:val="auto"/>
        </w:rPr>
        <w:t>The Audit Committee has approved the appointment of Ernst &amp; Young LLP to serve as our independent public accountants for the year ending December 31, 2020 and has directed that the appointment of Ernst &amp; Young LLP be submitted to our stockholders for ratification.</w:t>
      </w:r>
    </w:p>
    <w:p>
      <w:pPr>
        <w:spacing w:after="0" w:line="124" w:lineRule="exact"/>
        <w:rPr>
          <w:sz w:val="20"/>
          <w:szCs w:val="20"/>
          <w:color w:val="auto"/>
        </w:rPr>
      </w:pPr>
    </w:p>
    <w:p>
      <w:pPr>
        <w:ind w:left="7320"/>
        <w:spacing w:after="0"/>
        <w:rPr>
          <w:sz w:val="20"/>
          <w:szCs w:val="20"/>
          <w:color w:val="auto"/>
        </w:rPr>
      </w:pPr>
      <w:r>
        <w:rPr>
          <w:rFonts w:ascii="Arial" w:cs="Arial" w:eastAsia="Arial" w:hAnsi="Arial"/>
          <w:sz w:val="18"/>
          <w:szCs w:val="18"/>
          <w:i w:val="1"/>
          <w:iCs w:val="1"/>
          <w:color w:val="auto"/>
        </w:rPr>
        <w:t>By the Audit Committee:</w:t>
      </w:r>
    </w:p>
    <w:p>
      <w:pPr>
        <w:spacing w:after="0" w:line="23" w:lineRule="exact"/>
        <w:rPr>
          <w:sz w:val="20"/>
          <w:szCs w:val="20"/>
          <w:color w:val="auto"/>
        </w:rPr>
      </w:pPr>
    </w:p>
    <w:p>
      <w:pPr>
        <w:ind w:left="7320"/>
        <w:spacing w:after="0"/>
        <w:rPr>
          <w:sz w:val="20"/>
          <w:szCs w:val="20"/>
          <w:color w:val="auto"/>
        </w:rPr>
      </w:pPr>
      <w:r>
        <w:rPr>
          <w:rFonts w:ascii="Arial" w:cs="Arial" w:eastAsia="Arial" w:hAnsi="Arial"/>
          <w:sz w:val="18"/>
          <w:szCs w:val="18"/>
          <w:color w:val="auto"/>
        </w:rPr>
        <w:t>Donna J. Blank, Chair</w:t>
      </w:r>
    </w:p>
    <w:p>
      <w:pPr>
        <w:spacing w:after="0" w:line="9" w:lineRule="exact"/>
        <w:rPr>
          <w:sz w:val="20"/>
          <w:szCs w:val="20"/>
          <w:color w:val="auto"/>
        </w:rPr>
      </w:pPr>
    </w:p>
    <w:p>
      <w:pPr>
        <w:ind w:left="7320"/>
        <w:spacing w:after="0"/>
        <w:rPr>
          <w:sz w:val="20"/>
          <w:szCs w:val="20"/>
          <w:color w:val="auto"/>
        </w:rPr>
      </w:pPr>
      <w:r>
        <w:rPr>
          <w:rFonts w:ascii="Arial" w:cs="Arial" w:eastAsia="Arial" w:hAnsi="Arial"/>
          <w:sz w:val="18"/>
          <w:szCs w:val="18"/>
          <w:color w:val="auto"/>
        </w:rPr>
        <w:t>Prue B. Larocca</w:t>
      </w:r>
    </w:p>
    <w:p>
      <w:pPr>
        <w:spacing w:after="0" w:line="9" w:lineRule="exact"/>
        <w:rPr>
          <w:sz w:val="20"/>
          <w:szCs w:val="20"/>
          <w:color w:val="auto"/>
        </w:rPr>
      </w:pPr>
    </w:p>
    <w:p>
      <w:pPr>
        <w:ind w:left="7320"/>
        <w:spacing w:after="0"/>
        <w:rPr>
          <w:sz w:val="20"/>
          <w:szCs w:val="20"/>
          <w:color w:val="auto"/>
        </w:rPr>
      </w:pPr>
      <w:r>
        <w:rPr>
          <w:rFonts w:ascii="Arial" w:cs="Arial" w:eastAsia="Arial" w:hAnsi="Arial"/>
          <w:sz w:val="18"/>
          <w:szCs w:val="18"/>
          <w:color w:val="auto"/>
        </w:rPr>
        <w:t>Paul E. Mullings</w:t>
      </w:r>
    </w:p>
    <w:p>
      <w:pPr>
        <w:spacing w:after="0" w:line="9" w:lineRule="exact"/>
        <w:rPr>
          <w:sz w:val="20"/>
          <w:szCs w:val="20"/>
          <w:color w:val="auto"/>
        </w:rPr>
      </w:pPr>
    </w:p>
    <w:p>
      <w:pPr>
        <w:ind w:left="7320"/>
        <w:spacing w:after="0"/>
        <w:rPr>
          <w:sz w:val="20"/>
          <w:szCs w:val="20"/>
          <w:color w:val="auto"/>
        </w:rPr>
      </w:pPr>
      <w:r>
        <w:rPr>
          <w:rFonts w:ascii="Arial" w:cs="Arial" w:eastAsia="Arial" w:hAnsi="Arial"/>
          <w:sz w:val="18"/>
          <w:szCs w:val="18"/>
          <w:color w:val="auto"/>
        </w:rPr>
        <w:t>Frances R. Spark</w:t>
      </w:r>
    </w:p>
    <w:p>
      <w:pPr>
        <w:spacing w:after="0" w:line="315"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Use of Report of the Audit Committee</w:t>
      </w:r>
    </w:p>
    <w:p>
      <w:pPr>
        <w:spacing w:after="0" w:line="121" w:lineRule="exact"/>
        <w:rPr>
          <w:sz w:val="20"/>
          <w:szCs w:val="20"/>
          <w:color w:val="auto"/>
        </w:rPr>
      </w:pPr>
    </w:p>
    <w:p>
      <w:pPr>
        <w:ind w:left="120" w:right="260" w:firstLine="881"/>
        <w:spacing w:after="0" w:line="263" w:lineRule="auto"/>
        <w:rPr>
          <w:sz w:val="20"/>
          <w:szCs w:val="20"/>
          <w:color w:val="auto"/>
        </w:rPr>
      </w:pPr>
      <w:r>
        <w:rPr>
          <w:rFonts w:ascii="Arial" w:cs="Arial" w:eastAsia="Arial" w:hAnsi="Arial"/>
          <w:sz w:val="18"/>
          <w:szCs w:val="18"/>
          <w:color w:val="auto"/>
        </w:rPr>
        <w:t>In accordance with and to the extent permitted by applicable law or regulation, the information contained in the foregoing Report of the Audit Committee is not “soliciting material” and is not to be incorporated by reference into any future filing under the Securities Act or the Exchange Act.</w:t>
      </w:r>
    </w:p>
    <w:p>
      <w:pPr>
        <w:spacing w:after="0" w:line="112" w:lineRule="exact"/>
        <w:rPr>
          <w:sz w:val="20"/>
          <w:szCs w:val="20"/>
          <w:color w:val="auto"/>
        </w:rPr>
      </w:pPr>
    </w:p>
    <w:p>
      <w:pPr>
        <w:ind w:left="7960"/>
        <w:spacing w:after="0"/>
        <w:tabs>
          <w:tab w:leader="none" w:pos="109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27</w:t>
      </w:r>
    </w:p>
    <w:p>
      <w:pPr>
        <w:sectPr>
          <w:pgSz w:w="11900" w:h="16838" w:orient="portrait"/>
          <w:cols w:equalWidth="0" w:num="1">
            <w:col w:w="11140"/>
          </w:cols>
          <w:pgMar w:left="320" w:top="459" w:right="439" w:bottom="1440" w:gutter="0" w:footer="0" w:header="0"/>
        </w:sectPr>
      </w:pPr>
    </w:p>
    <w:bookmarkStart w:id="40" w:name="page41"/>
    <w:bookmarkEnd w:id="4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EXECUTIVE OFFICERS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89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extLst>
                    </a:blip>
                    <a:srcRect/>
                    <a:stretch>
                      <a:fillRect/>
                    </a:stretch>
                  </pic:blipFill>
                  <pic:spPr bwMode="auto">
                    <a:xfrm>
                      <a:off x="0" y="0"/>
                      <a:ext cx="6995160" cy="8890"/>
                    </a:xfrm>
                    <a:prstGeom prst="rect">
                      <a:avLst/>
                    </a:prstGeom>
                    <a:noFill/>
                  </pic:spPr>
                </pic:pic>
              </a:graphicData>
            </a:graphic>
          </wp:anchor>
        </w:drawing>
      </w:r>
    </w:p>
    <w:p>
      <w:pPr>
        <w:spacing w:after="0" w:line="175" w:lineRule="exact"/>
        <w:rPr>
          <w:sz w:val="20"/>
          <w:szCs w:val="20"/>
          <w:color w:val="auto"/>
        </w:rPr>
      </w:pPr>
    </w:p>
    <w:p>
      <w:pPr>
        <w:jc w:val="center"/>
        <w:ind w:right="-179"/>
        <w:spacing w:after="0"/>
        <w:rPr>
          <w:sz w:val="20"/>
          <w:szCs w:val="20"/>
          <w:color w:val="auto"/>
        </w:rPr>
      </w:pPr>
      <w:r>
        <w:rPr>
          <w:rFonts w:ascii="Arial" w:cs="Arial" w:eastAsia="Arial" w:hAnsi="Arial"/>
          <w:sz w:val="22"/>
          <w:szCs w:val="22"/>
          <w:b w:val="1"/>
          <w:bCs w:val="1"/>
          <w:color w:val="407CCA"/>
        </w:rPr>
        <w:t>EXECUTIVE OFFICERS</w:t>
      </w:r>
    </w:p>
    <w:p>
      <w:pPr>
        <w:spacing w:after="0" w:line="215"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Executive Officer Biographies</w:t>
      </w:r>
    </w:p>
    <w:p>
      <w:pPr>
        <w:spacing w:after="0" w:line="121" w:lineRule="exact"/>
        <w:rPr>
          <w:sz w:val="20"/>
          <w:szCs w:val="20"/>
          <w:color w:val="auto"/>
        </w:rPr>
      </w:pPr>
    </w:p>
    <w:p>
      <w:pPr>
        <w:ind w:left="120" w:firstLine="881"/>
        <w:spacing w:after="0" w:line="286" w:lineRule="auto"/>
        <w:rPr>
          <w:sz w:val="20"/>
          <w:szCs w:val="20"/>
          <w:color w:val="auto"/>
        </w:rPr>
      </w:pPr>
      <w:r>
        <w:rPr>
          <w:rFonts w:ascii="Arial" w:cs="Arial" w:eastAsia="Arial" w:hAnsi="Arial"/>
          <w:sz w:val="17"/>
          <w:szCs w:val="17"/>
          <w:color w:val="auto"/>
        </w:rPr>
        <w:t>The Board generally elects officers annually following our annual meeting of stockholders to serve until the meeting of the Board following the next annual meeting. Set forth below is certain information about each executive officer as of February 24, 2020. The business address of each executive officer is c/o AGNC Investment Corp., 2 Bethesda Metro Center, 12</w:t>
      </w:r>
      <w:r>
        <w:rPr>
          <w:rFonts w:ascii="Arial" w:cs="Arial" w:eastAsia="Arial" w:hAnsi="Arial"/>
          <w:sz w:val="14"/>
          <w:szCs w:val="14"/>
          <w:color w:val="auto"/>
        </w:rPr>
        <w:t>th</w:t>
      </w:r>
      <w:r>
        <w:rPr>
          <w:rFonts w:ascii="Arial" w:cs="Arial" w:eastAsia="Arial" w:hAnsi="Arial"/>
          <w:sz w:val="17"/>
          <w:szCs w:val="17"/>
          <w:color w:val="auto"/>
        </w:rPr>
        <w:t xml:space="preserve"> Floor, Bethesda, Maryland 20814.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173990</wp:posOffset>
            </wp:positionV>
            <wp:extent cx="6995160" cy="825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76"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GARY D. KAIN, 55</w:t>
      </w:r>
    </w:p>
    <w:p>
      <w:pPr>
        <w:spacing w:after="0" w:line="27" w:lineRule="exact"/>
        <w:rPr>
          <w:sz w:val="20"/>
          <w:szCs w:val="20"/>
          <w:color w:val="auto"/>
        </w:rPr>
      </w:pPr>
    </w:p>
    <w:p>
      <w:pPr>
        <w:ind w:left="120"/>
        <w:spacing w:after="0"/>
        <w:rPr>
          <w:sz w:val="20"/>
          <w:szCs w:val="20"/>
          <w:color w:val="auto"/>
        </w:rPr>
      </w:pPr>
      <w:r>
        <w:rPr>
          <w:rFonts w:ascii="Arial" w:cs="Arial" w:eastAsia="Arial" w:hAnsi="Arial"/>
          <w:sz w:val="18"/>
          <w:szCs w:val="18"/>
          <w:i w:val="1"/>
          <w:iCs w:val="1"/>
          <w:color w:val="auto"/>
        </w:rPr>
        <w:t>Director, Chief Executive Officer and Chief Investment Officer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31750</wp:posOffset>
            </wp:positionV>
            <wp:extent cx="6995160" cy="889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extLst>
                    </a:blip>
                    <a:srcRect/>
                    <a:stretch>
                      <a:fillRect/>
                    </a:stretch>
                  </pic:blipFill>
                  <pic:spPr bwMode="auto">
                    <a:xfrm>
                      <a:off x="0" y="0"/>
                      <a:ext cx="6995160" cy="8890"/>
                    </a:xfrm>
                    <a:prstGeom prst="rect">
                      <a:avLst/>
                    </a:prstGeom>
                    <a:noFill/>
                  </pic:spPr>
                </pic:pic>
              </a:graphicData>
            </a:graphic>
          </wp:anchor>
        </w:drawing>
      </w:r>
    </w:p>
    <w:p>
      <w:pPr>
        <w:spacing w:after="0" w:line="245" w:lineRule="exact"/>
        <w:rPr>
          <w:sz w:val="20"/>
          <w:szCs w:val="20"/>
          <w:color w:val="auto"/>
        </w:rPr>
      </w:pPr>
    </w:p>
    <w:p>
      <w:pPr>
        <w:jc w:val="both"/>
        <w:ind w:left="120" w:right="100"/>
        <w:spacing w:after="0" w:line="263" w:lineRule="auto"/>
        <w:rPr>
          <w:sz w:val="20"/>
          <w:szCs w:val="20"/>
          <w:color w:val="auto"/>
        </w:rPr>
      </w:pPr>
      <w:r>
        <w:rPr>
          <w:rFonts w:ascii="Arial" w:cs="Arial" w:eastAsia="Arial" w:hAnsi="Arial"/>
          <w:sz w:val="18"/>
          <w:szCs w:val="18"/>
          <w:color w:val="auto"/>
        </w:rPr>
        <w:t>Mr. Kain has served as a Director and our Chief Executive Officer since March 2016 and Chief Investment Officer since January 2009. He previously served as our President from April 2011 until March 2018. Further information about Mr. Kain may be found under “Proposal 1: Election of Directors-Director Nominee Biographies and Qualifications” of this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177165</wp:posOffset>
            </wp:positionV>
            <wp:extent cx="6995160" cy="825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95"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PETER J. FEDERICO, 53</w:t>
      </w:r>
    </w:p>
    <w:p>
      <w:pPr>
        <w:spacing w:after="0" w:line="27" w:lineRule="exact"/>
        <w:rPr>
          <w:sz w:val="20"/>
          <w:szCs w:val="20"/>
          <w:color w:val="auto"/>
        </w:rPr>
      </w:pPr>
    </w:p>
    <w:p>
      <w:pPr>
        <w:ind w:left="120"/>
        <w:spacing w:after="0"/>
        <w:rPr>
          <w:sz w:val="20"/>
          <w:szCs w:val="20"/>
          <w:color w:val="auto"/>
        </w:rPr>
      </w:pPr>
      <w:r>
        <w:rPr>
          <w:rFonts w:ascii="Arial" w:cs="Arial" w:eastAsia="Arial" w:hAnsi="Arial"/>
          <w:sz w:val="18"/>
          <w:szCs w:val="18"/>
          <w:i w:val="1"/>
          <w:iCs w:val="1"/>
          <w:color w:val="auto"/>
        </w:rPr>
        <w:t>President and Chief Operating Officer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22860</wp:posOffset>
            </wp:positionV>
            <wp:extent cx="6995160" cy="8255"/>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31" w:lineRule="exact"/>
        <w:rPr>
          <w:sz w:val="20"/>
          <w:szCs w:val="20"/>
          <w:color w:val="auto"/>
        </w:rPr>
      </w:pPr>
    </w:p>
    <w:p>
      <w:pPr>
        <w:jc w:val="both"/>
        <w:ind w:left="120" w:right="240"/>
        <w:spacing w:after="0" w:line="263" w:lineRule="auto"/>
        <w:rPr>
          <w:sz w:val="20"/>
          <w:szCs w:val="20"/>
          <w:color w:val="auto"/>
        </w:rPr>
      </w:pPr>
      <w:r>
        <w:rPr>
          <w:rFonts w:ascii="Arial" w:cs="Arial" w:eastAsia="Arial" w:hAnsi="Arial"/>
          <w:sz w:val="18"/>
          <w:szCs w:val="18"/>
          <w:color w:val="auto"/>
        </w:rPr>
        <w:t>Mr. Federico has served as our President and Chief Operating Officer since March 2018. He was previously our Executive Vice President and Chief Financial Officer from July 2016 until March 2018 and Senior Vice President and Chief Risk Officer from June 2011 until our Internalization in July 2016.</w:t>
      </w:r>
    </w:p>
    <w:p>
      <w:pPr>
        <w:spacing w:after="0" w:line="184" w:lineRule="exact"/>
        <w:rPr>
          <w:sz w:val="20"/>
          <w:szCs w:val="20"/>
          <w:color w:val="auto"/>
        </w:rPr>
      </w:pPr>
    </w:p>
    <w:p>
      <w:pPr>
        <w:ind w:left="120" w:right="20"/>
        <w:spacing w:after="0" w:line="275" w:lineRule="auto"/>
        <w:rPr>
          <w:sz w:val="20"/>
          <w:szCs w:val="20"/>
          <w:color w:val="auto"/>
        </w:rPr>
      </w:pPr>
      <w:r>
        <w:rPr>
          <w:rFonts w:ascii="Arial" w:cs="Arial" w:eastAsia="Arial" w:hAnsi="Arial"/>
          <w:sz w:val="17"/>
          <w:szCs w:val="17"/>
          <w:color w:val="auto"/>
        </w:rPr>
        <w:t>Prior to joining AGNC Investment Corp., Mr. Federico served as Executive Vice President and Treasurer of Freddie Mac from October 2010 through May 2011, where he was primarily responsible for managing the company’s investment activities for its retained portfolio and developing, implementing, and managing risk mitigation strategies. He was also responsible for managing Freddie Mac’s $1.2 trillion interest rate derivative portfolio and short- and long-term debt issuance programs. Mr. Federico also served in a number of other capacities at Freddie Mac, including as Senior Vice President, Asset &amp; Liability Management, during his tenure with the company, which began in 1988.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172085</wp:posOffset>
            </wp:positionV>
            <wp:extent cx="6995160" cy="889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extLst>
                    </a:blip>
                    <a:srcRect/>
                    <a:stretch>
                      <a:fillRect/>
                    </a:stretch>
                  </pic:blipFill>
                  <pic:spPr bwMode="auto">
                    <a:xfrm>
                      <a:off x="0" y="0"/>
                      <a:ext cx="6995160" cy="8890"/>
                    </a:xfrm>
                    <a:prstGeom prst="rect">
                      <a:avLst/>
                    </a:prstGeom>
                    <a:noFill/>
                  </pic:spPr>
                </pic:pic>
              </a:graphicData>
            </a:graphic>
          </wp:anchor>
        </w:drawing>
      </w:r>
    </w:p>
    <w:p>
      <w:pPr>
        <w:spacing w:after="0" w:line="287"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CHRISTOPHER J. KUEHL, 46</w:t>
      </w:r>
    </w:p>
    <w:p>
      <w:pPr>
        <w:spacing w:after="0" w:line="27" w:lineRule="exact"/>
        <w:rPr>
          <w:sz w:val="20"/>
          <w:szCs w:val="20"/>
          <w:color w:val="auto"/>
        </w:rPr>
      </w:pPr>
    </w:p>
    <w:p>
      <w:pPr>
        <w:ind w:left="120"/>
        <w:spacing w:after="0"/>
        <w:rPr>
          <w:sz w:val="20"/>
          <w:szCs w:val="20"/>
          <w:color w:val="auto"/>
        </w:rPr>
      </w:pPr>
      <w:r>
        <w:rPr>
          <w:rFonts w:ascii="Arial" w:cs="Arial" w:eastAsia="Arial" w:hAnsi="Arial"/>
          <w:sz w:val="18"/>
          <w:szCs w:val="18"/>
          <w:i w:val="1"/>
          <w:iCs w:val="1"/>
          <w:color w:val="auto"/>
        </w:rPr>
        <w:t>Executive Vice President, Agency Portfolio Investments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22860</wp:posOffset>
            </wp:positionV>
            <wp:extent cx="6995160" cy="889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extLst>
                    </a:blip>
                    <a:srcRect/>
                    <a:stretch>
                      <a:fillRect/>
                    </a:stretch>
                  </pic:blipFill>
                  <pic:spPr bwMode="auto">
                    <a:xfrm>
                      <a:off x="0" y="0"/>
                      <a:ext cx="6995160" cy="8890"/>
                    </a:xfrm>
                    <a:prstGeom prst="rect">
                      <a:avLst/>
                    </a:prstGeom>
                    <a:noFill/>
                  </pic:spPr>
                </pic:pic>
              </a:graphicData>
            </a:graphic>
          </wp:anchor>
        </w:drawing>
      </w:r>
    </w:p>
    <w:p>
      <w:pPr>
        <w:spacing w:after="0" w:line="231" w:lineRule="exact"/>
        <w:rPr>
          <w:sz w:val="20"/>
          <w:szCs w:val="20"/>
          <w:color w:val="auto"/>
        </w:rPr>
      </w:pPr>
    </w:p>
    <w:p>
      <w:pPr>
        <w:ind w:left="120" w:right="400"/>
        <w:spacing w:after="0" w:line="277" w:lineRule="auto"/>
        <w:rPr>
          <w:sz w:val="20"/>
          <w:szCs w:val="20"/>
          <w:color w:val="auto"/>
        </w:rPr>
      </w:pPr>
      <w:r>
        <w:rPr>
          <w:rFonts w:ascii="Arial" w:cs="Arial" w:eastAsia="Arial" w:hAnsi="Arial"/>
          <w:sz w:val="18"/>
          <w:szCs w:val="18"/>
          <w:color w:val="auto"/>
        </w:rPr>
        <w:t>Mr. Kuehl has served as our Executive Vice President since November 2016. He was previously a Senior Vice President from March 2012 through October 2016.</w:t>
      </w:r>
    </w:p>
    <w:p>
      <w:pPr>
        <w:spacing w:after="0" w:line="170" w:lineRule="exact"/>
        <w:rPr>
          <w:sz w:val="20"/>
          <w:szCs w:val="20"/>
          <w:color w:val="auto"/>
        </w:rPr>
      </w:pPr>
    </w:p>
    <w:p>
      <w:pPr>
        <w:jc w:val="both"/>
        <w:ind w:left="120" w:right="40"/>
        <w:spacing w:after="0" w:line="286" w:lineRule="auto"/>
        <w:rPr>
          <w:sz w:val="20"/>
          <w:szCs w:val="20"/>
          <w:color w:val="auto"/>
        </w:rPr>
      </w:pPr>
      <w:r>
        <w:rPr>
          <w:rFonts w:ascii="Arial" w:cs="Arial" w:eastAsia="Arial" w:hAnsi="Arial"/>
          <w:sz w:val="17"/>
          <w:szCs w:val="17"/>
          <w:color w:val="auto"/>
        </w:rPr>
        <w:t>Prior to joining AGNC Investment Corp., Mr. Kuehl served as Vice President of Mortgage Investments &amp; Structuring of Freddie Mac. In this capacity, Mr. Kuehl was responsible for directing Freddie Mac’s purchases, sales, and structuring activities for all MBS products, including fixed-rate mortgages, ARMs, and CMOs. Prior to joining Freddie Mac in 2000, Mr. Kuehl was a Portfolio Manager with TeleBank/Etrade Bank.</w:t>
      </w:r>
    </w:p>
    <w:p>
      <w:pPr>
        <w:spacing w:after="0" w:line="93"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28</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080"/>
          </w:cols>
          <w:pgMar w:left="320" w:top="459" w:right="499" w:bottom="1440" w:gutter="0" w:footer="0" w:header="0"/>
        </w:sectPr>
      </w:pPr>
    </w:p>
    <w:bookmarkStart w:id="41" w:name="page42"/>
    <w:bookmarkEnd w:id="4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OFFICERS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extLst>
                    </a:blip>
                    <a:srcRect/>
                    <a:stretch>
                      <a:fillRect/>
                    </a:stretch>
                  </pic:blipFill>
                  <pic:spPr bwMode="auto">
                    <a:xfrm>
                      <a:off x="0" y="0"/>
                      <a:ext cx="6995160" cy="8255"/>
                    </a:xfrm>
                    <a:prstGeom prst="rect">
                      <a:avLst/>
                    </a:prstGeom>
                    <a:noFill/>
                  </pic:spPr>
                </pic:pic>
              </a:graphicData>
            </a:graphic>
          </wp:anchor>
        </w:drawing>
        <w:drawing>
          <wp:anchor simplePos="0" relativeHeight="251657728" behindDoc="1" locked="0" layoutInCell="0" allowOverlap="1">
            <wp:simplePos x="0" y="0"/>
            <wp:positionH relativeFrom="column">
              <wp:posOffset>73660</wp:posOffset>
            </wp:positionH>
            <wp:positionV relativeFrom="paragraph">
              <wp:posOffset>184150</wp:posOffset>
            </wp:positionV>
            <wp:extent cx="6995160" cy="825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92"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BERNICE E. BELL, 48</w:t>
      </w:r>
    </w:p>
    <w:p>
      <w:pPr>
        <w:spacing w:after="0" w:line="27" w:lineRule="exact"/>
        <w:rPr>
          <w:sz w:val="20"/>
          <w:szCs w:val="20"/>
          <w:color w:val="auto"/>
        </w:rPr>
      </w:pPr>
    </w:p>
    <w:p>
      <w:pPr>
        <w:ind w:left="120"/>
        <w:spacing w:after="0"/>
        <w:rPr>
          <w:sz w:val="20"/>
          <w:szCs w:val="20"/>
          <w:color w:val="auto"/>
        </w:rPr>
      </w:pPr>
      <w:r>
        <w:rPr>
          <w:rFonts w:ascii="Arial" w:cs="Arial" w:eastAsia="Arial" w:hAnsi="Arial"/>
          <w:sz w:val="18"/>
          <w:szCs w:val="18"/>
          <w:i w:val="1"/>
          <w:iCs w:val="1"/>
          <w:color w:val="auto"/>
        </w:rPr>
        <w:t>Senior Vice President and Chief Financial Officer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31750</wp:posOffset>
            </wp:positionV>
            <wp:extent cx="6995160" cy="825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45" w:lineRule="exact"/>
        <w:rPr>
          <w:sz w:val="20"/>
          <w:szCs w:val="20"/>
          <w:color w:val="auto"/>
        </w:rPr>
      </w:pPr>
    </w:p>
    <w:p>
      <w:pPr>
        <w:ind w:left="120" w:right="60"/>
        <w:spacing w:after="0" w:line="263" w:lineRule="auto"/>
        <w:rPr>
          <w:sz w:val="20"/>
          <w:szCs w:val="20"/>
          <w:color w:val="auto"/>
        </w:rPr>
      </w:pPr>
      <w:r>
        <w:rPr>
          <w:rFonts w:ascii="Arial" w:cs="Arial" w:eastAsia="Arial" w:hAnsi="Arial"/>
          <w:sz w:val="18"/>
          <w:szCs w:val="18"/>
          <w:color w:val="auto"/>
        </w:rPr>
        <w:t>Ms. Bell has served as our Senior Vice President since January 2016 and Chief Financial Officer since March 2018. Ms. Bell previously served as Chief Accounting Officer from January 2016 to March 2018, Vice President from April 2011 to January 2016, and as our Controller from 2008 through December 2015.</w:t>
      </w:r>
    </w:p>
    <w:p>
      <w:pPr>
        <w:spacing w:after="0" w:line="184" w:lineRule="exact"/>
        <w:rPr>
          <w:sz w:val="20"/>
          <w:szCs w:val="20"/>
          <w:color w:val="auto"/>
        </w:rPr>
      </w:pPr>
    </w:p>
    <w:p>
      <w:pPr>
        <w:ind w:left="120" w:right="40"/>
        <w:spacing w:after="0" w:line="259" w:lineRule="auto"/>
        <w:rPr>
          <w:sz w:val="20"/>
          <w:szCs w:val="20"/>
          <w:color w:val="auto"/>
        </w:rPr>
      </w:pPr>
      <w:r>
        <w:rPr>
          <w:rFonts w:ascii="Arial" w:cs="Arial" w:eastAsia="Arial" w:hAnsi="Arial"/>
          <w:sz w:val="18"/>
          <w:szCs w:val="18"/>
          <w:color w:val="auto"/>
        </w:rPr>
        <w:t>Prior to joining AGNC Investment Corp., Ms. Bell served as the Vice President and Controller of American Capital, Ltd. from July 2003 to December 2009. Prior to joining American Capital, Ms. Bell was the Vice President and Controller of certain privately-held companies engaged in the business of telecommunications and software development from July 1998 to June 2003 and was with the accounting firm Price Waterhouse, LLP from July 1994 to June 1998.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179070</wp:posOffset>
            </wp:positionV>
            <wp:extent cx="6995160" cy="825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98"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AARON J. PAS, 39</w:t>
      </w:r>
    </w:p>
    <w:p>
      <w:pPr>
        <w:spacing w:after="0" w:line="27" w:lineRule="exact"/>
        <w:rPr>
          <w:sz w:val="20"/>
          <w:szCs w:val="20"/>
          <w:color w:val="auto"/>
        </w:rPr>
      </w:pPr>
    </w:p>
    <w:p>
      <w:pPr>
        <w:ind w:left="120"/>
        <w:spacing w:after="0"/>
        <w:rPr>
          <w:sz w:val="20"/>
          <w:szCs w:val="20"/>
          <w:color w:val="auto"/>
        </w:rPr>
      </w:pPr>
      <w:r>
        <w:rPr>
          <w:rFonts w:ascii="Arial" w:cs="Arial" w:eastAsia="Arial" w:hAnsi="Arial"/>
          <w:sz w:val="18"/>
          <w:szCs w:val="18"/>
          <w:i w:val="1"/>
          <w:iCs w:val="1"/>
          <w:color w:val="auto"/>
        </w:rPr>
        <w:t>Senior Vice President, Non-Agency Portfolio Investments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22860</wp:posOffset>
            </wp:positionV>
            <wp:extent cx="6995160" cy="825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31" w:lineRule="exact"/>
        <w:rPr>
          <w:sz w:val="20"/>
          <w:szCs w:val="20"/>
          <w:color w:val="auto"/>
        </w:rPr>
      </w:pPr>
    </w:p>
    <w:p>
      <w:pPr>
        <w:ind w:left="120" w:right="260"/>
        <w:spacing w:after="0" w:line="263" w:lineRule="auto"/>
        <w:rPr>
          <w:sz w:val="20"/>
          <w:szCs w:val="20"/>
          <w:color w:val="auto"/>
        </w:rPr>
      </w:pPr>
      <w:r>
        <w:rPr>
          <w:rFonts w:ascii="Arial" w:cs="Arial" w:eastAsia="Arial" w:hAnsi="Arial"/>
          <w:sz w:val="18"/>
          <w:szCs w:val="18"/>
          <w:color w:val="auto"/>
        </w:rPr>
        <w:t>Mr. Pas has served as our Senior Vice President since October 2016. He was previously a Senior Vice President of MTGE Investment Corp. (Nasdaq: MTGE) and its manager from January 2014 until September 2018 and was Vice President, Non-Agency Portfolio Management, of the manager of MTGE from March 2011 to January 2014.</w:t>
      </w:r>
    </w:p>
    <w:p>
      <w:pPr>
        <w:spacing w:after="0" w:line="184" w:lineRule="exact"/>
        <w:rPr>
          <w:sz w:val="20"/>
          <w:szCs w:val="20"/>
          <w:color w:val="auto"/>
        </w:rPr>
      </w:pPr>
    </w:p>
    <w:p>
      <w:pPr>
        <w:ind w:left="120" w:right="60"/>
        <w:spacing w:after="0" w:line="277" w:lineRule="auto"/>
        <w:rPr>
          <w:sz w:val="20"/>
          <w:szCs w:val="20"/>
          <w:color w:val="auto"/>
        </w:rPr>
      </w:pPr>
      <w:r>
        <w:rPr>
          <w:rFonts w:ascii="Arial" w:cs="Arial" w:eastAsia="Arial" w:hAnsi="Arial"/>
          <w:sz w:val="18"/>
          <w:szCs w:val="18"/>
          <w:color w:val="auto"/>
        </w:rPr>
        <w:t>Mr. Pas was previously the Director of Non-Agency Portfolio Management at Freddie Mac, where he was primarily responsible for managing the firm’s non-Agency residential securities portfolio. Mr. Pas is a CFA charterholder.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168910</wp:posOffset>
            </wp:positionV>
            <wp:extent cx="6995160" cy="889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extLst>
                    </a:blip>
                    <a:srcRect/>
                    <a:stretch>
                      <a:fillRect/>
                    </a:stretch>
                  </pic:blipFill>
                  <pic:spPr bwMode="auto">
                    <a:xfrm>
                      <a:off x="0" y="0"/>
                      <a:ext cx="6995160" cy="8890"/>
                    </a:xfrm>
                    <a:prstGeom prst="rect">
                      <a:avLst/>
                    </a:prstGeom>
                    <a:noFill/>
                  </pic:spPr>
                </pic:pic>
              </a:graphicData>
            </a:graphic>
          </wp:anchor>
        </w:drawing>
      </w:r>
    </w:p>
    <w:p>
      <w:pPr>
        <w:spacing w:after="0" w:line="281"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KENNETH L. POLLACK, 52</w:t>
      </w:r>
    </w:p>
    <w:p>
      <w:pPr>
        <w:spacing w:after="0" w:line="27" w:lineRule="exact"/>
        <w:rPr>
          <w:sz w:val="20"/>
          <w:szCs w:val="20"/>
          <w:color w:val="auto"/>
        </w:rPr>
      </w:pPr>
    </w:p>
    <w:p>
      <w:pPr>
        <w:ind w:left="120"/>
        <w:spacing w:after="0"/>
        <w:rPr>
          <w:sz w:val="20"/>
          <w:szCs w:val="20"/>
          <w:color w:val="auto"/>
        </w:rPr>
      </w:pPr>
      <w:r>
        <w:rPr>
          <w:rFonts w:ascii="Arial" w:cs="Arial" w:eastAsia="Arial" w:hAnsi="Arial"/>
          <w:sz w:val="18"/>
          <w:szCs w:val="18"/>
          <w:i w:val="1"/>
          <w:iCs w:val="1"/>
          <w:color w:val="auto"/>
        </w:rPr>
        <w:t>Senior Vice President, General Counsel, Chief Compliance Officer, and Secretary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22860</wp:posOffset>
            </wp:positionV>
            <wp:extent cx="6995160" cy="825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31" w:lineRule="exact"/>
        <w:rPr>
          <w:sz w:val="20"/>
          <w:szCs w:val="20"/>
          <w:color w:val="auto"/>
        </w:rPr>
      </w:pPr>
    </w:p>
    <w:p>
      <w:pPr>
        <w:ind w:left="120"/>
        <w:spacing w:after="0"/>
        <w:rPr>
          <w:sz w:val="20"/>
          <w:szCs w:val="20"/>
          <w:color w:val="auto"/>
        </w:rPr>
      </w:pPr>
      <w:r>
        <w:rPr>
          <w:rFonts w:ascii="Arial" w:cs="Arial" w:eastAsia="Arial" w:hAnsi="Arial"/>
          <w:sz w:val="18"/>
          <w:szCs w:val="18"/>
          <w:color w:val="auto"/>
        </w:rPr>
        <w:t>Mr. Pollack has served as our Senior Vice President, General Counsel, Chief Compliance Officer, and Secretary since July 2016.</w:t>
      </w:r>
    </w:p>
    <w:p>
      <w:pPr>
        <w:spacing w:after="0" w:line="225" w:lineRule="exact"/>
        <w:rPr>
          <w:sz w:val="20"/>
          <w:szCs w:val="20"/>
          <w:color w:val="auto"/>
        </w:rPr>
      </w:pPr>
    </w:p>
    <w:p>
      <w:pPr>
        <w:ind w:left="120" w:right="40"/>
        <w:spacing w:after="0" w:line="301" w:lineRule="auto"/>
        <w:rPr>
          <w:sz w:val="20"/>
          <w:szCs w:val="20"/>
          <w:color w:val="auto"/>
        </w:rPr>
      </w:pPr>
      <w:r>
        <w:rPr>
          <w:rFonts w:ascii="Arial" w:cs="Arial" w:eastAsia="Arial" w:hAnsi="Arial"/>
          <w:sz w:val="16"/>
          <w:szCs w:val="16"/>
          <w:color w:val="auto"/>
        </w:rPr>
        <w:t>Prior to joining AGNC Investment Corp., Mr. Pollack was Senior Vice President and Deputy General Counsel of American Capital, Ltd. At American Capital, Mr. Pollack served as lead counsel for American Capital’s portfolio investment activities in the areas of Real Estate, U.S. Sponsor Finance, U.S. Buyouts, International Power, Special Situations, Operations, and Financial Restructuring. Mr. Pollack joined American Capital in 2004. Prior to American Capital, Mr. Pollack was a member of the Corporate and Securities and Real Estate Practice Groups of Arnold &amp; Porter.</w:t>
      </w:r>
    </w:p>
    <w:p>
      <w:pPr>
        <w:spacing w:after="0" w:line="85" w:lineRule="exact"/>
        <w:rPr>
          <w:sz w:val="20"/>
          <w:szCs w:val="20"/>
          <w:color w:val="auto"/>
        </w:rPr>
      </w:pPr>
    </w:p>
    <w:p>
      <w:pPr>
        <w:jc w:val="right"/>
        <w:spacing w:after="0"/>
        <w:tabs>
          <w:tab w:leader="none" w:pos="14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29</w:t>
      </w:r>
    </w:p>
    <w:p>
      <w:pPr>
        <w:sectPr>
          <w:pgSz w:w="11900" w:h="16838" w:orient="portrait"/>
          <w:cols w:equalWidth="0" w:num="1">
            <w:col w:w="11140"/>
          </w:cols>
          <w:pgMar w:left="320" w:top="459" w:right="439" w:bottom="1440" w:gutter="0" w:footer="0" w:header="0"/>
        </w:sectPr>
      </w:pPr>
    </w:p>
    <w:bookmarkStart w:id="42" w:name="page43"/>
    <w:bookmarkEnd w:id="4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75" w:lineRule="exact"/>
        <w:rPr>
          <w:sz w:val="20"/>
          <w:szCs w:val="20"/>
          <w:color w:val="auto"/>
        </w:rPr>
      </w:pPr>
    </w:p>
    <w:tbl>
      <w:tblPr>
        <w:tblLayout w:type="fixed"/>
        <w:tblInd w:w="120" w:type="dxa"/>
        <w:tblCellMar>
          <w:top w:w="0" w:type="dxa"/>
          <w:left w:w="0" w:type="dxa"/>
          <w:bottom w:w="0" w:type="dxa"/>
          <w:right w:w="0" w:type="dxa"/>
        </w:tblCellMar>
      </w:tblPr>
      <w:tr>
        <w:trPr>
          <w:trHeight w:val="280"/>
        </w:trPr>
        <w:tc>
          <w:tcPr>
            <w:tcW w:w="3280" w:type="dxa"/>
            <w:vAlign w:val="bottom"/>
          </w:tcPr>
          <w:p>
            <w:pPr>
              <w:spacing w:after="0"/>
              <w:rPr>
                <w:sz w:val="24"/>
                <w:szCs w:val="24"/>
                <w:color w:val="auto"/>
              </w:rPr>
            </w:pPr>
          </w:p>
        </w:tc>
        <w:tc>
          <w:tcPr>
            <w:tcW w:w="7740" w:type="dxa"/>
            <w:vAlign w:val="bottom"/>
          </w:tcPr>
          <w:p>
            <w:pPr>
              <w:jc w:val="center"/>
              <w:ind w:right="3208"/>
              <w:spacing w:after="0"/>
              <w:rPr>
                <w:sz w:val="20"/>
                <w:szCs w:val="20"/>
                <w:color w:val="auto"/>
              </w:rPr>
            </w:pPr>
            <w:r>
              <w:rPr>
                <w:rFonts w:ascii="Arial" w:cs="Arial" w:eastAsia="Arial" w:hAnsi="Arial"/>
                <w:sz w:val="22"/>
                <w:szCs w:val="22"/>
                <w:b w:val="1"/>
                <w:bCs w:val="1"/>
                <w:color w:val="407CCA"/>
              </w:rPr>
              <w:t>EXECUTIVE COMPENSATION</w:t>
            </w:r>
          </w:p>
        </w:tc>
      </w:tr>
      <w:tr>
        <w:trPr>
          <w:trHeight w:val="422"/>
        </w:trPr>
        <w:tc>
          <w:tcPr>
            <w:tcW w:w="3280" w:type="dxa"/>
            <w:vAlign w:val="bottom"/>
          </w:tcPr>
          <w:p>
            <w:pPr>
              <w:spacing w:after="0"/>
              <w:rPr>
                <w:sz w:val="24"/>
                <w:szCs w:val="24"/>
                <w:color w:val="auto"/>
              </w:rPr>
            </w:pPr>
          </w:p>
        </w:tc>
        <w:tc>
          <w:tcPr>
            <w:tcW w:w="7740" w:type="dxa"/>
            <w:vAlign w:val="bottom"/>
          </w:tcPr>
          <w:p>
            <w:pPr>
              <w:jc w:val="center"/>
              <w:ind w:right="3208"/>
              <w:spacing w:after="0"/>
              <w:rPr>
                <w:sz w:val="20"/>
                <w:szCs w:val="20"/>
                <w:color w:val="auto"/>
              </w:rPr>
            </w:pPr>
            <w:r>
              <w:rPr>
                <w:rFonts w:ascii="Arial" w:cs="Arial" w:eastAsia="Arial" w:hAnsi="Arial"/>
                <w:sz w:val="18"/>
                <w:szCs w:val="18"/>
                <w:b w:val="1"/>
                <w:bCs w:val="1"/>
                <w:color w:val="auto"/>
                <w:w w:val="87"/>
              </w:rPr>
              <w:t>Compensation Discussion and Analysis</w:t>
            </w:r>
          </w:p>
        </w:tc>
      </w:tr>
      <w:tr>
        <w:trPr>
          <w:trHeight w:val="432"/>
        </w:trPr>
        <w:tc>
          <w:tcPr>
            <w:tcW w:w="3280" w:type="dxa"/>
            <w:vAlign w:val="bottom"/>
          </w:tcPr>
          <w:p>
            <w:pPr>
              <w:spacing w:after="0"/>
              <w:rPr>
                <w:sz w:val="20"/>
                <w:szCs w:val="20"/>
                <w:color w:val="auto"/>
              </w:rPr>
            </w:pPr>
            <w:r>
              <w:rPr>
                <w:rFonts w:ascii="Arial" w:cs="Arial" w:eastAsia="Arial" w:hAnsi="Arial"/>
                <w:sz w:val="18"/>
                <w:szCs w:val="18"/>
                <w:b w:val="1"/>
                <w:bCs w:val="1"/>
                <w:color w:val="auto"/>
              </w:rPr>
              <w:t>2019 NEOs</w:t>
            </w:r>
          </w:p>
        </w:tc>
        <w:tc>
          <w:tcPr>
            <w:tcW w:w="7740" w:type="dxa"/>
            <w:vAlign w:val="bottom"/>
          </w:tcPr>
          <w:p>
            <w:pPr>
              <w:spacing w:after="0"/>
              <w:rPr>
                <w:sz w:val="24"/>
                <w:szCs w:val="24"/>
                <w:color w:val="auto"/>
              </w:rPr>
            </w:pPr>
          </w:p>
        </w:tc>
      </w:tr>
      <w:tr>
        <w:trPr>
          <w:trHeight w:val="324"/>
        </w:trPr>
        <w:tc>
          <w:tcPr>
            <w:tcW w:w="3280" w:type="dxa"/>
            <w:vAlign w:val="bottom"/>
          </w:tcPr>
          <w:p>
            <w:pPr>
              <w:ind w:left="880"/>
              <w:spacing w:after="0"/>
              <w:rPr>
                <w:sz w:val="20"/>
                <w:szCs w:val="20"/>
                <w:color w:val="auto"/>
              </w:rPr>
            </w:pPr>
            <w:r>
              <w:rPr>
                <w:rFonts w:ascii="Arial" w:cs="Arial" w:eastAsia="Arial" w:hAnsi="Arial"/>
                <w:sz w:val="18"/>
                <w:szCs w:val="18"/>
                <w:color w:val="auto"/>
              </w:rPr>
              <w:t>Our NEOs for 2019 are:</w:t>
            </w:r>
          </w:p>
        </w:tc>
        <w:tc>
          <w:tcPr>
            <w:tcW w:w="7740" w:type="dxa"/>
            <w:vAlign w:val="bottom"/>
          </w:tcPr>
          <w:p>
            <w:pPr>
              <w:spacing w:after="0"/>
              <w:rPr>
                <w:sz w:val="24"/>
                <w:szCs w:val="24"/>
                <w:color w:val="auto"/>
              </w:rPr>
            </w:pPr>
          </w:p>
        </w:tc>
      </w:tr>
      <w:tr>
        <w:trPr>
          <w:trHeight w:val="243"/>
        </w:trPr>
        <w:tc>
          <w:tcPr>
            <w:tcW w:w="3280" w:type="dxa"/>
            <w:vAlign w:val="bottom"/>
            <w:tcBorders>
              <w:bottom w:val="single" w:sz="8" w:color="auto"/>
            </w:tcBorders>
          </w:tcPr>
          <w:p>
            <w:pPr>
              <w:spacing w:after="0"/>
              <w:rPr>
                <w:sz w:val="21"/>
                <w:szCs w:val="21"/>
                <w:color w:val="auto"/>
              </w:rPr>
            </w:pPr>
          </w:p>
        </w:tc>
        <w:tc>
          <w:tcPr>
            <w:tcW w:w="7740" w:type="dxa"/>
            <w:vAlign w:val="bottom"/>
            <w:tcBorders>
              <w:bottom w:val="single" w:sz="8" w:color="auto"/>
            </w:tcBorders>
          </w:tcPr>
          <w:p>
            <w:pPr>
              <w:spacing w:after="0"/>
              <w:rPr>
                <w:sz w:val="21"/>
                <w:szCs w:val="21"/>
                <w:color w:val="auto"/>
              </w:rPr>
            </w:pPr>
          </w:p>
        </w:tc>
      </w:tr>
      <w:tr>
        <w:trPr>
          <w:trHeight w:val="344"/>
        </w:trPr>
        <w:tc>
          <w:tcPr>
            <w:tcW w:w="3280" w:type="dxa"/>
            <w:vAlign w:val="bottom"/>
            <w:tcBorders>
              <w:bottom w:val="single" w:sz="8" w:color="auto"/>
            </w:tcBorders>
          </w:tcPr>
          <w:p>
            <w:pPr>
              <w:ind w:left="80"/>
              <w:spacing w:after="0"/>
              <w:rPr>
                <w:sz w:val="20"/>
                <w:szCs w:val="20"/>
                <w:color w:val="auto"/>
              </w:rPr>
            </w:pPr>
            <w:r>
              <w:rPr>
                <w:rFonts w:ascii="Arial" w:cs="Arial" w:eastAsia="Arial" w:hAnsi="Arial"/>
                <w:sz w:val="18"/>
                <w:szCs w:val="18"/>
                <w:b w:val="1"/>
                <w:bCs w:val="1"/>
                <w:color w:val="auto"/>
              </w:rPr>
              <w:t>Name</w:t>
            </w:r>
          </w:p>
        </w:tc>
        <w:tc>
          <w:tcPr>
            <w:tcW w:w="7740" w:type="dxa"/>
            <w:vAlign w:val="bottom"/>
            <w:tcBorders>
              <w:bottom w:val="single" w:sz="8" w:color="auto"/>
            </w:tcBorders>
          </w:tcPr>
          <w:p>
            <w:pPr>
              <w:jc w:val="center"/>
              <w:ind w:right="648"/>
              <w:spacing w:after="0"/>
              <w:rPr>
                <w:sz w:val="20"/>
                <w:szCs w:val="20"/>
                <w:color w:val="auto"/>
              </w:rPr>
            </w:pPr>
            <w:r>
              <w:rPr>
                <w:rFonts w:ascii="Arial" w:cs="Arial" w:eastAsia="Arial" w:hAnsi="Arial"/>
                <w:sz w:val="18"/>
                <w:szCs w:val="18"/>
                <w:b w:val="1"/>
                <w:bCs w:val="1"/>
                <w:color w:val="auto"/>
                <w:w w:val="92"/>
              </w:rPr>
              <w:t>2019 Title</w:t>
            </w:r>
          </w:p>
        </w:tc>
      </w:tr>
      <w:tr>
        <w:trPr>
          <w:trHeight w:val="224"/>
        </w:trPr>
        <w:tc>
          <w:tcPr>
            <w:tcW w:w="3280" w:type="dxa"/>
            <w:vAlign w:val="bottom"/>
          </w:tcPr>
          <w:p>
            <w:pPr>
              <w:ind w:left="80"/>
              <w:spacing w:after="0"/>
              <w:rPr>
                <w:sz w:val="20"/>
                <w:szCs w:val="20"/>
                <w:color w:val="auto"/>
              </w:rPr>
            </w:pPr>
            <w:r>
              <w:rPr>
                <w:rFonts w:ascii="Arial" w:cs="Arial" w:eastAsia="Arial" w:hAnsi="Arial"/>
                <w:sz w:val="18"/>
                <w:szCs w:val="18"/>
                <w:color w:val="auto"/>
              </w:rPr>
              <w:t>Gary D. Kain</w:t>
            </w:r>
          </w:p>
        </w:tc>
        <w:tc>
          <w:tcPr>
            <w:tcW w:w="7740" w:type="dxa"/>
            <w:vAlign w:val="bottom"/>
          </w:tcPr>
          <w:p>
            <w:pPr>
              <w:jc w:val="center"/>
              <w:ind w:right="648"/>
              <w:spacing w:after="0"/>
              <w:rPr>
                <w:sz w:val="20"/>
                <w:szCs w:val="20"/>
                <w:color w:val="auto"/>
              </w:rPr>
            </w:pPr>
            <w:r>
              <w:rPr>
                <w:rFonts w:ascii="Arial" w:cs="Arial" w:eastAsia="Arial" w:hAnsi="Arial"/>
                <w:sz w:val="18"/>
                <w:szCs w:val="18"/>
                <w:color w:val="auto"/>
                <w:w w:val="93"/>
              </w:rPr>
              <w:t>Chief Executive Officer and Chief Investment Officer</w:t>
            </w:r>
          </w:p>
        </w:tc>
      </w:tr>
      <w:tr>
        <w:trPr>
          <w:trHeight w:val="242"/>
        </w:trPr>
        <w:tc>
          <w:tcPr>
            <w:tcW w:w="3280" w:type="dxa"/>
            <w:vAlign w:val="bottom"/>
          </w:tcPr>
          <w:p>
            <w:pPr>
              <w:ind w:left="80"/>
              <w:spacing w:after="0"/>
              <w:rPr>
                <w:sz w:val="20"/>
                <w:szCs w:val="20"/>
                <w:color w:val="auto"/>
              </w:rPr>
            </w:pPr>
            <w:r>
              <w:rPr>
                <w:rFonts w:ascii="Arial" w:cs="Arial" w:eastAsia="Arial" w:hAnsi="Arial"/>
                <w:sz w:val="18"/>
                <w:szCs w:val="18"/>
                <w:color w:val="auto"/>
              </w:rPr>
              <w:t>Peter J. Federico</w:t>
            </w:r>
          </w:p>
        </w:tc>
        <w:tc>
          <w:tcPr>
            <w:tcW w:w="7740" w:type="dxa"/>
            <w:vAlign w:val="bottom"/>
          </w:tcPr>
          <w:p>
            <w:pPr>
              <w:jc w:val="center"/>
              <w:ind w:right="668"/>
              <w:spacing w:after="0"/>
              <w:rPr>
                <w:sz w:val="20"/>
                <w:szCs w:val="20"/>
                <w:color w:val="auto"/>
              </w:rPr>
            </w:pPr>
            <w:r>
              <w:rPr>
                <w:rFonts w:ascii="Arial" w:cs="Arial" w:eastAsia="Arial" w:hAnsi="Arial"/>
                <w:sz w:val="18"/>
                <w:szCs w:val="18"/>
                <w:color w:val="auto"/>
                <w:w w:val="91"/>
              </w:rPr>
              <w:t>President and Chief Operating Officer</w:t>
            </w:r>
          </w:p>
        </w:tc>
      </w:tr>
      <w:tr>
        <w:trPr>
          <w:trHeight w:val="243"/>
        </w:trPr>
        <w:tc>
          <w:tcPr>
            <w:tcW w:w="3280" w:type="dxa"/>
            <w:vAlign w:val="bottom"/>
          </w:tcPr>
          <w:p>
            <w:pPr>
              <w:ind w:left="80"/>
              <w:spacing w:after="0"/>
              <w:rPr>
                <w:sz w:val="20"/>
                <w:szCs w:val="20"/>
                <w:color w:val="auto"/>
              </w:rPr>
            </w:pPr>
            <w:r>
              <w:rPr>
                <w:rFonts w:ascii="Arial" w:cs="Arial" w:eastAsia="Arial" w:hAnsi="Arial"/>
                <w:sz w:val="18"/>
                <w:szCs w:val="18"/>
                <w:color w:val="auto"/>
              </w:rPr>
              <w:t>Christopher J. Kuehl</w:t>
            </w:r>
          </w:p>
        </w:tc>
        <w:tc>
          <w:tcPr>
            <w:tcW w:w="7740" w:type="dxa"/>
            <w:vAlign w:val="bottom"/>
          </w:tcPr>
          <w:p>
            <w:pPr>
              <w:jc w:val="center"/>
              <w:ind w:right="668"/>
              <w:spacing w:after="0"/>
              <w:rPr>
                <w:sz w:val="20"/>
                <w:szCs w:val="20"/>
                <w:color w:val="auto"/>
              </w:rPr>
            </w:pPr>
            <w:r>
              <w:rPr>
                <w:rFonts w:ascii="Arial" w:cs="Arial" w:eastAsia="Arial" w:hAnsi="Arial"/>
                <w:sz w:val="18"/>
                <w:szCs w:val="18"/>
                <w:color w:val="auto"/>
                <w:w w:val="91"/>
              </w:rPr>
              <w:t>Executive Vice President, Agency Portfolio Investments</w:t>
            </w:r>
          </w:p>
        </w:tc>
      </w:tr>
      <w:tr>
        <w:trPr>
          <w:trHeight w:val="243"/>
        </w:trPr>
        <w:tc>
          <w:tcPr>
            <w:tcW w:w="3280" w:type="dxa"/>
            <w:vAlign w:val="bottom"/>
          </w:tcPr>
          <w:p>
            <w:pPr>
              <w:ind w:left="80"/>
              <w:spacing w:after="0"/>
              <w:rPr>
                <w:sz w:val="20"/>
                <w:szCs w:val="20"/>
                <w:color w:val="auto"/>
              </w:rPr>
            </w:pPr>
            <w:r>
              <w:rPr>
                <w:rFonts w:ascii="Arial" w:cs="Arial" w:eastAsia="Arial" w:hAnsi="Arial"/>
                <w:sz w:val="18"/>
                <w:szCs w:val="18"/>
                <w:color w:val="auto"/>
              </w:rPr>
              <w:t>Bernice E. Bell</w:t>
            </w:r>
          </w:p>
        </w:tc>
        <w:tc>
          <w:tcPr>
            <w:tcW w:w="7740" w:type="dxa"/>
            <w:vAlign w:val="bottom"/>
          </w:tcPr>
          <w:p>
            <w:pPr>
              <w:jc w:val="center"/>
              <w:ind w:right="668"/>
              <w:spacing w:after="0"/>
              <w:rPr>
                <w:sz w:val="20"/>
                <w:szCs w:val="20"/>
                <w:color w:val="auto"/>
              </w:rPr>
            </w:pPr>
            <w:r>
              <w:rPr>
                <w:rFonts w:ascii="Arial" w:cs="Arial" w:eastAsia="Arial" w:hAnsi="Arial"/>
                <w:sz w:val="18"/>
                <w:szCs w:val="18"/>
                <w:color w:val="auto"/>
                <w:w w:val="91"/>
              </w:rPr>
              <w:t>Senior Vice President and Chief Financial Officer</w:t>
            </w:r>
          </w:p>
        </w:tc>
      </w:tr>
      <w:tr>
        <w:trPr>
          <w:trHeight w:val="243"/>
        </w:trPr>
        <w:tc>
          <w:tcPr>
            <w:tcW w:w="3280" w:type="dxa"/>
            <w:vAlign w:val="bottom"/>
          </w:tcPr>
          <w:p>
            <w:pPr>
              <w:ind w:left="80"/>
              <w:spacing w:after="0"/>
              <w:rPr>
                <w:sz w:val="20"/>
                <w:szCs w:val="20"/>
                <w:color w:val="auto"/>
              </w:rPr>
            </w:pPr>
            <w:r>
              <w:rPr>
                <w:rFonts w:ascii="Arial" w:cs="Arial" w:eastAsia="Arial" w:hAnsi="Arial"/>
                <w:sz w:val="18"/>
                <w:szCs w:val="18"/>
                <w:color w:val="auto"/>
              </w:rPr>
              <w:t>Aaron J. Pas</w:t>
            </w:r>
          </w:p>
        </w:tc>
        <w:tc>
          <w:tcPr>
            <w:tcW w:w="7740" w:type="dxa"/>
            <w:vAlign w:val="bottom"/>
          </w:tcPr>
          <w:p>
            <w:pPr>
              <w:jc w:val="center"/>
              <w:ind w:right="668"/>
              <w:spacing w:after="0"/>
              <w:rPr>
                <w:sz w:val="20"/>
                <w:szCs w:val="20"/>
                <w:color w:val="auto"/>
              </w:rPr>
            </w:pPr>
            <w:r>
              <w:rPr>
                <w:rFonts w:ascii="Arial" w:cs="Arial" w:eastAsia="Arial" w:hAnsi="Arial"/>
                <w:sz w:val="18"/>
                <w:szCs w:val="18"/>
                <w:color w:val="auto"/>
                <w:w w:val="91"/>
              </w:rPr>
              <w:t>Senior Vice President, Non-Agency Portfolio Investments</w:t>
            </w:r>
          </w:p>
        </w:tc>
      </w:tr>
    </w:tbl>
    <w:p>
      <w:pPr>
        <w:spacing w:after="0" w:line="319"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Executive Summary</w:t>
      </w:r>
    </w:p>
    <w:p>
      <w:pPr>
        <w:spacing w:after="0" w:line="121" w:lineRule="exact"/>
        <w:rPr>
          <w:sz w:val="20"/>
          <w:szCs w:val="20"/>
          <w:color w:val="auto"/>
        </w:rPr>
      </w:pPr>
    </w:p>
    <w:p>
      <w:pPr>
        <w:jc w:val="both"/>
        <w:ind w:left="120" w:right="60" w:firstLine="881"/>
        <w:spacing w:after="0" w:line="263" w:lineRule="auto"/>
        <w:rPr>
          <w:sz w:val="20"/>
          <w:szCs w:val="20"/>
          <w:color w:val="auto"/>
        </w:rPr>
      </w:pPr>
      <w:r>
        <w:rPr>
          <w:rFonts w:ascii="Arial" w:cs="Arial" w:eastAsia="Arial" w:hAnsi="Arial"/>
          <w:sz w:val="18"/>
          <w:szCs w:val="18"/>
          <w:color w:val="auto"/>
        </w:rPr>
        <w:t>This Compensation Discussion and Analysis provides information on our executive compensation philosophy, objectives, and structure, and our process for setting compensation for our named executive officers, or NEOs. Information regarding our extensive stockholder outreach program and responsiveness to the 2019 advisory resolution on executive compensation is also included.</w:t>
      </w:r>
    </w:p>
    <w:p>
      <w:pPr>
        <w:spacing w:after="0" w:line="288"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Business Overview</w:t>
      </w:r>
    </w:p>
    <w:p>
      <w:pPr>
        <w:spacing w:after="0" w:line="121" w:lineRule="exact"/>
        <w:rPr>
          <w:sz w:val="20"/>
          <w:szCs w:val="20"/>
          <w:color w:val="auto"/>
        </w:rPr>
      </w:pPr>
    </w:p>
    <w:p>
      <w:pPr>
        <w:ind w:left="120" w:right="140" w:firstLine="881"/>
        <w:spacing w:after="0" w:line="255" w:lineRule="auto"/>
        <w:rPr>
          <w:sz w:val="20"/>
          <w:szCs w:val="20"/>
          <w:color w:val="auto"/>
        </w:rPr>
      </w:pPr>
      <w:r>
        <w:rPr>
          <w:rFonts w:ascii="Arial" w:cs="Arial" w:eastAsia="Arial" w:hAnsi="Arial"/>
          <w:sz w:val="18"/>
          <w:szCs w:val="18"/>
          <w:color w:val="auto"/>
        </w:rPr>
        <w:t>AGNC is an internally-managed REIT that invests predominantly in Agency residential mortgage-backed securities on a leveraged basis. We seek to provide investors with attractive risk-adjusted returns over a wide range of market scenarios through monthly dividends and tangible net asset value accretion, while maintaining the lowest operating cost structure among residential mortgage REITs. We generate income from the interest earned on our investment assets, net of associated borrowing and hedging costs, and net realized gains and losses on our investments and hedging activities. As such, our business operations are similar to investment managers that focus on debt investments, although we exclusively invest AGNC’s capital rather than third-party client funds.</w:t>
      </w:r>
    </w:p>
    <w:p>
      <w:pPr>
        <w:spacing w:after="0" w:line="121"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30</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40"/>
          </w:cols>
          <w:pgMar w:left="320" w:top="459" w:right="439" w:bottom="1440" w:gutter="0" w:footer="0" w:header="0"/>
        </w:sectPr>
      </w:pPr>
    </w:p>
    <w:bookmarkStart w:id="43" w:name="page44"/>
    <w:bookmarkEnd w:id="4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9180"/>
        <w:spacing w:after="0"/>
        <w:rPr>
          <w:sz w:val="20"/>
          <w:szCs w:val="20"/>
          <w:color w:val="auto"/>
        </w:rPr>
      </w:pPr>
      <w:r>
        <w:rPr>
          <w:rFonts w:ascii="Arial" w:cs="Arial" w:eastAsia="Arial" w:hAnsi="Arial"/>
          <w:sz w:val="13"/>
          <w:szCs w:val="13"/>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28575</wp:posOffset>
            </wp:positionV>
            <wp:extent cx="6995160" cy="8255"/>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99" w:lineRule="exact"/>
        <w:rPr>
          <w:sz w:val="20"/>
          <w:szCs w:val="20"/>
          <w:color w:val="auto"/>
        </w:rPr>
      </w:pPr>
    </w:p>
    <w:p>
      <w:pPr>
        <w:ind w:left="120" w:right="240" w:firstLine="881"/>
        <w:spacing w:after="0" w:line="263" w:lineRule="auto"/>
        <w:rPr>
          <w:sz w:val="20"/>
          <w:szCs w:val="20"/>
          <w:color w:val="auto"/>
        </w:rPr>
      </w:pPr>
      <w:r>
        <w:rPr>
          <w:rFonts w:ascii="Arial" w:cs="Arial" w:eastAsia="Arial" w:hAnsi="Arial"/>
          <w:sz w:val="18"/>
          <w:szCs w:val="18"/>
          <w:color w:val="auto"/>
        </w:rPr>
        <w:t>AGNC combines a track-record of strong financial performance with the lowest cost operating structure in the residential mortgage REIT industry to generate returns for our stockholders. We are committed to executing on our strategy through five key aspects of our business, which collectively constitute our value proposition for our stockholders: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142875</wp:posOffset>
            </wp:positionV>
            <wp:extent cx="6103620" cy="346329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extLst>
                        <a:ext uri="{28A0092B-C50C-407E-A947-70E740481C1C}"/>
                      </a:extLst>
                    </a:blip>
                    <a:srcRect/>
                    <a:stretch>
                      <a:fillRect/>
                    </a:stretch>
                  </pic:blipFill>
                  <pic:spPr bwMode="auto">
                    <a:xfrm>
                      <a:off x="0" y="0"/>
                      <a:ext cx="6103620" cy="34632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1" w:lineRule="exact"/>
        <w:rPr>
          <w:sz w:val="20"/>
          <w:szCs w:val="20"/>
          <w:color w:val="auto"/>
        </w:rPr>
      </w:pPr>
    </w:p>
    <w:p>
      <w:pPr>
        <w:ind w:left="880" w:right="20" w:hanging="764"/>
        <w:spacing w:after="0" w:line="230" w:lineRule="auto"/>
        <w:tabs>
          <w:tab w:leader="none" w:pos="880" w:val="left"/>
        </w:tabs>
        <w:numPr>
          <w:ilvl w:val="0"/>
          <w:numId w:val="18"/>
        </w:numPr>
        <w:rPr>
          <w:rFonts w:ascii="Arial" w:cs="Arial" w:eastAsia="Arial" w:hAnsi="Arial"/>
          <w:sz w:val="14"/>
          <w:szCs w:val="14"/>
          <w:color w:val="auto"/>
        </w:rPr>
      </w:pPr>
      <w:r>
        <w:rPr>
          <w:rFonts w:ascii="Arial" w:cs="Arial" w:eastAsia="Arial" w:hAnsi="Arial"/>
          <w:sz w:val="14"/>
          <w:szCs w:val="14"/>
          <w:color w:val="auto"/>
        </w:rPr>
        <w:t>Annualized total stock return is measured from AGNC’s IPO through December 31, 2019. Total stock return over a period includes price appreciation and dividend reinvestment; dividends are assumed to be reinvested at the closing price of the security on the ex-dividend date. Source: S&amp;P Global Market Intelligence.</w:t>
      </w:r>
    </w:p>
    <w:p>
      <w:pPr>
        <w:jc w:val="both"/>
        <w:ind w:left="880" w:right="60" w:hanging="764"/>
        <w:spacing w:after="0" w:line="258" w:lineRule="auto"/>
        <w:tabs>
          <w:tab w:leader="none" w:pos="880" w:val="left"/>
        </w:tabs>
        <w:numPr>
          <w:ilvl w:val="0"/>
          <w:numId w:val="18"/>
        </w:numPr>
        <w:rPr>
          <w:rFonts w:ascii="Arial" w:cs="Arial" w:eastAsia="Arial" w:hAnsi="Arial"/>
          <w:sz w:val="12"/>
          <w:szCs w:val="12"/>
          <w:color w:val="auto"/>
        </w:rPr>
      </w:pPr>
      <w:r>
        <w:rPr>
          <w:rFonts w:ascii="Arial" w:cs="Arial" w:eastAsia="Arial" w:hAnsi="Arial"/>
          <w:sz w:val="12"/>
          <w:szCs w:val="12"/>
          <w:color w:val="auto"/>
        </w:rPr>
        <w:t>Annualized total economic return is measured from June 30, 2008 through December 31, 2019. Total economic return represents the change in net book value per common share and dividends declared on common stock during the period over the beginning net book value per common share. Source: Company filings and S&amp;P Global Market Intelligence.</w:t>
      </w:r>
    </w:p>
    <w:p>
      <w:pPr>
        <w:ind w:left="880" w:right="320" w:hanging="764"/>
        <w:spacing w:after="0" w:line="237" w:lineRule="auto"/>
        <w:tabs>
          <w:tab w:leader="none" w:pos="880" w:val="left"/>
        </w:tabs>
        <w:numPr>
          <w:ilvl w:val="0"/>
          <w:numId w:val="18"/>
        </w:numPr>
        <w:rPr>
          <w:rFonts w:ascii="Arial" w:cs="Arial" w:eastAsia="Arial" w:hAnsi="Arial"/>
          <w:sz w:val="14"/>
          <w:szCs w:val="14"/>
          <w:color w:val="auto"/>
        </w:rPr>
      </w:pPr>
      <w:r>
        <w:rPr>
          <w:rFonts w:ascii="Arial" w:cs="Arial" w:eastAsia="Arial" w:hAnsi="Arial"/>
          <w:sz w:val="14"/>
          <w:szCs w:val="14"/>
          <w:color w:val="auto"/>
        </w:rPr>
        <w:t>AGNC’s operating cost structure is based on average stockholders’ equity for the twelve-month period ended December 31, 2019; it includes compensation and benefits and general and administrative expenses and, if applicable, excludes one-time or nonrecurring charges. Source: Company filings.</w:t>
      </w:r>
    </w:p>
    <w:p>
      <w:pPr>
        <w:spacing w:after="0" w:line="116" w:lineRule="exact"/>
        <w:rPr>
          <w:sz w:val="20"/>
          <w:szCs w:val="20"/>
          <w:color w:val="auto"/>
        </w:rPr>
      </w:pPr>
    </w:p>
    <w:p>
      <w:pPr>
        <w:ind w:left="7960"/>
        <w:spacing w:after="0"/>
        <w:tabs>
          <w:tab w:leader="none" w:pos="109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31</w:t>
      </w:r>
    </w:p>
    <w:p>
      <w:pPr>
        <w:sectPr>
          <w:pgSz w:w="11900" w:h="16838" w:orient="portrait"/>
          <w:cols w:equalWidth="0" w:num="1">
            <w:col w:w="11140"/>
          </w:cols>
          <w:pgMar w:left="320" w:top="459" w:right="439" w:bottom="1440" w:gutter="0" w:footer="0" w:header="0"/>
        </w:sectPr>
      </w:pPr>
    </w:p>
    <w:bookmarkStart w:id="44" w:name="page45"/>
    <w:bookmarkEnd w:id="4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4"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Recent Performance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94615</wp:posOffset>
            </wp:positionV>
            <wp:extent cx="7003415" cy="246888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extLst>
                    </a:blip>
                    <a:srcRect/>
                    <a:stretch>
                      <a:fillRect/>
                    </a:stretch>
                  </pic:blipFill>
                  <pic:spPr bwMode="auto">
                    <a:xfrm>
                      <a:off x="0" y="0"/>
                      <a:ext cx="7003415" cy="2468880"/>
                    </a:xfrm>
                    <a:prstGeom prst="rect">
                      <a:avLst/>
                    </a:prstGeom>
                    <a:noFill/>
                  </pic:spPr>
                </pic:pic>
              </a:graphicData>
            </a:graphic>
          </wp:anchor>
        </w:drawing>
      </w:r>
    </w:p>
    <w:p>
      <w:pPr>
        <w:spacing w:after="0" w:line="178" w:lineRule="exact"/>
        <w:rPr>
          <w:sz w:val="20"/>
          <w:szCs w:val="20"/>
          <w:color w:val="auto"/>
        </w:rPr>
      </w:pPr>
    </w:p>
    <w:p>
      <w:pPr>
        <w:jc w:val="center"/>
        <w:ind w:right="-279"/>
        <w:spacing w:after="0"/>
        <w:rPr>
          <w:sz w:val="20"/>
          <w:szCs w:val="20"/>
          <w:color w:val="auto"/>
        </w:rPr>
      </w:pPr>
      <w:r>
        <w:rPr>
          <w:rFonts w:ascii="Arial" w:cs="Arial" w:eastAsia="Arial" w:hAnsi="Arial"/>
          <w:sz w:val="18"/>
          <w:szCs w:val="18"/>
          <w:b w:val="1"/>
          <w:bCs w:val="1"/>
          <w:color w:val="407CCA"/>
        </w:rPr>
        <w:t>2019 Performance Highlights:</w:t>
      </w:r>
    </w:p>
    <w:p>
      <w:pPr>
        <w:spacing w:after="0" w:line="27" w:lineRule="exact"/>
        <w:rPr>
          <w:sz w:val="20"/>
          <w:szCs w:val="20"/>
          <w:color w:val="auto"/>
        </w:rPr>
      </w:pPr>
    </w:p>
    <w:p>
      <w:pPr>
        <w:ind w:left="620" w:hanging="347"/>
        <w:spacing w:after="0"/>
        <w:tabs>
          <w:tab w:leader="none" w:pos="620" w:val="left"/>
        </w:tabs>
        <w:numPr>
          <w:ilvl w:val="0"/>
          <w:numId w:val="19"/>
        </w:numPr>
        <w:rPr>
          <w:rFonts w:ascii="Arial" w:cs="Arial" w:eastAsia="Arial" w:hAnsi="Arial"/>
          <w:sz w:val="18"/>
          <w:szCs w:val="18"/>
          <w:color w:val="auto"/>
        </w:rPr>
      </w:pPr>
      <w:r>
        <w:rPr>
          <w:rFonts w:ascii="Arial" w:cs="Arial" w:eastAsia="Arial" w:hAnsi="Arial"/>
          <w:sz w:val="18"/>
          <w:szCs w:val="18"/>
          <w:color w:val="auto"/>
        </w:rPr>
        <w:t>Economic return of 18.7% materially outperformed our Agency REIT Peer Group return of 11.6% in 2019</w:t>
      </w:r>
    </w:p>
    <w:p>
      <w:pPr>
        <w:spacing w:after="0" w:line="224" w:lineRule="exact"/>
        <w:rPr>
          <w:rFonts w:ascii="Arial" w:cs="Arial" w:eastAsia="Arial" w:hAnsi="Arial"/>
          <w:sz w:val="18"/>
          <w:szCs w:val="18"/>
          <w:color w:val="auto"/>
        </w:rPr>
      </w:pPr>
    </w:p>
    <w:p>
      <w:pPr>
        <w:ind w:left="640" w:right="60" w:hanging="367"/>
        <w:spacing w:after="0" w:line="263" w:lineRule="auto"/>
        <w:tabs>
          <w:tab w:leader="none" w:pos="624" w:val="left"/>
        </w:tabs>
        <w:numPr>
          <w:ilvl w:val="0"/>
          <w:numId w:val="19"/>
        </w:numPr>
        <w:rPr>
          <w:rFonts w:ascii="Arial" w:cs="Arial" w:eastAsia="Arial" w:hAnsi="Arial"/>
          <w:sz w:val="18"/>
          <w:szCs w:val="18"/>
          <w:color w:val="auto"/>
        </w:rPr>
      </w:pPr>
      <w:r>
        <w:rPr>
          <w:rFonts w:ascii="Arial" w:cs="Arial" w:eastAsia="Arial" w:hAnsi="Arial"/>
          <w:sz w:val="18"/>
          <w:szCs w:val="18"/>
          <w:color w:val="auto"/>
        </w:rPr>
        <w:t>3- and 5-year annualized total stock returns of 11.0% and 7.8%, respectively, significantly better than the Agency REIT Peer Group performance of 6.8% and 6.3% for the 3- and 5-year period, respectively, while 2019 total stock return of 13.3% slightly underperformed the Agency REIT Peer Group’s return of 13.9%</w:t>
      </w:r>
    </w:p>
    <w:p>
      <w:pPr>
        <w:spacing w:after="0" w:line="183" w:lineRule="exact"/>
        <w:rPr>
          <w:rFonts w:ascii="Arial" w:cs="Arial" w:eastAsia="Arial" w:hAnsi="Arial"/>
          <w:sz w:val="18"/>
          <w:szCs w:val="18"/>
          <w:color w:val="auto"/>
        </w:rPr>
      </w:pPr>
    </w:p>
    <w:p>
      <w:pPr>
        <w:ind w:left="640" w:right="140" w:hanging="367"/>
        <w:spacing w:after="0" w:line="277" w:lineRule="auto"/>
        <w:tabs>
          <w:tab w:leader="none" w:pos="624" w:val="left"/>
        </w:tabs>
        <w:numPr>
          <w:ilvl w:val="0"/>
          <w:numId w:val="19"/>
        </w:numPr>
        <w:rPr>
          <w:rFonts w:ascii="Arial" w:cs="Arial" w:eastAsia="Arial" w:hAnsi="Arial"/>
          <w:sz w:val="18"/>
          <w:szCs w:val="18"/>
          <w:color w:val="auto"/>
        </w:rPr>
      </w:pPr>
      <w:r>
        <w:rPr>
          <w:rFonts w:ascii="Arial" w:cs="Arial" w:eastAsia="Arial" w:hAnsi="Arial"/>
          <w:sz w:val="18"/>
          <w:szCs w:val="18"/>
          <w:color w:val="auto"/>
        </w:rPr>
        <w:t>Operating Expenses for 2019 were 0.80% as a percentage of Stockholders’ Equity; the lowest among residential mortgage REITs and a fraction of the average of our Agency REIT Peer Group (2.23%)</w:t>
      </w:r>
    </w:p>
    <w:p>
      <w:pPr>
        <w:spacing w:after="0" w:line="170" w:lineRule="exact"/>
        <w:rPr>
          <w:rFonts w:ascii="Arial" w:cs="Arial" w:eastAsia="Arial" w:hAnsi="Arial"/>
          <w:sz w:val="18"/>
          <w:szCs w:val="18"/>
          <w:color w:val="auto"/>
        </w:rPr>
      </w:pPr>
    </w:p>
    <w:p>
      <w:pPr>
        <w:ind w:left="620" w:hanging="347"/>
        <w:spacing w:after="0"/>
        <w:tabs>
          <w:tab w:leader="none" w:pos="620" w:val="left"/>
        </w:tabs>
        <w:numPr>
          <w:ilvl w:val="0"/>
          <w:numId w:val="19"/>
        </w:numPr>
        <w:rPr>
          <w:rFonts w:ascii="Arial" w:cs="Arial" w:eastAsia="Arial" w:hAnsi="Arial"/>
          <w:sz w:val="18"/>
          <w:szCs w:val="18"/>
          <w:color w:val="auto"/>
        </w:rPr>
      </w:pPr>
      <w:r>
        <w:rPr>
          <w:rFonts w:ascii="Arial" w:cs="Arial" w:eastAsia="Arial" w:hAnsi="Arial"/>
          <w:sz w:val="18"/>
          <w:szCs w:val="18"/>
          <w:color w:val="auto"/>
        </w:rPr>
        <w:t>Disciplined, stockholder-friendly capital markets activities, including:</w:t>
      </w:r>
    </w:p>
    <w:p>
      <w:pPr>
        <w:spacing w:after="0" w:line="225" w:lineRule="exact"/>
        <w:rPr>
          <w:rFonts w:ascii="Arial" w:cs="Arial" w:eastAsia="Arial" w:hAnsi="Arial"/>
          <w:sz w:val="18"/>
          <w:szCs w:val="18"/>
          <w:color w:val="auto"/>
        </w:rPr>
      </w:pPr>
    </w:p>
    <w:p>
      <w:pPr>
        <w:ind w:left="980" w:hanging="347"/>
        <w:spacing w:after="0"/>
        <w:tabs>
          <w:tab w:leader="none" w:pos="980" w:val="left"/>
        </w:tabs>
        <w:numPr>
          <w:ilvl w:val="1"/>
          <w:numId w:val="19"/>
        </w:numPr>
        <w:rPr>
          <w:rFonts w:ascii="Arial" w:cs="Arial" w:eastAsia="Arial" w:hAnsi="Arial"/>
          <w:sz w:val="18"/>
          <w:szCs w:val="18"/>
          <w:color w:val="auto"/>
        </w:rPr>
      </w:pPr>
      <w:r>
        <w:rPr>
          <w:rFonts w:ascii="Arial" w:cs="Arial" w:eastAsia="Arial" w:hAnsi="Arial"/>
          <w:sz w:val="18"/>
          <w:szCs w:val="18"/>
          <w:color w:val="auto"/>
        </w:rPr>
        <w:t>$190 million of accretive common stock issuances under our At-The-Market (ATM) program;</w:t>
      </w:r>
    </w:p>
    <w:p>
      <w:pPr>
        <w:spacing w:after="0" w:line="23" w:lineRule="exact"/>
        <w:rPr>
          <w:rFonts w:ascii="Arial" w:cs="Arial" w:eastAsia="Arial" w:hAnsi="Arial"/>
          <w:sz w:val="18"/>
          <w:szCs w:val="18"/>
          <w:color w:val="auto"/>
        </w:rPr>
      </w:pPr>
    </w:p>
    <w:p>
      <w:pPr>
        <w:ind w:left="980" w:hanging="347"/>
        <w:spacing w:after="0"/>
        <w:tabs>
          <w:tab w:leader="none" w:pos="980" w:val="left"/>
        </w:tabs>
        <w:numPr>
          <w:ilvl w:val="1"/>
          <w:numId w:val="19"/>
        </w:numPr>
        <w:rPr>
          <w:rFonts w:ascii="Arial" w:cs="Arial" w:eastAsia="Arial" w:hAnsi="Arial"/>
          <w:sz w:val="18"/>
          <w:szCs w:val="18"/>
          <w:color w:val="auto"/>
        </w:rPr>
      </w:pPr>
      <w:r>
        <w:rPr>
          <w:rFonts w:ascii="Arial" w:cs="Arial" w:eastAsia="Arial" w:hAnsi="Arial"/>
          <w:sz w:val="18"/>
          <w:szCs w:val="18"/>
          <w:color w:val="auto"/>
        </w:rPr>
        <w:t>$235 million of 6.875% fixed-to-floating rate preferred equity issued in March 2019;</w:t>
      </w:r>
    </w:p>
    <w:p>
      <w:pPr>
        <w:spacing w:after="0" w:line="9" w:lineRule="exact"/>
        <w:rPr>
          <w:rFonts w:ascii="Arial" w:cs="Arial" w:eastAsia="Arial" w:hAnsi="Arial"/>
          <w:sz w:val="18"/>
          <w:szCs w:val="18"/>
          <w:color w:val="auto"/>
        </w:rPr>
      </w:pPr>
    </w:p>
    <w:p>
      <w:pPr>
        <w:ind w:left="980" w:hanging="347"/>
        <w:spacing w:after="0"/>
        <w:tabs>
          <w:tab w:leader="none" w:pos="980" w:val="left"/>
        </w:tabs>
        <w:numPr>
          <w:ilvl w:val="1"/>
          <w:numId w:val="19"/>
        </w:numPr>
        <w:rPr>
          <w:rFonts w:ascii="Arial" w:cs="Arial" w:eastAsia="Arial" w:hAnsi="Arial"/>
          <w:sz w:val="18"/>
          <w:szCs w:val="18"/>
          <w:color w:val="auto"/>
        </w:rPr>
      </w:pPr>
      <w:r>
        <w:rPr>
          <w:rFonts w:ascii="Arial" w:cs="Arial" w:eastAsia="Arial" w:hAnsi="Arial"/>
          <w:sz w:val="18"/>
          <w:szCs w:val="18"/>
          <w:color w:val="auto"/>
        </w:rPr>
        <w:t>$403 million of 6.50% fixed-to-floating rate preferred equity issued in October 2019;</w:t>
      </w:r>
    </w:p>
    <w:p>
      <w:pPr>
        <w:spacing w:after="0" w:line="9" w:lineRule="exact"/>
        <w:rPr>
          <w:rFonts w:ascii="Arial" w:cs="Arial" w:eastAsia="Arial" w:hAnsi="Arial"/>
          <w:sz w:val="18"/>
          <w:szCs w:val="18"/>
          <w:color w:val="auto"/>
        </w:rPr>
      </w:pPr>
    </w:p>
    <w:p>
      <w:pPr>
        <w:ind w:left="980" w:hanging="347"/>
        <w:spacing w:after="0"/>
        <w:tabs>
          <w:tab w:leader="none" w:pos="980" w:val="left"/>
        </w:tabs>
        <w:numPr>
          <w:ilvl w:val="1"/>
          <w:numId w:val="19"/>
        </w:numPr>
        <w:rPr>
          <w:rFonts w:ascii="Arial" w:cs="Arial" w:eastAsia="Arial" w:hAnsi="Arial"/>
          <w:sz w:val="18"/>
          <w:szCs w:val="18"/>
          <w:color w:val="auto"/>
        </w:rPr>
      </w:pPr>
      <w:r>
        <w:rPr>
          <w:rFonts w:ascii="Arial" w:cs="Arial" w:eastAsia="Arial" w:hAnsi="Arial"/>
          <w:sz w:val="18"/>
          <w:szCs w:val="18"/>
          <w:color w:val="auto"/>
        </w:rPr>
        <w:t>Redemption of $175 million of 7.75% fixed rate preferred equity in November 2019; and</w:t>
      </w:r>
    </w:p>
    <w:p>
      <w:pPr>
        <w:spacing w:after="0" w:line="9" w:lineRule="exact"/>
        <w:rPr>
          <w:rFonts w:ascii="Arial" w:cs="Arial" w:eastAsia="Arial" w:hAnsi="Arial"/>
          <w:sz w:val="18"/>
          <w:szCs w:val="18"/>
          <w:color w:val="auto"/>
        </w:rPr>
      </w:pPr>
    </w:p>
    <w:p>
      <w:pPr>
        <w:ind w:left="980" w:hanging="347"/>
        <w:spacing w:after="0"/>
        <w:tabs>
          <w:tab w:leader="none" w:pos="980" w:val="left"/>
        </w:tabs>
        <w:numPr>
          <w:ilvl w:val="1"/>
          <w:numId w:val="19"/>
        </w:numPr>
        <w:rPr>
          <w:rFonts w:ascii="Arial" w:cs="Arial" w:eastAsia="Arial" w:hAnsi="Arial"/>
          <w:sz w:val="17"/>
          <w:szCs w:val="17"/>
          <w:color w:val="auto"/>
        </w:rPr>
      </w:pPr>
      <w:r>
        <w:rPr>
          <w:rFonts w:ascii="Arial" w:cs="Arial" w:eastAsia="Arial" w:hAnsi="Arial"/>
          <w:sz w:val="17"/>
          <w:szCs w:val="17"/>
          <w:color w:val="auto"/>
        </w:rPr>
        <w:t>$103 million of accretive common stock repurchases when AGNC’s stock traded at a significant discount to tangible net book value.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253365</wp:posOffset>
            </wp:positionV>
            <wp:extent cx="5795010" cy="331787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extLst>
                        <a:ext uri="{28A0092B-C50C-407E-A947-70E740481C1C}"/>
                      </a:extLst>
                    </a:blip>
                    <a:srcRect/>
                    <a:stretch>
                      <a:fillRect/>
                    </a:stretch>
                  </pic:blipFill>
                  <pic:spPr bwMode="auto">
                    <a:xfrm>
                      <a:off x="0" y="0"/>
                      <a:ext cx="5795010" cy="33178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ind w:left="880" w:hanging="764"/>
        <w:spacing w:after="0" w:line="233" w:lineRule="auto"/>
        <w:tabs>
          <w:tab w:leader="none" w:pos="880" w:val="left"/>
        </w:tabs>
        <w:numPr>
          <w:ilvl w:val="0"/>
          <w:numId w:val="20"/>
        </w:numPr>
        <w:rPr>
          <w:rFonts w:ascii="Arial" w:cs="Arial" w:eastAsia="Arial" w:hAnsi="Arial"/>
          <w:sz w:val="14"/>
          <w:szCs w:val="14"/>
          <w:color w:val="auto"/>
        </w:rPr>
      </w:pPr>
      <w:r>
        <w:rPr>
          <w:rFonts w:ascii="Arial" w:cs="Arial" w:eastAsia="Arial" w:hAnsi="Arial"/>
          <w:sz w:val="14"/>
          <w:szCs w:val="14"/>
          <w:color w:val="auto"/>
        </w:rPr>
        <w:t>Stock return is measured from AGNC’s IPO through December 31, 2019 and annualized over the period beginning on the later of (i) AGNC’s IPO date or (ii) the date on which such company became publicly traded (to the extent it was not publicly traded at the time of AGNC’s IPO) and ending on Dec 31, 2019. Total stock return over a period includes price appreciation and dividend reinvestment; dividends are assumed to be reinvested at the closing price of the security on the ex-dividend date. Source: S&amp;P Global Market Intelligence.</w:t>
      </w:r>
    </w:p>
    <w:p>
      <w:pPr>
        <w:spacing w:after="0" w:line="117"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32</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00"/>
          </w:cols>
          <w:pgMar w:left="320" w:top="459" w:right="479" w:bottom="1440" w:gutter="0" w:footer="0" w:header="0"/>
        </w:sectPr>
      </w:pPr>
    </w:p>
    <w:bookmarkStart w:id="45" w:name="page46"/>
    <w:bookmarkEnd w:id="4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4" w:lineRule="exact"/>
        <w:rPr>
          <w:sz w:val="20"/>
          <w:szCs w:val="20"/>
          <w:color w:val="auto"/>
        </w:rPr>
      </w:pPr>
    </w:p>
    <w:p>
      <w:pPr>
        <w:jc w:val="both"/>
        <w:ind w:left="880" w:right="300" w:hanging="764"/>
        <w:spacing w:after="0" w:line="227" w:lineRule="auto"/>
        <w:tabs>
          <w:tab w:leader="none" w:pos="880" w:val="left"/>
        </w:tabs>
        <w:numPr>
          <w:ilvl w:val="0"/>
          <w:numId w:val="21"/>
        </w:numPr>
        <w:rPr>
          <w:rFonts w:ascii="Arial" w:cs="Arial" w:eastAsia="Arial" w:hAnsi="Arial"/>
          <w:sz w:val="14"/>
          <w:szCs w:val="14"/>
          <w:color w:val="auto"/>
        </w:rPr>
      </w:pPr>
      <w:r>
        <w:rPr>
          <w:rFonts w:ascii="Arial" w:cs="Arial" w:eastAsia="Arial" w:hAnsi="Arial"/>
          <w:sz w:val="14"/>
          <w:szCs w:val="14"/>
          <w:color w:val="auto"/>
        </w:rPr>
        <w:t>For Agency-focused residential mortgage REIT peer comparison purposes, AGNC’s peer group is unweighted and includes Anworth Mortgage Asset Corporation (“ANH”), ARMOUR Residential REIT, Inc. (“ARR”), Capstead Mortgage Corporation (“CMO”), Dynex Capital, Inc. (“DX”), Invesco Mortgage Capital Inc. (“IVR”), Annaly Capital Management, Inc. (“NLY”), and Two Harbors Investment Corp. (“TWO”), (collectively, the “Agency REIT Peer Group”).</w:t>
      </w:r>
    </w:p>
    <w:p>
      <w:pPr>
        <w:ind w:left="880" w:right="180" w:hanging="764"/>
        <w:spacing w:after="0" w:line="249" w:lineRule="auto"/>
        <w:tabs>
          <w:tab w:leader="none" w:pos="880" w:val="left"/>
        </w:tabs>
        <w:numPr>
          <w:ilvl w:val="0"/>
          <w:numId w:val="21"/>
        </w:numPr>
        <w:rPr>
          <w:rFonts w:ascii="Arial" w:cs="Arial" w:eastAsia="Arial" w:hAnsi="Arial"/>
          <w:sz w:val="13"/>
          <w:szCs w:val="13"/>
          <w:color w:val="auto"/>
        </w:rPr>
      </w:pPr>
      <w:r>
        <w:rPr>
          <w:rFonts w:ascii="Arial" w:cs="Arial" w:eastAsia="Arial" w:hAnsi="Arial"/>
          <w:sz w:val="13"/>
          <w:szCs w:val="13"/>
          <w:color w:val="auto"/>
        </w:rPr>
        <w:t>The residential mortgage REIT (“mREIT”) universe is unweighted and includes the Agency REIT Peer Group in addition to Great Ajax Corp. (“AJX”), Cherry Hill Mortgage Investment Corporation (“CHMI”), Chimera Investment Corporation (“CIM”), Ellington Residential Mortgage REIT (“EARN”), MFA Financial, Inc. (“MFA”), AG Mortgage Investment Trust, Inc. (“MITT”), New Residential Investment Corp. (“NRZ”), New York Mortgage Trust, Inc. (“NYMT”), Orchid Island Capital, Inc. (“ORC”), PennyMac Mortgage Investment Trust (“PMT”), Redwood Trust, Inc. (“RWT”), and Western Asset Mortgage Capital Corporation (“WMC”) (collectively, the “Resi mREIT Universe”).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219075</wp:posOffset>
            </wp:positionV>
            <wp:extent cx="6103620" cy="229743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extLst>
                    </a:blip>
                    <a:srcRect/>
                    <a:stretch>
                      <a:fillRect/>
                    </a:stretch>
                  </pic:blipFill>
                  <pic:spPr bwMode="auto">
                    <a:xfrm>
                      <a:off x="0" y="0"/>
                      <a:ext cx="6103620" cy="22974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5" w:lineRule="exact"/>
        <w:rPr>
          <w:sz w:val="20"/>
          <w:szCs w:val="20"/>
          <w:color w:val="auto"/>
        </w:rPr>
      </w:pPr>
    </w:p>
    <w:p>
      <w:pPr>
        <w:ind w:left="880" w:right="140" w:hanging="764"/>
        <w:spacing w:after="0" w:line="241" w:lineRule="auto"/>
        <w:tabs>
          <w:tab w:leader="none" w:pos="880" w:val="left"/>
        </w:tabs>
        <w:numPr>
          <w:ilvl w:val="0"/>
          <w:numId w:val="22"/>
        </w:numPr>
        <w:rPr>
          <w:rFonts w:ascii="Arial" w:cs="Arial" w:eastAsia="Arial" w:hAnsi="Arial"/>
          <w:sz w:val="13"/>
          <w:szCs w:val="13"/>
          <w:color w:val="auto"/>
        </w:rPr>
      </w:pPr>
      <w:r>
        <w:rPr>
          <w:rFonts w:ascii="Arial" w:cs="Arial" w:eastAsia="Arial" w:hAnsi="Arial"/>
          <w:sz w:val="13"/>
          <w:szCs w:val="13"/>
          <w:color w:val="auto"/>
        </w:rPr>
        <w:t>For all mortgage REITs other than AGNC, cost structures are based on operating expenses and average stockholders’ equity (excluding noncontrolling interests, as applicable) over the trailing twelve-month period ended September 30, 2019 as publicly reported by such REITs. Operating costs include expenses for compensation and benefits, management fees, incentive fees (if applicable), and general and administrative expenses. To the extent publicly disclosed by such REITs, operating costs exclude one-time or nonrecurring expenses and direct costs associated with operating activities, such as loan acquisition costs, securitization costs and servicing expenses. AGNC’s operating cost structure is based on average stockholders’ equity for the twelve-month period ended December 31, 2019; it includes compensation and benefits and general and administrative expenses and, if applicable, excludes one-time and nonrecurring charges. Source: Company filings and S&amp;P Global Market Intelligence.</w:t>
      </w:r>
    </w:p>
    <w:p>
      <w:pPr>
        <w:spacing w:after="0" w:line="2" w:lineRule="exact"/>
        <w:rPr>
          <w:rFonts w:ascii="Arial" w:cs="Arial" w:eastAsia="Arial" w:hAnsi="Arial"/>
          <w:sz w:val="13"/>
          <w:szCs w:val="13"/>
          <w:color w:val="auto"/>
        </w:rPr>
      </w:pPr>
    </w:p>
    <w:p>
      <w:pPr>
        <w:ind w:left="880" w:right="320" w:hanging="764"/>
        <w:spacing w:after="0" w:line="237" w:lineRule="auto"/>
        <w:tabs>
          <w:tab w:leader="none" w:pos="880" w:val="left"/>
        </w:tabs>
        <w:numPr>
          <w:ilvl w:val="0"/>
          <w:numId w:val="22"/>
        </w:numPr>
        <w:rPr>
          <w:rFonts w:ascii="Arial" w:cs="Arial" w:eastAsia="Arial" w:hAnsi="Arial"/>
          <w:sz w:val="14"/>
          <w:szCs w:val="14"/>
          <w:color w:val="auto"/>
        </w:rPr>
      </w:pPr>
      <w:r>
        <w:rPr>
          <w:rFonts w:ascii="Arial" w:cs="Arial" w:eastAsia="Arial" w:hAnsi="Arial"/>
          <w:sz w:val="14"/>
          <w:szCs w:val="14"/>
          <w:color w:val="auto"/>
        </w:rPr>
        <w:t>The Agency REIT Peer Group is unweighted. The large Resi mREIT group is unweighted and includes residential mREITs with greater than $3 billion in total stockholders’ equity as of September 30, 2019: CIM, MFA, NLY, NRZ, and TWO. The Resi mREIT Universe is unweighted.</w:t>
      </w:r>
    </w:p>
    <w:p>
      <w:pPr>
        <w:spacing w:after="0" w:line="116" w:lineRule="exact"/>
        <w:rPr>
          <w:sz w:val="20"/>
          <w:szCs w:val="20"/>
          <w:color w:val="auto"/>
        </w:rPr>
      </w:pPr>
    </w:p>
    <w:p>
      <w:pPr>
        <w:ind w:left="7960"/>
        <w:spacing w:after="0"/>
        <w:tabs>
          <w:tab w:leader="none" w:pos="109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33</w:t>
      </w:r>
    </w:p>
    <w:p>
      <w:pPr>
        <w:sectPr>
          <w:pgSz w:w="11900" w:h="16838" w:orient="portrait"/>
          <w:cols w:equalWidth="0" w:num="1">
            <w:col w:w="11140"/>
          </w:cols>
          <w:pgMar w:left="320" w:top="459" w:right="439" w:bottom="1440" w:gutter="0" w:footer="0" w:header="0"/>
        </w:sectPr>
      </w:pPr>
    </w:p>
    <w:bookmarkStart w:id="46" w:name="page47"/>
    <w:bookmarkEnd w:id="4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4"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Compensation Philosophy and Objectives</w:t>
      </w:r>
    </w:p>
    <w:p>
      <w:pPr>
        <w:spacing w:after="0" w:line="121"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Executive Compensation Program Objectives</w:t>
      </w:r>
    </w:p>
    <w:p>
      <w:pPr>
        <w:spacing w:after="0" w:line="117"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Our executive compensation programs are designed to focus on key strategic and financial objectives including:</w:t>
      </w:r>
    </w:p>
    <w:p>
      <w:pPr>
        <w:spacing w:after="0" w:line="246" w:lineRule="exact"/>
        <w:rPr>
          <w:sz w:val="20"/>
          <w:szCs w:val="20"/>
          <w:color w:val="auto"/>
        </w:rPr>
      </w:pPr>
    </w:p>
    <w:tbl>
      <w:tblPr>
        <w:tblLayout w:type="fixed"/>
        <w:tblInd w:w="130" w:type="dxa"/>
        <w:tblCellMar>
          <w:top w:w="0" w:type="dxa"/>
          <w:left w:w="0" w:type="dxa"/>
          <w:bottom w:w="0" w:type="dxa"/>
          <w:right w:w="0" w:type="dxa"/>
        </w:tblCellMar>
      </w:tblPr>
      <w:tr>
        <w:trPr>
          <w:trHeight w:val="291"/>
        </w:trPr>
        <w:tc>
          <w:tcPr>
            <w:tcW w:w="3320" w:type="dxa"/>
            <w:vAlign w:val="bottom"/>
            <w:tcBorders>
              <w:top w:val="single" w:sz="8" w:color="407CCA"/>
              <w:left w:val="single" w:sz="8" w:color="407CCA"/>
              <w:bottom w:val="single" w:sz="8" w:color="407CCA"/>
              <w:right w:val="single" w:sz="8" w:color="407CCA"/>
            </w:tcBorders>
            <w:shd w:val="clear" w:color="auto" w:fill="BFBFBF"/>
          </w:tcPr>
          <w:p>
            <w:pPr>
              <w:ind w:left="60"/>
              <w:spacing w:after="0"/>
              <w:rPr>
                <w:sz w:val="20"/>
                <w:szCs w:val="20"/>
                <w:color w:val="auto"/>
              </w:rPr>
            </w:pPr>
            <w:r>
              <w:rPr>
                <w:rFonts w:ascii="Arial" w:cs="Arial" w:eastAsia="Arial" w:hAnsi="Arial"/>
                <w:sz w:val="18"/>
                <w:szCs w:val="18"/>
                <w:b w:val="1"/>
                <w:bCs w:val="1"/>
                <w:color w:val="auto"/>
              </w:rPr>
              <w:t>Pay-for-Performance</w:t>
            </w:r>
          </w:p>
        </w:tc>
        <w:tc>
          <w:tcPr>
            <w:tcW w:w="7720" w:type="dxa"/>
            <w:vAlign w:val="bottom"/>
            <w:tcBorders>
              <w:top w:val="single" w:sz="8" w:color="407CCA"/>
              <w:bottom w:val="single" w:sz="8" w:color="407CCA"/>
              <w:right w:val="single" w:sz="8" w:color="407CCA"/>
            </w:tcBorders>
          </w:tcPr>
          <w:p>
            <w:pPr>
              <w:ind w:left="100"/>
              <w:spacing w:after="0"/>
              <w:rPr>
                <w:sz w:val="20"/>
                <w:szCs w:val="20"/>
                <w:color w:val="auto"/>
              </w:rPr>
            </w:pPr>
            <w:r>
              <w:rPr>
                <w:rFonts w:ascii="Arial" w:cs="Arial" w:eastAsia="Arial" w:hAnsi="Arial"/>
                <w:sz w:val="18"/>
                <w:szCs w:val="18"/>
                <w:color w:val="auto"/>
              </w:rPr>
              <w:t>Link compensation to achievement of short- and long-term financial and strategic goals</w:t>
            </w:r>
          </w:p>
        </w:tc>
      </w:tr>
      <w:tr>
        <w:trPr>
          <w:trHeight w:val="256"/>
        </w:trPr>
        <w:tc>
          <w:tcPr>
            <w:tcW w:w="3320" w:type="dxa"/>
            <w:vAlign w:val="bottom"/>
            <w:tcBorders>
              <w:left w:val="single" w:sz="8" w:color="407CCA"/>
              <w:right w:val="single" w:sz="8" w:color="407CCA"/>
            </w:tcBorders>
            <w:shd w:val="clear" w:color="auto" w:fill="BFBFBF"/>
          </w:tcPr>
          <w:p>
            <w:pPr>
              <w:ind w:left="60"/>
              <w:spacing w:after="0"/>
              <w:rPr>
                <w:sz w:val="20"/>
                <w:szCs w:val="20"/>
                <w:color w:val="auto"/>
              </w:rPr>
            </w:pPr>
            <w:r>
              <w:rPr>
                <w:rFonts w:ascii="Arial" w:cs="Arial" w:eastAsia="Arial" w:hAnsi="Arial"/>
                <w:sz w:val="18"/>
                <w:szCs w:val="18"/>
                <w:b w:val="1"/>
                <w:bCs w:val="1"/>
                <w:color w:val="auto"/>
              </w:rPr>
              <w:t>Attraction and Retention</w:t>
            </w:r>
          </w:p>
        </w:tc>
        <w:tc>
          <w:tcPr>
            <w:tcW w:w="7720" w:type="dxa"/>
            <w:vAlign w:val="bottom"/>
            <w:tcBorders>
              <w:right w:val="single" w:sz="8" w:color="407CCA"/>
            </w:tcBorders>
          </w:tcPr>
          <w:p>
            <w:pPr>
              <w:ind w:left="100"/>
              <w:spacing w:after="0"/>
              <w:rPr>
                <w:sz w:val="20"/>
                <w:szCs w:val="20"/>
                <w:color w:val="auto"/>
              </w:rPr>
            </w:pPr>
            <w:r>
              <w:rPr>
                <w:rFonts w:ascii="Arial" w:cs="Arial" w:eastAsia="Arial" w:hAnsi="Arial"/>
                <w:sz w:val="18"/>
                <w:szCs w:val="18"/>
                <w:color w:val="auto"/>
                <w:w w:val="94"/>
              </w:rPr>
              <w:t>Attract and retain a high-quality management team with skills necessary to outperform industry peers</w:t>
            </w:r>
          </w:p>
        </w:tc>
      </w:tr>
      <w:tr>
        <w:trPr>
          <w:trHeight w:val="237"/>
        </w:trPr>
        <w:tc>
          <w:tcPr>
            <w:tcW w:w="3320" w:type="dxa"/>
            <w:vAlign w:val="bottom"/>
            <w:tcBorders>
              <w:left w:val="single" w:sz="8" w:color="407CCA"/>
              <w:bottom w:val="single" w:sz="8" w:color="407CCA"/>
              <w:right w:val="single" w:sz="8" w:color="407CCA"/>
            </w:tcBorders>
            <w:shd w:val="clear" w:color="auto" w:fill="BFBFBF"/>
          </w:tcPr>
          <w:p>
            <w:pPr>
              <w:spacing w:after="0"/>
              <w:rPr>
                <w:sz w:val="20"/>
                <w:szCs w:val="20"/>
                <w:color w:val="auto"/>
              </w:rPr>
            </w:pPr>
          </w:p>
        </w:tc>
        <w:tc>
          <w:tcPr>
            <w:tcW w:w="7720" w:type="dxa"/>
            <w:vAlign w:val="bottom"/>
            <w:tcBorders>
              <w:bottom w:val="single" w:sz="8" w:color="407CCA"/>
              <w:right w:val="single" w:sz="8" w:color="407CCA"/>
            </w:tcBorders>
          </w:tcPr>
          <w:p>
            <w:pPr>
              <w:ind w:left="100"/>
              <w:spacing w:after="0"/>
              <w:rPr>
                <w:sz w:val="20"/>
                <w:szCs w:val="20"/>
                <w:color w:val="auto"/>
              </w:rPr>
            </w:pPr>
            <w:r>
              <w:rPr>
                <w:rFonts w:ascii="Arial" w:cs="Arial" w:eastAsia="Arial" w:hAnsi="Arial"/>
                <w:sz w:val="18"/>
                <w:szCs w:val="18"/>
                <w:color w:val="auto"/>
              </w:rPr>
              <w:t>and achieve AGNC’s strategic objectives</w:t>
            </w:r>
          </w:p>
        </w:tc>
      </w:tr>
      <w:tr>
        <w:trPr>
          <w:trHeight w:val="256"/>
        </w:trPr>
        <w:tc>
          <w:tcPr>
            <w:tcW w:w="3320" w:type="dxa"/>
            <w:vAlign w:val="bottom"/>
            <w:tcBorders>
              <w:left w:val="single" w:sz="8" w:color="407CCA"/>
              <w:right w:val="single" w:sz="8" w:color="407CCA"/>
            </w:tcBorders>
            <w:shd w:val="clear" w:color="auto" w:fill="BFBFBF"/>
          </w:tcPr>
          <w:p>
            <w:pPr>
              <w:ind w:left="60"/>
              <w:spacing w:after="0"/>
              <w:rPr>
                <w:sz w:val="20"/>
                <w:szCs w:val="20"/>
                <w:color w:val="auto"/>
              </w:rPr>
            </w:pPr>
            <w:r>
              <w:rPr>
                <w:rFonts w:ascii="Arial" w:cs="Arial" w:eastAsia="Arial" w:hAnsi="Arial"/>
                <w:sz w:val="18"/>
                <w:szCs w:val="18"/>
                <w:b w:val="1"/>
                <w:bCs w:val="1"/>
                <w:color w:val="auto"/>
              </w:rPr>
              <w:t>Alignment with Stockholders</w:t>
            </w:r>
          </w:p>
        </w:tc>
        <w:tc>
          <w:tcPr>
            <w:tcW w:w="7720" w:type="dxa"/>
            <w:vAlign w:val="bottom"/>
            <w:tcBorders>
              <w:right w:val="single" w:sz="8" w:color="407CCA"/>
            </w:tcBorders>
          </w:tcPr>
          <w:p>
            <w:pPr>
              <w:ind w:left="100"/>
              <w:spacing w:after="0"/>
              <w:rPr>
                <w:sz w:val="20"/>
                <w:szCs w:val="20"/>
                <w:color w:val="auto"/>
              </w:rPr>
            </w:pPr>
            <w:r>
              <w:rPr>
                <w:rFonts w:ascii="Arial" w:cs="Arial" w:eastAsia="Arial" w:hAnsi="Arial"/>
                <w:sz w:val="18"/>
                <w:szCs w:val="18"/>
                <w:color w:val="auto"/>
                <w:w w:val="92"/>
              </w:rPr>
              <w:t>Align the interests of executive officers and stockholders by tying elements of realized compensation to</w:t>
            </w:r>
          </w:p>
        </w:tc>
      </w:tr>
      <w:tr>
        <w:trPr>
          <w:trHeight w:val="237"/>
        </w:trPr>
        <w:tc>
          <w:tcPr>
            <w:tcW w:w="3320" w:type="dxa"/>
            <w:vAlign w:val="bottom"/>
            <w:tcBorders>
              <w:left w:val="single" w:sz="8" w:color="407CCA"/>
              <w:bottom w:val="single" w:sz="8" w:color="407CCA"/>
              <w:right w:val="single" w:sz="8" w:color="407CCA"/>
            </w:tcBorders>
            <w:shd w:val="clear" w:color="auto" w:fill="BFBFBF"/>
          </w:tcPr>
          <w:p>
            <w:pPr>
              <w:spacing w:after="0"/>
              <w:rPr>
                <w:sz w:val="20"/>
                <w:szCs w:val="20"/>
                <w:color w:val="auto"/>
              </w:rPr>
            </w:pPr>
          </w:p>
        </w:tc>
        <w:tc>
          <w:tcPr>
            <w:tcW w:w="7720" w:type="dxa"/>
            <w:vAlign w:val="bottom"/>
            <w:tcBorders>
              <w:bottom w:val="single" w:sz="8" w:color="407CCA"/>
              <w:right w:val="single" w:sz="8" w:color="407CCA"/>
            </w:tcBorders>
          </w:tcPr>
          <w:p>
            <w:pPr>
              <w:ind w:left="100"/>
              <w:spacing w:after="0"/>
              <w:rPr>
                <w:sz w:val="20"/>
                <w:szCs w:val="20"/>
                <w:color w:val="auto"/>
              </w:rPr>
            </w:pPr>
            <w:r>
              <w:rPr>
                <w:rFonts w:ascii="Arial" w:cs="Arial" w:eastAsia="Arial" w:hAnsi="Arial"/>
                <w:sz w:val="18"/>
                <w:szCs w:val="18"/>
                <w:color w:val="auto"/>
              </w:rPr>
              <w:t>stockholder value</w:t>
            </w:r>
          </w:p>
        </w:tc>
      </w:tr>
      <w:tr>
        <w:trPr>
          <w:trHeight w:val="256"/>
        </w:trPr>
        <w:tc>
          <w:tcPr>
            <w:tcW w:w="3320" w:type="dxa"/>
            <w:vAlign w:val="bottom"/>
            <w:tcBorders>
              <w:left w:val="single" w:sz="8" w:color="407CCA"/>
              <w:right w:val="single" w:sz="8" w:color="407CCA"/>
            </w:tcBorders>
            <w:shd w:val="clear" w:color="auto" w:fill="BFBFBF"/>
          </w:tcPr>
          <w:p>
            <w:pPr>
              <w:ind w:left="60"/>
              <w:spacing w:after="0"/>
              <w:rPr>
                <w:sz w:val="20"/>
                <w:szCs w:val="20"/>
                <w:color w:val="auto"/>
              </w:rPr>
            </w:pPr>
            <w:r>
              <w:rPr>
                <w:rFonts w:ascii="Arial" w:cs="Arial" w:eastAsia="Arial" w:hAnsi="Arial"/>
                <w:sz w:val="18"/>
                <w:szCs w:val="18"/>
                <w:b w:val="1"/>
                <w:bCs w:val="1"/>
                <w:color w:val="auto"/>
              </w:rPr>
              <w:t>Financial Efficiency</w:t>
            </w:r>
          </w:p>
        </w:tc>
        <w:tc>
          <w:tcPr>
            <w:tcW w:w="7720" w:type="dxa"/>
            <w:vAlign w:val="bottom"/>
            <w:tcBorders>
              <w:right w:val="single" w:sz="8" w:color="407CCA"/>
            </w:tcBorders>
          </w:tcPr>
          <w:p>
            <w:pPr>
              <w:ind w:left="100"/>
              <w:spacing w:after="0"/>
              <w:rPr>
                <w:sz w:val="20"/>
                <w:szCs w:val="20"/>
                <w:color w:val="auto"/>
              </w:rPr>
            </w:pPr>
            <w:r>
              <w:rPr>
                <w:rFonts w:ascii="Arial" w:cs="Arial" w:eastAsia="Arial" w:hAnsi="Arial"/>
                <w:sz w:val="18"/>
                <w:szCs w:val="18"/>
                <w:color w:val="auto"/>
                <w:w w:val="93"/>
              </w:rPr>
              <w:t>Maintain a low-cost operating structure that maximizes financial efficiency from a tax, accounting, and</w:t>
            </w:r>
          </w:p>
        </w:tc>
      </w:tr>
      <w:tr>
        <w:trPr>
          <w:trHeight w:val="237"/>
        </w:trPr>
        <w:tc>
          <w:tcPr>
            <w:tcW w:w="3320" w:type="dxa"/>
            <w:vAlign w:val="bottom"/>
            <w:tcBorders>
              <w:left w:val="single" w:sz="8" w:color="407CCA"/>
              <w:bottom w:val="single" w:sz="8" w:color="407CCA"/>
              <w:right w:val="single" w:sz="8" w:color="407CCA"/>
            </w:tcBorders>
            <w:shd w:val="clear" w:color="auto" w:fill="BFBFBF"/>
          </w:tcPr>
          <w:p>
            <w:pPr>
              <w:spacing w:after="0"/>
              <w:rPr>
                <w:sz w:val="20"/>
                <w:szCs w:val="20"/>
                <w:color w:val="auto"/>
              </w:rPr>
            </w:pPr>
          </w:p>
        </w:tc>
        <w:tc>
          <w:tcPr>
            <w:tcW w:w="7720" w:type="dxa"/>
            <w:vAlign w:val="bottom"/>
            <w:tcBorders>
              <w:bottom w:val="single" w:sz="8" w:color="407CCA"/>
              <w:right w:val="single" w:sz="8" w:color="407CCA"/>
            </w:tcBorders>
          </w:tcPr>
          <w:p>
            <w:pPr>
              <w:ind w:left="100"/>
              <w:spacing w:after="0"/>
              <w:rPr>
                <w:sz w:val="20"/>
                <w:szCs w:val="20"/>
                <w:color w:val="auto"/>
              </w:rPr>
            </w:pPr>
            <w:r>
              <w:rPr>
                <w:rFonts w:ascii="Arial" w:cs="Arial" w:eastAsia="Arial" w:hAnsi="Arial"/>
                <w:sz w:val="18"/>
                <w:szCs w:val="18"/>
                <w:color w:val="auto"/>
              </w:rPr>
              <w:t>cash flow perspective</w:t>
            </w:r>
          </w:p>
        </w:tc>
      </w:tr>
      <w:tr>
        <w:trPr>
          <w:trHeight w:val="277"/>
        </w:trPr>
        <w:tc>
          <w:tcPr>
            <w:tcW w:w="3320" w:type="dxa"/>
            <w:vAlign w:val="bottom"/>
            <w:tcBorders>
              <w:left w:val="single" w:sz="8" w:color="407CCA"/>
              <w:bottom w:val="single" w:sz="8" w:color="407CCA"/>
              <w:right w:val="single" w:sz="8" w:color="407CCA"/>
            </w:tcBorders>
            <w:shd w:val="clear" w:color="auto" w:fill="BFBFBF"/>
          </w:tcPr>
          <w:p>
            <w:pPr>
              <w:ind w:left="60"/>
              <w:spacing w:after="0"/>
              <w:rPr>
                <w:sz w:val="20"/>
                <w:szCs w:val="20"/>
                <w:color w:val="auto"/>
              </w:rPr>
            </w:pPr>
            <w:r>
              <w:rPr>
                <w:rFonts w:ascii="Arial" w:cs="Arial" w:eastAsia="Arial" w:hAnsi="Arial"/>
                <w:sz w:val="18"/>
                <w:szCs w:val="18"/>
                <w:b w:val="1"/>
                <w:bCs w:val="1"/>
                <w:color w:val="auto"/>
              </w:rPr>
              <w:t>Strong Compensation Governance</w:t>
            </w:r>
          </w:p>
        </w:tc>
        <w:tc>
          <w:tcPr>
            <w:tcW w:w="7720" w:type="dxa"/>
            <w:vAlign w:val="bottom"/>
            <w:tcBorders>
              <w:bottom w:val="single" w:sz="8" w:color="407CCA"/>
              <w:right w:val="single" w:sz="8" w:color="407CCA"/>
            </w:tcBorders>
          </w:tcPr>
          <w:p>
            <w:pPr>
              <w:ind w:left="100"/>
              <w:spacing w:after="0"/>
              <w:rPr>
                <w:sz w:val="20"/>
                <w:szCs w:val="20"/>
                <w:color w:val="auto"/>
              </w:rPr>
            </w:pPr>
            <w:r>
              <w:rPr>
                <w:rFonts w:ascii="Arial" w:cs="Arial" w:eastAsia="Arial" w:hAnsi="Arial"/>
                <w:sz w:val="18"/>
                <w:szCs w:val="18"/>
                <w:color w:val="auto"/>
              </w:rPr>
              <w:t>Employ high quality practices in governance of executive compensation</w:t>
            </w:r>
          </w:p>
        </w:tc>
      </w:tr>
    </w:tbl>
    <w:p>
      <w:pPr>
        <w:spacing w:after="0" w:line="130"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34</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40"/>
          </w:cols>
          <w:pgMar w:left="320" w:top="459" w:right="439" w:bottom="1440" w:gutter="0" w:footer="0" w:header="0"/>
        </w:sectPr>
      </w:pPr>
    </w:p>
    <w:bookmarkStart w:id="47" w:name="page48"/>
    <w:bookmarkEnd w:id="4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9180"/>
        <w:spacing w:after="0"/>
        <w:rPr>
          <w:sz w:val="20"/>
          <w:szCs w:val="20"/>
          <w:color w:val="auto"/>
        </w:rPr>
      </w:pPr>
      <w:r>
        <w:rPr>
          <w:rFonts w:ascii="Arial" w:cs="Arial" w:eastAsia="Arial" w:hAnsi="Arial"/>
          <w:sz w:val="13"/>
          <w:szCs w:val="13"/>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28575</wp:posOffset>
            </wp:positionV>
            <wp:extent cx="6995160" cy="825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99" w:lineRule="exact"/>
        <w:rPr>
          <w:sz w:val="20"/>
          <w:szCs w:val="20"/>
          <w:color w:val="auto"/>
        </w:rPr>
      </w:pPr>
    </w:p>
    <w:p>
      <w:pPr>
        <w:ind w:left="120" w:right="100" w:firstLine="881"/>
        <w:spacing w:after="0" w:line="263" w:lineRule="auto"/>
        <w:rPr>
          <w:sz w:val="20"/>
          <w:szCs w:val="20"/>
          <w:color w:val="auto"/>
        </w:rPr>
      </w:pPr>
      <w:r>
        <w:rPr>
          <w:rFonts w:ascii="Arial" w:cs="Arial" w:eastAsia="Arial" w:hAnsi="Arial"/>
          <w:sz w:val="18"/>
          <w:szCs w:val="18"/>
          <w:color w:val="auto"/>
        </w:rPr>
        <w:t>In support of these objectives, AGNC provides its NEOs total compensation in the form of base salary, annual performance-based incentives, and long-term incentive awards. The following describes the compensation components for 2019. Certain modifications have been made for 2020 as described in detail within this Compensation Discussion and Analysis.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973455</wp:posOffset>
            </wp:positionH>
            <wp:positionV relativeFrom="paragraph">
              <wp:posOffset>142875</wp:posOffset>
            </wp:positionV>
            <wp:extent cx="5203190" cy="462026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a:extLst>
                        <a:ext uri="{28A0092B-C50C-407E-A947-70E740481C1C}"/>
                      </a:extLst>
                    </a:blip>
                    <a:srcRect/>
                    <a:stretch>
                      <a:fillRect/>
                    </a:stretch>
                  </pic:blipFill>
                  <pic:spPr bwMode="auto">
                    <a:xfrm>
                      <a:off x="0" y="0"/>
                      <a:ext cx="5203190" cy="46202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7"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Stockholder Engagement and Response to 2018 and 2019 Advisory Resolutions on Executive Compensation</w:t>
      </w:r>
    </w:p>
    <w:p>
      <w:pPr>
        <w:spacing w:after="0" w:line="121"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Summary of Changes Made in 2019</w:t>
      </w:r>
    </w:p>
    <w:p>
      <w:pPr>
        <w:spacing w:after="0" w:line="117" w:lineRule="exact"/>
        <w:rPr>
          <w:sz w:val="20"/>
          <w:szCs w:val="20"/>
          <w:color w:val="auto"/>
        </w:rPr>
      </w:pPr>
    </w:p>
    <w:p>
      <w:pPr>
        <w:ind w:left="120" w:right="40" w:firstLine="881"/>
        <w:spacing w:after="0" w:line="311" w:lineRule="auto"/>
        <w:rPr>
          <w:sz w:val="20"/>
          <w:szCs w:val="20"/>
          <w:color w:val="auto"/>
        </w:rPr>
      </w:pPr>
      <w:r>
        <w:rPr>
          <w:rFonts w:ascii="Arial" w:cs="Arial" w:eastAsia="Arial" w:hAnsi="Arial"/>
          <w:sz w:val="16"/>
          <w:szCs w:val="16"/>
          <w:color w:val="auto"/>
        </w:rPr>
        <w:t>In 2019, 68% of our stockholders supported our advisory resolution on executive compensation, which marked a significant improvement over the results of the 2018 advisory vote on executive compensation and we believe reflects the positive actions taken by our Compensation Committee in response to stockholder feedback. Our 2019 compensation program implemented a number of significant changes in response to feedback from our</w:t>
      </w:r>
    </w:p>
    <w:p>
      <w:pPr>
        <w:spacing w:after="0" w:line="77" w:lineRule="exact"/>
        <w:rPr>
          <w:sz w:val="20"/>
          <w:szCs w:val="20"/>
          <w:color w:val="auto"/>
        </w:rPr>
      </w:pPr>
    </w:p>
    <w:p>
      <w:pPr>
        <w:ind w:left="7960"/>
        <w:spacing w:after="0"/>
        <w:tabs>
          <w:tab w:leader="none" w:pos="109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35</w:t>
      </w:r>
    </w:p>
    <w:p>
      <w:pPr>
        <w:sectPr>
          <w:pgSz w:w="11900" w:h="16838" w:orient="portrait"/>
          <w:cols w:equalWidth="0" w:num="1">
            <w:col w:w="11140"/>
          </w:cols>
          <w:pgMar w:left="320" w:top="459" w:right="439" w:bottom="1440" w:gutter="0" w:footer="0" w:header="0"/>
        </w:sectPr>
      </w:pPr>
    </w:p>
    <w:bookmarkStart w:id="48" w:name="page49"/>
    <w:bookmarkEnd w:id="4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120" w:right="480"/>
        <w:spacing w:after="0" w:line="277" w:lineRule="auto"/>
        <w:rPr>
          <w:sz w:val="20"/>
          <w:szCs w:val="20"/>
          <w:color w:val="auto"/>
        </w:rPr>
      </w:pPr>
      <w:r>
        <w:rPr>
          <w:rFonts w:ascii="Arial" w:cs="Arial" w:eastAsia="Arial" w:hAnsi="Arial"/>
          <w:sz w:val="18"/>
          <w:szCs w:val="18"/>
          <w:color w:val="auto"/>
        </w:rPr>
        <w:t>stockholders during our engagement following the 2018 annual meeting. Specifically, effective for 2019, our Compensation Committee took the following actions:</w:t>
      </w:r>
    </w:p>
    <w:p>
      <w:pPr>
        <w:spacing w:after="0" w:line="197" w:lineRule="exact"/>
        <w:rPr>
          <w:sz w:val="20"/>
          <w:szCs w:val="20"/>
          <w:color w:val="auto"/>
        </w:rPr>
      </w:pPr>
    </w:p>
    <w:p>
      <w:pPr>
        <w:ind w:left="980" w:right="220" w:hanging="432"/>
        <w:spacing w:after="0" w:line="255" w:lineRule="auto"/>
        <w:tabs>
          <w:tab w:leader="none" w:pos="9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Reduced our CEO’s base salary by 50% and short-term incentive target by 25% (equal to a total of $2.7 million in annual cash compensation) and reallocated this amount to performance-based long-term incentive (“LTI”) awards (effective February 1, 2019). As a result, two-thirds of our CEO’s 2019 LTI awards were performance-based.</w:t>
      </w:r>
    </w:p>
    <w:p>
      <w:pPr>
        <w:spacing w:after="0" w:line="2" w:lineRule="exact"/>
        <w:rPr>
          <w:rFonts w:ascii="Arial" w:cs="Arial" w:eastAsia="Arial" w:hAnsi="Arial"/>
          <w:sz w:val="18"/>
          <w:szCs w:val="18"/>
          <w:color w:val="auto"/>
        </w:rPr>
      </w:pPr>
    </w:p>
    <w:p>
      <w:pPr>
        <w:ind w:left="980" w:hanging="432"/>
        <w:spacing w:after="0"/>
        <w:tabs>
          <w:tab w:leader="none" w:pos="9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Simplified the 2019 corporate scorecard relative to 2018.</w:t>
      </w:r>
    </w:p>
    <w:p>
      <w:pPr>
        <w:spacing w:after="0" w:line="9" w:lineRule="exact"/>
        <w:rPr>
          <w:rFonts w:ascii="Arial" w:cs="Arial" w:eastAsia="Arial" w:hAnsi="Arial"/>
          <w:sz w:val="18"/>
          <w:szCs w:val="18"/>
          <w:color w:val="auto"/>
        </w:rPr>
      </w:pPr>
    </w:p>
    <w:p>
      <w:pPr>
        <w:ind w:left="980" w:right="120" w:hanging="432"/>
        <w:spacing w:after="0" w:line="250" w:lineRule="auto"/>
        <w:tabs>
          <w:tab w:leader="none" w:pos="9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Modified the corporate scorecard for 2019 to assign a greater weighting to financial performance and made certain financial performance metrics more challenging (see page 44 for additional information).</w:t>
      </w:r>
    </w:p>
    <w:p>
      <w:pPr>
        <w:ind w:left="980" w:right="700" w:hanging="432"/>
        <w:spacing w:after="0" w:line="250" w:lineRule="auto"/>
        <w:tabs>
          <w:tab w:leader="none" w:pos="9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Realigned strategic and operational objectives in the corporate scorecard to focus more directly on AGNC’s value proposition for stockholders</w:t>
      </w:r>
    </w:p>
    <w:p>
      <w:pPr>
        <w:ind w:left="980" w:right="360" w:hanging="432"/>
        <w:spacing w:after="0" w:line="250" w:lineRule="auto"/>
        <w:tabs>
          <w:tab w:leader="none" w:pos="9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Increased target level of long-term incentive compensation for certain NEOs to ensure that at least 50% of NEO’s long-term incentive awards will be performance-based</w:t>
      </w:r>
    </w:p>
    <w:p>
      <w:pPr>
        <w:ind w:left="980" w:hanging="432"/>
        <w:spacing w:after="0" w:line="260" w:lineRule="auto"/>
        <w:tabs>
          <w:tab w:leader="none" w:pos="9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Provided enhanced disclosure in our proxy statement concerning our business and the industry in which we operate, including with respect to the limited availability of comparable peers.</w:t>
      </w:r>
    </w:p>
    <w:p>
      <w:pPr>
        <w:spacing w:after="0" w:line="185" w:lineRule="exact"/>
        <w:rPr>
          <w:rFonts w:ascii="Arial" w:cs="Arial" w:eastAsia="Arial" w:hAnsi="Arial"/>
          <w:sz w:val="18"/>
          <w:szCs w:val="18"/>
          <w:color w:val="auto"/>
        </w:rPr>
      </w:pPr>
    </w:p>
    <w:p>
      <w:pPr>
        <w:ind w:left="1000"/>
        <w:spacing w:after="0"/>
        <w:rPr>
          <w:rFonts w:ascii="Arial" w:cs="Arial" w:eastAsia="Arial" w:hAnsi="Arial"/>
          <w:sz w:val="18"/>
          <w:szCs w:val="18"/>
          <w:color w:val="auto"/>
        </w:rPr>
      </w:pPr>
      <w:r>
        <w:rPr>
          <w:rFonts w:ascii="Arial" w:cs="Arial" w:eastAsia="Arial" w:hAnsi="Arial"/>
          <w:sz w:val="18"/>
          <w:szCs w:val="18"/>
          <w:i w:val="1"/>
          <w:iCs w:val="1"/>
          <w:color w:val="407CCA"/>
        </w:rPr>
        <w:t>Continued Strong Outreach and Engagement Following 2019 Vote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982345</wp:posOffset>
            </wp:positionH>
            <wp:positionV relativeFrom="paragraph">
              <wp:posOffset>168910</wp:posOffset>
            </wp:positionV>
            <wp:extent cx="5186045" cy="1859915"/>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extLst>
                        <a:ext uri="{28A0092B-C50C-407E-A947-70E740481C1C}"/>
                      </a:extLst>
                    </a:blip>
                    <a:srcRect/>
                    <a:stretch>
                      <a:fillRect/>
                    </a:stretch>
                  </pic:blipFill>
                  <pic:spPr bwMode="auto">
                    <a:xfrm>
                      <a:off x="0" y="0"/>
                      <a:ext cx="5186045" cy="18599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8" w:lineRule="exact"/>
        <w:rPr>
          <w:sz w:val="20"/>
          <w:szCs w:val="20"/>
          <w:color w:val="auto"/>
        </w:rPr>
      </w:pPr>
    </w:p>
    <w:p>
      <w:pPr>
        <w:ind w:left="120" w:right="40" w:firstLine="881"/>
        <w:spacing w:after="0" w:line="272" w:lineRule="auto"/>
        <w:rPr>
          <w:sz w:val="20"/>
          <w:szCs w:val="20"/>
          <w:color w:val="auto"/>
        </w:rPr>
      </w:pPr>
      <w:r>
        <w:rPr>
          <w:rFonts w:ascii="Arial" w:cs="Arial" w:eastAsia="Arial" w:hAnsi="Arial"/>
          <w:sz w:val="17"/>
          <w:szCs w:val="17"/>
          <w:color w:val="auto"/>
        </w:rPr>
        <w:t>Given that a significant number of stockholders voted against the 2019 advisory resolution, our Board again engaged in an extensive outreach effort in the fall of 2019, contacting stockholders holding 84% of our institutionally held common stock (as compared to 80% in 2018) and comprising 57% of our outstanding common stock. A number of stockholders, representing approximately 22% of total shares outstanding, declined engagement stating there was no need for a meeting. We ultimately met with stockholders holding 43% of our institutionally held common stock and approximately 29% of outstanding common stock and with proxy advisory firms. Approximately one-third of the stockholders we engaged with voted against the advisory resolution in 2019. Our Independent Chair Prue Larocca and our Compensation and Corporate Governance Committee Chair Morris Davis participated in a number of these discussions.</w:t>
      </w:r>
    </w:p>
    <w:p>
      <w:pPr>
        <w:spacing w:after="0" w:line="105"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36</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0980"/>
          </w:cols>
          <w:pgMar w:left="320" w:top="459" w:right="599" w:bottom="1440" w:gutter="0" w:footer="0" w:header="0"/>
        </w:sectPr>
      </w:pPr>
    </w:p>
    <w:bookmarkStart w:id="49" w:name="page50"/>
    <w:bookmarkEnd w:id="4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6">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Summary of 2019 Outreach Feedback and Additional Changes Implemented for 2020</w:t>
      </w:r>
    </w:p>
    <w:p>
      <w:pPr>
        <w:spacing w:after="0" w:line="117" w:lineRule="exact"/>
        <w:rPr>
          <w:sz w:val="20"/>
          <w:szCs w:val="20"/>
          <w:color w:val="auto"/>
        </w:rPr>
      </w:pPr>
    </w:p>
    <w:p>
      <w:pPr>
        <w:ind w:left="120" w:right="140" w:firstLine="881"/>
        <w:spacing w:after="0" w:line="254" w:lineRule="auto"/>
        <w:rPr>
          <w:sz w:val="20"/>
          <w:szCs w:val="20"/>
          <w:color w:val="auto"/>
        </w:rPr>
      </w:pPr>
      <w:r>
        <w:rPr>
          <w:rFonts w:ascii="Arial" w:cs="Arial" w:eastAsia="Arial" w:hAnsi="Arial"/>
          <w:sz w:val="18"/>
          <w:szCs w:val="18"/>
          <w:color w:val="auto"/>
        </w:rPr>
        <w:t>During our Fall 2019 stockholder outreach efforts, investors generally expressed strong support for the direction of our compensation program given the changes implemented in 2019 and the program’s evolution since the Internalization. Many investors acknowledged that their concerns and questions raised during our 2018 stockholder engagement, which in many cases had significantly influenced their vote on our 2019 advisory resolution on executive compensation, were appropriately addressed with the changes to our compensation program implemented in 2019 and additional disclosure in our public filings. In addition to reviewing the steps we have taken to address the major concerns expressed previously by our stockholders, we also discussed their thoughts and questions on other aspects of our program and additional topics for consideration and continued evaluation. As a result of these discussions, we implemented additional changes to our compensation program that will take effect in 2020, and these topics are outlined below.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147955</wp:posOffset>
            </wp:positionV>
            <wp:extent cx="6995160" cy="20574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8">
                      <a:extLst>
                        <a:ext uri="{28A0092B-C50C-407E-A947-70E740481C1C}"/>
                      </a:extLst>
                    </a:blip>
                    <a:srcRect/>
                    <a:stretch>
                      <a:fillRect/>
                    </a:stretch>
                  </pic:blipFill>
                  <pic:spPr bwMode="auto">
                    <a:xfrm>
                      <a:off x="0" y="0"/>
                      <a:ext cx="6995160" cy="205740"/>
                    </a:xfrm>
                    <a:prstGeom prst="rect">
                      <a:avLst/>
                    </a:prstGeom>
                    <a:noFill/>
                  </pic:spPr>
                </pic:pic>
              </a:graphicData>
            </a:graphic>
          </wp:anchor>
        </w:drawing>
      </w:r>
    </w:p>
    <w:p>
      <w:pPr>
        <w:spacing w:after="0" w:line="303" w:lineRule="exact"/>
        <w:rPr>
          <w:sz w:val="20"/>
          <w:szCs w:val="20"/>
          <w:color w:val="auto"/>
        </w:rPr>
      </w:pPr>
    </w:p>
    <w:p>
      <w:pPr>
        <w:jc w:val="center"/>
        <w:ind w:right="-119"/>
        <w:spacing w:after="0"/>
        <w:rPr>
          <w:sz w:val="20"/>
          <w:szCs w:val="20"/>
          <w:color w:val="auto"/>
        </w:rPr>
      </w:pPr>
      <w:r>
        <w:rPr>
          <w:rFonts w:ascii="Arial" w:cs="Arial" w:eastAsia="Arial" w:hAnsi="Arial"/>
          <w:sz w:val="18"/>
          <w:szCs w:val="18"/>
          <w:b w:val="1"/>
          <w:bCs w:val="1"/>
          <w:color w:val="FFFFFF"/>
        </w:rPr>
        <w:t>Common Themes and Feedback from our Stockholder Engagement</w:t>
      </w:r>
    </w:p>
    <w:p>
      <w:pPr>
        <w:spacing w:after="0" w:line="36" w:lineRule="exact"/>
        <w:rPr>
          <w:sz w:val="20"/>
          <w:szCs w:val="20"/>
          <w:color w:val="auto"/>
        </w:rPr>
      </w:pPr>
    </w:p>
    <w:tbl>
      <w:tblPr>
        <w:tblLayout w:type="fixed"/>
        <w:tblInd w:w="120" w:type="dxa"/>
        <w:tblCellMar>
          <w:top w:w="0" w:type="dxa"/>
          <w:left w:w="0" w:type="dxa"/>
          <w:bottom w:w="0" w:type="dxa"/>
          <w:right w:w="0" w:type="dxa"/>
        </w:tblCellMar>
      </w:tblPr>
      <w:tr>
        <w:trPr>
          <w:trHeight w:val="207"/>
        </w:trPr>
        <w:tc>
          <w:tcPr>
            <w:tcW w:w="5420" w:type="dxa"/>
            <w:vAlign w:val="bottom"/>
            <w:shd w:val="clear" w:color="auto" w:fill="D8D8D8"/>
          </w:tcPr>
          <w:p>
            <w:pPr>
              <w:ind w:left="1680"/>
              <w:spacing w:after="0"/>
              <w:rPr>
                <w:sz w:val="20"/>
                <w:szCs w:val="20"/>
                <w:color w:val="auto"/>
              </w:rPr>
            </w:pPr>
            <w:r>
              <w:rPr>
                <w:rFonts w:ascii="Arial" w:cs="Arial" w:eastAsia="Arial" w:hAnsi="Arial"/>
                <w:sz w:val="18"/>
                <w:szCs w:val="18"/>
                <w:b w:val="1"/>
                <w:bCs w:val="1"/>
                <w:color w:val="auto"/>
              </w:rPr>
              <w:t>What We Heard</w:t>
            </w:r>
          </w:p>
        </w:tc>
        <w:tc>
          <w:tcPr>
            <w:tcW w:w="5600" w:type="dxa"/>
            <w:vAlign w:val="bottom"/>
            <w:shd w:val="clear" w:color="auto" w:fill="D8D8D8"/>
          </w:tcPr>
          <w:p>
            <w:pPr>
              <w:ind w:left="2540"/>
              <w:spacing w:after="0"/>
              <w:rPr>
                <w:sz w:val="20"/>
                <w:szCs w:val="20"/>
                <w:color w:val="auto"/>
              </w:rPr>
            </w:pPr>
            <w:r>
              <w:rPr>
                <w:rFonts w:ascii="Arial" w:cs="Arial" w:eastAsia="Arial" w:hAnsi="Arial"/>
                <w:sz w:val="18"/>
                <w:szCs w:val="18"/>
                <w:b w:val="1"/>
                <w:bCs w:val="1"/>
                <w:color w:val="auto"/>
              </w:rPr>
              <w:t>How We Addressed</w:t>
            </w:r>
          </w:p>
        </w:tc>
      </w:tr>
      <w:tr>
        <w:trPr>
          <w:trHeight w:val="202"/>
        </w:trPr>
        <w:tc>
          <w:tcPr>
            <w:tcW w:w="5420" w:type="dxa"/>
            <w:vAlign w:val="bottom"/>
            <w:shd w:val="clear" w:color="auto" w:fill="E2EBF7"/>
          </w:tcPr>
          <w:p>
            <w:pPr>
              <w:ind w:left="80"/>
              <w:spacing w:after="0" w:line="201" w:lineRule="exact"/>
              <w:rPr>
                <w:sz w:val="20"/>
                <w:szCs w:val="20"/>
                <w:color w:val="auto"/>
              </w:rPr>
            </w:pPr>
            <w:r>
              <w:rPr>
                <w:rFonts w:ascii="Arial" w:cs="Arial" w:eastAsia="Arial" w:hAnsi="Arial"/>
                <w:sz w:val="18"/>
                <w:szCs w:val="18"/>
                <w:color w:val="auto"/>
              </w:rPr>
              <w:t>Desire to better understand rationale for including economic</w:t>
            </w:r>
          </w:p>
        </w:tc>
        <w:tc>
          <w:tcPr>
            <w:tcW w:w="5600" w:type="dxa"/>
            <w:vAlign w:val="bottom"/>
            <w:shd w:val="clear" w:color="auto" w:fill="E2EBF7"/>
          </w:tcPr>
          <w:p>
            <w:pPr>
              <w:ind w:left="980"/>
              <w:spacing w:after="0" w:line="201" w:lineRule="exact"/>
              <w:rPr>
                <w:sz w:val="20"/>
                <w:szCs w:val="20"/>
                <w:color w:val="auto"/>
              </w:rPr>
            </w:pPr>
            <w:r>
              <w:rPr>
                <w:rFonts w:ascii="Arial" w:cs="Arial" w:eastAsia="Arial" w:hAnsi="Arial"/>
                <w:sz w:val="18"/>
                <w:szCs w:val="18"/>
                <w:color w:val="auto"/>
                <w:w w:val="91"/>
              </w:rPr>
              <w:t>Provided enhanced disclosure in the proxy statement regarding</w:t>
            </w:r>
          </w:p>
        </w:tc>
      </w:tr>
      <w:tr>
        <w:trPr>
          <w:trHeight w:val="216"/>
        </w:trPr>
        <w:tc>
          <w:tcPr>
            <w:tcW w:w="5420" w:type="dxa"/>
            <w:vAlign w:val="bottom"/>
            <w:shd w:val="clear" w:color="auto" w:fill="E2EBF7"/>
          </w:tcPr>
          <w:p>
            <w:pPr>
              <w:ind w:left="80"/>
              <w:spacing w:after="0"/>
              <w:rPr>
                <w:sz w:val="20"/>
                <w:szCs w:val="20"/>
                <w:color w:val="auto"/>
              </w:rPr>
            </w:pPr>
            <w:r>
              <w:rPr>
                <w:rFonts w:ascii="Arial" w:cs="Arial" w:eastAsia="Arial" w:hAnsi="Arial"/>
                <w:sz w:val="18"/>
                <w:szCs w:val="18"/>
                <w:color w:val="auto"/>
              </w:rPr>
              <w:t>return as a metric in both short- and long-term incentives</w:t>
            </w:r>
          </w:p>
        </w:tc>
        <w:tc>
          <w:tcPr>
            <w:tcW w:w="5600" w:type="dxa"/>
            <w:vAlign w:val="bottom"/>
            <w:shd w:val="clear" w:color="auto" w:fill="E2EBF7"/>
          </w:tcPr>
          <w:p>
            <w:pPr>
              <w:ind w:left="980"/>
              <w:spacing w:after="0"/>
              <w:rPr>
                <w:sz w:val="20"/>
                <w:szCs w:val="20"/>
                <w:color w:val="auto"/>
              </w:rPr>
            </w:pPr>
            <w:r>
              <w:rPr>
                <w:rFonts w:ascii="Arial" w:cs="Arial" w:eastAsia="Arial" w:hAnsi="Arial"/>
                <w:sz w:val="18"/>
                <w:szCs w:val="18"/>
                <w:color w:val="auto"/>
              </w:rPr>
              <w:t>the elements of our scorecard and the overlap of certain</w:t>
            </w:r>
          </w:p>
        </w:tc>
      </w:tr>
      <w:tr>
        <w:trPr>
          <w:trHeight w:val="230"/>
        </w:trPr>
        <w:tc>
          <w:tcPr>
            <w:tcW w:w="5420" w:type="dxa"/>
            <w:vAlign w:val="bottom"/>
            <w:shd w:val="clear" w:color="auto" w:fill="E2EBF7"/>
          </w:tcPr>
          <w:p>
            <w:pPr>
              <w:spacing w:after="0"/>
              <w:rPr>
                <w:sz w:val="20"/>
                <w:szCs w:val="20"/>
                <w:color w:val="auto"/>
              </w:rPr>
            </w:pPr>
          </w:p>
        </w:tc>
        <w:tc>
          <w:tcPr>
            <w:tcW w:w="5600" w:type="dxa"/>
            <w:vAlign w:val="bottom"/>
            <w:shd w:val="clear" w:color="auto" w:fill="E2EBF7"/>
          </w:tcPr>
          <w:p>
            <w:pPr>
              <w:ind w:left="980"/>
              <w:spacing w:after="0"/>
              <w:rPr>
                <w:sz w:val="20"/>
                <w:szCs w:val="20"/>
                <w:color w:val="auto"/>
              </w:rPr>
            </w:pPr>
            <w:r>
              <w:rPr>
                <w:rFonts w:ascii="Arial" w:cs="Arial" w:eastAsia="Arial" w:hAnsi="Arial"/>
                <w:sz w:val="18"/>
                <w:szCs w:val="18"/>
                <w:color w:val="auto"/>
              </w:rPr>
              <w:t>financial metrics (see pages 45-46).</w:t>
            </w:r>
          </w:p>
        </w:tc>
      </w:tr>
      <w:tr>
        <w:trPr>
          <w:trHeight w:val="81"/>
        </w:trPr>
        <w:tc>
          <w:tcPr>
            <w:tcW w:w="5420" w:type="dxa"/>
            <w:vAlign w:val="bottom"/>
            <w:shd w:val="clear" w:color="auto" w:fill="E2EBF7"/>
          </w:tcPr>
          <w:p>
            <w:pPr>
              <w:spacing w:after="0"/>
              <w:rPr>
                <w:sz w:val="7"/>
                <w:szCs w:val="7"/>
                <w:color w:val="auto"/>
              </w:rPr>
            </w:pPr>
          </w:p>
        </w:tc>
        <w:tc>
          <w:tcPr>
            <w:tcW w:w="5600" w:type="dxa"/>
            <w:vAlign w:val="bottom"/>
            <w:shd w:val="clear" w:color="auto" w:fill="E2EBF7"/>
          </w:tcPr>
          <w:p>
            <w:pPr>
              <w:spacing w:after="0"/>
              <w:rPr>
                <w:sz w:val="7"/>
                <w:szCs w:val="7"/>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3459480</wp:posOffset>
            </wp:positionH>
            <wp:positionV relativeFrom="paragraph">
              <wp:posOffset>-334010</wp:posOffset>
            </wp:positionV>
            <wp:extent cx="248920" cy="20574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a:extLst>
                        <a:ext uri="{28A0092B-C50C-407E-A947-70E740481C1C}"/>
                      </a:extLst>
                    </a:blip>
                    <a:srcRect/>
                    <a:stretch>
                      <a:fillRect/>
                    </a:stretch>
                  </pic:blipFill>
                  <pic:spPr bwMode="auto">
                    <a:xfrm>
                      <a:off x="0" y="0"/>
                      <a:ext cx="248920" cy="205740"/>
                    </a:xfrm>
                    <a:prstGeom prst="rect">
                      <a:avLst/>
                    </a:prstGeom>
                    <a:noFill/>
                  </pic:spPr>
                </pic:pic>
              </a:graphicData>
            </a:graphic>
          </wp:anchor>
        </w:drawing>
      </w:r>
    </w:p>
    <w:p>
      <w:pPr>
        <w:sectPr>
          <w:pgSz w:w="11900" w:h="16838" w:orient="portrait"/>
          <w:cols w:equalWidth="0" w:num="1">
            <w:col w:w="11140"/>
          </w:cols>
          <w:pgMar w:left="320" w:top="459" w:right="439" w:bottom="1440" w:gutter="0" w:footer="0" w:header="0"/>
        </w:sectPr>
      </w:pPr>
    </w:p>
    <w:p>
      <w:pPr>
        <w:spacing w:after="0" w:line="40" w:lineRule="exact"/>
        <w:rPr>
          <w:sz w:val="20"/>
          <w:szCs w:val="20"/>
          <w:color w:val="auto"/>
        </w:rPr>
      </w:pPr>
    </w:p>
    <w:p>
      <w:pPr>
        <w:ind w:left="200"/>
        <w:spacing w:after="0"/>
        <w:rPr>
          <w:sz w:val="20"/>
          <w:szCs w:val="20"/>
          <w:color w:val="auto"/>
        </w:rPr>
      </w:pPr>
      <w:r>
        <w:rPr>
          <w:rFonts w:ascii="Arial" w:cs="Arial" w:eastAsia="Arial" w:hAnsi="Arial"/>
          <w:sz w:val="16"/>
          <w:szCs w:val="16"/>
          <w:color w:val="auto"/>
        </w:rPr>
        <w:t>Desire to better understand how performance metrics are set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629285</wp:posOffset>
            </wp:positionV>
            <wp:extent cx="2940050" cy="908685"/>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a:extLst>
                        <a:ext uri="{28A0092B-C50C-407E-A947-70E740481C1C}"/>
                      </a:extLst>
                    </a:blip>
                    <a:srcRect/>
                    <a:stretch>
                      <a:fillRect/>
                    </a:stretch>
                  </pic:blipFill>
                  <pic:spPr bwMode="auto">
                    <a:xfrm>
                      <a:off x="0" y="0"/>
                      <a:ext cx="2940050" cy="9086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ind w:left="200" w:right="1060"/>
        <w:spacing w:after="0" w:line="259" w:lineRule="auto"/>
        <w:rPr>
          <w:sz w:val="20"/>
          <w:szCs w:val="20"/>
          <w:color w:val="auto"/>
        </w:rPr>
      </w:pPr>
      <w:r>
        <w:rPr>
          <w:rFonts w:ascii="Arial" w:cs="Arial" w:eastAsia="Arial" w:hAnsi="Arial"/>
          <w:sz w:val="18"/>
          <w:szCs w:val="18"/>
          <w:color w:val="auto"/>
        </w:rPr>
        <w:t>Preference for a greater portion of all NEO compensation to be allocated to incentive compensation and, within that component, a greater portion in the form of performance-based incentive awards</w:t>
      </w:r>
    </w:p>
    <w:p>
      <w:pPr>
        <w:spacing w:after="0" w:line="20" w:lineRule="exact"/>
        <w:rPr>
          <w:sz w:val="20"/>
          <w:szCs w:val="20"/>
          <w:color w:val="auto"/>
        </w:rPr>
      </w:pPr>
      <w:r>
        <w:rPr>
          <w:sz w:val="20"/>
          <w:szCs w:val="20"/>
          <w:color w:val="auto"/>
        </w:rPr>
        <w:br w:type="column"/>
      </w:r>
    </w:p>
    <w:p>
      <w:pPr>
        <w:spacing w:after="0" w:line="20" w:lineRule="exact"/>
        <w:rPr>
          <w:sz w:val="20"/>
          <w:szCs w:val="20"/>
          <w:color w:val="auto"/>
        </w:rPr>
      </w:pPr>
    </w:p>
    <w:p>
      <w:pPr>
        <w:ind w:right="140"/>
        <w:spacing w:after="0" w:line="296" w:lineRule="auto"/>
        <w:rPr>
          <w:sz w:val="20"/>
          <w:szCs w:val="20"/>
          <w:color w:val="auto"/>
        </w:rPr>
      </w:pPr>
      <w:r>
        <w:rPr>
          <w:rFonts w:ascii="Arial" w:cs="Arial" w:eastAsia="Arial" w:hAnsi="Arial"/>
          <w:sz w:val="16"/>
          <w:szCs w:val="16"/>
          <w:color w:val="auto"/>
        </w:rPr>
        <w:t>Disclosed that performance measures continue to be evaluated annually. Certain performance metrics were made more challenging in 2019 and 2020 with greater weight assigned to financial performance in the annual corporate performance scorecard starting in 2019 (see page 44).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-1125855</wp:posOffset>
            </wp:positionH>
            <wp:positionV relativeFrom="paragraph">
              <wp:posOffset>26035</wp:posOffset>
            </wp:positionV>
            <wp:extent cx="4054475" cy="3429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a:extLst>
                        <a:ext uri="{28A0092B-C50C-407E-A947-70E740481C1C}"/>
                      </a:extLst>
                    </a:blip>
                    <a:srcRect/>
                    <a:stretch>
                      <a:fillRect/>
                    </a:stretch>
                  </pic:blipFill>
                  <pic:spPr bwMode="auto">
                    <a:xfrm>
                      <a:off x="0" y="0"/>
                      <a:ext cx="4054475" cy="34290"/>
                    </a:xfrm>
                    <a:prstGeom prst="rect">
                      <a:avLst/>
                    </a:prstGeom>
                    <a:noFill/>
                  </pic:spPr>
                </pic:pic>
              </a:graphicData>
            </a:graphic>
          </wp:anchor>
        </w:drawing>
        <w:drawing>
          <wp:anchor simplePos="0" relativeHeight="251657728" behindDoc="1" locked="0" layoutInCell="0" allowOverlap="1">
            <wp:simplePos x="0" y="0"/>
            <wp:positionH relativeFrom="column">
              <wp:posOffset>-680085</wp:posOffset>
            </wp:positionH>
            <wp:positionV relativeFrom="paragraph">
              <wp:posOffset>-445135</wp:posOffset>
            </wp:positionV>
            <wp:extent cx="248920" cy="19748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a:extLst>
                        <a:ext uri="{28A0092B-C50C-407E-A947-70E740481C1C}"/>
                      </a:extLst>
                    </a:blip>
                    <a:srcRect/>
                    <a:stretch>
                      <a:fillRect/>
                    </a:stretch>
                  </pic:blipFill>
                  <pic:spPr bwMode="auto">
                    <a:xfrm>
                      <a:off x="0" y="0"/>
                      <a:ext cx="248920" cy="197485"/>
                    </a:xfrm>
                    <a:prstGeom prst="rect">
                      <a:avLst/>
                    </a:prstGeom>
                    <a:noFill/>
                  </pic:spPr>
                </pic:pic>
              </a:graphicData>
            </a:graphic>
          </wp:anchor>
        </w:drawing>
      </w:r>
    </w:p>
    <w:p>
      <w:pPr>
        <w:spacing w:after="0" w:line="60" w:lineRule="exact"/>
        <w:rPr>
          <w:sz w:val="20"/>
          <w:szCs w:val="20"/>
          <w:color w:val="auto"/>
        </w:rPr>
      </w:pPr>
    </w:p>
    <w:p>
      <w:pPr>
        <w:ind w:right="260"/>
        <w:spacing w:after="0" w:line="271" w:lineRule="auto"/>
        <w:rPr>
          <w:sz w:val="20"/>
          <w:szCs w:val="20"/>
          <w:color w:val="auto"/>
        </w:rPr>
      </w:pPr>
      <w:r>
        <w:rPr>
          <w:rFonts w:ascii="Arial" w:cs="Arial" w:eastAsia="Arial" w:hAnsi="Arial"/>
          <w:sz w:val="17"/>
          <w:szCs w:val="17"/>
          <w:color w:val="auto"/>
        </w:rPr>
        <w:t>Made compensation adjustments for all NEOs other than the CEO for 2020 such that more than 87% of total target compensation for our NEOs will be incentive-based.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-1125855</wp:posOffset>
            </wp:positionH>
            <wp:positionV relativeFrom="paragraph">
              <wp:posOffset>-410845</wp:posOffset>
            </wp:positionV>
            <wp:extent cx="4054475" cy="874395"/>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a:extLst>
                        <a:ext uri="{28A0092B-C50C-407E-A947-70E740481C1C}"/>
                      </a:extLst>
                    </a:blip>
                    <a:srcRect/>
                    <a:stretch>
                      <a:fillRect/>
                    </a:stretch>
                  </pic:blipFill>
                  <pic:spPr bwMode="auto">
                    <a:xfrm>
                      <a:off x="0" y="0"/>
                      <a:ext cx="4054475" cy="874395"/>
                    </a:xfrm>
                    <a:prstGeom prst="rect">
                      <a:avLst/>
                    </a:prstGeom>
                    <a:noFill/>
                  </pic:spPr>
                </pic:pic>
              </a:graphicData>
            </a:graphic>
          </wp:anchor>
        </w:drawing>
      </w:r>
    </w:p>
    <w:p>
      <w:pPr>
        <w:ind w:right="100"/>
        <w:spacing w:after="0" w:line="302" w:lineRule="auto"/>
        <w:rPr>
          <w:sz w:val="20"/>
          <w:szCs w:val="20"/>
          <w:color w:val="auto"/>
        </w:rPr>
      </w:pPr>
      <w:r>
        <w:rPr>
          <w:rFonts w:ascii="Arial" w:cs="Arial" w:eastAsia="Arial" w:hAnsi="Arial"/>
          <w:sz w:val="16"/>
          <w:szCs w:val="16"/>
          <w:color w:val="auto"/>
        </w:rPr>
        <w:t>These changes for 2020 build on changes made to our CEO’s pay mix in 2019 such that 56% of his target compensation is in LTI and 67% of his LTI is performance-based.</w:t>
      </w:r>
    </w:p>
    <w:p>
      <w:pPr>
        <w:spacing w:after="0" w:line="164" w:lineRule="exact"/>
        <w:rPr>
          <w:sz w:val="20"/>
          <w:szCs w:val="20"/>
          <w:color w:val="auto"/>
        </w:rPr>
      </w:pPr>
    </w:p>
    <w:p>
      <w:pPr>
        <w:sectPr>
          <w:pgSz w:w="11900" w:h="16838" w:orient="portrait"/>
          <w:cols w:equalWidth="0" w:num="2">
            <w:col w:w="5800" w:space="720"/>
            <w:col w:w="4620"/>
          </w:cols>
          <w:pgMar w:left="320" w:top="459" w:right="439" w:bottom="1440" w:gutter="0" w:footer="0" w:header="0"/>
          <w:type w:val="continuous"/>
        </w:sectPr>
      </w:pPr>
    </w:p>
    <w:p>
      <w:pPr>
        <w:ind w:left="7960"/>
        <w:spacing w:after="0"/>
        <w:tabs>
          <w:tab w:leader="none" w:pos="109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37</w:t>
      </w:r>
    </w:p>
    <w:p>
      <w:pPr>
        <w:sectPr>
          <w:pgSz w:w="11900" w:h="16838" w:orient="portrait"/>
          <w:cols w:equalWidth="0" w:num="1">
            <w:col w:w="11140"/>
          </w:cols>
          <w:pgMar w:left="320" w:top="459" w:right="439" w:bottom="1440" w:gutter="0" w:footer="0" w:header="0"/>
          <w:type w:val="continuous"/>
        </w:sectPr>
      </w:pPr>
    </w:p>
    <w:bookmarkStart w:id="50" w:name="page51"/>
    <w:bookmarkEnd w:id="5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extLst>
                        <a:ext uri="{28A0092B-C50C-407E-A947-70E740481C1C}"/>
                      </a:extLst>
                    </a:blip>
                    <a:srcRect/>
                    <a:stretch>
                      <a:fillRect/>
                    </a:stretch>
                  </pic:blipFill>
                  <pic:spPr bwMode="auto">
                    <a:xfrm>
                      <a:off x="0" y="0"/>
                      <a:ext cx="6995160" cy="8255"/>
                    </a:xfrm>
                    <a:prstGeom prst="rect">
                      <a:avLst/>
                    </a:prstGeom>
                    <a:noFill/>
                  </pic:spPr>
                </pic:pic>
              </a:graphicData>
            </a:graphic>
          </wp:anchor>
        </w:drawing>
        <w:drawing>
          <wp:anchor simplePos="0" relativeHeight="251657728" behindDoc="1" locked="0" layoutInCell="0" allowOverlap="1">
            <wp:simplePos x="0" y="0"/>
            <wp:positionH relativeFrom="column">
              <wp:posOffset>73660</wp:posOffset>
            </wp:positionH>
            <wp:positionV relativeFrom="paragraph">
              <wp:posOffset>140970</wp:posOffset>
            </wp:positionV>
            <wp:extent cx="6995160" cy="20574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6">
                      <a:extLst>
                        <a:ext uri="{28A0092B-C50C-407E-A947-70E740481C1C}"/>
                      </a:extLst>
                    </a:blip>
                    <a:srcRect/>
                    <a:stretch>
                      <a:fillRect/>
                    </a:stretch>
                  </pic:blipFill>
                  <pic:spPr bwMode="auto">
                    <a:xfrm>
                      <a:off x="0" y="0"/>
                      <a:ext cx="6995160" cy="205740"/>
                    </a:xfrm>
                    <a:prstGeom prst="rect">
                      <a:avLst/>
                    </a:prstGeom>
                    <a:noFill/>
                  </pic:spPr>
                </pic:pic>
              </a:graphicData>
            </a:graphic>
          </wp:anchor>
        </w:drawing>
      </w:r>
    </w:p>
    <w:p>
      <w:pPr>
        <w:spacing w:after="0" w:line="292" w:lineRule="exact"/>
        <w:rPr>
          <w:sz w:val="20"/>
          <w:szCs w:val="20"/>
          <w:color w:val="auto"/>
        </w:rPr>
      </w:pPr>
    </w:p>
    <w:p>
      <w:pPr>
        <w:jc w:val="center"/>
        <w:ind w:right="-119"/>
        <w:spacing w:after="0"/>
        <w:rPr>
          <w:sz w:val="20"/>
          <w:szCs w:val="20"/>
          <w:color w:val="auto"/>
        </w:rPr>
      </w:pPr>
      <w:r>
        <w:rPr>
          <w:rFonts w:ascii="Arial" w:cs="Arial" w:eastAsia="Arial" w:hAnsi="Arial"/>
          <w:sz w:val="18"/>
          <w:szCs w:val="18"/>
          <w:b w:val="1"/>
          <w:bCs w:val="1"/>
          <w:color w:val="FFFFFF"/>
        </w:rPr>
        <w:t>Common Themes and Feedback from our Stockholder Engagement</w:t>
      </w:r>
    </w:p>
    <w:p>
      <w:pPr>
        <w:spacing w:after="0" w:line="36" w:lineRule="exact"/>
        <w:rPr>
          <w:sz w:val="20"/>
          <w:szCs w:val="20"/>
          <w:color w:val="auto"/>
        </w:rPr>
      </w:pPr>
    </w:p>
    <w:tbl>
      <w:tblPr>
        <w:tblLayout w:type="fixed"/>
        <w:tblInd w:w="120" w:type="dxa"/>
        <w:tblCellMar>
          <w:top w:w="0" w:type="dxa"/>
          <w:left w:w="0" w:type="dxa"/>
          <w:bottom w:w="0" w:type="dxa"/>
          <w:right w:w="0" w:type="dxa"/>
        </w:tblCellMar>
      </w:tblPr>
      <w:tr>
        <w:trPr>
          <w:trHeight w:val="207"/>
        </w:trPr>
        <w:tc>
          <w:tcPr>
            <w:tcW w:w="5460" w:type="dxa"/>
            <w:vAlign w:val="bottom"/>
            <w:shd w:val="clear" w:color="auto" w:fill="D8D8D8"/>
          </w:tcPr>
          <w:p>
            <w:pPr>
              <w:jc w:val="center"/>
              <w:ind w:right="750"/>
              <w:spacing w:after="0"/>
              <w:rPr>
                <w:sz w:val="20"/>
                <w:szCs w:val="20"/>
                <w:color w:val="auto"/>
              </w:rPr>
            </w:pPr>
            <w:r>
              <w:rPr>
                <w:rFonts w:ascii="Arial" w:cs="Arial" w:eastAsia="Arial" w:hAnsi="Arial"/>
                <w:sz w:val="18"/>
                <w:szCs w:val="18"/>
                <w:b w:val="1"/>
                <w:bCs w:val="1"/>
                <w:color w:val="auto"/>
                <w:w w:val="95"/>
              </w:rPr>
              <w:t>What We Heard</w:t>
            </w:r>
          </w:p>
        </w:tc>
        <w:tc>
          <w:tcPr>
            <w:tcW w:w="5560" w:type="dxa"/>
            <w:vAlign w:val="bottom"/>
            <w:shd w:val="clear" w:color="auto" w:fill="D8D8D8"/>
          </w:tcPr>
          <w:p>
            <w:pPr>
              <w:ind w:left="2500"/>
              <w:spacing w:after="0"/>
              <w:rPr>
                <w:sz w:val="20"/>
                <w:szCs w:val="20"/>
                <w:color w:val="auto"/>
              </w:rPr>
            </w:pPr>
            <w:r>
              <w:rPr>
                <w:rFonts w:ascii="Arial" w:cs="Arial" w:eastAsia="Arial" w:hAnsi="Arial"/>
                <w:sz w:val="18"/>
                <w:szCs w:val="18"/>
                <w:b w:val="1"/>
                <w:bCs w:val="1"/>
                <w:color w:val="auto"/>
              </w:rPr>
              <w:t>How We Addressed</w:t>
            </w:r>
          </w:p>
        </w:tc>
      </w:tr>
      <w:tr>
        <w:trPr>
          <w:trHeight w:val="256"/>
        </w:trPr>
        <w:tc>
          <w:tcPr>
            <w:tcW w:w="5460" w:type="dxa"/>
            <w:vAlign w:val="bottom"/>
          </w:tcPr>
          <w:p>
            <w:pPr>
              <w:jc w:val="center"/>
              <w:ind w:right="750"/>
              <w:spacing w:after="0"/>
              <w:rPr>
                <w:sz w:val="20"/>
                <w:szCs w:val="20"/>
                <w:color w:val="auto"/>
              </w:rPr>
            </w:pPr>
            <w:r>
              <w:rPr>
                <w:rFonts w:ascii="Arial" w:cs="Arial" w:eastAsia="Arial" w:hAnsi="Arial"/>
                <w:sz w:val="18"/>
                <w:szCs w:val="18"/>
                <w:color w:val="auto"/>
                <w:w w:val="90"/>
              </w:rPr>
              <w:t>Inquired about the pay gap between the CEO and other NEOs</w:t>
            </w:r>
          </w:p>
        </w:tc>
        <w:tc>
          <w:tcPr>
            <w:tcW w:w="5560" w:type="dxa"/>
            <w:vAlign w:val="bottom"/>
          </w:tcPr>
          <w:p>
            <w:pPr>
              <w:ind w:left="940"/>
              <w:spacing w:after="0"/>
              <w:rPr>
                <w:sz w:val="20"/>
                <w:szCs w:val="20"/>
                <w:color w:val="auto"/>
              </w:rPr>
            </w:pPr>
            <w:r>
              <w:rPr>
                <w:rFonts w:ascii="Arial" w:cs="Arial" w:eastAsia="Arial" w:hAnsi="Arial"/>
                <w:sz w:val="18"/>
                <w:szCs w:val="18"/>
                <w:color w:val="auto"/>
              </w:rPr>
              <w:t>Adjustments to NEO compensation opportunities for 2020</w:t>
            </w:r>
          </w:p>
        </w:tc>
      </w:tr>
      <w:tr>
        <w:trPr>
          <w:trHeight w:val="216"/>
        </w:trPr>
        <w:tc>
          <w:tcPr>
            <w:tcW w:w="5460" w:type="dxa"/>
            <w:vAlign w:val="bottom"/>
          </w:tcPr>
          <w:p>
            <w:pPr>
              <w:spacing w:after="0"/>
              <w:rPr>
                <w:sz w:val="18"/>
                <w:szCs w:val="18"/>
                <w:color w:val="auto"/>
              </w:rPr>
            </w:pPr>
          </w:p>
        </w:tc>
        <w:tc>
          <w:tcPr>
            <w:tcW w:w="5560" w:type="dxa"/>
            <w:vAlign w:val="bottom"/>
          </w:tcPr>
          <w:p>
            <w:pPr>
              <w:ind w:left="940"/>
              <w:spacing w:after="0"/>
              <w:rPr>
                <w:sz w:val="20"/>
                <w:szCs w:val="20"/>
                <w:color w:val="auto"/>
              </w:rPr>
            </w:pPr>
            <w:r>
              <w:rPr>
                <w:rFonts w:ascii="Arial" w:cs="Arial" w:eastAsia="Arial" w:hAnsi="Arial"/>
                <w:sz w:val="18"/>
                <w:szCs w:val="18"/>
                <w:color w:val="auto"/>
                <w:w w:val="90"/>
              </w:rPr>
              <w:t>narrow the pay gap among our CEO and other NEOs (see page</w:t>
            </w:r>
          </w:p>
        </w:tc>
      </w:tr>
      <w:tr>
        <w:trPr>
          <w:trHeight w:val="230"/>
        </w:trPr>
        <w:tc>
          <w:tcPr>
            <w:tcW w:w="5460" w:type="dxa"/>
            <w:vAlign w:val="bottom"/>
          </w:tcPr>
          <w:p>
            <w:pPr>
              <w:spacing w:after="0"/>
              <w:rPr>
                <w:sz w:val="20"/>
                <w:szCs w:val="20"/>
                <w:color w:val="auto"/>
              </w:rPr>
            </w:pPr>
          </w:p>
        </w:tc>
        <w:tc>
          <w:tcPr>
            <w:tcW w:w="5560" w:type="dxa"/>
            <w:vAlign w:val="bottom"/>
          </w:tcPr>
          <w:p>
            <w:pPr>
              <w:ind w:left="940"/>
              <w:spacing w:after="0"/>
              <w:rPr>
                <w:sz w:val="20"/>
                <w:szCs w:val="20"/>
                <w:color w:val="auto"/>
              </w:rPr>
            </w:pPr>
            <w:r>
              <w:rPr>
                <w:rFonts w:ascii="Arial" w:cs="Arial" w:eastAsia="Arial" w:hAnsi="Arial"/>
                <w:sz w:val="18"/>
                <w:szCs w:val="18"/>
                <w:color w:val="auto"/>
              </w:rPr>
              <w:t>52).</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3459480</wp:posOffset>
            </wp:positionH>
            <wp:positionV relativeFrom="paragraph">
              <wp:posOffset>-282575</wp:posOffset>
            </wp:positionV>
            <wp:extent cx="248920" cy="197485"/>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7">
                      <a:extLst>
                        <a:ext uri="{28A0092B-C50C-407E-A947-70E740481C1C}"/>
                      </a:extLst>
                    </a:blip>
                    <a:srcRect/>
                    <a:stretch>
                      <a:fillRect/>
                    </a:stretch>
                  </pic:blipFill>
                  <pic:spPr bwMode="auto">
                    <a:xfrm>
                      <a:off x="0" y="0"/>
                      <a:ext cx="248920" cy="197485"/>
                    </a:xfrm>
                    <a:prstGeom prst="rect">
                      <a:avLst/>
                    </a:prstGeom>
                    <a:noFill/>
                  </pic:spPr>
                </pic:pic>
              </a:graphicData>
            </a:graphic>
          </wp:anchor>
        </w:drawing>
        <w:drawing>
          <wp:anchor simplePos="0" relativeHeight="251657728" behindDoc="1" locked="0" layoutInCell="0" allowOverlap="1">
            <wp:simplePos x="0" y="0"/>
            <wp:positionH relativeFrom="column">
              <wp:posOffset>73660</wp:posOffset>
            </wp:positionH>
            <wp:positionV relativeFrom="paragraph">
              <wp:posOffset>51435</wp:posOffset>
            </wp:positionV>
            <wp:extent cx="6995160" cy="805815"/>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8">
                      <a:extLst>
                        <a:ext uri="{28A0092B-C50C-407E-A947-70E740481C1C}"/>
                      </a:extLst>
                    </a:blip>
                    <a:srcRect/>
                    <a:stretch>
                      <a:fillRect/>
                    </a:stretch>
                  </pic:blipFill>
                  <pic:spPr bwMode="auto">
                    <a:xfrm>
                      <a:off x="0" y="0"/>
                      <a:ext cx="6995160" cy="805815"/>
                    </a:xfrm>
                    <a:prstGeom prst="rect">
                      <a:avLst/>
                    </a:prstGeom>
                    <a:noFill/>
                  </pic:spPr>
                </pic:pic>
              </a:graphicData>
            </a:graphic>
          </wp:anchor>
        </w:drawing>
      </w:r>
    </w:p>
    <w:p>
      <w:pPr>
        <w:sectPr>
          <w:pgSz w:w="11900" w:h="16838" w:orient="portrait"/>
          <w:cols w:equalWidth="0" w:num="1">
            <w:col w:w="11140"/>
          </w:cols>
          <w:pgMar w:left="320" w:top="459" w:right="439" w:bottom="1440" w:gutter="0" w:footer="0" w:header="0"/>
        </w:sectPr>
      </w:pPr>
    </w:p>
    <w:p>
      <w:pPr>
        <w:spacing w:after="0" w:line="175" w:lineRule="exact"/>
        <w:rPr>
          <w:sz w:val="20"/>
          <w:szCs w:val="20"/>
          <w:color w:val="auto"/>
        </w:rPr>
      </w:pPr>
    </w:p>
    <w:p>
      <w:pPr>
        <w:ind w:left="200" w:right="1180"/>
        <w:spacing w:after="0" w:line="308" w:lineRule="auto"/>
        <w:rPr>
          <w:sz w:val="20"/>
          <w:szCs w:val="20"/>
          <w:color w:val="auto"/>
        </w:rPr>
      </w:pPr>
      <w:r>
        <w:rPr>
          <w:rFonts w:ascii="Arial" w:cs="Arial" w:eastAsia="Arial" w:hAnsi="Arial"/>
          <w:sz w:val="17"/>
          <w:szCs w:val="17"/>
          <w:color w:val="auto"/>
        </w:rPr>
        <w:t>Discussion regarding the quantum of CEO compensation and the relationship of quantum and pay mix</w:t>
      </w:r>
    </w:p>
    <w:p>
      <w:pPr>
        <w:spacing w:after="0" w:line="20" w:lineRule="exact"/>
        <w:rPr>
          <w:sz w:val="20"/>
          <w:szCs w:val="20"/>
          <w:color w:val="auto"/>
        </w:rPr>
      </w:pPr>
      <w:r>
        <w:rPr>
          <w:sz w:val="20"/>
          <w:szCs w:val="20"/>
          <w:color w:val="auto"/>
        </w:rPr>
        <w:br w:type="column"/>
      </w:r>
    </w:p>
    <w:p>
      <w:pPr>
        <w:spacing w:after="0" w:line="155" w:lineRule="exact"/>
        <w:rPr>
          <w:sz w:val="20"/>
          <w:szCs w:val="20"/>
          <w:color w:val="auto"/>
        </w:rPr>
      </w:pPr>
    </w:p>
    <w:p>
      <w:pPr>
        <w:ind w:right="120"/>
        <w:spacing w:after="0" w:line="275" w:lineRule="auto"/>
        <w:rPr>
          <w:sz w:val="20"/>
          <w:szCs w:val="20"/>
          <w:color w:val="auto"/>
        </w:rPr>
      </w:pPr>
      <w:r>
        <w:rPr>
          <w:rFonts w:ascii="Arial" w:cs="Arial" w:eastAsia="Arial" w:hAnsi="Arial"/>
          <w:sz w:val="17"/>
          <w:szCs w:val="17"/>
          <w:color w:val="auto"/>
        </w:rPr>
        <w:t>Additional disclosure in the proxy statement regarding peer compensation practices and our performance-based compensation program. CEO target compensation in 2019 was over 93% at risk compensation, including 67% of LTI in the form of performance-based RSUs.</w:t>
      </w:r>
    </w:p>
    <w:p>
      <w:pPr>
        <w:spacing w:after="0" w:line="95" w:lineRule="exact"/>
        <w:rPr>
          <w:sz w:val="20"/>
          <w:szCs w:val="20"/>
          <w:color w:val="auto"/>
        </w:rPr>
      </w:pPr>
    </w:p>
    <w:p>
      <w:pPr>
        <w:sectPr>
          <w:pgSz w:w="11900" w:h="16838" w:orient="portrait"/>
          <w:cols w:equalWidth="0" w:num="2">
            <w:col w:w="5800" w:space="720"/>
            <w:col w:w="4620"/>
          </w:cols>
          <w:pgMar w:left="320" w:top="459" w:right="439" w:bottom="1440" w:gutter="0" w:footer="0" w:header="0"/>
          <w:type w:val="continuous"/>
        </w:sectPr>
      </w:pPr>
    </w:p>
    <w:p>
      <w:pPr>
        <w:ind w:left="200" w:right="1920"/>
        <w:spacing w:after="0" w:line="277" w:lineRule="auto"/>
        <w:rPr>
          <w:sz w:val="20"/>
          <w:szCs w:val="20"/>
          <w:color w:val="auto"/>
        </w:rPr>
      </w:pPr>
      <w:r>
        <w:rPr>
          <w:rFonts w:ascii="Arial" w:cs="Arial" w:eastAsia="Arial" w:hAnsi="Arial"/>
          <w:sz w:val="18"/>
          <w:szCs w:val="18"/>
          <w:color w:val="auto"/>
        </w:rPr>
        <w:t>Desire to better understand AGNC’s business, peer construction, and industry</w:t>
      </w: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Compensation Program in Context</w:t>
      </w:r>
    </w:p>
    <w:p>
      <w:pPr>
        <w:spacing w:after="0" w:line="20" w:lineRule="exact"/>
        <w:rPr>
          <w:sz w:val="20"/>
          <w:szCs w:val="20"/>
          <w:color w:val="auto"/>
        </w:rPr>
      </w:pPr>
      <w:r>
        <w:rPr>
          <w:sz w:val="20"/>
          <w:szCs w:val="20"/>
          <w:color w:val="auto"/>
        </w:rPr>
        <w:br w:type="column"/>
      </w:r>
    </w:p>
    <w:p>
      <w:pPr>
        <w:ind w:right="420"/>
        <w:spacing w:after="0" w:line="301" w:lineRule="auto"/>
        <w:rPr>
          <w:sz w:val="20"/>
          <w:szCs w:val="20"/>
          <w:color w:val="auto"/>
        </w:rPr>
      </w:pPr>
      <w:r>
        <w:rPr>
          <w:rFonts w:ascii="Arial" w:cs="Arial" w:eastAsia="Arial" w:hAnsi="Arial"/>
          <w:sz w:val="16"/>
          <w:szCs w:val="16"/>
          <w:color w:val="auto"/>
        </w:rPr>
        <w:t>Continually evaluate and revise disclosures in our proxy statement, our public filings and on our website to provide stockholders with clear and relevant information on our business, value proposition, and investment strategy.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-680085</wp:posOffset>
            </wp:positionH>
            <wp:positionV relativeFrom="paragraph">
              <wp:posOffset>-379095</wp:posOffset>
            </wp:positionV>
            <wp:extent cx="248920" cy="197485"/>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9">
                      <a:extLst>
                        <a:ext uri="{28A0092B-C50C-407E-A947-70E740481C1C}"/>
                      </a:extLst>
                    </a:blip>
                    <a:srcRect/>
                    <a:stretch>
                      <a:fillRect/>
                    </a:stretch>
                  </pic:blipFill>
                  <pic:spPr bwMode="auto">
                    <a:xfrm>
                      <a:off x="0" y="0"/>
                      <a:ext cx="248920" cy="197485"/>
                    </a:xfrm>
                    <a:prstGeom prst="rect">
                      <a:avLst/>
                    </a:prstGeom>
                    <a:noFill/>
                  </pic:spPr>
                </pic:pic>
              </a:graphicData>
            </a:graphic>
          </wp:anchor>
        </w:drawing>
      </w:r>
    </w:p>
    <w:p>
      <w:pPr>
        <w:spacing w:after="0" w:line="561" w:lineRule="exact"/>
        <w:rPr>
          <w:sz w:val="20"/>
          <w:szCs w:val="20"/>
          <w:color w:val="auto"/>
        </w:rPr>
      </w:pPr>
    </w:p>
    <w:p>
      <w:pPr>
        <w:sectPr>
          <w:pgSz w:w="11900" w:h="16838" w:orient="portrait"/>
          <w:cols w:equalWidth="0" w:num="2">
            <w:col w:w="5800" w:space="720"/>
            <w:col w:w="4620"/>
          </w:cols>
          <w:pgMar w:left="320" w:top="459" w:right="439" w:bottom="1440" w:gutter="0" w:footer="0" w:header="0"/>
          <w:type w:val="continuous"/>
        </w:sectPr>
      </w:pPr>
    </w:p>
    <w:p>
      <w:pPr>
        <w:ind w:left="120" w:right="60" w:firstLine="881"/>
        <w:spacing w:after="0" w:line="301" w:lineRule="auto"/>
        <w:rPr>
          <w:sz w:val="20"/>
          <w:szCs w:val="20"/>
          <w:color w:val="auto"/>
        </w:rPr>
      </w:pPr>
      <w:r>
        <w:rPr>
          <w:rFonts w:ascii="Arial" w:cs="Arial" w:eastAsia="Arial" w:hAnsi="Arial"/>
          <w:sz w:val="16"/>
          <w:szCs w:val="16"/>
          <w:color w:val="auto"/>
        </w:rPr>
        <w:t>Until July 2016, AGNC was externally-managed by a wholly owned subsidiary of American Capital. Prior to that time, as an externally-managed REIT, our Board and the Compensation Committee did not have control over the manner in which NEOs were compensated or motivated. The acquisition of our external manager furthered our dedication to provide transparent disclosure and a strong stockholder focus, and our Board and management team continue to demonstrate this commitment through detailed financial disclosure and strong governance and compensation practices.</w:t>
      </w:r>
    </w:p>
    <w:p>
      <w:pPr>
        <w:spacing w:after="0" w:line="157" w:lineRule="exact"/>
        <w:rPr>
          <w:sz w:val="20"/>
          <w:szCs w:val="20"/>
          <w:color w:val="auto"/>
        </w:rPr>
      </w:pPr>
    </w:p>
    <w:p>
      <w:pPr>
        <w:ind w:left="120" w:right="260" w:firstLine="881"/>
        <w:spacing w:after="0" w:line="255" w:lineRule="auto"/>
        <w:rPr>
          <w:sz w:val="20"/>
          <w:szCs w:val="20"/>
          <w:color w:val="auto"/>
        </w:rPr>
      </w:pPr>
      <w:r>
        <w:rPr>
          <w:rFonts w:ascii="Arial" w:cs="Arial" w:eastAsia="Arial" w:hAnsi="Arial"/>
          <w:sz w:val="18"/>
          <w:szCs w:val="18"/>
          <w:color w:val="auto"/>
        </w:rPr>
        <w:t>At the time of our Internalization, certain of our NEOs had existing employment agreements in place that were consistent with typical investment manager compensation arrangements and rewarded growth in assets under management as a primary driver of compensation. The Compensation Committee and these executives worked together to migrate their existing compensation arrangements to a more stockholder friendly approach consistent with our compensation philosophy. Since that time, the composition of our NEOs’ total target compensation has shifted significantly, with a greater emphasis on performance-based compensation and long-term equity. The following illustrates the shift in our CEO’s total compensation at target over this period.</w:t>
      </w:r>
    </w:p>
    <w:p>
      <w:pPr>
        <w:spacing w:after="0" w:line="121"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38</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40"/>
          </w:cols>
          <w:pgMar w:left="320" w:top="459" w:right="439" w:bottom="1440" w:gutter="0" w:footer="0" w:header="0"/>
          <w:type w:val="continuous"/>
        </w:sectPr>
      </w:pPr>
    </w:p>
    <w:bookmarkStart w:id="51" w:name="page52"/>
    <w:bookmarkEnd w:id="5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0">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4"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Composition of Our CEO’s Total Compensation at Target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1153795</wp:posOffset>
            </wp:positionH>
            <wp:positionV relativeFrom="paragraph">
              <wp:posOffset>171450</wp:posOffset>
            </wp:positionV>
            <wp:extent cx="4834890" cy="192913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2">
                      <a:extLst>
                        <a:ext uri="{28A0092B-C50C-407E-A947-70E740481C1C}"/>
                      </a:extLst>
                    </a:blip>
                    <a:srcRect/>
                    <a:stretch>
                      <a:fillRect/>
                    </a:stretch>
                  </pic:blipFill>
                  <pic:spPr bwMode="auto">
                    <a:xfrm>
                      <a:off x="0" y="0"/>
                      <a:ext cx="4834890" cy="19291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8"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AGNC’s Compensation Program in the Context of our Broader Industry</w:t>
      </w:r>
    </w:p>
    <w:p>
      <w:pPr>
        <w:spacing w:after="0" w:line="117" w:lineRule="exact"/>
        <w:rPr>
          <w:sz w:val="20"/>
          <w:szCs w:val="20"/>
          <w:color w:val="auto"/>
        </w:rPr>
      </w:pPr>
    </w:p>
    <w:p>
      <w:pPr>
        <w:ind w:left="120" w:right="120" w:firstLine="881"/>
        <w:spacing w:after="0" w:line="290" w:lineRule="auto"/>
        <w:rPr>
          <w:sz w:val="20"/>
          <w:szCs w:val="20"/>
          <w:color w:val="auto"/>
        </w:rPr>
      </w:pPr>
      <w:r>
        <w:rPr>
          <w:rFonts w:ascii="Arial" w:cs="Arial" w:eastAsia="Arial" w:hAnsi="Arial"/>
          <w:sz w:val="16"/>
          <w:szCs w:val="16"/>
          <w:color w:val="auto"/>
        </w:rPr>
        <w:t>The Bloomberg Mortgage REIT Index (BBREMTG) includes 20 residential mortgage REITs, which we refer to as the “Resi mREIT Universe.” We are the largest internally-managed residential mortgage REIT and the second largest residential mortgage REIT overall by market capitalization, total assets, and total equity. Of the 20 REITs in the Resi mREIT Universe, only seven are internally-managed, meaning that the REIT is directly responsible for determining executive compensation. The remaining 13 REITs in the Resi mREIT Universe are externally-managed by a third party and pay such third party a management fee as a set percentage of equity in lieu of compensating employees directly. This management fee is used to pay the compensation and benefits for the manager’s executives and other employees, and compensation decisions regarding the manager’s executives are generally determined by the manager rather than the REIT’s board of directors. For these externally-managed REITs, the executive compensation arrangements are not fully disclosed or transparent to investors and are often not based on the REIT’s performance.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973455</wp:posOffset>
            </wp:positionH>
            <wp:positionV relativeFrom="paragraph">
              <wp:posOffset>131445</wp:posOffset>
            </wp:positionV>
            <wp:extent cx="5203190" cy="226314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a:extLst>
                        <a:ext uri="{28A0092B-C50C-407E-A947-70E740481C1C}"/>
                      </a:extLst>
                    </a:blip>
                    <a:srcRect/>
                    <a:stretch>
                      <a:fillRect/>
                    </a:stretch>
                  </pic:blipFill>
                  <pic:spPr bwMode="auto">
                    <a:xfrm>
                      <a:off x="0" y="0"/>
                      <a:ext cx="5203190" cy="22631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2"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See page 53 for more details on the composition of our compensation comparator group.</w:t>
      </w:r>
    </w:p>
    <w:p>
      <w:pPr>
        <w:spacing w:after="0" w:line="153" w:lineRule="exact"/>
        <w:rPr>
          <w:sz w:val="20"/>
          <w:szCs w:val="20"/>
          <w:color w:val="auto"/>
        </w:rPr>
      </w:pPr>
    </w:p>
    <w:p>
      <w:pPr>
        <w:ind w:left="7960"/>
        <w:spacing w:after="0"/>
        <w:tabs>
          <w:tab w:leader="none" w:pos="109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39</w:t>
      </w:r>
    </w:p>
    <w:p>
      <w:pPr>
        <w:sectPr>
          <w:pgSz w:w="11900" w:h="16838" w:orient="portrait"/>
          <w:cols w:equalWidth="0" w:num="1">
            <w:col w:w="11140"/>
          </w:cols>
          <w:pgMar w:left="320" w:top="459" w:right="439" w:bottom="1440" w:gutter="0" w:footer="0" w:header="0"/>
        </w:sectPr>
      </w:pPr>
    </w:p>
    <w:bookmarkStart w:id="52" w:name="page53"/>
    <w:bookmarkEnd w:id="5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4">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Additional Context for Compensation Relative to Externally-Managed Peers</w:t>
      </w:r>
    </w:p>
    <w:p>
      <w:pPr>
        <w:spacing w:after="0" w:line="117" w:lineRule="exact"/>
        <w:rPr>
          <w:sz w:val="20"/>
          <w:szCs w:val="20"/>
          <w:color w:val="auto"/>
        </w:rPr>
      </w:pPr>
    </w:p>
    <w:p>
      <w:pPr>
        <w:ind w:left="120" w:right="40" w:firstLine="881"/>
        <w:spacing w:after="0" w:line="272" w:lineRule="auto"/>
        <w:rPr>
          <w:sz w:val="20"/>
          <w:szCs w:val="20"/>
          <w:color w:val="auto"/>
        </w:rPr>
      </w:pPr>
      <w:r>
        <w:rPr>
          <w:rFonts w:ascii="Arial" w:cs="Arial" w:eastAsia="Arial" w:hAnsi="Arial"/>
          <w:sz w:val="17"/>
          <w:szCs w:val="17"/>
          <w:color w:val="auto"/>
        </w:rPr>
        <w:t>The lack of publicly available compensation information due to the prevalence of the external management structure makes it challenging to compare our compensation program to other mortgage REIT peers. In discussions with stockholders during our 2019 engagement conversations, stockholders indicated that it would be helpful to include disclosure regarding any externally-managed peers to provide context for our compensation program. In 2019, two of our externally-managed peers, Annaly Capital Management, Inc. and Two Harbors Investment Corp., provided some public disclosure regarding a portion of their 2018 executive compensation. These companies are the two largest members of our Agency REIT Peer Group, and their business models and market capitalizations are comparable to AGNC. We believe this disclosure provides our stockholders with sufficient information to make a meaningful comparison of our compensation program against these two industry peers.</w:t>
      </w:r>
    </w:p>
    <w:p>
      <w:pPr>
        <w:spacing w:after="0" w:line="219" w:lineRule="exact"/>
        <w:rPr>
          <w:sz w:val="20"/>
          <w:szCs w:val="20"/>
          <w:color w:val="auto"/>
        </w:rPr>
      </w:pPr>
    </w:p>
    <w:tbl>
      <w:tblPr>
        <w:tblLayout w:type="fixed"/>
        <w:tblInd w:w="120" w:type="dxa"/>
        <w:tblCellMar>
          <w:top w:w="0" w:type="dxa"/>
          <w:left w:w="0" w:type="dxa"/>
          <w:bottom w:w="0" w:type="dxa"/>
          <w:right w:w="0" w:type="dxa"/>
        </w:tblCellMar>
      </w:tblPr>
      <w:tr>
        <w:trPr>
          <w:trHeight w:val="265"/>
        </w:trPr>
        <w:tc>
          <w:tcPr>
            <w:tcW w:w="3080" w:type="dxa"/>
            <w:vAlign w:val="bottom"/>
            <w:shd w:val="clear" w:color="auto" w:fill="407CCA"/>
          </w:tcPr>
          <w:p>
            <w:pPr>
              <w:spacing w:after="0"/>
              <w:rPr>
                <w:sz w:val="23"/>
                <w:szCs w:val="23"/>
                <w:color w:val="auto"/>
              </w:rPr>
            </w:pPr>
          </w:p>
        </w:tc>
        <w:tc>
          <w:tcPr>
            <w:tcW w:w="2900" w:type="dxa"/>
            <w:vAlign w:val="bottom"/>
            <w:shd w:val="clear" w:color="auto" w:fill="407CCA"/>
          </w:tcPr>
          <w:p>
            <w:pPr>
              <w:jc w:val="center"/>
              <w:spacing w:after="0"/>
              <w:rPr>
                <w:sz w:val="20"/>
                <w:szCs w:val="20"/>
                <w:color w:val="auto"/>
              </w:rPr>
            </w:pPr>
            <w:r>
              <w:rPr>
                <w:rFonts w:ascii="Arial" w:cs="Arial" w:eastAsia="Arial" w:hAnsi="Arial"/>
                <w:sz w:val="18"/>
                <w:szCs w:val="18"/>
                <w:b w:val="1"/>
                <w:bCs w:val="1"/>
                <w:color w:val="auto"/>
                <w:w w:val="92"/>
              </w:rPr>
              <w:t>AGNC Investment</w:t>
            </w:r>
          </w:p>
        </w:tc>
        <w:tc>
          <w:tcPr>
            <w:tcW w:w="2660" w:type="dxa"/>
            <w:vAlign w:val="bottom"/>
            <w:shd w:val="clear" w:color="auto" w:fill="407CCA"/>
          </w:tcPr>
          <w:p>
            <w:pPr>
              <w:jc w:val="center"/>
              <w:ind w:left="70"/>
              <w:spacing w:after="0"/>
              <w:rPr>
                <w:sz w:val="20"/>
                <w:szCs w:val="20"/>
                <w:color w:val="auto"/>
              </w:rPr>
            </w:pPr>
            <w:r>
              <w:rPr>
                <w:rFonts w:ascii="Arial" w:cs="Arial" w:eastAsia="Arial" w:hAnsi="Arial"/>
                <w:sz w:val="18"/>
                <w:szCs w:val="18"/>
                <w:b w:val="1"/>
                <w:bCs w:val="1"/>
                <w:color w:val="auto"/>
                <w:w w:val="94"/>
              </w:rPr>
              <w:t>Annaly Capital</w:t>
            </w:r>
          </w:p>
        </w:tc>
        <w:tc>
          <w:tcPr>
            <w:tcW w:w="2380" w:type="dxa"/>
            <w:vAlign w:val="bottom"/>
            <w:shd w:val="clear" w:color="auto" w:fill="407CCA"/>
          </w:tcPr>
          <w:p>
            <w:pPr>
              <w:jc w:val="center"/>
              <w:spacing w:after="0"/>
              <w:rPr>
                <w:sz w:val="20"/>
                <w:szCs w:val="20"/>
                <w:color w:val="auto"/>
              </w:rPr>
            </w:pPr>
            <w:r>
              <w:rPr>
                <w:rFonts w:ascii="Arial" w:cs="Arial" w:eastAsia="Arial" w:hAnsi="Arial"/>
                <w:sz w:val="18"/>
                <w:szCs w:val="18"/>
                <w:b w:val="1"/>
                <w:bCs w:val="1"/>
                <w:color w:val="auto"/>
                <w:w w:val="92"/>
              </w:rPr>
              <w:t>Two Harbors</w:t>
            </w:r>
          </w:p>
        </w:tc>
      </w:tr>
      <w:tr>
        <w:trPr>
          <w:trHeight w:val="234"/>
        </w:trPr>
        <w:tc>
          <w:tcPr>
            <w:tcW w:w="3080" w:type="dxa"/>
            <w:vAlign w:val="bottom"/>
            <w:shd w:val="clear" w:color="auto" w:fill="407CCA"/>
          </w:tcPr>
          <w:p>
            <w:pPr>
              <w:ind w:left="960"/>
              <w:spacing w:after="0"/>
              <w:rPr>
                <w:sz w:val="20"/>
                <w:szCs w:val="20"/>
                <w:color w:val="auto"/>
              </w:rPr>
            </w:pPr>
            <w:r>
              <w:rPr>
                <w:rFonts w:ascii="Arial" w:cs="Arial" w:eastAsia="Arial" w:hAnsi="Arial"/>
                <w:sz w:val="18"/>
                <w:szCs w:val="18"/>
                <w:b w:val="1"/>
                <w:bCs w:val="1"/>
                <w:color w:val="auto"/>
              </w:rPr>
              <w:t>Considerations</w:t>
            </w:r>
          </w:p>
        </w:tc>
        <w:tc>
          <w:tcPr>
            <w:tcW w:w="2900" w:type="dxa"/>
            <w:vAlign w:val="bottom"/>
            <w:shd w:val="clear" w:color="auto" w:fill="407CCA"/>
          </w:tcPr>
          <w:p>
            <w:pPr>
              <w:jc w:val="center"/>
              <w:spacing w:after="0"/>
              <w:rPr>
                <w:sz w:val="20"/>
                <w:szCs w:val="20"/>
                <w:color w:val="auto"/>
              </w:rPr>
            </w:pPr>
            <w:r>
              <w:rPr>
                <w:rFonts w:ascii="Arial" w:cs="Arial" w:eastAsia="Arial" w:hAnsi="Arial"/>
                <w:sz w:val="18"/>
                <w:szCs w:val="18"/>
                <w:b w:val="1"/>
                <w:bCs w:val="1"/>
                <w:color w:val="auto"/>
                <w:w w:val="93"/>
              </w:rPr>
              <w:t>Corp.</w:t>
            </w:r>
          </w:p>
        </w:tc>
        <w:tc>
          <w:tcPr>
            <w:tcW w:w="2660" w:type="dxa"/>
            <w:vAlign w:val="bottom"/>
            <w:shd w:val="clear" w:color="auto" w:fill="407CCA"/>
          </w:tcPr>
          <w:p>
            <w:pPr>
              <w:jc w:val="center"/>
              <w:ind w:left="70"/>
              <w:spacing w:after="0"/>
              <w:rPr>
                <w:sz w:val="20"/>
                <w:szCs w:val="20"/>
                <w:color w:val="auto"/>
              </w:rPr>
            </w:pPr>
            <w:r>
              <w:rPr>
                <w:rFonts w:ascii="Arial" w:cs="Arial" w:eastAsia="Arial" w:hAnsi="Arial"/>
                <w:sz w:val="18"/>
                <w:szCs w:val="18"/>
                <w:b w:val="1"/>
                <w:bCs w:val="1"/>
                <w:color w:val="auto"/>
                <w:w w:val="91"/>
              </w:rPr>
              <w:t>Management, Inc.</w:t>
            </w:r>
          </w:p>
        </w:tc>
        <w:tc>
          <w:tcPr>
            <w:tcW w:w="2380" w:type="dxa"/>
            <w:vAlign w:val="bottom"/>
            <w:shd w:val="clear" w:color="auto" w:fill="407CCA"/>
          </w:tcPr>
          <w:p>
            <w:pPr>
              <w:jc w:val="center"/>
              <w:spacing w:after="0"/>
              <w:rPr>
                <w:sz w:val="20"/>
                <w:szCs w:val="20"/>
                <w:color w:val="auto"/>
              </w:rPr>
            </w:pPr>
            <w:r>
              <w:rPr>
                <w:rFonts w:ascii="Arial" w:cs="Arial" w:eastAsia="Arial" w:hAnsi="Arial"/>
                <w:sz w:val="18"/>
                <w:szCs w:val="18"/>
                <w:b w:val="1"/>
                <w:bCs w:val="1"/>
                <w:color w:val="auto"/>
                <w:w w:val="92"/>
              </w:rPr>
              <w:t>Investment Corp.</w:t>
            </w:r>
          </w:p>
        </w:tc>
      </w:tr>
      <w:tr>
        <w:trPr>
          <w:trHeight w:val="27"/>
        </w:trPr>
        <w:tc>
          <w:tcPr>
            <w:tcW w:w="3080" w:type="dxa"/>
            <w:vAlign w:val="bottom"/>
            <w:shd w:val="clear" w:color="auto" w:fill="407CCA"/>
          </w:tcPr>
          <w:p>
            <w:pPr>
              <w:spacing w:after="0"/>
              <w:rPr>
                <w:sz w:val="2"/>
                <w:szCs w:val="2"/>
                <w:color w:val="auto"/>
              </w:rPr>
            </w:pPr>
          </w:p>
        </w:tc>
        <w:tc>
          <w:tcPr>
            <w:tcW w:w="2900" w:type="dxa"/>
            <w:vAlign w:val="bottom"/>
            <w:shd w:val="clear" w:color="auto" w:fill="407CCA"/>
          </w:tcPr>
          <w:p>
            <w:pPr>
              <w:spacing w:after="0"/>
              <w:rPr>
                <w:sz w:val="2"/>
                <w:szCs w:val="2"/>
                <w:color w:val="auto"/>
              </w:rPr>
            </w:pPr>
          </w:p>
        </w:tc>
        <w:tc>
          <w:tcPr>
            <w:tcW w:w="2660" w:type="dxa"/>
            <w:vAlign w:val="bottom"/>
            <w:shd w:val="clear" w:color="auto" w:fill="407CCA"/>
          </w:tcPr>
          <w:p>
            <w:pPr>
              <w:spacing w:after="0"/>
              <w:rPr>
                <w:sz w:val="2"/>
                <w:szCs w:val="2"/>
                <w:color w:val="auto"/>
              </w:rPr>
            </w:pPr>
          </w:p>
        </w:tc>
        <w:tc>
          <w:tcPr>
            <w:tcW w:w="2380" w:type="dxa"/>
            <w:vAlign w:val="bottom"/>
            <w:shd w:val="clear" w:color="auto" w:fill="407CCA"/>
          </w:tcPr>
          <w:p>
            <w:pPr>
              <w:spacing w:after="0"/>
              <w:rPr>
                <w:sz w:val="2"/>
                <w:szCs w:val="2"/>
                <w:color w:val="auto"/>
              </w:rPr>
            </w:pPr>
          </w:p>
        </w:tc>
      </w:tr>
    </w:tbl>
    <w:p>
      <w:pPr>
        <w:spacing w:after="0" w:line="94" w:lineRule="exact"/>
        <w:rPr>
          <w:sz w:val="20"/>
          <w:szCs w:val="20"/>
          <w:color w:val="auto"/>
        </w:rPr>
      </w:pPr>
    </w:p>
    <w:p>
      <w:pPr>
        <w:sectPr>
          <w:pgSz w:w="11900" w:h="16838" w:orient="portrait"/>
          <w:cols w:equalWidth="0" w:num="1">
            <w:col w:w="11140"/>
          </w:cols>
          <w:pgMar w:left="320" w:top="459" w:right="439" w:bottom="1440" w:gutter="0" w:footer="0" w:header="0"/>
        </w:sectPr>
      </w:pPr>
    </w:p>
    <w:tbl>
      <w:tblPr>
        <w:tblLayout w:type="fixed"/>
        <w:tblInd w:w="200" w:type="dxa"/>
        <w:tblCellMar>
          <w:top w:w="0" w:type="dxa"/>
          <w:left w:w="0" w:type="dxa"/>
          <w:bottom w:w="0" w:type="dxa"/>
          <w:right w:w="0" w:type="dxa"/>
        </w:tblCellMar>
      </w:tblPr>
      <w:tr>
        <w:trPr>
          <w:trHeight w:val="216"/>
        </w:trPr>
        <w:tc>
          <w:tcPr>
            <w:tcW w:w="2540" w:type="dxa"/>
            <w:vAlign w:val="bottom"/>
          </w:tcPr>
          <w:p>
            <w:pPr>
              <w:spacing w:after="0"/>
              <w:rPr>
                <w:sz w:val="20"/>
                <w:szCs w:val="20"/>
                <w:color w:val="auto"/>
              </w:rPr>
            </w:pPr>
            <w:r>
              <w:rPr>
                <w:rFonts w:ascii="Arial" w:cs="Arial" w:eastAsia="Arial" w:hAnsi="Arial"/>
                <w:sz w:val="18"/>
                <w:szCs w:val="18"/>
                <w:color w:val="auto"/>
              </w:rPr>
              <w:t>Compensation Highlights</w:t>
            </w:r>
          </w:p>
        </w:tc>
        <w:tc>
          <w:tcPr>
            <w:tcW w:w="860" w:type="dxa"/>
            <w:vAlign w:val="bottom"/>
          </w:tcPr>
          <w:p>
            <w:pPr>
              <w:ind w:left="680"/>
              <w:spacing w:after="0"/>
              <w:rPr>
                <w:sz w:val="20"/>
                <w:szCs w:val="20"/>
                <w:color w:val="auto"/>
              </w:rPr>
            </w:pPr>
            <w:r>
              <w:rPr>
                <w:rFonts w:ascii="Arial" w:cs="Arial" w:eastAsia="Arial" w:hAnsi="Arial"/>
                <w:sz w:val="18"/>
                <w:szCs w:val="18"/>
                <w:color w:val="auto"/>
              </w:rPr>
              <w:t>Ø</w:t>
            </w:r>
          </w:p>
        </w:tc>
        <w:tc>
          <w:tcPr>
            <w:tcW w:w="2460" w:type="dxa"/>
            <w:vAlign w:val="bottom"/>
          </w:tcPr>
          <w:p>
            <w:pPr>
              <w:ind w:left="80"/>
              <w:spacing w:after="0"/>
              <w:rPr>
                <w:sz w:val="20"/>
                <w:szCs w:val="20"/>
                <w:color w:val="auto"/>
              </w:rPr>
            </w:pPr>
            <w:r>
              <w:rPr>
                <w:rFonts w:ascii="Arial" w:cs="Arial" w:eastAsia="Arial" w:hAnsi="Arial"/>
                <w:sz w:val="18"/>
                <w:szCs w:val="18"/>
                <w:color w:val="auto"/>
              </w:rPr>
              <w:t>In 2018, AGNC paid its five</w:t>
            </w:r>
          </w:p>
        </w:tc>
        <w:tc>
          <w:tcPr>
            <w:tcW w:w="2500" w:type="dxa"/>
            <w:vAlign w:val="bottom"/>
          </w:tcPr>
          <w:p>
            <w:pPr>
              <w:ind w:left="240"/>
              <w:spacing w:after="0"/>
              <w:rPr>
                <w:sz w:val="20"/>
                <w:szCs w:val="20"/>
                <w:color w:val="auto"/>
              </w:rPr>
            </w:pPr>
            <w:r>
              <w:rPr>
                <w:rFonts w:ascii="Arial" w:cs="Arial" w:eastAsia="Arial" w:hAnsi="Arial"/>
                <w:sz w:val="18"/>
                <w:szCs w:val="18"/>
                <w:color w:val="auto"/>
                <w:w w:val="96"/>
              </w:rPr>
              <w:t>Ø  In 2018, Annaly’s external</w:t>
            </w:r>
          </w:p>
        </w:tc>
      </w:tr>
      <w:tr>
        <w:trPr>
          <w:trHeight w:val="216"/>
        </w:trPr>
        <w:tc>
          <w:tcPr>
            <w:tcW w:w="254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2460" w:type="dxa"/>
            <w:vAlign w:val="bottom"/>
          </w:tcPr>
          <w:p>
            <w:pPr>
              <w:ind w:left="80"/>
              <w:spacing w:after="0"/>
              <w:rPr>
                <w:sz w:val="20"/>
                <w:szCs w:val="20"/>
                <w:color w:val="auto"/>
              </w:rPr>
            </w:pPr>
            <w:r>
              <w:rPr>
                <w:rFonts w:ascii="Arial" w:cs="Arial" w:eastAsia="Arial" w:hAnsi="Arial"/>
                <w:sz w:val="18"/>
                <w:szCs w:val="18"/>
                <w:color w:val="auto"/>
              </w:rPr>
              <w:t>current-year NEOs, including</w:t>
            </w:r>
          </w:p>
        </w:tc>
        <w:tc>
          <w:tcPr>
            <w:tcW w:w="2500" w:type="dxa"/>
            <w:vAlign w:val="bottom"/>
          </w:tcPr>
          <w:p>
            <w:pPr>
              <w:ind w:left="500"/>
              <w:spacing w:after="0"/>
              <w:rPr>
                <w:sz w:val="20"/>
                <w:szCs w:val="20"/>
                <w:color w:val="auto"/>
              </w:rPr>
            </w:pPr>
            <w:r>
              <w:rPr>
                <w:rFonts w:ascii="Arial" w:cs="Arial" w:eastAsia="Arial" w:hAnsi="Arial"/>
                <w:sz w:val="18"/>
                <w:szCs w:val="18"/>
                <w:color w:val="auto"/>
                <w:w w:val="96"/>
              </w:rPr>
              <w:t>manager paid four NEOs,</w:t>
            </w:r>
          </w:p>
        </w:tc>
      </w:tr>
      <w:tr>
        <w:trPr>
          <w:trHeight w:val="216"/>
        </w:trPr>
        <w:tc>
          <w:tcPr>
            <w:tcW w:w="254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2460" w:type="dxa"/>
            <w:vAlign w:val="bottom"/>
          </w:tcPr>
          <w:p>
            <w:pPr>
              <w:ind w:left="80"/>
              <w:spacing w:after="0"/>
              <w:rPr>
                <w:sz w:val="20"/>
                <w:szCs w:val="20"/>
                <w:color w:val="auto"/>
              </w:rPr>
            </w:pPr>
            <w:r>
              <w:rPr>
                <w:rFonts w:ascii="Arial" w:cs="Arial" w:eastAsia="Arial" w:hAnsi="Arial"/>
                <w:sz w:val="18"/>
                <w:szCs w:val="18"/>
                <w:color w:val="auto"/>
              </w:rPr>
              <w:t>our CEO, $26.2 million</w:t>
            </w:r>
          </w:p>
        </w:tc>
        <w:tc>
          <w:tcPr>
            <w:tcW w:w="2500" w:type="dxa"/>
            <w:vAlign w:val="bottom"/>
          </w:tcPr>
          <w:p>
            <w:pPr>
              <w:ind w:left="500"/>
              <w:spacing w:after="0"/>
              <w:rPr>
                <w:sz w:val="20"/>
                <w:szCs w:val="20"/>
                <w:color w:val="auto"/>
              </w:rPr>
            </w:pPr>
            <w:r>
              <w:rPr>
                <w:rFonts w:ascii="Arial" w:cs="Arial" w:eastAsia="Arial" w:hAnsi="Arial"/>
                <w:sz w:val="18"/>
                <w:szCs w:val="18"/>
                <w:color w:val="auto"/>
                <w:w w:val="96"/>
              </w:rPr>
              <w:t>excluding the CEO, $31.7</w:t>
            </w:r>
          </w:p>
        </w:tc>
      </w:tr>
      <w:tr>
        <w:trPr>
          <w:trHeight w:val="216"/>
        </w:trPr>
        <w:tc>
          <w:tcPr>
            <w:tcW w:w="254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2460" w:type="dxa"/>
            <w:vAlign w:val="bottom"/>
          </w:tcPr>
          <w:p>
            <w:pPr>
              <w:ind w:left="80"/>
              <w:spacing w:after="0"/>
              <w:rPr>
                <w:sz w:val="20"/>
                <w:szCs w:val="20"/>
                <w:color w:val="auto"/>
              </w:rPr>
            </w:pPr>
            <w:r>
              <w:rPr>
                <w:rFonts w:ascii="Arial" w:cs="Arial" w:eastAsia="Arial" w:hAnsi="Arial"/>
                <w:sz w:val="18"/>
                <w:szCs w:val="18"/>
                <w:color w:val="auto"/>
              </w:rPr>
              <w:t>• 65% salary and cash bonus</w:t>
            </w:r>
          </w:p>
        </w:tc>
        <w:tc>
          <w:tcPr>
            <w:tcW w:w="2500" w:type="dxa"/>
            <w:vAlign w:val="bottom"/>
          </w:tcPr>
          <w:p>
            <w:pPr>
              <w:ind w:left="500"/>
              <w:spacing w:after="0"/>
              <w:rPr>
                <w:sz w:val="20"/>
                <w:szCs w:val="20"/>
                <w:color w:val="auto"/>
              </w:rPr>
            </w:pPr>
            <w:r>
              <w:rPr>
                <w:rFonts w:ascii="Arial" w:cs="Arial" w:eastAsia="Arial" w:hAnsi="Arial"/>
                <w:sz w:val="18"/>
                <w:szCs w:val="18"/>
                <w:color w:val="auto"/>
              </w:rPr>
              <w:t>million</w:t>
            </w:r>
            <w:r>
              <w:rPr>
                <w:rFonts w:ascii="Arial" w:cs="Arial" w:eastAsia="Arial" w:hAnsi="Arial"/>
                <w:sz w:val="15"/>
                <w:szCs w:val="15"/>
                <w:color w:val="auto"/>
              </w:rPr>
              <w:t>1</w:t>
            </w:r>
          </w:p>
        </w:tc>
      </w:tr>
      <w:tr>
        <w:trPr>
          <w:trHeight w:val="216"/>
        </w:trPr>
        <w:tc>
          <w:tcPr>
            <w:tcW w:w="254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2460" w:type="dxa"/>
            <w:vAlign w:val="bottom"/>
          </w:tcPr>
          <w:p>
            <w:pPr>
              <w:ind w:left="80"/>
              <w:spacing w:after="0"/>
              <w:rPr>
                <w:sz w:val="20"/>
                <w:szCs w:val="20"/>
                <w:color w:val="auto"/>
              </w:rPr>
            </w:pPr>
            <w:r>
              <w:rPr>
                <w:rFonts w:ascii="Arial" w:cs="Arial" w:eastAsia="Arial" w:hAnsi="Arial"/>
                <w:sz w:val="18"/>
                <w:szCs w:val="18"/>
                <w:color w:val="auto"/>
              </w:rPr>
              <w:t>• 35% LTI</w:t>
            </w:r>
          </w:p>
        </w:tc>
        <w:tc>
          <w:tcPr>
            <w:tcW w:w="2500" w:type="dxa"/>
            <w:vAlign w:val="bottom"/>
          </w:tcPr>
          <w:p>
            <w:pPr>
              <w:ind w:left="500"/>
              <w:spacing w:after="0"/>
              <w:rPr>
                <w:sz w:val="20"/>
                <w:szCs w:val="20"/>
                <w:color w:val="auto"/>
              </w:rPr>
            </w:pPr>
            <w:r>
              <w:rPr>
                <w:rFonts w:ascii="Arial" w:cs="Arial" w:eastAsia="Arial" w:hAnsi="Arial"/>
                <w:sz w:val="18"/>
                <w:szCs w:val="18"/>
                <w:color w:val="auto"/>
              </w:rPr>
              <w:t>• 100% salary and cash</w:t>
            </w:r>
          </w:p>
        </w:tc>
      </w:tr>
      <w:tr>
        <w:trPr>
          <w:trHeight w:val="216"/>
        </w:trPr>
        <w:tc>
          <w:tcPr>
            <w:tcW w:w="2540" w:type="dxa"/>
            <w:vAlign w:val="bottom"/>
          </w:tcPr>
          <w:p>
            <w:pPr>
              <w:spacing w:after="0"/>
              <w:rPr>
                <w:sz w:val="18"/>
                <w:szCs w:val="18"/>
                <w:color w:val="auto"/>
              </w:rPr>
            </w:pPr>
          </w:p>
        </w:tc>
        <w:tc>
          <w:tcPr>
            <w:tcW w:w="3320" w:type="dxa"/>
            <w:vAlign w:val="bottom"/>
            <w:gridSpan w:val="2"/>
          </w:tcPr>
          <w:p>
            <w:pPr>
              <w:ind w:left="680"/>
              <w:spacing w:after="0"/>
              <w:rPr>
                <w:sz w:val="20"/>
                <w:szCs w:val="20"/>
                <w:color w:val="auto"/>
              </w:rPr>
            </w:pPr>
            <w:r>
              <w:rPr>
                <w:rFonts w:ascii="Arial" w:cs="Arial" w:eastAsia="Arial" w:hAnsi="Arial"/>
                <w:sz w:val="18"/>
                <w:szCs w:val="18"/>
                <w:color w:val="auto"/>
              </w:rPr>
              <w:t>Ø  2019: 56% salary and cash</w:t>
            </w:r>
          </w:p>
        </w:tc>
        <w:tc>
          <w:tcPr>
            <w:tcW w:w="2500" w:type="dxa"/>
            <w:vAlign w:val="bottom"/>
          </w:tcPr>
          <w:p>
            <w:pPr>
              <w:ind w:left="680"/>
              <w:spacing w:after="0"/>
              <w:rPr>
                <w:sz w:val="20"/>
                <w:szCs w:val="20"/>
                <w:color w:val="auto"/>
              </w:rPr>
            </w:pPr>
            <w:r>
              <w:rPr>
                <w:rFonts w:ascii="Arial" w:cs="Arial" w:eastAsia="Arial" w:hAnsi="Arial"/>
                <w:sz w:val="18"/>
                <w:szCs w:val="18"/>
                <w:color w:val="auto"/>
              </w:rPr>
              <w:t>bonus</w:t>
            </w:r>
          </w:p>
        </w:tc>
      </w:tr>
      <w:tr>
        <w:trPr>
          <w:trHeight w:val="216"/>
        </w:trPr>
        <w:tc>
          <w:tcPr>
            <w:tcW w:w="254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2460" w:type="dxa"/>
            <w:vAlign w:val="bottom"/>
          </w:tcPr>
          <w:p>
            <w:pPr>
              <w:ind w:left="80"/>
              <w:spacing w:after="0"/>
              <w:rPr>
                <w:sz w:val="20"/>
                <w:szCs w:val="20"/>
                <w:color w:val="auto"/>
              </w:rPr>
            </w:pPr>
            <w:r>
              <w:rPr>
                <w:rFonts w:ascii="Arial" w:cs="Arial" w:eastAsia="Arial" w:hAnsi="Arial"/>
                <w:sz w:val="18"/>
                <w:szCs w:val="18"/>
                <w:color w:val="auto"/>
              </w:rPr>
              <w:t>bonus; 44% LTI</w:t>
            </w:r>
          </w:p>
        </w:tc>
        <w:tc>
          <w:tcPr>
            <w:tcW w:w="2500" w:type="dxa"/>
            <w:vAlign w:val="bottom"/>
          </w:tcPr>
          <w:p>
            <w:pPr>
              <w:ind w:left="500"/>
              <w:spacing w:after="0"/>
              <w:rPr>
                <w:sz w:val="20"/>
                <w:szCs w:val="20"/>
                <w:color w:val="auto"/>
              </w:rPr>
            </w:pPr>
            <w:r>
              <w:rPr>
                <w:rFonts w:ascii="Arial" w:cs="Arial" w:eastAsia="Arial" w:hAnsi="Arial"/>
                <w:sz w:val="18"/>
                <w:szCs w:val="18"/>
                <w:color w:val="auto"/>
              </w:rPr>
              <w:t>• 0% LTI</w:t>
            </w:r>
          </w:p>
        </w:tc>
      </w:tr>
      <w:tr>
        <w:trPr>
          <w:trHeight w:val="216"/>
        </w:trPr>
        <w:tc>
          <w:tcPr>
            <w:tcW w:w="2540" w:type="dxa"/>
            <w:vAlign w:val="bottom"/>
          </w:tcPr>
          <w:p>
            <w:pPr>
              <w:spacing w:after="0"/>
              <w:rPr>
                <w:sz w:val="18"/>
                <w:szCs w:val="18"/>
                <w:color w:val="auto"/>
              </w:rPr>
            </w:pPr>
          </w:p>
        </w:tc>
        <w:tc>
          <w:tcPr>
            <w:tcW w:w="860" w:type="dxa"/>
            <w:vAlign w:val="bottom"/>
          </w:tcPr>
          <w:p>
            <w:pPr>
              <w:ind w:left="680"/>
              <w:spacing w:after="0"/>
              <w:rPr>
                <w:sz w:val="20"/>
                <w:szCs w:val="20"/>
                <w:color w:val="auto"/>
              </w:rPr>
            </w:pPr>
            <w:r>
              <w:rPr>
                <w:rFonts w:ascii="Arial" w:cs="Arial" w:eastAsia="Arial" w:hAnsi="Arial"/>
                <w:sz w:val="18"/>
                <w:szCs w:val="18"/>
                <w:color w:val="auto"/>
              </w:rPr>
              <w:t>Ø</w:t>
            </w:r>
          </w:p>
        </w:tc>
        <w:tc>
          <w:tcPr>
            <w:tcW w:w="2460" w:type="dxa"/>
            <w:vAlign w:val="bottom"/>
          </w:tcPr>
          <w:p>
            <w:pPr>
              <w:ind w:left="80"/>
              <w:spacing w:after="0"/>
              <w:rPr>
                <w:sz w:val="20"/>
                <w:szCs w:val="20"/>
                <w:color w:val="auto"/>
              </w:rPr>
            </w:pPr>
            <w:r>
              <w:rPr>
                <w:rFonts w:ascii="Arial" w:cs="Arial" w:eastAsia="Arial" w:hAnsi="Arial"/>
                <w:sz w:val="18"/>
                <w:szCs w:val="18"/>
                <w:color w:val="auto"/>
              </w:rPr>
              <w:t>No separate remuneration</w:t>
            </w:r>
          </w:p>
        </w:tc>
        <w:tc>
          <w:tcPr>
            <w:tcW w:w="2500" w:type="dxa"/>
            <w:vAlign w:val="bottom"/>
          </w:tcPr>
          <w:p>
            <w:pPr>
              <w:ind w:left="240"/>
              <w:spacing w:after="0"/>
              <w:rPr>
                <w:sz w:val="20"/>
                <w:szCs w:val="20"/>
                <w:color w:val="auto"/>
              </w:rPr>
            </w:pPr>
            <w:r>
              <w:rPr>
                <w:rFonts w:ascii="Arial" w:cs="Arial" w:eastAsia="Arial" w:hAnsi="Arial"/>
                <w:sz w:val="18"/>
                <w:szCs w:val="18"/>
                <w:color w:val="auto"/>
              </w:rPr>
              <w:t>Ø  Does not include</w:t>
            </w:r>
          </w:p>
        </w:tc>
      </w:tr>
      <w:tr>
        <w:trPr>
          <w:trHeight w:val="216"/>
        </w:trPr>
        <w:tc>
          <w:tcPr>
            <w:tcW w:w="254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2460" w:type="dxa"/>
            <w:vAlign w:val="bottom"/>
          </w:tcPr>
          <w:p>
            <w:pPr>
              <w:ind w:left="80"/>
              <w:spacing w:after="0"/>
              <w:rPr>
                <w:sz w:val="20"/>
                <w:szCs w:val="20"/>
                <w:color w:val="auto"/>
              </w:rPr>
            </w:pPr>
            <w:r>
              <w:rPr>
                <w:rFonts w:ascii="Arial" w:cs="Arial" w:eastAsia="Arial" w:hAnsi="Arial"/>
                <w:sz w:val="18"/>
                <w:szCs w:val="18"/>
                <w:color w:val="auto"/>
              </w:rPr>
              <w:t>through a manager</w:t>
            </w:r>
          </w:p>
        </w:tc>
        <w:tc>
          <w:tcPr>
            <w:tcW w:w="2500" w:type="dxa"/>
            <w:vAlign w:val="bottom"/>
          </w:tcPr>
          <w:p>
            <w:pPr>
              <w:ind w:left="500"/>
              <w:spacing w:after="0"/>
              <w:rPr>
                <w:sz w:val="20"/>
                <w:szCs w:val="20"/>
                <w:color w:val="auto"/>
              </w:rPr>
            </w:pPr>
            <w:r>
              <w:rPr>
                <w:rFonts w:ascii="Arial" w:cs="Arial" w:eastAsia="Arial" w:hAnsi="Arial"/>
                <w:sz w:val="18"/>
                <w:szCs w:val="18"/>
                <w:color w:val="auto"/>
                <w:w w:val="90"/>
              </w:rPr>
              <w:t>remuneration paid to NEOs</w:t>
            </w:r>
          </w:p>
        </w:tc>
      </w:tr>
      <w:tr>
        <w:trPr>
          <w:trHeight w:val="230"/>
        </w:trPr>
        <w:tc>
          <w:tcPr>
            <w:tcW w:w="2540" w:type="dxa"/>
            <w:vAlign w:val="bottom"/>
          </w:tcPr>
          <w:p>
            <w:pPr>
              <w:spacing w:after="0"/>
              <w:rPr>
                <w:sz w:val="20"/>
                <w:szCs w:val="20"/>
                <w:color w:val="auto"/>
              </w:rPr>
            </w:pPr>
          </w:p>
        </w:tc>
        <w:tc>
          <w:tcPr>
            <w:tcW w:w="860" w:type="dxa"/>
            <w:vAlign w:val="bottom"/>
          </w:tcPr>
          <w:p>
            <w:pPr>
              <w:spacing w:after="0"/>
              <w:rPr>
                <w:sz w:val="20"/>
                <w:szCs w:val="20"/>
                <w:color w:val="auto"/>
              </w:rPr>
            </w:pPr>
          </w:p>
        </w:tc>
        <w:tc>
          <w:tcPr>
            <w:tcW w:w="2460" w:type="dxa"/>
            <w:vAlign w:val="bottom"/>
          </w:tcPr>
          <w:p>
            <w:pPr>
              <w:spacing w:after="0"/>
              <w:rPr>
                <w:sz w:val="20"/>
                <w:szCs w:val="20"/>
                <w:color w:val="auto"/>
              </w:rPr>
            </w:pPr>
          </w:p>
        </w:tc>
        <w:tc>
          <w:tcPr>
            <w:tcW w:w="2500" w:type="dxa"/>
            <w:vAlign w:val="bottom"/>
          </w:tcPr>
          <w:p>
            <w:pPr>
              <w:ind w:left="500"/>
              <w:spacing w:after="0"/>
              <w:rPr>
                <w:sz w:val="20"/>
                <w:szCs w:val="20"/>
                <w:color w:val="auto"/>
              </w:rPr>
            </w:pPr>
            <w:r>
              <w:rPr>
                <w:rFonts w:ascii="Arial" w:cs="Arial" w:eastAsia="Arial" w:hAnsi="Arial"/>
                <w:sz w:val="18"/>
                <w:szCs w:val="18"/>
                <w:color w:val="auto"/>
              </w:rPr>
              <w:t>resulting from personal</w:t>
            </w:r>
          </w:p>
        </w:tc>
      </w:tr>
    </w:tbl>
    <w:p>
      <w:pPr>
        <w:ind w:left="6560"/>
        <w:spacing w:after="0"/>
        <w:rPr>
          <w:sz w:val="20"/>
          <w:szCs w:val="20"/>
          <w:color w:val="auto"/>
        </w:rPr>
      </w:pPr>
      <w:r>
        <w:rPr>
          <w:rFonts w:ascii="Arial" w:cs="Arial" w:eastAsia="Arial" w:hAnsi="Arial"/>
          <w:sz w:val="18"/>
          <w:szCs w:val="18"/>
          <w:color w:val="auto"/>
        </w:rPr>
        <w:t>interest in profits on the</w:t>
      </w:r>
    </w:p>
    <w:p>
      <w:pPr>
        <w:spacing w:after="0" w:line="9" w:lineRule="exact"/>
        <w:rPr>
          <w:sz w:val="20"/>
          <w:szCs w:val="20"/>
          <w:color w:val="auto"/>
        </w:rPr>
      </w:pPr>
    </w:p>
    <w:p>
      <w:pPr>
        <w:ind w:left="6560"/>
        <w:spacing w:after="0"/>
        <w:rPr>
          <w:sz w:val="20"/>
          <w:szCs w:val="20"/>
          <w:color w:val="auto"/>
        </w:rPr>
      </w:pPr>
      <w:r>
        <w:rPr>
          <w:rFonts w:ascii="Arial" w:cs="Arial" w:eastAsia="Arial" w:hAnsi="Arial"/>
          <w:sz w:val="18"/>
          <w:szCs w:val="18"/>
          <w:color w:val="auto"/>
        </w:rPr>
        <w:t>management fee</w:t>
      </w:r>
    </w:p>
    <w:p>
      <w:pPr>
        <w:spacing w:after="0" w:line="20" w:lineRule="exact"/>
        <w:rPr>
          <w:sz w:val="20"/>
          <w:szCs w:val="20"/>
          <w:color w:val="auto"/>
        </w:rPr>
      </w:pPr>
      <w:r>
        <w:rPr>
          <w:sz w:val="20"/>
          <w:szCs w:val="20"/>
          <w:color w:val="auto"/>
        </w:rPr>
        <w:br w:type="column"/>
      </w:r>
    </w:p>
    <w:p>
      <w:pPr>
        <w:ind w:left="277" w:right="360" w:hanging="277"/>
        <w:spacing w:after="0" w:line="268" w:lineRule="auto"/>
        <w:tabs>
          <w:tab w:leader="none" w:pos="272" w:val="left"/>
        </w:tabs>
        <w:numPr>
          <w:ilvl w:val="0"/>
          <w:numId w:val="24"/>
        </w:numPr>
        <w:rPr>
          <w:rFonts w:ascii="Arial" w:cs="Arial" w:eastAsia="Arial" w:hAnsi="Arial"/>
          <w:sz w:val="17"/>
          <w:szCs w:val="17"/>
          <w:color w:val="auto"/>
        </w:rPr>
      </w:pPr>
      <w:r>
        <w:rPr>
          <w:rFonts w:ascii="Arial" w:cs="Arial" w:eastAsia="Arial" w:hAnsi="Arial"/>
          <w:sz w:val="17"/>
          <w:szCs w:val="17"/>
          <w:color w:val="auto"/>
        </w:rPr>
        <w:t>In 2018, Two Harbors Investment Corp.’s five NEOs received $24.4 million in compensation</w:t>
      </w:r>
      <w:r>
        <w:rPr>
          <w:rFonts w:ascii="Arial" w:cs="Arial" w:eastAsia="Arial" w:hAnsi="Arial"/>
          <w:sz w:val="14"/>
          <w:szCs w:val="14"/>
          <w:color w:val="auto"/>
        </w:rPr>
        <w:t>3</w:t>
      </w:r>
    </w:p>
    <w:p>
      <w:pPr>
        <w:spacing w:after="0" w:line="2" w:lineRule="exact"/>
        <w:rPr>
          <w:rFonts w:ascii="Arial" w:cs="Arial" w:eastAsia="Arial" w:hAnsi="Arial"/>
          <w:sz w:val="17"/>
          <w:szCs w:val="17"/>
          <w:color w:val="auto"/>
        </w:rPr>
      </w:pPr>
    </w:p>
    <w:p>
      <w:pPr>
        <w:ind w:left="457" w:right="400" w:hanging="187"/>
        <w:spacing w:after="0" w:line="250" w:lineRule="auto"/>
        <w:tabs>
          <w:tab w:leader="none" w:pos="441" w:val="left"/>
        </w:tabs>
        <w:numPr>
          <w:ilvl w:val="1"/>
          <w:numId w:val="24"/>
        </w:numPr>
        <w:rPr>
          <w:rFonts w:ascii="Arial" w:cs="Arial" w:eastAsia="Arial" w:hAnsi="Arial"/>
          <w:sz w:val="18"/>
          <w:szCs w:val="18"/>
          <w:color w:val="auto"/>
        </w:rPr>
      </w:pPr>
      <w:r>
        <w:rPr>
          <w:rFonts w:ascii="Arial" w:cs="Arial" w:eastAsia="Arial" w:hAnsi="Arial"/>
          <w:sz w:val="18"/>
          <w:szCs w:val="18"/>
          <w:color w:val="auto"/>
        </w:rPr>
        <w:t>64% salary and cash bonus</w:t>
      </w:r>
    </w:p>
    <w:p>
      <w:pPr>
        <w:ind w:left="437" w:hanging="167"/>
        <w:spacing w:after="0"/>
        <w:tabs>
          <w:tab w:leader="none" w:pos="437" w:val="left"/>
        </w:tabs>
        <w:numPr>
          <w:ilvl w:val="1"/>
          <w:numId w:val="24"/>
        </w:numPr>
        <w:rPr>
          <w:rFonts w:ascii="Arial" w:cs="Arial" w:eastAsia="Arial" w:hAnsi="Arial"/>
          <w:sz w:val="18"/>
          <w:szCs w:val="18"/>
          <w:color w:val="auto"/>
        </w:rPr>
      </w:pPr>
      <w:r>
        <w:rPr>
          <w:rFonts w:ascii="Arial" w:cs="Arial" w:eastAsia="Arial" w:hAnsi="Arial"/>
          <w:sz w:val="18"/>
          <w:szCs w:val="18"/>
          <w:color w:val="auto"/>
        </w:rPr>
        <w:t>36% LTI</w:t>
      </w:r>
    </w:p>
    <w:p>
      <w:pPr>
        <w:spacing w:after="0" w:line="9" w:lineRule="exact"/>
        <w:rPr>
          <w:rFonts w:ascii="Arial" w:cs="Arial" w:eastAsia="Arial" w:hAnsi="Arial"/>
          <w:sz w:val="18"/>
          <w:szCs w:val="18"/>
          <w:color w:val="auto"/>
        </w:rPr>
      </w:pPr>
    </w:p>
    <w:p>
      <w:pPr>
        <w:ind w:left="277" w:right="20" w:hanging="277"/>
        <w:spacing w:after="0" w:line="286" w:lineRule="auto"/>
        <w:tabs>
          <w:tab w:leader="none" w:pos="272" w:val="left"/>
        </w:tabs>
        <w:numPr>
          <w:ilvl w:val="0"/>
          <w:numId w:val="24"/>
        </w:numPr>
        <w:rPr>
          <w:rFonts w:ascii="Arial" w:cs="Arial" w:eastAsia="Arial" w:hAnsi="Arial"/>
          <w:sz w:val="16"/>
          <w:szCs w:val="16"/>
          <w:color w:val="auto"/>
        </w:rPr>
      </w:pPr>
      <w:r>
        <w:rPr>
          <w:rFonts w:ascii="Arial" w:cs="Arial" w:eastAsia="Arial" w:hAnsi="Arial"/>
          <w:sz w:val="16"/>
          <w:szCs w:val="16"/>
          <w:color w:val="auto"/>
        </w:rPr>
        <w:t>Does not include remuneration paid to certain NEOs resulting from personal interest in profits on the management fee</w:t>
      </w:r>
    </w:p>
    <w:p>
      <w:pPr>
        <w:spacing w:after="0" w:line="4" w:lineRule="exact"/>
        <w:rPr>
          <w:sz w:val="20"/>
          <w:szCs w:val="20"/>
          <w:color w:val="auto"/>
        </w:rPr>
      </w:pPr>
    </w:p>
    <w:p>
      <w:pPr>
        <w:sectPr>
          <w:pgSz w:w="11900" w:h="16838" w:orient="portrait"/>
          <w:cols w:equalWidth="0" w:num="2">
            <w:col w:w="8560" w:space="263"/>
            <w:col w:w="2317"/>
          </w:cols>
          <w:pgMar w:left="320" w:top="459" w:right="439" w:bottom="1440" w:gutter="0" w:footer="0" w:header="0"/>
          <w:type w:val="continuous"/>
        </w:sectPr>
      </w:pPr>
    </w:p>
    <w:tbl>
      <w:tblPr>
        <w:tblLayout w:type="fixed"/>
        <w:tblInd w:w="120" w:type="dxa"/>
        <w:tblCellMar>
          <w:top w:w="0" w:type="dxa"/>
          <w:left w:w="0" w:type="dxa"/>
          <w:bottom w:w="0" w:type="dxa"/>
          <w:right w:w="0" w:type="dxa"/>
        </w:tblCellMar>
      </w:tblPr>
      <w:tr>
        <w:trPr>
          <w:trHeight w:val="303"/>
        </w:trPr>
        <w:tc>
          <w:tcPr>
            <w:tcW w:w="308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91"/>
              </w:rPr>
              <w:t>NEO Personal Interest in Manager Profit</w:t>
            </w:r>
          </w:p>
        </w:tc>
        <w:tc>
          <w:tcPr>
            <w:tcW w:w="1800" w:type="dxa"/>
            <w:vAlign w:val="bottom"/>
            <w:shd w:val="clear" w:color="auto" w:fill="D8D8D8"/>
          </w:tcPr>
          <w:p>
            <w:pPr>
              <w:ind w:left="220"/>
              <w:spacing w:after="0"/>
              <w:rPr>
                <w:sz w:val="20"/>
                <w:szCs w:val="20"/>
                <w:color w:val="auto"/>
              </w:rPr>
            </w:pPr>
            <w:r>
              <w:rPr>
                <w:rFonts w:ascii="Arial" w:cs="Arial" w:eastAsia="Arial" w:hAnsi="Arial"/>
                <w:sz w:val="18"/>
                <w:szCs w:val="18"/>
                <w:color w:val="auto"/>
              </w:rPr>
              <w:t>N/A</w:t>
            </w:r>
          </w:p>
        </w:tc>
        <w:tc>
          <w:tcPr>
            <w:tcW w:w="3760" w:type="dxa"/>
            <w:vAlign w:val="bottom"/>
            <w:shd w:val="clear" w:color="auto" w:fill="D8D8D8"/>
          </w:tcPr>
          <w:p>
            <w:pPr>
              <w:ind w:left="1300"/>
              <w:spacing w:after="0"/>
              <w:rPr>
                <w:sz w:val="20"/>
                <w:szCs w:val="20"/>
                <w:color w:val="auto"/>
              </w:rPr>
            </w:pPr>
            <w:r>
              <w:rPr>
                <w:rFonts w:ascii="Arial" w:cs="Arial" w:eastAsia="Arial" w:hAnsi="Arial"/>
                <w:sz w:val="18"/>
                <w:szCs w:val="18"/>
                <w:color w:val="auto"/>
              </w:rPr>
              <w:t>Ø  CEO compensated solely</w:t>
            </w:r>
          </w:p>
        </w:tc>
        <w:tc>
          <w:tcPr>
            <w:tcW w:w="2380" w:type="dxa"/>
            <w:vAlign w:val="bottom"/>
            <w:shd w:val="clear" w:color="auto" w:fill="D8D8D8"/>
          </w:tcPr>
          <w:p>
            <w:pPr>
              <w:ind w:left="60"/>
              <w:spacing w:after="0"/>
              <w:rPr>
                <w:sz w:val="20"/>
                <w:szCs w:val="20"/>
                <w:color w:val="auto"/>
              </w:rPr>
            </w:pPr>
            <w:r>
              <w:rPr>
                <w:rFonts w:ascii="Arial" w:cs="Arial" w:eastAsia="Arial" w:hAnsi="Arial"/>
                <w:sz w:val="18"/>
                <w:szCs w:val="18"/>
                <w:color w:val="auto"/>
              </w:rPr>
              <w:t>Ø  CEO and certain other</w:t>
            </w:r>
          </w:p>
        </w:tc>
      </w:tr>
      <w:tr>
        <w:trPr>
          <w:trHeight w:val="216"/>
        </w:trPr>
        <w:tc>
          <w:tcPr>
            <w:tcW w:w="3080" w:type="dxa"/>
            <w:vAlign w:val="bottom"/>
            <w:shd w:val="clear" w:color="auto" w:fill="D8D8D8"/>
          </w:tcPr>
          <w:p>
            <w:pPr>
              <w:spacing w:after="0"/>
              <w:rPr>
                <w:sz w:val="18"/>
                <w:szCs w:val="18"/>
                <w:color w:val="auto"/>
              </w:rPr>
            </w:pPr>
          </w:p>
        </w:tc>
        <w:tc>
          <w:tcPr>
            <w:tcW w:w="1800" w:type="dxa"/>
            <w:vAlign w:val="bottom"/>
            <w:shd w:val="clear" w:color="auto" w:fill="D8D8D8"/>
          </w:tcPr>
          <w:p>
            <w:pPr>
              <w:spacing w:after="0"/>
              <w:rPr>
                <w:sz w:val="18"/>
                <w:szCs w:val="18"/>
                <w:color w:val="auto"/>
              </w:rPr>
            </w:pPr>
          </w:p>
        </w:tc>
        <w:tc>
          <w:tcPr>
            <w:tcW w:w="3760" w:type="dxa"/>
            <w:vAlign w:val="bottom"/>
            <w:shd w:val="clear" w:color="auto" w:fill="D8D8D8"/>
          </w:tcPr>
          <w:p>
            <w:pPr>
              <w:ind w:left="1560"/>
              <w:spacing w:after="0"/>
              <w:rPr>
                <w:sz w:val="20"/>
                <w:szCs w:val="20"/>
                <w:color w:val="auto"/>
              </w:rPr>
            </w:pPr>
            <w:r>
              <w:rPr>
                <w:rFonts w:ascii="Arial" w:cs="Arial" w:eastAsia="Arial" w:hAnsi="Arial"/>
                <w:sz w:val="18"/>
                <w:szCs w:val="18"/>
                <w:color w:val="auto"/>
                <w:w w:val="99"/>
              </w:rPr>
              <w:t>through personal interest in</w:t>
            </w:r>
          </w:p>
        </w:tc>
        <w:tc>
          <w:tcPr>
            <w:tcW w:w="2380" w:type="dxa"/>
            <w:vAlign w:val="bottom"/>
            <w:shd w:val="clear" w:color="auto" w:fill="D8D8D8"/>
          </w:tcPr>
          <w:p>
            <w:pPr>
              <w:ind w:left="340"/>
              <w:spacing w:after="0"/>
              <w:rPr>
                <w:sz w:val="20"/>
                <w:szCs w:val="20"/>
                <w:color w:val="auto"/>
              </w:rPr>
            </w:pPr>
            <w:r>
              <w:rPr>
                <w:rFonts w:ascii="Arial" w:cs="Arial" w:eastAsia="Arial" w:hAnsi="Arial"/>
                <w:sz w:val="18"/>
                <w:szCs w:val="18"/>
                <w:color w:val="auto"/>
              </w:rPr>
              <w:t>NEOs share of profits on</w:t>
            </w:r>
          </w:p>
        </w:tc>
      </w:tr>
      <w:tr>
        <w:trPr>
          <w:trHeight w:val="216"/>
        </w:trPr>
        <w:tc>
          <w:tcPr>
            <w:tcW w:w="3080" w:type="dxa"/>
            <w:vAlign w:val="bottom"/>
            <w:shd w:val="clear" w:color="auto" w:fill="D8D8D8"/>
          </w:tcPr>
          <w:p>
            <w:pPr>
              <w:spacing w:after="0"/>
              <w:rPr>
                <w:sz w:val="18"/>
                <w:szCs w:val="18"/>
                <w:color w:val="auto"/>
              </w:rPr>
            </w:pPr>
          </w:p>
        </w:tc>
        <w:tc>
          <w:tcPr>
            <w:tcW w:w="1800" w:type="dxa"/>
            <w:vAlign w:val="bottom"/>
            <w:shd w:val="clear" w:color="auto" w:fill="D8D8D8"/>
          </w:tcPr>
          <w:p>
            <w:pPr>
              <w:spacing w:after="0"/>
              <w:rPr>
                <w:sz w:val="18"/>
                <w:szCs w:val="18"/>
                <w:color w:val="auto"/>
              </w:rPr>
            </w:pPr>
          </w:p>
        </w:tc>
        <w:tc>
          <w:tcPr>
            <w:tcW w:w="3760" w:type="dxa"/>
            <w:vAlign w:val="bottom"/>
            <w:shd w:val="clear" w:color="auto" w:fill="D8D8D8"/>
          </w:tcPr>
          <w:p>
            <w:pPr>
              <w:ind w:left="1560"/>
              <w:spacing w:after="0"/>
              <w:rPr>
                <w:sz w:val="20"/>
                <w:szCs w:val="20"/>
                <w:color w:val="auto"/>
              </w:rPr>
            </w:pPr>
            <w:r>
              <w:rPr>
                <w:rFonts w:ascii="Arial" w:cs="Arial" w:eastAsia="Arial" w:hAnsi="Arial"/>
                <w:sz w:val="18"/>
                <w:szCs w:val="18"/>
                <w:color w:val="auto"/>
              </w:rPr>
              <w:t>profits on the management</w:t>
            </w:r>
          </w:p>
        </w:tc>
        <w:tc>
          <w:tcPr>
            <w:tcW w:w="2380" w:type="dxa"/>
            <w:vAlign w:val="bottom"/>
            <w:shd w:val="clear" w:color="auto" w:fill="D8D8D8"/>
          </w:tcPr>
          <w:p>
            <w:pPr>
              <w:ind w:left="340"/>
              <w:spacing w:after="0"/>
              <w:rPr>
                <w:sz w:val="20"/>
                <w:szCs w:val="20"/>
                <w:color w:val="auto"/>
              </w:rPr>
            </w:pPr>
            <w:r>
              <w:rPr>
                <w:rFonts w:ascii="Arial" w:cs="Arial" w:eastAsia="Arial" w:hAnsi="Arial"/>
                <w:sz w:val="18"/>
                <w:szCs w:val="18"/>
                <w:color w:val="auto"/>
              </w:rPr>
              <w:t>the management fee not</w:t>
            </w:r>
          </w:p>
        </w:tc>
      </w:tr>
      <w:tr>
        <w:trPr>
          <w:trHeight w:val="216"/>
        </w:trPr>
        <w:tc>
          <w:tcPr>
            <w:tcW w:w="3080" w:type="dxa"/>
            <w:vAlign w:val="bottom"/>
            <w:shd w:val="clear" w:color="auto" w:fill="D8D8D8"/>
          </w:tcPr>
          <w:p>
            <w:pPr>
              <w:spacing w:after="0"/>
              <w:rPr>
                <w:sz w:val="18"/>
                <w:szCs w:val="18"/>
                <w:color w:val="auto"/>
              </w:rPr>
            </w:pPr>
          </w:p>
        </w:tc>
        <w:tc>
          <w:tcPr>
            <w:tcW w:w="1800" w:type="dxa"/>
            <w:vAlign w:val="bottom"/>
            <w:shd w:val="clear" w:color="auto" w:fill="D8D8D8"/>
          </w:tcPr>
          <w:p>
            <w:pPr>
              <w:spacing w:after="0"/>
              <w:rPr>
                <w:sz w:val="18"/>
                <w:szCs w:val="18"/>
                <w:color w:val="auto"/>
              </w:rPr>
            </w:pPr>
          </w:p>
        </w:tc>
        <w:tc>
          <w:tcPr>
            <w:tcW w:w="3760" w:type="dxa"/>
            <w:vAlign w:val="bottom"/>
            <w:shd w:val="clear" w:color="auto" w:fill="D8D8D8"/>
          </w:tcPr>
          <w:p>
            <w:pPr>
              <w:ind w:left="1560"/>
              <w:spacing w:after="0"/>
              <w:rPr>
                <w:sz w:val="20"/>
                <w:szCs w:val="20"/>
                <w:color w:val="auto"/>
              </w:rPr>
            </w:pPr>
            <w:r>
              <w:rPr>
                <w:rFonts w:ascii="Arial" w:cs="Arial" w:eastAsia="Arial" w:hAnsi="Arial"/>
                <w:sz w:val="18"/>
                <w:szCs w:val="18"/>
                <w:color w:val="auto"/>
              </w:rPr>
              <w:t>fee</w:t>
            </w:r>
            <w:r>
              <w:rPr>
                <w:rFonts w:ascii="Arial" w:cs="Arial" w:eastAsia="Arial" w:hAnsi="Arial"/>
                <w:sz w:val="15"/>
                <w:szCs w:val="15"/>
                <w:color w:val="auto"/>
              </w:rPr>
              <w:t>2</w:t>
            </w:r>
          </w:p>
        </w:tc>
        <w:tc>
          <w:tcPr>
            <w:tcW w:w="2380" w:type="dxa"/>
            <w:vAlign w:val="bottom"/>
            <w:shd w:val="clear" w:color="auto" w:fill="D8D8D8"/>
          </w:tcPr>
          <w:p>
            <w:pPr>
              <w:ind w:left="340"/>
              <w:spacing w:after="0"/>
              <w:rPr>
                <w:sz w:val="20"/>
                <w:szCs w:val="20"/>
                <w:color w:val="auto"/>
              </w:rPr>
            </w:pPr>
            <w:r>
              <w:rPr>
                <w:rFonts w:ascii="Arial" w:cs="Arial" w:eastAsia="Arial" w:hAnsi="Arial"/>
                <w:sz w:val="18"/>
                <w:szCs w:val="18"/>
                <w:color w:val="auto"/>
              </w:rPr>
              <w:t>disclosed</w:t>
            </w:r>
            <w:r>
              <w:rPr>
                <w:rFonts w:ascii="Arial" w:cs="Arial" w:eastAsia="Arial" w:hAnsi="Arial"/>
                <w:sz w:val="15"/>
                <w:szCs w:val="15"/>
                <w:color w:val="auto"/>
              </w:rPr>
              <w:t>4</w:t>
            </w:r>
          </w:p>
        </w:tc>
      </w:tr>
      <w:tr>
        <w:trPr>
          <w:trHeight w:val="216"/>
        </w:trPr>
        <w:tc>
          <w:tcPr>
            <w:tcW w:w="3080" w:type="dxa"/>
            <w:vAlign w:val="bottom"/>
            <w:shd w:val="clear" w:color="auto" w:fill="D8D8D8"/>
          </w:tcPr>
          <w:p>
            <w:pPr>
              <w:spacing w:after="0"/>
              <w:rPr>
                <w:sz w:val="18"/>
                <w:szCs w:val="18"/>
                <w:color w:val="auto"/>
              </w:rPr>
            </w:pPr>
          </w:p>
        </w:tc>
        <w:tc>
          <w:tcPr>
            <w:tcW w:w="1800" w:type="dxa"/>
            <w:vAlign w:val="bottom"/>
            <w:shd w:val="clear" w:color="auto" w:fill="D8D8D8"/>
          </w:tcPr>
          <w:p>
            <w:pPr>
              <w:spacing w:after="0"/>
              <w:rPr>
                <w:sz w:val="18"/>
                <w:szCs w:val="18"/>
                <w:color w:val="auto"/>
              </w:rPr>
            </w:pPr>
          </w:p>
        </w:tc>
        <w:tc>
          <w:tcPr>
            <w:tcW w:w="3760" w:type="dxa"/>
            <w:vAlign w:val="bottom"/>
            <w:shd w:val="clear" w:color="auto" w:fill="D8D8D8"/>
          </w:tcPr>
          <w:p>
            <w:pPr>
              <w:ind w:left="1300"/>
              <w:spacing w:after="0"/>
              <w:rPr>
                <w:sz w:val="20"/>
                <w:szCs w:val="20"/>
                <w:color w:val="auto"/>
              </w:rPr>
            </w:pPr>
            <w:r>
              <w:rPr>
                <w:rFonts w:ascii="Arial" w:cs="Arial" w:eastAsia="Arial" w:hAnsi="Arial"/>
                <w:sz w:val="18"/>
                <w:szCs w:val="18"/>
                <w:color w:val="auto"/>
                <w:w w:val="94"/>
              </w:rPr>
              <w:t>Ø  CEO and other NEO share of</w:t>
            </w:r>
          </w:p>
        </w:tc>
        <w:tc>
          <w:tcPr>
            <w:tcW w:w="2380" w:type="dxa"/>
            <w:vAlign w:val="bottom"/>
            <w:shd w:val="clear" w:color="auto" w:fill="D8D8D8"/>
          </w:tcPr>
          <w:p>
            <w:pPr>
              <w:spacing w:after="0"/>
              <w:rPr>
                <w:sz w:val="18"/>
                <w:szCs w:val="18"/>
                <w:color w:val="auto"/>
              </w:rPr>
            </w:pPr>
          </w:p>
        </w:tc>
      </w:tr>
      <w:tr>
        <w:trPr>
          <w:trHeight w:val="216"/>
        </w:trPr>
        <w:tc>
          <w:tcPr>
            <w:tcW w:w="3080" w:type="dxa"/>
            <w:vAlign w:val="bottom"/>
            <w:shd w:val="clear" w:color="auto" w:fill="D8D8D8"/>
          </w:tcPr>
          <w:p>
            <w:pPr>
              <w:spacing w:after="0"/>
              <w:rPr>
                <w:sz w:val="18"/>
                <w:szCs w:val="18"/>
                <w:color w:val="auto"/>
              </w:rPr>
            </w:pPr>
          </w:p>
        </w:tc>
        <w:tc>
          <w:tcPr>
            <w:tcW w:w="1800" w:type="dxa"/>
            <w:vAlign w:val="bottom"/>
            <w:shd w:val="clear" w:color="auto" w:fill="D8D8D8"/>
          </w:tcPr>
          <w:p>
            <w:pPr>
              <w:spacing w:after="0"/>
              <w:rPr>
                <w:sz w:val="18"/>
                <w:szCs w:val="18"/>
                <w:color w:val="auto"/>
              </w:rPr>
            </w:pPr>
          </w:p>
        </w:tc>
        <w:tc>
          <w:tcPr>
            <w:tcW w:w="3760" w:type="dxa"/>
            <w:vAlign w:val="bottom"/>
            <w:shd w:val="clear" w:color="auto" w:fill="D8D8D8"/>
          </w:tcPr>
          <w:p>
            <w:pPr>
              <w:ind w:left="1560"/>
              <w:spacing w:after="0"/>
              <w:rPr>
                <w:sz w:val="20"/>
                <w:szCs w:val="20"/>
                <w:color w:val="auto"/>
              </w:rPr>
            </w:pPr>
            <w:r>
              <w:rPr>
                <w:rFonts w:ascii="Arial" w:cs="Arial" w:eastAsia="Arial" w:hAnsi="Arial"/>
                <w:sz w:val="18"/>
                <w:szCs w:val="18"/>
                <w:color w:val="auto"/>
              </w:rPr>
              <w:t>profits on the management</w:t>
            </w:r>
          </w:p>
        </w:tc>
        <w:tc>
          <w:tcPr>
            <w:tcW w:w="2380" w:type="dxa"/>
            <w:vAlign w:val="bottom"/>
            <w:shd w:val="clear" w:color="auto" w:fill="D8D8D8"/>
          </w:tcPr>
          <w:p>
            <w:pPr>
              <w:spacing w:after="0"/>
              <w:rPr>
                <w:sz w:val="18"/>
                <w:szCs w:val="18"/>
                <w:color w:val="auto"/>
              </w:rPr>
            </w:pPr>
          </w:p>
        </w:tc>
      </w:tr>
      <w:tr>
        <w:trPr>
          <w:trHeight w:val="244"/>
        </w:trPr>
        <w:tc>
          <w:tcPr>
            <w:tcW w:w="3080" w:type="dxa"/>
            <w:vAlign w:val="bottom"/>
            <w:shd w:val="clear" w:color="auto" w:fill="D8D8D8"/>
          </w:tcPr>
          <w:p>
            <w:pPr>
              <w:spacing w:after="0"/>
              <w:rPr>
                <w:sz w:val="21"/>
                <w:szCs w:val="21"/>
                <w:color w:val="auto"/>
              </w:rPr>
            </w:pPr>
          </w:p>
        </w:tc>
        <w:tc>
          <w:tcPr>
            <w:tcW w:w="1800" w:type="dxa"/>
            <w:vAlign w:val="bottom"/>
            <w:shd w:val="clear" w:color="auto" w:fill="D8D8D8"/>
          </w:tcPr>
          <w:p>
            <w:pPr>
              <w:spacing w:after="0"/>
              <w:rPr>
                <w:sz w:val="21"/>
                <w:szCs w:val="21"/>
                <w:color w:val="auto"/>
              </w:rPr>
            </w:pPr>
          </w:p>
        </w:tc>
        <w:tc>
          <w:tcPr>
            <w:tcW w:w="3760" w:type="dxa"/>
            <w:vAlign w:val="bottom"/>
            <w:shd w:val="clear" w:color="auto" w:fill="D8D8D8"/>
          </w:tcPr>
          <w:p>
            <w:pPr>
              <w:ind w:left="1560"/>
              <w:spacing w:after="0"/>
              <w:rPr>
                <w:sz w:val="20"/>
                <w:szCs w:val="20"/>
                <w:color w:val="auto"/>
              </w:rPr>
            </w:pPr>
            <w:r>
              <w:rPr>
                <w:rFonts w:ascii="Arial" w:cs="Arial" w:eastAsia="Arial" w:hAnsi="Arial"/>
                <w:sz w:val="18"/>
                <w:szCs w:val="18"/>
                <w:color w:val="auto"/>
              </w:rPr>
              <w:t>fee not disclosed</w:t>
            </w:r>
          </w:p>
        </w:tc>
        <w:tc>
          <w:tcPr>
            <w:tcW w:w="2380" w:type="dxa"/>
            <w:vAlign w:val="bottom"/>
            <w:shd w:val="clear" w:color="auto" w:fill="D8D8D8"/>
          </w:tcPr>
          <w:p>
            <w:pPr>
              <w:spacing w:after="0"/>
              <w:rPr>
                <w:sz w:val="21"/>
                <w:szCs w:val="21"/>
                <w:color w:val="auto"/>
              </w:rPr>
            </w:pPr>
          </w:p>
        </w:tc>
      </w:tr>
      <w:tr>
        <w:trPr>
          <w:trHeight w:val="312"/>
        </w:trPr>
        <w:tc>
          <w:tcPr>
            <w:tcW w:w="4880" w:type="dxa"/>
            <w:vAlign w:val="bottom"/>
            <w:gridSpan w:val="2"/>
          </w:tcPr>
          <w:p>
            <w:pPr>
              <w:jc w:val="center"/>
              <w:ind w:right="1630"/>
              <w:spacing w:after="0"/>
              <w:rPr>
                <w:sz w:val="20"/>
                <w:szCs w:val="20"/>
                <w:color w:val="auto"/>
              </w:rPr>
            </w:pPr>
            <w:r>
              <w:rPr>
                <w:rFonts w:ascii="Arial" w:cs="Arial" w:eastAsia="Arial" w:hAnsi="Arial"/>
                <w:sz w:val="14"/>
                <w:szCs w:val="14"/>
                <w:color w:val="407CCA"/>
                <w:w w:val="97"/>
              </w:rPr>
              <w:t xml:space="preserve">40  AGNC INVESTMENT CORP. – </w:t>
            </w:r>
            <w:r>
              <w:rPr>
                <w:rFonts w:ascii="Arial" w:cs="Arial" w:eastAsia="Arial" w:hAnsi="Arial"/>
                <w:sz w:val="14"/>
                <w:szCs w:val="14"/>
                <w:i w:val="1"/>
                <w:iCs w:val="1"/>
                <w:color w:val="407CCA"/>
                <w:w w:val="97"/>
              </w:rPr>
              <w:t>Proxy Statement</w:t>
            </w:r>
          </w:p>
        </w:tc>
        <w:tc>
          <w:tcPr>
            <w:tcW w:w="3760" w:type="dxa"/>
            <w:vAlign w:val="bottom"/>
          </w:tcPr>
          <w:p>
            <w:pPr>
              <w:spacing w:after="0"/>
              <w:rPr>
                <w:sz w:val="24"/>
                <w:szCs w:val="24"/>
                <w:color w:val="auto"/>
              </w:rPr>
            </w:pPr>
          </w:p>
        </w:tc>
        <w:tc>
          <w:tcPr>
            <w:tcW w:w="2380" w:type="dxa"/>
            <w:vAlign w:val="bottom"/>
          </w:tcPr>
          <w:p>
            <w:pPr>
              <w:spacing w:after="0"/>
              <w:rPr>
                <w:sz w:val="24"/>
                <w:szCs w:val="24"/>
                <w:color w:val="auto"/>
              </w:rPr>
            </w:pPr>
          </w:p>
        </w:tc>
      </w:tr>
    </w:tbl>
    <w:p>
      <w:pPr>
        <w:sectPr>
          <w:pgSz w:w="11900" w:h="16838" w:orient="portrait"/>
          <w:cols w:equalWidth="0" w:num="1">
            <w:col w:w="11140"/>
          </w:cols>
          <w:pgMar w:left="320" w:top="459" w:right="439" w:bottom="1440" w:gutter="0" w:footer="0" w:header="0"/>
          <w:type w:val="continuous"/>
        </w:sectPr>
      </w:pPr>
    </w:p>
    <w:bookmarkStart w:id="53" w:name="page54"/>
    <w:bookmarkEnd w:id="5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6">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tbl>
      <w:tblPr>
        <w:tblLayout w:type="fixed"/>
        <w:tblInd w:w="120" w:type="dxa"/>
        <w:tblCellMar>
          <w:top w:w="0" w:type="dxa"/>
          <w:left w:w="0" w:type="dxa"/>
          <w:bottom w:w="0" w:type="dxa"/>
          <w:right w:w="0" w:type="dxa"/>
        </w:tblCellMar>
      </w:tblPr>
      <w:tr>
        <w:trPr>
          <w:trHeight w:val="188"/>
        </w:trPr>
        <w:tc>
          <w:tcPr>
            <w:tcW w:w="3080" w:type="dxa"/>
            <w:vAlign w:val="bottom"/>
          </w:tcPr>
          <w:p>
            <w:pPr>
              <w:spacing w:after="0"/>
              <w:rPr>
                <w:sz w:val="16"/>
                <w:szCs w:val="16"/>
                <w:color w:val="auto"/>
              </w:rPr>
            </w:pPr>
          </w:p>
        </w:tc>
        <w:tc>
          <w:tcPr>
            <w:tcW w:w="2860" w:type="dxa"/>
            <w:vAlign w:val="bottom"/>
          </w:tcPr>
          <w:p>
            <w:pPr>
              <w:spacing w:after="0"/>
              <w:rPr>
                <w:sz w:val="16"/>
                <w:szCs w:val="16"/>
                <w:color w:val="auto"/>
              </w:rPr>
            </w:pPr>
          </w:p>
        </w:tc>
        <w:tc>
          <w:tcPr>
            <w:tcW w:w="2540" w:type="dxa"/>
            <w:vAlign w:val="bottom"/>
          </w:tcPr>
          <w:p>
            <w:pPr>
              <w:spacing w:after="0"/>
              <w:rPr>
                <w:sz w:val="16"/>
                <w:szCs w:val="16"/>
                <w:color w:val="auto"/>
              </w:rPr>
            </w:pPr>
          </w:p>
        </w:tc>
        <w:tc>
          <w:tcPr>
            <w:tcW w:w="2560" w:type="dxa"/>
            <w:vAlign w:val="bottom"/>
            <w:gridSpan w:val="2"/>
          </w:tcPr>
          <w:p>
            <w:pPr>
              <w:ind w:left="580"/>
              <w:spacing w:after="0"/>
              <w:rPr>
                <w:sz w:val="20"/>
                <w:szCs w:val="20"/>
                <w:color w:val="auto"/>
              </w:rPr>
            </w:pPr>
            <w:r>
              <w:rPr>
                <w:rFonts w:ascii="Arial" w:cs="Arial" w:eastAsia="Arial" w:hAnsi="Arial"/>
                <w:sz w:val="14"/>
                <w:szCs w:val="14"/>
                <w:color w:val="407CCA"/>
                <w:w w:val="99"/>
              </w:rPr>
              <w:t>EXECUTIVE COMPENSATION</w:t>
            </w:r>
          </w:p>
        </w:tc>
        <w:tc>
          <w:tcPr>
            <w:tcW w:w="0" w:type="dxa"/>
            <w:vAlign w:val="bottom"/>
          </w:tcPr>
          <w:p>
            <w:pPr>
              <w:spacing w:after="0"/>
              <w:rPr>
                <w:sz w:val="1"/>
                <w:szCs w:val="1"/>
                <w:color w:val="auto"/>
              </w:rPr>
            </w:pPr>
          </w:p>
        </w:tc>
      </w:tr>
      <w:tr>
        <w:trPr>
          <w:trHeight w:val="175"/>
        </w:trPr>
        <w:tc>
          <w:tcPr>
            <w:tcW w:w="3080" w:type="dxa"/>
            <w:vAlign w:val="bottom"/>
            <w:tcBorders>
              <w:top w:val="single" w:sz="8" w:color="407CCA"/>
            </w:tcBorders>
          </w:tcPr>
          <w:p>
            <w:pPr>
              <w:spacing w:after="0"/>
              <w:rPr>
                <w:sz w:val="15"/>
                <w:szCs w:val="15"/>
                <w:color w:val="auto"/>
              </w:rPr>
            </w:pPr>
          </w:p>
        </w:tc>
        <w:tc>
          <w:tcPr>
            <w:tcW w:w="2860" w:type="dxa"/>
            <w:vAlign w:val="bottom"/>
            <w:tcBorders>
              <w:top w:val="single" w:sz="8" w:color="407CCA"/>
            </w:tcBorders>
          </w:tcPr>
          <w:p>
            <w:pPr>
              <w:spacing w:after="0"/>
              <w:rPr>
                <w:sz w:val="15"/>
                <w:szCs w:val="15"/>
                <w:color w:val="auto"/>
              </w:rPr>
            </w:pPr>
          </w:p>
        </w:tc>
        <w:tc>
          <w:tcPr>
            <w:tcW w:w="2540" w:type="dxa"/>
            <w:vAlign w:val="bottom"/>
            <w:tcBorders>
              <w:top w:val="single" w:sz="8" w:color="407CCA"/>
            </w:tcBorders>
          </w:tcPr>
          <w:p>
            <w:pPr>
              <w:spacing w:after="0"/>
              <w:rPr>
                <w:sz w:val="15"/>
                <w:szCs w:val="15"/>
                <w:color w:val="auto"/>
              </w:rPr>
            </w:pPr>
          </w:p>
        </w:tc>
        <w:tc>
          <w:tcPr>
            <w:tcW w:w="2540" w:type="dxa"/>
            <w:vAlign w:val="bottom"/>
            <w:tcBorders>
              <w:top w:val="single" w:sz="8" w:color="407CCA"/>
            </w:tcBorders>
          </w:tcPr>
          <w:p>
            <w:pPr>
              <w:spacing w:after="0"/>
              <w:rPr>
                <w:sz w:val="15"/>
                <w:szCs w:val="15"/>
                <w:color w:val="auto"/>
              </w:rPr>
            </w:pPr>
          </w:p>
        </w:tc>
        <w:tc>
          <w:tcPr>
            <w:tcW w:w="20" w:type="dxa"/>
            <w:vAlign w:val="bottom"/>
            <w:vMerge w:val="restart"/>
          </w:tcPr>
          <w:p>
            <w:pPr>
              <w:spacing w:after="0"/>
              <w:rPr>
                <w:sz w:val="15"/>
                <w:szCs w:val="15"/>
                <w:color w:val="auto"/>
              </w:rPr>
            </w:pPr>
          </w:p>
        </w:tc>
        <w:tc>
          <w:tcPr>
            <w:tcW w:w="0" w:type="dxa"/>
            <w:vAlign w:val="bottom"/>
          </w:tcPr>
          <w:p>
            <w:pPr>
              <w:spacing w:after="0"/>
              <w:rPr>
                <w:sz w:val="1"/>
                <w:szCs w:val="1"/>
                <w:color w:val="auto"/>
              </w:rPr>
            </w:pPr>
          </w:p>
        </w:tc>
      </w:tr>
      <w:tr>
        <w:trPr>
          <w:trHeight w:val="198"/>
        </w:trPr>
        <w:tc>
          <w:tcPr>
            <w:tcW w:w="3080" w:type="dxa"/>
            <w:vAlign w:val="bottom"/>
            <w:shd w:val="clear" w:color="auto" w:fill="407CCA"/>
          </w:tcPr>
          <w:p>
            <w:pPr>
              <w:spacing w:after="0"/>
              <w:rPr>
                <w:sz w:val="17"/>
                <w:szCs w:val="17"/>
                <w:color w:val="auto"/>
              </w:rPr>
            </w:pPr>
          </w:p>
        </w:tc>
        <w:tc>
          <w:tcPr>
            <w:tcW w:w="2860" w:type="dxa"/>
            <w:vAlign w:val="bottom"/>
            <w:shd w:val="clear" w:color="auto" w:fill="407CCA"/>
          </w:tcPr>
          <w:p>
            <w:pPr>
              <w:jc w:val="center"/>
              <w:spacing w:after="0" w:line="198" w:lineRule="exact"/>
              <w:rPr>
                <w:sz w:val="20"/>
                <w:szCs w:val="20"/>
                <w:color w:val="auto"/>
              </w:rPr>
            </w:pPr>
            <w:r>
              <w:rPr>
                <w:rFonts w:ascii="Arial" w:cs="Arial" w:eastAsia="Arial" w:hAnsi="Arial"/>
                <w:sz w:val="18"/>
                <w:szCs w:val="18"/>
                <w:b w:val="1"/>
                <w:bCs w:val="1"/>
                <w:color w:val="auto"/>
                <w:w w:val="92"/>
              </w:rPr>
              <w:t>AGNC Investment</w:t>
            </w:r>
          </w:p>
        </w:tc>
        <w:tc>
          <w:tcPr>
            <w:tcW w:w="2540" w:type="dxa"/>
            <w:vAlign w:val="bottom"/>
            <w:shd w:val="clear" w:color="auto" w:fill="407CCA"/>
          </w:tcPr>
          <w:p>
            <w:pPr>
              <w:jc w:val="center"/>
              <w:ind w:left="270"/>
              <w:spacing w:after="0" w:line="198" w:lineRule="exact"/>
              <w:rPr>
                <w:sz w:val="20"/>
                <w:szCs w:val="20"/>
                <w:color w:val="auto"/>
              </w:rPr>
            </w:pPr>
            <w:r>
              <w:rPr>
                <w:rFonts w:ascii="Arial" w:cs="Arial" w:eastAsia="Arial" w:hAnsi="Arial"/>
                <w:sz w:val="18"/>
                <w:szCs w:val="18"/>
                <w:b w:val="1"/>
                <w:bCs w:val="1"/>
                <w:color w:val="auto"/>
                <w:w w:val="94"/>
              </w:rPr>
              <w:t>Annaly Capital</w:t>
            </w:r>
          </w:p>
        </w:tc>
        <w:tc>
          <w:tcPr>
            <w:tcW w:w="2540" w:type="dxa"/>
            <w:vAlign w:val="bottom"/>
            <w:shd w:val="clear" w:color="auto" w:fill="407CCA"/>
          </w:tcPr>
          <w:p>
            <w:pPr>
              <w:jc w:val="center"/>
              <w:ind w:left="113"/>
              <w:spacing w:after="0" w:line="198" w:lineRule="exact"/>
              <w:rPr>
                <w:sz w:val="20"/>
                <w:szCs w:val="20"/>
                <w:color w:val="auto"/>
              </w:rPr>
            </w:pPr>
            <w:r>
              <w:rPr>
                <w:rFonts w:ascii="Arial" w:cs="Arial" w:eastAsia="Arial" w:hAnsi="Arial"/>
                <w:sz w:val="18"/>
                <w:szCs w:val="18"/>
                <w:b w:val="1"/>
                <w:bCs w:val="1"/>
                <w:color w:val="auto"/>
                <w:w w:val="92"/>
              </w:rPr>
              <w:t>Two Harbors</w:t>
            </w:r>
          </w:p>
        </w:tc>
        <w:tc>
          <w:tcPr>
            <w:tcW w:w="20" w:type="dxa"/>
            <w:vAlign w:val="bottom"/>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234"/>
        </w:trPr>
        <w:tc>
          <w:tcPr>
            <w:tcW w:w="3080" w:type="dxa"/>
            <w:vAlign w:val="bottom"/>
            <w:shd w:val="clear" w:color="auto" w:fill="407CCA"/>
          </w:tcPr>
          <w:p>
            <w:pPr>
              <w:ind w:left="960"/>
              <w:spacing w:after="0"/>
              <w:rPr>
                <w:sz w:val="20"/>
                <w:szCs w:val="20"/>
                <w:color w:val="auto"/>
              </w:rPr>
            </w:pPr>
            <w:r>
              <w:rPr>
                <w:rFonts w:ascii="Arial" w:cs="Arial" w:eastAsia="Arial" w:hAnsi="Arial"/>
                <w:sz w:val="18"/>
                <w:szCs w:val="18"/>
                <w:b w:val="1"/>
                <w:bCs w:val="1"/>
                <w:color w:val="auto"/>
              </w:rPr>
              <w:t>Considerations</w:t>
            </w:r>
          </w:p>
        </w:tc>
        <w:tc>
          <w:tcPr>
            <w:tcW w:w="2860" w:type="dxa"/>
            <w:vAlign w:val="bottom"/>
            <w:shd w:val="clear" w:color="auto" w:fill="407CCA"/>
          </w:tcPr>
          <w:p>
            <w:pPr>
              <w:jc w:val="center"/>
              <w:ind w:left="10"/>
              <w:spacing w:after="0"/>
              <w:rPr>
                <w:sz w:val="20"/>
                <w:szCs w:val="20"/>
                <w:color w:val="auto"/>
              </w:rPr>
            </w:pPr>
            <w:r>
              <w:rPr>
                <w:rFonts w:ascii="Arial" w:cs="Arial" w:eastAsia="Arial" w:hAnsi="Arial"/>
                <w:sz w:val="18"/>
                <w:szCs w:val="18"/>
                <w:b w:val="1"/>
                <w:bCs w:val="1"/>
                <w:color w:val="auto"/>
                <w:w w:val="93"/>
              </w:rPr>
              <w:t>Corp.</w:t>
            </w:r>
          </w:p>
        </w:tc>
        <w:tc>
          <w:tcPr>
            <w:tcW w:w="2540" w:type="dxa"/>
            <w:vAlign w:val="bottom"/>
            <w:shd w:val="clear" w:color="auto" w:fill="407CCA"/>
          </w:tcPr>
          <w:p>
            <w:pPr>
              <w:jc w:val="center"/>
              <w:ind w:left="270"/>
              <w:spacing w:after="0"/>
              <w:rPr>
                <w:sz w:val="20"/>
                <w:szCs w:val="20"/>
                <w:color w:val="auto"/>
              </w:rPr>
            </w:pPr>
            <w:r>
              <w:rPr>
                <w:rFonts w:ascii="Arial" w:cs="Arial" w:eastAsia="Arial" w:hAnsi="Arial"/>
                <w:sz w:val="18"/>
                <w:szCs w:val="18"/>
                <w:b w:val="1"/>
                <w:bCs w:val="1"/>
                <w:color w:val="auto"/>
                <w:w w:val="91"/>
              </w:rPr>
              <w:t>Management, Inc.</w:t>
            </w:r>
          </w:p>
        </w:tc>
        <w:tc>
          <w:tcPr>
            <w:tcW w:w="2540" w:type="dxa"/>
            <w:vAlign w:val="bottom"/>
            <w:shd w:val="clear" w:color="auto" w:fill="407CCA"/>
          </w:tcPr>
          <w:p>
            <w:pPr>
              <w:jc w:val="center"/>
              <w:ind w:left="133"/>
              <w:spacing w:after="0"/>
              <w:rPr>
                <w:sz w:val="20"/>
                <w:szCs w:val="20"/>
                <w:color w:val="auto"/>
              </w:rPr>
            </w:pPr>
            <w:r>
              <w:rPr>
                <w:rFonts w:ascii="Arial" w:cs="Arial" w:eastAsia="Arial" w:hAnsi="Arial"/>
                <w:sz w:val="18"/>
                <w:szCs w:val="18"/>
                <w:b w:val="1"/>
                <w:bCs w:val="1"/>
                <w:color w:val="auto"/>
                <w:w w:val="92"/>
              </w:rPr>
              <w:t>Investment Corp.</w:t>
            </w:r>
          </w:p>
        </w:tc>
        <w:tc>
          <w:tcPr>
            <w:tcW w:w="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69"/>
        </w:trPr>
        <w:tc>
          <w:tcPr>
            <w:tcW w:w="3080" w:type="dxa"/>
            <w:vAlign w:val="bottom"/>
          </w:tcPr>
          <w:p>
            <w:pPr>
              <w:ind w:left="80"/>
              <w:spacing w:after="0"/>
              <w:rPr>
                <w:sz w:val="20"/>
                <w:szCs w:val="20"/>
                <w:color w:val="auto"/>
              </w:rPr>
            </w:pPr>
            <w:r>
              <w:rPr>
                <w:rFonts w:ascii="Arial" w:cs="Arial" w:eastAsia="Arial" w:hAnsi="Arial"/>
                <w:sz w:val="18"/>
                <w:szCs w:val="18"/>
                <w:color w:val="auto"/>
              </w:rPr>
              <w:t>Disclosure of Individual</w:t>
            </w:r>
          </w:p>
        </w:tc>
        <w:tc>
          <w:tcPr>
            <w:tcW w:w="2860" w:type="dxa"/>
            <w:vAlign w:val="bottom"/>
          </w:tcPr>
          <w:p>
            <w:pPr>
              <w:ind w:left="220"/>
              <w:spacing w:after="0"/>
              <w:rPr>
                <w:sz w:val="20"/>
                <w:szCs w:val="20"/>
                <w:color w:val="auto"/>
              </w:rPr>
            </w:pPr>
            <w:r>
              <w:rPr>
                <w:rFonts w:ascii="Arial" w:cs="Arial" w:eastAsia="Arial" w:hAnsi="Arial"/>
                <w:sz w:val="18"/>
                <w:szCs w:val="18"/>
                <w:color w:val="auto"/>
              </w:rPr>
              <w:t>Ø  Disclosure of all NEO</w:t>
            </w:r>
          </w:p>
        </w:tc>
        <w:tc>
          <w:tcPr>
            <w:tcW w:w="2540" w:type="dxa"/>
            <w:vAlign w:val="bottom"/>
          </w:tcPr>
          <w:p>
            <w:pPr>
              <w:ind w:left="240"/>
              <w:spacing w:after="0"/>
              <w:rPr>
                <w:sz w:val="20"/>
                <w:szCs w:val="20"/>
                <w:color w:val="auto"/>
              </w:rPr>
            </w:pPr>
            <w:r>
              <w:rPr>
                <w:rFonts w:ascii="Arial" w:cs="Arial" w:eastAsia="Arial" w:hAnsi="Arial"/>
                <w:sz w:val="18"/>
                <w:szCs w:val="18"/>
                <w:color w:val="auto"/>
              </w:rPr>
              <w:t>Ø  No detailed disclosure of</w:t>
            </w:r>
          </w:p>
        </w:tc>
        <w:tc>
          <w:tcPr>
            <w:tcW w:w="2560" w:type="dxa"/>
            <w:vAlign w:val="bottom"/>
            <w:gridSpan w:val="2"/>
          </w:tcPr>
          <w:p>
            <w:pPr>
              <w:ind w:left="220"/>
              <w:spacing w:after="0"/>
              <w:rPr>
                <w:sz w:val="20"/>
                <w:szCs w:val="20"/>
                <w:color w:val="auto"/>
              </w:rPr>
            </w:pPr>
            <w:r>
              <w:rPr>
                <w:rFonts w:ascii="Arial" w:cs="Arial" w:eastAsia="Arial" w:hAnsi="Arial"/>
                <w:sz w:val="18"/>
                <w:szCs w:val="18"/>
                <w:color w:val="auto"/>
              </w:rPr>
              <w:t>Ø  No detailed disclosure of</w:t>
            </w:r>
          </w:p>
        </w:tc>
        <w:tc>
          <w:tcPr>
            <w:tcW w:w="0" w:type="dxa"/>
            <w:vAlign w:val="bottom"/>
          </w:tcPr>
          <w:p>
            <w:pPr>
              <w:spacing w:after="0"/>
              <w:rPr>
                <w:sz w:val="1"/>
                <w:szCs w:val="1"/>
                <w:color w:val="auto"/>
              </w:rPr>
            </w:pPr>
          </w:p>
        </w:tc>
      </w:tr>
      <w:tr>
        <w:trPr>
          <w:trHeight w:val="216"/>
        </w:trPr>
        <w:tc>
          <w:tcPr>
            <w:tcW w:w="3080" w:type="dxa"/>
            <w:vAlign w:val="bottom"/>
          </w:tcPr>
          <w:p>
            <w:pPr>
              <w:ind w:left="80"/>
              <w:spacing w:after="0"/>
              <w:rPr>
                <w:sz w:val="20"/>
                <w:szCs w:val="20"/>
                <w:color w:val="auto"/>
              </w:rPr>
            </w:pPr>
            <w:r>
              <w:rPr>
                <w:rFonts w:ascii="Arial" w:cs="Arial" w:eastAsia="Arial" w:hAnsi="Arial"/>
                <w:sz w:val="18"/>
                <w:szCs w:val="18"/>
                <w:color w:val="auto"/>
              </w:rPr>
              <w:t>NEO Compensation</w:t>
            </w:r>
          </w:p>
        </w:tc>
        <w:tc>
          <w:tcPr>
            <w:tcW w:w="2860" w:type="dxa"/>
            <w:vAlign w:val="bottom"/>
          </w:tcPr>
          <w:p>
            <w:pPr>
              <w:ind w:left="480"/>
              <w:spacing w:after="0"/>
              <w:rPr>
                <w:sz w:val="20"/>
                <w:szCs w:val="20"/>
                <w:color w:val="auto"/>
              </w:rPr>
            </w:pPr>
            <w:r>
              <w:rPr>
                <w:rFonts w:ascii="Arial" w:cs="Arial" w:eastAsia="Arial" w:hAnsi="Arial"/>
                <w:sz w:val="18"/>
                <w:szCs w:val="18"/>
                <w:color w:val="auto"/>
                <w:w w:val="99"/>
              </w:rPr>
              <w:t>compensation included in this</w:t>
            </w:r>
          </w:p>
        </w:tc>
        <w:tc>
          <w:tcPr>
            <w:tcW w:w="2540" w:type="dxa"/>
            <w:vAlign w:val="bottom"/>
          </w:tcPr>
          <w:p>
            <w:pPr>
              <w:ind w:left="500"/>
              <w:spacing w:after="0"/>
              <w:rPr>
                <w:sz w:val="20"/>
                <w:szCs w:val="20"/>
                <w:color w:val="auto"/>
              </w:rPr>
            </w:pPr>
            <w:r>
              <w:rPr>
                <w:rFonts w:ascii="Arial" w:cs="Arial" w:eastAsia="Arial" w:hAnsi="Arial"/>
                <w:sz w:val="18"/>
                <w:szCs w:val="18"/>
                <w:color w:val="auto"/>
              </w:rPr>
              <w:t>NEO compensation</w:t>
            </w:r>
          </w:p>
        </w:tc>
        <w:tc>
          <w:tcPr>
            <w:tcW w:w="2560" w:type="dxa"/>
            <w:vAlign w:val="bottom"/>
            <w:gridSpan w:val="2"/>
          </w:tcPr>
          <w:p>
            <w:pPr>
              <w:ind w:left="500"/>
              <w:spacing w:after="0"/>
              <w:rPr>
                <w:sz w:val="20"/>
                <w:szCs w:val="20"/>
                <w:color w:val="auto"/>
              </w:rPr>
            </w:pPr>
            <w:r>
              <w:rPr>
                <w:rFonts w:ascii="Arial" w:cs="Arial" w:eastAsia="Arial" w:hAnsi="Arial"/>
                <w:sz w:val="18"/>
                <w:szCs w:val="18"/>
                <w:color w:val="auto"/>
              </w:rPr>
              <w:t>NEO compensation</w:t>
            </w:r>
          </w:p>
        </w:tc>
        <w:tc>
          <w:tcPr>
            <w:tcW w:w="0" w:type="dxa"/>
            <w:vAlign w:val="bottom"/>
          </w:tcPr>
          <w:p>
            <w:pPr>
              <w:spacing w:after="0"/>
              <w:rPr>
                <w:sz w:val="1"/>
                <w:szCs w:val="1"/>
                <w:color w:val="auto"/>
              </w:rPr>
            </w:pPr>
          </w:p>
        </w:tc>
      </w:tr>
      <w:tr>
        <w:trPr>
          <w:trHeight w:val="230"/>
        </w:trPr>
        <w:tc>
          <w:tcPr>
            <w:tcW w:w="3080" w:type="dxa"/>
            <w:vAlign w:val="bottom"/>
          </w:tcPr>
          <w:p>
            <w:pPr>
              <w:spacing w:after="0"/>
              <w:rPr>
                <w:sz w:val="20"/>
                <w:szCs w:val="20"/>
                <w:color w:val="auto"/>
              </w:rPr>
            </w:pPr>
          </w:p>
        </w:tc>
        <w:tc>
          <w:tcPr>
            <w:tcW w:w="2860" w:type="dxa"/>
            <w:vAlign w:val="bottom"/>
          </w:tcPr>
          <w:p>
            <w:pPr>
              <w:ind w:left="480"/>
              <w:spacing w:after="0"/>
              <w:rPr>
                <w:sz w:val="20"/>
                <w:szCs w:val="20"/>
                <w:color w:val="auto"/>
              </w:rPr>
            </w:pPr>
            <w:r>
              <w:rPr>
                <w:rFonts w:ascii="Arial" w:cs="Arial" w:eastAsia="Arial" w:hAnsi="Arial"/>
                <w:sz w:val="18"/>
                <w:szCs w:val="18"/>
                <w:color w:val="auto"/>
              </w:rPr>
              <w:t>proxy statement</w:t>
            </w:r>
          </w:p>
        </w:tc>
        <w:tc>
          <w:tcPr>
            <w:tcW w:w="2540" w:type="dxa"/>
            <w:vAlign w:val="bottom"/>
          </w:tcPr>
          <w:p>
            <w:pPr>
              <w:spacing w:after="0"/>
              <w:rPr>
                <w:sz w:val="20"/>
                <w:szCs w:val="20"/>
                <w:color w:val="auto"/>
              </w:rPr>
            </w:pPr>
          </w:p>
        </w:tc>
        <w:tc>
          <w:tcPr>
            <w:tcW w:w="254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10"/>
        </w:trPr>
        <w:tc>
          <w:tcPr>
            <w:tcW w:w="3080" w:type="dxa"/>
            <w:vAlign w:val="bottom"/>
            <w:shd w:val="clear" w:color="auto" w:fill="D8D8D8"/>
          </w:tcPr>
          <w:p>
            <w:pPr>
              <w:ind w:left="80"/>
              <w:spacing w:after="0"/>
              <w:rPr>
                <w:sz w:val="20"/>
                <w:szCs w:val="20"/>
                <w:color w:val="auto"/>
              </w:rPr>
            </w:pPr>
            <w:r>
              <w:rPr>
                <w:rFonts w:ascii="Arial" w:cs="Arial" w:eastAsia="Arial" w:hAnsi="Arial"/>
                <w:sz w:val="18"/>
                <w:szCs w:val="18"/>
                <w:color w:val="auto"/>
              </w:rPr>
              <w:t>Market Capitalization</w:t>
            </w:r>
          </w:p>
        </w:tc>
        <w:tc>
          <w:tcPr>
            <w:tcW w:w="2860" w:type="dxa"/>
            <w:vAlign w:val="bottom"/>
            <w:shd w:val="clear" w:color="auto" w:fill="D8D8D8"/>
          </w:tcPr>
          <w:p>
            <w:pPr>
              <w:ind w:left="480"/>
              <w:spacing w:after="0"/>
              <w:rPr>
                <w:sz w:val="20"/>
                <w:szCs w:val="20"/>
                <w:color w:val="auto"/>
              </w:rPr>
            </w:pPr>
            <w:r>
              <w:rPr>
                <w:rFonts w:ascii="Arial" w:cs="Arial" w:eastAsia="Arial" w:hAnsi="Arial"/>
                <w:sz w:val="18"/>
                <w:szCs w:val="18"/>
                <w:color w:val="auto"/>
              </w:rPr>
              <w:t>$9.56 billion</w:t>
            </w:r>
          </w:p>
        </w:tc>
        <w:tc>
          <w:tcPr>
            <w:tcW w:w="2540" w:type="dxa"/>
            <w:vAlign w:val="bottom"/>
            <w:shd w:val="clear" w:color="auto" w:fill="D8D8D8"/>
          </w:tcPr>
          <w:p>
            <w:pPr>
              <w:ind w:left="500"/>
              <w:spacing w:after="0"/>
              <w:rPr>
                <w:sz w:val="20"/>
                <w:szCs w:val="20"/>
                <w:color w:val="auto"/>
              </w:rPr>
            </w:pPr>
            <w:r>
              <w:rPr>
                <w:rFonts w:ascii="Arial" w:cs="Arial" w:eastAsia="Arial" w:hAnsi="Arial"/>
                <w:sz w:val="18"/>
                <w:szCs w:val="18"/>
                <w:color w:val="auto"/>
              </w:rPr>
              <w:t>$13.47 billion</w:t>
            </w:r>
          </w:p>
        </w:tc>
        <w:tc>
          <w:tcPr>
            <w:tcW w:w="2540" w:type="dxa"/>
            <w:vAlign w:val="bottom"/>
            <w:shd w:val="clear" w:color="auto" w:fill="D8D8D8"/>
          </w:tcPr>
          <w:p>
            <w:pPr>
              <w:ind w:left="500"/>
              <w:spacing w:after="0"/>
              <w:rPr>
                <w:sz w:val="20"/>
                <w:szCs w:val="20"/>
                <w:color w:val="auto"/>
              </w:rPr>
            </w:pPr>
            <w:r>
              <w:rPr>
                <w:rFonts w:ascii="Arial" w:cs="Arial" w:eastAsia="Arial" w:hAnsi="Arial"/>
                <w:sz w:val="18"/>
                <w:szCs w:val="18"/>
                <w:color w:val="auto"/>
              </w:rPr>
              <w:t>$3.99 billion</w:t>
            </w: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0"/>
        </w:trPr>
        <w:tc>
          <w:tcPr>
            <w:tcW w:w="3080" w:type="dxa"/>
            <w:vAlign w:val="bottom"/>
            <w:shd w:val="clear" w:color="auto" w:fill="D8D8D8"/>
          </w:tcPr>
          <w:p>
            <w:pPr>
              <w:ind w:left="80"/>
              <w:spacing w:after="0"/>
              <w:rPr>
                <w:sz w:val="20"/>
                <w:szCs w:val="20"/>
                <w:color w:val="auto"/>
              </w:rPr>
            </w:pPr>
            <w:r>
              <w:rPr>
                <w:rFonts w:ascii="Arial" w:cs="Arial" w:eastAsia="Arial" w:hAnsi="Arial"/>
                <w:sz w:val="18"/>
                <w:szCs w:val="18"/>
                <w:color w:val="auto"/>
              </w:rPr>
              <w:t>(as of 12/31/2019)</w:t>
            </w:r>
          </w:p>
        </w:tc>
        <w:tc>
          <w:tcPr>
            <w:tcW w:w="2860" w:type="dxa"/>
            <w:vAlign w:val="bottom"/>
            <w:shd w:val="clear" w:color="auto" w:fill="D8D8D8"/>
          </w:tcPr>
          <w:p>
            <w:pPr>
              <w:spacing w:after="0"/>
              <w:rPr>
                <w:sz w:val="20"/>
                <w:szCs w:val="20"/>
                <w:color w:val="auto"/>
              </w:rPr>
            </w:pPr>
          </w:p>
        </w:tc>
        <w:tc>
          <w:tcPr>
            <w:tcW w:w="2540" w:type="dxa"/>
            <w:vAlign w:val="bottom"/>
            <w:shd w:val="clear" w:color="auto" w:fill="D8D8D8"/>
          </w:tcPr>
          <w:p>
            <w:pPr>
              <w:spacing w:after="0"/>
              <w:rPr>
                <w:sz w:val="20"/>
                <w:szCs w:val="20"/>
                <w:color w:val="auto"/>
              </w:rPr>
            </w:pPr>
          </w:p>
        </w:tc>
        <w:tc>
          <w:tcPr>
            <w:tcW w:w="2540" w:type="dxa"/>
            <w:vAlign w:val="bottom"/>
            <w:shd w:val="clear" w:color="auto" w:fill="D8D8D8"/>
          </w:tcPr>
          <w:p>
            <w:pPr>
              <w:spacing w:after="0"/>
              <w:rPr>
                <w:sz w:val="20"/>
                <w:szCs w:val="20"/>
                <w:color w:val="auto"/>
              </w:rPr>
            </w:pPr>
          </w:p>
        </w:tc>
        <w:tc>
          <w:tcPr>
            <w:tcW w:w="2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85725</wp:posOffset>
            </wp:positionV>
            <wp:extent cx="2451735" cy="889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7">
                      <a:extLst>
                        <a:ext uri="{28A0092B-C50C-407E-A947-70E740481C1C}"/>
                      </a:extLst>
                    </a:blip>
                    <a:srcRect/>
                    <a:stretch>
                      <a:fillRect/>
                    </a:stretch>
                  </pic:blipFill>
                  <pic:spPr bwMode="auto">
                    <a:xfrm>
                      <a:off x="0" y="0"/>
                      <a:ext cx="2451735" cy="8890"/>
                    </a:xfrm>
                    <a:prstGeom prst="rect">
                      <a:avLst/>
                    </a:prstGeom>
                    <a:noFill/>
                  </pic:spPr>
                </pic:pic>
              </a:graphicData>
            </a:graphic>
          </wp:anchor>
        </w:drawing>
      </w:r>
    </w:p>
    <w:p>
      <w:pPr>
        <w:spacing w:after="0" w:line="150" w:lineRule="exact"/>
        <w:rPr>
          <w:sz w:val="20"/>
          <w:szCs w:val="20"/>
          <w:color w:val="auto"/>
        </w:rPr>
      </w:pPr>
    </w:p>
    <w:p>
      <w:pPr>
        <w:ind w:left="880" w:hanging="764"/>
        <w:spacing w:after="0"/>
        <w:tabs>
          <w:tab w:leader="none" w:pos="880" w:val="left"/>
        </w:tabs>
        <w:numPr>
          <w:ilvl w:val="0"/>
          <w:numId w:val="25"/>
        </w:numPr>
        <w:rPr>
          <w:rFonts w:ascii="Arial" w:cs="Arial" w:eastAsia="Arial" w:hAnsi="Arial"/>
          <w:sz w:val="14"/>
          <w:szCs w:val="14"/>
          <w:color w:val="auto"/>
        </w:rPr>
      </w:pPr>
      <w:r>
        <w:rPr>
          <w:rFonts w:ascii="Arial" w:cs="Arial" w:eastAsia="Arial" w:hAnsi="Arial"/>
          <w:sz w:val="14"/>
          <w:szCs w:val="14"/>
          <w:color w:val="auto"/>
        </w:rPr>
        <w:t>Annaly Capital Management Inc. 2019 Proxy Statement, dated April 9, 2019.</w:t>
      </w:r>
    </w:p>
    <w:p>
      <w:pPr>
        <w:ind w:left="880" w:hanging="764"/>
        <w:spacing w:after="0" w:line="221" w:lineRule="auto"/>
        <w:tabs>
          <w:tab w:leader="none" w:pos="880" w:val="left"/>
        </w:tabs>
        <w:numPr>
          <w:ilvl w:val="0"/>
          <w:numId w:val="25"/>
        </w:numPr>
        <w:rPr>
          <w:rFonts w:ascii="Arial" w:cs="Arial" w:eastAsia="Arial" w:hAnsi="Arial"/>
          <w:sz w:val="14"/>
          <w:szCs w:val="14"/>
          <w:color w:val="auto"/>
        </w:rPr>
      </w:pPr>
      <w:r>
        <w:rPr>
          <w:rFonts w:ascii="Arial" w:cs="Arial" w:eastAsia="Arial" w:hAnsi="Arial"/>
          <w:sz w:val="14"/>
          <w:szCs w:val="14"/>
          <w:color w:val="auto"/>
        </w:rPr>
        <w:t>See id.</w:t>
      </w:r>
    </w:p>
    <w:p>
      <w:pPr>
        <w:ind w:left="880" w:hanging="764"/>
        <w:spacing w:after="0" w:line="221" w:lineRule="auto"/>
        <w:tabs>
          <w:tab w:leader="none" w:pos="880" w:val="left"/>
        </w:tabs>
        <w:numPr>
          <w:ilvl w:val="0"/>
          <w:numId w:val="25"/>
        </w:numPr>
        <w:rPr>
          <w:rFonts w:ascii="Arial" w:cs="Arial" w:eastAsia="Arial" w:hAnsi="Arial"/>
          <w:sz w:val="14"/>
          <w:szCs w:val="14"/>
          <w:color w:val="auto"/>
        </w:rPr>
      </w:pPr>
      <w:r>
        <w:rPr>
          <w:rFonts w:ascii="Arial" w:cs="Arial" w:eastAsia="Arial" w:hAnsi="Arial"/>
          <w:sz w:val="14"/>
          <w:szCs w:val="14"/>
          <w:color w:val="auto"/>
        </w:rPr>
        <w:t>Two Harbors Investment Corp. 2019 Proxy Statement, dated April 2, 2019.</w:t>
      </w:r>
    </w:p>
    <w:p>
      <w:pPr>
        <w:ind w:left="880" w:hanging="764"/>
        <w:spacing w:after="0"/>
        <w:tabs>
          <w:tab w:leader="none" w:pos="880" w:val="left"/>
        </w:tabs>
        <w:numPr>
          <w:ilvl w:val="0"/>
          <w:numId w:val="25"/>
        </w:numPr>
        <w:rPr>
          <w:rFonts w:ascii="Arial" w:cs="Arial" w:eastAsia="Arial" w:hAnsi="Arial"/>
          <w:sz w:val="14"/>
          <w:szCs w:val="14"/>
          <w:color w:val="auto"/>
        </w:rPr>
      </w:pPr>
      <w:r>
        <w:rPr>
          <w:rFonts w:ascii="Arial" w:cs="Arial" w:eastAsia="Arial" w:hAnsi="Arial"/>
          <w:sz w:val="14"/>
          <w:szCs w:val="14"/>
          <w:color w:val="auto"/>
        </w:rPr>
        <w:t>See id.</w:t>
      </w:r>
    </w:p>
    <w:p>
      <w:pPr>
        <w:spacing w:after="0" w:line="196" w:lineRule="exact"/>
        <w:rPr>
          <w:sz w:val="20"/>
          <w:szCs w:val="20"/>
          <w:color w:val="auto"/>
        </w:rPr>
      </w:pPr>
    </w:p>
    <w:p>
      <w:pPr>
        <w:ind w:left="120" w:right="240" w:firstLine="881"/>
        <w:spacing w:after="0" w:line="342" w:lineRule="auto"/>
        <w:rPr>
          <w:sz w:val="20"/>
          <w:szCs w:val="20"/>
          <w:color w:val="auto"/>
        </w:rPr>
      </w:pPr>
      <w:r>
        <w:rPr>
          <w:rFonts w:ascii="Arial" w:cs="Arial" w:eastAsia="Arial" w:hAnsi="Arial"/>
          <w:sz w:val="16"/>
          <w:szCs w:val="16"/>
          <w:color w:val="auto"/>
        </w:rPr>
        <w:t>In addition to considering the value of compensation paid to our NEOs as compared to those of our externally-managed peers, we believe stockholders also benefit from elements of our compensation program that are not included in the programs of our externally-managed peers:</w:t>
      </w:r>
    </w:p>
    <w:p>
      <w:pPr>
        <w:spacing w:after="0" w:line="29" w:lineRule="exact"/>
        <w:rPr>
          <w:sz w:val="20"/>
          <w:szCs w:val="20"/>
          <w:color w:val="auto"/>
        </w:rPr>
      </w:pPr>
    </w:p>
    <w:p>
      <w:pPr>
        <w:ind w:left="980" w:right="180" w:hanging="432"/>
        <w:spacing w:after="0" w:line="258" w:lineRule="auto"/>
        <w:tabs>
          <w:tab w:leader="none" w:pos="980" w:val="left"/>
        </w:tabs>
        <w:numPr>
          <w:ilvl w:val="0"/>
          <w:numId w:val="26"/>
        </w:numPr>
        <w:rPr>
          <w:rFonts w:ascii="Arial" w:cs="Arial" w:eastAsia="Arial" w:hAnsi="Arial"/>
          <w:sz w:val="18"/>
          <w:szCs w:val="18"/>
          <w:color w:val="auto"/>
        </w:rPr>
      </w:pPr>
      <w:r>
        <w:rPr>
          <w:rFonts w:ascii="Arial" w:cs="Arial" w:eastAsia="Arial" w:hAnsi="Arial"/>
          <w:sz w:val="18"/>
          <w:szCs w:val="18"/>
          <w:color w:val="auto"/>
        </w:rPr>
        <w:t>Our level of transparency, including disclosure of all compensation paid to our NEOs and the performance-basis for such compensation, in our proxy statement;</w:t>
      </w:r>
    </w:p>
    <w:p>
      <w:pPr>
        <w:spacing w:after="0" w:line="1" w:lineRule="exact"/>
        <w:rPr>
          <w:rFonts w:ascii="Arial" w:cs="Arial" w:eastAsia="Arial" w:hAnsi="Arial"/>
          <w:sz w:val="18"/>
          <w:szCs w:val="18"/>
          <w:color w:val="auto"/>
        </w:rPr>
      </w:pPr>
    </w:p>
    <w:p>
      <w:pPr>
        <w:ind w:left="980" w:right="100" w:hanging="432"/>
        <w:spacing w:after="0" w:line="250" w:lineRule="auto"/>
        <w:tabs>
          <w:tab w:leader="none" w:pos="980" w:val="left"/>
        </w:tabs>
        <w:numPr>
          <w:ilvl w:val="0"/>
          <w:numId w:val="26"/>
        </w:numPr>
        <w:rPr>
          <w:rFonts w:ascii="Arial" w:cs="Arial" w:eastAsia="Arial" w:hAnsi="Arial"/>
          <w:sz w:val="18"/>
          <w:szCs w:val="18"/>
          <w:color w:val="auto"/>
        </w:rPr>
      </w:pPr>
      <w:r>
        <w:rPr>
          <w:rFonts w:ascii="Arial" w:cs="Arial" w:eastAsia="Arial" w:hAnsi="Arial"/>
          <w:sz w:val="18"/>
          <w:szCs w:val="18"/>
          <w:color w:val="auto"/>
        </w:rPr>
        <w:t>Oversight of all compensation matters for NEOs by the Compensation Committee which consists solely of independent directors elected by stockholders; and</w:t>
      </w:r>
    </w:p>
    <w:p>
      <w:pPr>
        <w:ind w:left="980" w:right="320" w:hanging="432"/>
        <w:spacing w:after="0" w:line="323" w:lineRule="auto"/>
        <w:tabs>
          <w:tab w:leader="none" w:pos="980" w:val="left"/>
        </w:tabs>
        <w:numPr>
          <w:ilvl w:val="0"/>
          <w:numId w:val="26"/>
        </w:numPr>
        <w:rPr>
          <w:rFonts w:ascii="Arial" w:cs="Arial" w:eastAsia="Arial" w:hAnsi="Arial"/>
          <w:sz w:val="16"/>
          <w:szCs w:val="16"/>
          <w:color w:val="auto"/>
        </w:rPr>
      </w:pPr>
      <w:r>
        <w:rPr>
          <w:rFonts w:ascii="Arial" w:cs="Arial" w:eastAsia="Arial" w:hAnsi="Arial"/>
          <w:sz w:val="16"/>
          <w:szCs w:val="16"/>
          <w:color w:val="auto"/>
        </w:rPr>
        <w:t>A compensation program that aligns executive compensation with stockholder interests by allocating more than 86% of NEO total direct compensation at target to short- and long-term incentive awards and 78% of these incentive awards were performance-based.</w:t>
      </w:r>
    </w:p>
    <w:p>
      <w:pPr>
        <w:spacing w:after="0" w:line="242"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Compensation Governance Practices</w:t>
      </w:r>
    </w:p>
    <w:p>
      <w:pPr>
        <w:spacing w:after="0" w:line="121" w:lineRule="exact"/>
        <w:rPr>
          <w:sz w:val="20"/>
          <w:szCs w:val="20"/>
          <w:color w:val="auto"/>
        </w:rPr>
      </w:pPr>
    </w:p>
    <w:p>
      <w:pPr>
        <w:ind w:left="1000"/>
        <w:spacing w:after="0"/>
        <w:rPr>
          <w:sz w:val="20"/>
          <w:szCs w:val="20"/>
          <w:color w:val="auto"/>
        </w:rPr>
      </w:pPr>
      <w:r>
        <w:rPr>
          <w:rFonts w:ascii="Arial" w:cs="Arial" w:eastAsia="Arial" w:hAnsi="Arial"/>
          <w:sz w:val="17"/>
          <w:szCs w:val="17"/>
          <w:color w:val="auto"/>
        </w:rPr>
        <w:t>To support our compensation philosophy and objectives, we are committed to the following compensation governance practices.</w:t>
      </w:r>
    </w:p>
    <w:p>
      <w:pPr>
        <w:spacing w:after="0" w:line="237"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What we do:</w:t>
      </w:r>
    </w:p>
    <w:p>
      <w:pPr>
        <w:spacing w:after="0" w:line="127" w:lineRule="exact"/>
        <w:rPr>
          <w:sz w:val="20"/>
          <w:szCs w:val="20"/>
          <w:color w:val="auto"/>
        </w:rPr>
      </w:pPr>
    </w:p>
    <w:p>
      <w:pPr>
        <w:ind w:left="980" w:hanging="432"/>
        <w:spacing w:after="0"/>
        <w:tabs>
          <w:tab w:leader="none" w:pos="980" w:val="left"/>
        </w:tabs>
        <w:numPr>
          <w:ilvl w:val="0"/>
          <w:numId w:val="27"/>
        </w:numPr>
        <w:rPr>
          <w:rFonts w:ascii="MS PGothic" w:cs="MS PGothic" w:eastAsia="MS PGothic" w:hAnsi="MS PGothic"/>
          <w:sz w:val="18"/>
          <w:szCs w:val="18"/>
          <w:color w:val="auto"/>
          <w:shd w:val="clear" w:color="auto" w:fill="00A887"/>
        </w:rPr>
      </w:pPr>
      <w:r>
        <w:rPr>
          <w:rFonts w:ascii="Arial" w:cs="Arial" w:eastAsia="Arial" w:hAnsi="Arial"/>
          <w:sz w:val="18"/>
          <w:szCs w:val="18"/>
          <w:b w:val="1"/>
          <w:bCs w:val="1"/>
          <w:color w:val="00A887"/>
        </w:rPr>
        <w:t>Focus on retention of high-performing employees</w:t>
      </w:r>
    </w:p>
    <w:p>
      <w:pPr>
        <w:spacing w:after="0" w:line="29" w:lineRule="exact"/>
        <w:rPr>
          <w:rFonts w:ascii="MS PGothic" w:cs="MS PGothic" w:eastAsia="MS PGothic" w:hAnsi="MS PGothic"/>
          <w:sz w:val="18"/>
          <w:szCs w:val="18"/>
          <w:color w:val="auto"/>
          <w:shd w:val="clear" w:color="auto" w:fill="00A887"/>
        </w:rPr>
      </w:pPr>
    </w:p>
    <w:p>
      <w:pPr>
        <w:ind w:left="980" w:hanging="432"/>
        <w:spacing w:after="0"/>
        <w:tabs>
          <w:tab w:leader="none" w:pos="980" w:val="left"/>
        </w:tabs>
        <w:numPr>
          <w:ilvl w:val="0"/>
          <w:numId w:val="27"/>
        </w:numPr>
        <w:rPr>
          <w:rFonts w:ascii="MS PGothic" w:cs="MS PGothic" w:eastAsia="MS PGothic" w:hAnsi="MS PGothic"/>
          <w:sz w:val="18"/>
          <w:szCs w:val="18"/>
          <w:color w:val="auto"/>
          <w:shd w:val="clear" w:color="auto" w:fill="00A887"/>
        </w:rPr>
      </w:pPr>
      <w:r>
        <w:rPr>
          <w:rFonts w:ascii="Arial" w:cs="Arial" w:eastAsia="Arial" w:hAnsi="Arial"/>
          <w:sz w:val="18"/>
          <w:szCs w:val="18"/>
          <w:b w:val="1"/>
          <w:bCs w:val="1"/>
          <w:color w:val="00A887"/>
        </w:rPr>
        <w:t>Pay for Performance</w:t>
      </w:r>
    </w:p>
    <w:p>
      <w:pPr>
        <w:spacing w:after="0" w:line="9" w:lineRule="exact"/>
        <w:rPr>
          <w:rFonts w:ascii="MS PGothic" w:cs="MS PGothic" w:eastAsia="MS PGothic" w:hAnsi="MS PGothic"/>
          <w:sz w:val="18"/>
          <w:szCs w:val="18"/>
          <w:color w:val="auto"/>
          <w:shd w:val="clear" w:color="auto" w:fill="00A887"/>
        </w:rPr>
      </w:pPr>
    </w:p>
    <w:p>
      <w:pPr>
        <w:ind w:left="980" w:hanging="432"/>
        <w:spacing w:after="0"/>
        <w:tabs>
          <w:tab w:leader="none" w:pos="980" w:val="left"/>
        </w:tabs>
        <w:numPr>
          <w:ilvl w:val="0"/>
          <w:numId w:val="27"/>
        </w:numPr>
        <w:rPr>
          <w:rFonts w:ascii="MS PGothic" w:cs="MS PGothic" w:eastAsia="MS PGothic" w:hAnsi="MS PGothic"/>
          <w:sz w:val="18"/>
          <w:szCs w:val="18"/>
          <w:color w:val="auto"/>
          <w:shd w:val="clear" w:color="auto" w:fill="00A887"/>
        </w:rPr>
      </w:pPr>
      <w:r>
        <w:rPr>
          <w:rFonts w:ascii="Arial" w:cs="Arial" w:eastAsia="Arial" w:hAnsi="Arial"/>
          <w:sz w:val="18"/>
          <w:szCs w:val="18"/>
          <w:b w:val="1"/>
          <w:bCs w:val="1"/>
          <w:color w:val="00A887"/>
        </w:rPr>
        <w:t>Align executive and stockholder interests</w:t>
      </w:r>
    </w:p>
    <w:p>
      <w:pPr>
        <w:spacing w:after="0" w:line="9" w:lineRule="exact"/>
        <w:rPr>
          <w:rFonts w:ascii="MS PGothic" w:cs="MS PGothic" w:eastAsia="MS PGothic" w:hAnsi="MS PGothic"/>
          <w:sz w:val="18"/>
          <w:szCs w:val="18"/>
          <w:color w:val="auto"/>
          <w:shd w:val="clear" w:color="auto" w:fill="00A887"/>
        </w:rPr>
      </w:pPr>
    </w:p>
    <w:p>
      <w:pPr>
        <w:ind w:left="980" w:hanging="432"/>
        <w:spacing w:after="0"/>
        <w:tabs>
          <w:tab w:leader="none" w:pos="980" w:val="left"/>
        </w:tabs>
        <w:numPr>
          <w:ilvl w:val="0"/>
          <w:numId w:val="27"/>
        </w:numPr>
        <w:rPr>
          <w:rFonts w:ascii="MS PGothic" w:cs="MS PGothic" w:eastAsia="MS PGothic" w:hAnsi="MS PGothic"/>
          <w:sz w:val="18"/>
          <w:szCs w:val="18"/>
          <w:color w:val="auto"/>
          <w:shd w:val="clear" w:color="auto" w:fill="00A887"/>
        </w:rPr>
      </w:pPr>
      <w:r>
        <w:rPr>
          <w:rFonts w:ascii="Arial" w:cs="Arial" w:eastAsia="Arial" w:hAnsi="Arial"/>
          <w:sz w:val="18"/>
          <w:szCs w:val="18"/>
          <w:b w:val="1"/>
          <w:bCs w:val="1"/>
          <w:color w:val="00A887"/>
        </w:rPr>
        <w:t>Impose stock ownership guidelines for our executive officers</w:t>
      </w:r>
    </w:p>
    <w:p>
      <w:pPr>
        <w:spacing w:after="0" w:line="9" w:lineRule="exact"/>
        <w:rPr>
          <w:rFonts w:ascii="MS PGothic" w:cs="MS PGothic" w:eastAsia="MS PGothic" w:hAnsi="MS PGothic"/>
          <w:sz w:val="18"/>
          <w:szCs w:val="18"/>
          <w:color w:val="auto"/>
          <w:shd w:val="clear" w:color="auto" w:fill="00A887"/>
        </w:rPr>
      </w:pPr>
    </w:p>
    <w:p>
      <w:pPr>
        <w:ind w:left="980" w:hanging="432"/>
        <w:spacing w:after="0"/>
        <w:tabs>
          <w:tab w:leader="none" w:pos="980" w:val="left"/>
        </w:tabs>
        <w:numPr>
          <w:ilvl w:val="0"/>
          <w:numId w:val="27"/>
        </w:numPr>
        <w:rPr>
          <w:rFonts w:ascii="MS PGothic" w:cs="MS PGothic" w:eastAsia="MS PGothic" w:hAnsi="MS PGothic"/>
          <w:sz w:val="18"/>
          <w:szCs w:val="18"/>
          <w:color w:val="auto"/>
          <w:shd w:val="clear" w:color="auto" w:fill="00A887"/>
        </w:rPr>
      </w:pPr>
      <w:r>
        <w:rPr>
          <w:rFonts w:ascii="Arial" w:cs="Arial" w:eastAsia="Arial" w:hAnsi="Arial"/>
          <w:sz w:val="18"/>
          <w:szCs w:val="18"/>
          <w:b w:val="1"/>
          <w:bCs w:val="1"/>
          <w:color w:val="00A887"/>
        </w:rPr>
        <w:t>Prohibit our directors and executive officers from hedging, pledging, and short selling Company stock</w:t>
      </w:r>
    </w:p>
    <w:p>
      <w:pPr>
        <w:spacing w:after="0" w:line="9" w:lineRule="exact"/>
        <w:rPr>
          <w:rFonts w:ascii="MS PGothic" w:cs="MS PGothic" w:eastAsia="MS PGothic" w:hAnsi="MS PGothic"/>
          <w:sz w:val="18"/>
          <w:szCs w:val="18"/>
          <w:color w:val="auto"/>
          <w:shd w:val="clear" w:color="auto" w:fill="00A887"/>
        </w:rPr>
      </w:pPr>
    </w:p>
    <w:p>
      <w:pPr>
        <w:ind w:left="980" w:hanging="432"/>
        <w:spacing w:after="0"/>
        <w:tabs>
          <w:tab w:leader="none" w:pos="980" w:val="left"/>
        </w:tabs>
        <w:numPr>
          <w:ilvl w:val="0"/>
          <w:numId w:val="27"/>
        </w:numPr>
        <w:rPr>
          <w:rFonts w:ascii="MS PGothic" w:cs="MS PGothic" w:eastAsia="MS PGothic" w:hAnsi="MS PGothic"/>
          <w:sz w:val="18"/>
          <w:szCs w:val="18"/>
          <w:color w:val="auto"/>
          <w:shd w:val="clear" w:color="auto" w:fill="00A887"/>
        </w:rPr>
      </w:pPr>
      <w:r>
        <w:rPr>
          <w:rFonts w:ascii="Arial" w:cs="Arial" w:eastAsia="Arial" w:hAnsi="Arial"/>
          <w:sz w:val="18"/>
          <w:szCs w:val="18"/>
          <w:b w:val="1"/>
          <w:bCs w:val="1"/>
          <w:color w:val="00A887"/>
        </w:rPr>
        <w:t>Engage an independent compensation consultant</w:t>
      </w:r>
    </w:p>
    <w:p>
      <w:pPr>
        <w:spacing w:after="0" w:line="9" w:lineRule="exact"/>
        <w:rPr>
          <w:rFonts w:ascii="MS PGothic" w:cs="MS PGothic" w:eastAsia="MS PGothic" w:hAnsi="MS PGothic"/>
          <w:sz w:val="18"/>
          <w:szCs w:val="18"/>
          <w:color w:val="auto"/>
          <w:shd w:val="clear" w:color="auto" w:fill="00A887"/>
        </w:rPr>
      </w:pPr>
    </w:p>
    <w:p>
      <w:pPr>
        <w:ind w:left="980" w:hanging="432"/>
        <w:spacing w:after="0"/>
        <w:tabs>
          <w:tab w:leader="none" w:pos="980" w:val="left"/>
        </w:tabs>
        <w:numPr>
          <w:ilvl w:val="0"/>
          <w:numId w:val="27"/>
        </w:numPr>
        <w:rPr>
          <w:rFonts w:ascii="MS PGothic" w:cs="MS PGothic" w:eastAsia="MS PGothic" w:hAnsi="MS PGothic"/>
          <w:sz w:val="18"/>
          <w:szCs w:val="18"/>
          <w:color w:val="auto"/>
          <w:shd w:val="clear" w:color="auto" w:fill="00A887"/>
        </w:rPr>
      </w:pPr>
      <w:r>
        <w:rPr>
          <w:rFonts w:ascii="Arial" w:cs="Arial" w:eastAsia="Arial" w:hAnsi="Arial"/>
          <w:sz w:val="18"/>
          <w:szCs w:val="18"/>
          <w:b w:val="1"/>
          <w:bCs w:val="1"/>
          <w:color w:val="00A887"/>
        </w:rPr>
        <w:t>Maintain a clawback policy</w:t>
      </w:r>
    </w:p>
    <w:p>
      <w:pPr>
        <w:spacing w:after="0" w:line="9" w:lineRule="exact"/>
        <w:rPr>
          <w:rFonts w:ascii="MS PGothic" w:cs="MS PGothic" w:eastAsia="MS PGothic" w:hAnsi="MS PGothic"/>
          <w:sz w:val="18"/>
          <w:szCs w:val="18"/>
          <w:color w:val="auto"/>
          <w:shd w:val="clear" w:color="auto" w:fill="00A887"/>
        </w:rPr>
      </w:pPr>
    </w:p>
    <w:p>
      <w:pPr>
        <w:ind w:left="980" w:hanging="432"/>
        <w:spacing w:after="0"/>
        <w:tabs>
          <w:tab w:leader="none" w:pos="980" w:val="left"/>
        </w:tabs>
        <w:numPr>
          <w:ilvl w:val="0"/>
          <w:numId w:val="27"/>
        </w:numPr>
        <w:rPr>
          <w:rFonts w:ascii="MS PGothic" w:cs="MS PGothic" w:eastAsia="MS PGothic" w:hAnsi="MS PGothic"/>
          <w:sz w:val="16"/>
          <w:szCs w:val="16"/>
          <w:color w:val="auto"/>
          <w:shd w:val="clear" w:color="auto" w:fill="00A887"/>
        </w:rPr>
      </w:pPr>
      <w:r>
        <w:rPr>
          <w:rFonts w:ascii="Arial" w:cs="Arial" w:eastAsia="Arial" w:hAnsi="Arial"/>
          <w:sz w:val="16"/>
          <w:szCs w:val="16"/>
          <w:b w:val="1"/>
          <w:bCs w:val="1"/>
          <w:color w:val="00A887"/>
        </w:rPr>
        <w:t>Conduct an annual review of our compensation program based on market conditions, performance, and stockholder feedback</w:t>
      </w:r>
    </w:p>
    <w:p>
      <w:pPr>
        <w:spacing w:after="0" w:line="160" w:lineRule="exact"/>
        <w:rPr>
          <w:sz w:val="20"/>
          <w:szCs w:val="20"/>
          <w:color w:val="auto"/>
        </w:rPr>
      </w:pPr>
    </w:p>
    <w:p>
      <w:pPr>
        <w:jc w:val="right"/>
        <w:spacing w:after="0"/>
        <w:tabs>
          <w:tab w:leader="none" w:pos="14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41</w:t>
      </w:r>
    </w:p>
    <w:p>
      <w:pPr>
        <w:sectPr>
          <w:pgSz w:w="11900" w:h="16838" w:orient="portrait"/>
          <w:cols w:equalWidth="0" w:num="1">
            <w:col w:w="11140"/>
          </w:cols>
          <w:pgMar w:left="320" w:top="459" w:right="439" w:bottom="1440" w:gutter="0" w:footer="0" w:header="0"/>
        </w:sectPr>
      </w:pPr>
    </w:p>
    <w:bookmarkStart w:id="54" w:name="page55"/>
    <w:bookmarkEnd w:id="5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What we don’t do:</w:t>
      </w:r>
    </w:p>
    <w:p>
      <w:pPr>
        <w:spacing w:after="0" w:line="127" w:lineRule="exact"/>
        <w:rPr>
          <w:sz w:val="20"/>
          <w:szCs w:val="20"/>
          <w:color w:val="auto"/>
        </w:rPr>
      </w:pPr>
    </w:p>
    <w:p>
      <w:pPr>
        <w:ind w:left="980" w:hanging="432"/>
        <w:spacing w:after="0"/>
        <w:tabs>
          <w:tab w:leader="none" w:pos="980" w:val="left"/>
        </w:tabs>
        <w:numPr>
          <w:ilvl w:val="0"/>
          <w:numId w:val="28"/>
        </w:numPr>
        <w:rPr>
          <w:rFonts w:ascii="Arial" w:cs="Arial" w:eastAsia="Arial" w:hAnsi="Arial"/>
          <w:sz w:val="18"/>
          <w:szCs w:val="18"/>
          <w:b w:val="1"/>
          <w:bCs w:val="1"/>
          <w:color w:val="FF0000"/>
        </w:rPr>
      </w:pPr>
      <w:r>
        <w:rPr>
          <w:rFonts w:ascii="Arial" w:cs="Arial" w:eastAsia="Arial" w:hAnsi="Arial"/>
          <w:sz w:val="18"/>
          <w:szCs w:val="18"/>
          <w:b w:val="1"/>
          <w:bCs w:val="1"/>
          <w:color w:val="auto"/>
        </w:rPr>
        <w:t>Pay based on a percentage of assets under management</w:t>
      </w:r>
    </w:p>
    <w:p>
      <w:pPr>
        <w:spacing w:after="0" w:line="27" w:lineRule="exact"/>
        <w:rPr>
          <w:rFonts w:ascii="Arial" w:cs="Arial" w:eastAsia="Arial" w:hAnsi="Arial"/>
          <w:sz w:val="18"/>
          <w:szCs w:val="18"/>
          <w:b w:val="1"/>
          <w:bCs w:val="1"/>
          <w:color w:val="FF0000"/>
        </w:rPr>
      </w:pPr>
    </w:p>
    <w:p>
      <w:pPr>
        <w:ind w:left="980" w:hanging="432"/>
        <w:spacing w:after="0"/>
        <w:tabs>
          <w:tab w:leader="none" w:pos="980" w:val="left"/>
        </w:tabs>
        <w:numPr>
          <w:ilvl w:val="0"/>
          <w:numId w:val="28"/>
        </w:numPr>
        <w:rPr>
          <w:rFonts w:ascii="Arial" w:cs="Arial" w:eastAsia="Arial" w:hAnsi="Arial"/>
          <w:sz w:val="18"/>
          <w:szCs w:val="18"/>
          <w:b w:val="1"/>
          <w:bCs w:val="1"/>
          <w:i w:val="1"/>
          <w:iCs w:val="1"/>
          <w:color w:val="FF0000"/>
        </w:rPr>
      </w:pPr>
      <w:r>
        <w:rPr>
          <w:rFonts w:ascii="Arial" w:cs="Arial" w:eastAsia="Arial" w:hAnsi="Arial"/>
          <w:sz w:val="18"/>
          <w:szCs w:val="18"/>
          <w:b w:val="1"/>
          <w:bCs w:val="1"/>
          <w:color w:val="auto"/>
        </w:rPr>
        <w:t>Tax gross-ups</w:t>
      </w:r>
    </w:p>
    <w:p>
      <w:pPr>
        <w:spacing w:after="0" w:line="9" w:lineRule="exact"/>
        <w:rPr>
          <w:rFonts w:ascii="Arial" w:cs="Arial" w:eastAsia="Arial" w:hAnsi="Arial"/>
          <w:sz w:val="18"/>
          <w:szCs w:val="18"/>
          <w:b w:val="1"/>
          <w:bCs w:val="1"/>
          <w:i w:val="1"/>
          <w:iCs w:val="1"/>
          <w:color w:val="FF0000"/>
        </w:rPr>
      </w:pPr>
    </w:p>
    <w:p>
      <w:pPr>
        <w:ind w:left="980" w:hanging="432"/>
        <w:spacing w:after="0"/>
        <w:tabs>
          <w:tab w:leader="none" w:pos="980" w:val="left"/>
        </w:tabs>
        <w:numPr>
          <w:ilvl w:val="0"/>
          <w:numId w:val="28"/>
        </w:numPr>
        <w:rPr>
          <w:rFonts w:ascii="Arial" w:cs="Arial" w:eastAsia="Arial" w:hAnsi="Arial"/>
          <w:sz w:val="18"/>
          <w:szCs w:val="18"/>
          <w:b w:val="1"/>
          <w:bCs w:val="1"/>
          <w:i w:val="1"/>
          <w:iCs w:val="1"/>
          <w:color w:val="FF0000"/>
        </w:rPr>
      </w:pPr>
      <w:r>
        <w:rPr>
          <w:rFonts w:ascii="Arial" w:cs="Arial" w:eastAsia="Arial" w:hAnsi="Arial"/>
          <w:sz w:val="18"/>
          <w:szCs w:val="18"/>
          <w:b w:val="1"/>
          <w:bCs w:val="1"/>
          <w:color w:val="auto"/>
        </w:rPr>
        <w:t>Provide special perquisites for executives</w:t>
      </w:r>
    </w:p>
    <w:p>
      <w:pPr>
        <w:spacing w:after="0" w:line="9" w:lineRule="exact"/>
        <w:rPr>
          <w:rFonts w:ascii="Arial" w:cs="Arial" w:eastAsia="Arial" w:hAnsi="Arial"/>
          <w:sz w:val="18"/>
          <w:szCs w:val="18"/>
          <w:b w:val="1"/>
          <w:bCs w:val="1"/>
          <w:i w:val="1"/>
          <w:iCs w:val="1"/>
          <w:color w:val="FF0000"/>
        </w:rPr>
      </w:pPr>
    </w:p>
    <w:p>
      <w:pPr>
        <w:ind w:left="980" w:hanging="432"/>
        <w:spacing w:after="0"/>
        <w:tabs>
          <w:tab w:leader="none" w:pos="980" w:val="left"/>
        </w:tabs>
        <w:numPr>
          <w:ilvl w:val="0"/>
          <w:numId w:val="28"/>
        </w:numPr>
        <w:rPr>
          <w:rFonts w:ascii="Arial" w:cs="Arial" w:eastAsia="Arial" w:hAnsi="Arial"/>
          <w:sz w:val="18"/>
          <w:szCs w:val="18"/>
          <w:b w:val="1"/>
          <w:bCs w:val="1"/>
          <w:i w:val="1"/>
          <w:iCs w:val="1"/>
          <w:color w:val="FF0000"/>
        </w:rPr>
      </w:pPr>
      <w:r>
        <w:rPr>
          <w:rFonts w:ascii="Arial" w:cs="Arial" w:eastAsia="Arial" w:hAnsi="Arial"/>
          <w:sz w:val="18"/>
          <w:szCs w:val="18"/>
          <w:b w:val="1"/>
          <w:bCs w:val="1"/>
          <w:color w:val="auto"/>
        </w:rPr>
        <w:t>Maintain supplemental retirement benefits</w:t>
      </w:r>
    </w:p>
    <w:p>
      <w:pPr>
        <w:spacing w:after="0" w:line="9" w:lineRule="exact"/>
        <w:rPr>
          <w:rFonts w:ascii="Arial" w:cs="Arial" w:eastAsia="Arial" w:hAnsi="Arial"/>
          <w:sz w:val="18"/>
          <w:szCs w:val="18"/>
          <w:b w:val="1"/>
          <w:bCs w:val="1"/>
          <w:i w:val="1"/>
          <w:iCs w:val="1"/>
          <w:color w:val="FF0000"/>
        </w:rPr>
      </w:pPr>
    </w:p>
    <w:p>
      <w:pPr>
        <w:ind w:left="980" w:hanging="432"/>
        <w:spacing w:after="0"/>
        <w:tabs>
          <w:tab w:leader="none" w:pos="980" w:val="left"/>
        </w:tabs>
        <w:numPr>
          <w:ilvl w:val="0"/>
          <w:numId w:val="28"/>
        </w:numPr>
        <w:rPr>
          <w:rFonts w:ascii="Arial" w:cs="Arial" w:eastAsia="Arial" w:hAnsi="Arial"/>
          <w:sz w:val="18"/>
          <w:szCs w:val="18"/>
          <w:b w:val="1"/>
          <w:bCs w:val="1"/>
          <w:i w:val="1"/>
          <w:iCs w:val="1"/>
          <w:color w:val="FF0000"/>
        </w:rPr>
      </w:pPr>
      <w:r>
        <w:rPr>
          <w:rFonts w:ascii="Arial" w:cs="Arial" w:eastAsia="Arial" w:hAnsi="Arial"/>
          <w:sz w:val="18"/>
          <w:szCs w:val="18"/>
          <w:b w:val="1"/>
          <w:bCs w:val="1"/>
          <w:color w:val="auto"/>
        </w:rPr>
        <w:t>Make option grants below fair market value</w:t>
      </w:r>
    </w:p>
    <w:p>
      <w:pPr>
        <w:spacing w:after="0" w:line="9" w:lineRule="exact"/>
        <w:rPr>
          <w:rFonts w:ascii="Arial" w:cs="Arial" w:eastAsia="Arial" w:hAnsi="Arial"/>
          <w:sz w:val="18"/>
          <w:szCs w:val="18"/>
          <w:b w:val="1"/>
          <w:bCs w:val="1"/>
          <w:i w:val="1"/>
          <w:iCs w:val="1"/>
          <w:color w:val="FF0000"/>
        </w:rPr>
      </w:pPr>
    </w:p>
    <w:p>
      <w:pPr>
        <w:ind w:left="980" w:hanging="432"/>
        <w:spacing w:after="0"/>
        <w:tabs>
          <w:tab w:leader="none" w:pos="980" w:val="left"/>
        </w:tabs>
        <w:numPr>
          <w:ilvl w:val="0"/>
          <w:numId w:val="28"/>
        </w:numPr>
        <w:rPr>
          <w:rFonts w:ascii="Arial" w:cs="Arial" w:eastAsia="Arial" w:hAnsi="Arial"/>
          <w:sz w:val="18"/>
          <w:szCs w:val="18"/>
          <w:b w:val="1"/>
          <w:bCs w:val="1"/>
          <w:i w:val="1"/>
          <w:iCs w:val="1"/>
          <w:color w:val="FF0000"/>
        </w:rPr>
      </w:pPr>
      <w:r>
        <w:rPr>
          <w:rFonts w:ascii="Arial" w:cs="Arial" w:eastAsia="Arial" w:hAnsi="Arial"/>
          <w:sz w:val="18"/>
          <w:szCs w:val="18"/>
          <w:b w:val="1"/>
          <w:bCs w:val="1"/>
          <w:color w:val="auto"/>
        </w:rPr>
        <w:t>Reprice stock options</w:t>
      </w:r>
    </w:p>
    <w:p>
      <w:pPr>
        <w:spacing w:after="0" w:line="9" w:lineRule="exact"/>
        <w:rPr>
          <w:rFonts w:ascii="Arial" w:cs="Arial" w:eastAsia="Arial" w:hAnsi="Arial"/>
          <w:sz w:val="18"/>
          <w:szCs w:val="18"/>
          <w:b w:val="1"/>
          <w:bCs w:val="1"/>
          <w:i w:val="1"/>
          <w:iCs w:val="1"/>
          <w:color w:val="FF0000"/>
        </w:rPr>
      </w:pPr>
    </w:p>
    <w:p>
      <w:pPr>
        <w:ind w:left="980" w:hanging="432"/>
        <w:spacing w:after="0"/>
        <w:tabs>
          <w:tab w:leader="none" w:pos="980" w:val="left"/>
        </w:tabs>
        <w:numPr>
          <w:ilvl w:val="0"/>
          <w:numId w:val="28"/>
        </w:numPr>
        <w:rPr>
          <w:rFonts w:ascii="Arial" w:cs="Arial" w:eastAsia="Arial" w:hAnsi="Arial"/>
          <w:sz w:val="18"/>
          <w:szCs w:val="18"/>
          <w:b w:val="1"/>
          <w:bCs w:val="1"/>
          <w:i w:val="1"/>
          <w:iCs w:val="1"/>
          <w:color w:val="FF0000"/>
        </w:rPr>
      </w:pPr>
      <w:r>
        <w:rPr>
          <w:rFonts w:ascii="Arial" w:cs="Arial" w:eastAsia="Arial" w:hAnsi="Arial"/>
          <w:sz w:val="18"/>
          <w:szCs w:val="18"/>
          <w:b w:val="1"/>
          <w:bCs w:val="1"/>
          <w:color w:val="auto"/>
        </w:rPr>
        <w:t>Provide for “single-trigger” severance or vesting acceleration</w:t>
      </w:r>
    </w:p>
    <w:p>
      <w:pPr>
        <w:spacing w:after="0" w:line="200" w:lineRule="exact"/>
        <w:rPr>
          <w:sz w:val="20"/>
          <w:szCs w:val="20"/>
          <w:color w:val="auto"/>
        </w:rPr>
      </w:pPr>
    </w:p>
    <w:p>
      <w:pPr>
        <w:spacing w:after="0" w:line="223" w:lineRule="exact"/>
        <w:rPr>
          <w:sz w:val="20"/>
          <w:szCs w:val="20"/>
          <w:color w:val="auto"/>
        </w:rPr>
      </w:pPr>
    </w:p>
    <w:p>
      <w:pPr>
        <w:jc w:val="center"/>
        <w:ind w:right="-119"/>
        <w:spacing w:after="0"/>
        <w:rPr>
          <w:sz w:val="20"/>
          <w:szCs w:val="20"/>
          <w:color w:val="auto"/>
        </w:rPr>
      </w:pPr>
      <w:r>
        <w:rPr>
          <w:rFonts w:ascii="Arial" w:cs="Arial" w:eastAsia="Arial" w:hAnsi="Arial"/>
          <w:sz w:val="18"/>
          <w:szCs w:val="18"/>
          <w:b w:val="1"/>
          <w:bCs w:val="1"/>
          <w:color w:val="auto"/>
        </w:rPr>
        <w:t>Compensation Program in Detail</w:t>
      </w:r>
    </w:p>
    <w:p>
      <w:pPr>
        <w:spacing w:after="0" w:line="225"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Compensation Program Elements</w:t>
      </w:r>
    </w:p>
    <w:p>
      <w:pPr>
        <w:spacing w:after="0" w:line="121" w:lineRule="exact"/>
        <w:rPr>
          <w:sz w:val="20"/>
          <w:szCs w:val="20"/>
          <w:color w:val="auto"/>
        </w:rPr>
      </w:pPr>
    </w:p>
    <w:p>
      <w:pPr>
        <w:ind w:left="120" w:right="340" w:firstLine="881"/>
        <w:spacing w:after="0" w:line="259" w:lineRule="auto"/>
        <w:rPr>
          <w:sz w:val="20"/>
          <w:szCs w:val="20"/>
          <w:color w:val="auto"/>
        </w:rPr>
      </w:pPr>
      <w:r>
        <w:rPr>
          <w:rFonts w:ascii="Arial" w:cs="Arial" w:eastAsia="Arial" w:hAnsi="Arial"/>
          <w:sz w:val="18"/>
          <w:szCs w:val="18"/>
          <w:color w:val="auto"/>
        </w:rPr>
        <w:t>The Compensation Committee believes it is important to compensate our NEOs in a manner that balances short- and long-term compensation and cash and equity-based compensation. Our NEOs’ compensation program includes three primary elements: base salary, short-term incentives in the form of an annual cash bonus, and long-term equity incentives, with a significant portion subject to multi-year performance-based vesting.</w:t>
      </w:r>
    </w:p>
    <w:p>
      <w:pPr>
        <w:spacing w:after="0" w:line="187" w:lineRule="exact"/>
        <w:rPr>
          <w:sz w:val="20"/>
          <w:szCs w:val="20"/>
          <w:color w:val="auto"/>
        </w:rPr>
      </w:pPr>
    </w:p>
    <w:p>
      <w:pPr>
        <w:ind w:left="120" w:right="140" w:firstLine="881"/>
        <w:spacing w:after="0" w:line="296" w:lineRule="auto"/>
        <w:rPr>
          <w:sz w:val="20"/>
          <w:szCs w:val="20"/>
          <w:color w:val="auto"/>
        </w:rPr>
      </w:pPr>
      <w:r>
        <w:rPr>
          <w:rFonts w:ascii="Arial" w:cs="Arial" w:eastAsia="Arial" w:hAnsi="Arial"/>
          <w:sz w:val="16"/>
          <w:szCs w:val="16"/>
          <w:color w:val="auto"/>
        </w:rPr>
        <w:t>The Compensation Committee’s philosophy on pay mix carries through the entire organization, with all AGNC employees receiving a portion of their compensation in the form of long-term incentives. The proportion of an individual’s target total direct compensation opportunity that is in the form of variable incentive-based elements versus fixed elements is directly correlated to the individual’s level of responsibility and role in the organization. Generally, higher level employees have higher proportions of incentive-based compensation in their target mix. Similarly, within the incentive-based elements, the proportion of LTI generally increases with the individual’s level of responsibility in the organization.</w:t>
      </w:r>
    </w:p>
    <w:p>
      <w:pPr>
        <w:spacing w:after="0" w:line="161" w:lineRule="exact"/>
        <w:rPr>
          <w:sz w:val="20"/>
          <w:szCs w:val="20"/>
          <w:color w:val="auto"/>
        </w:rPr>
      </w:pPr>
    </w:p>
    <w:p>
      <w:pPr>
        <w:ind w:left="120" w:firstLine="881"/>
        <w:spacing w:after="0" w:line="270" w:lineRule="auto"/>
        <w:rPr>
          <w:sz w:val="20"/>
          <w:szCs w:val="20"/>
          <w:color w:val="auto"/>
        </w:rPr>
      </w:pPr>
      <w:r>
        <w:rPr>
          <w:rFonts w:ascii="Arial" w:cs="Arial" w:eastAsia="Arial" w:hAnsi="Arial"/>
          <w:sz w:val="17"/>
          <w:szCs w:val="17"/>
          <w:color w:val="auto"/>
        </w:rPr>
        <w:t>On average, 86% of the 2019 target compensation of our NEOs consisted of short-term and long-term incentive compensation, a 4% increase from 82% of 2018 target compensation and a 10% increase from 76% in 2017 for these executives. In 2019, the Compensation Committee reduced our CEO’s base salary by 50% and short-term incentive target by 25% (or a total of $2.7 million in annual cash compensation) and reallocated this amount to performance-based LTI such that our CEO’s 2019 LTI awards were two-thirds performance-based. Further, in response to stockholder feedback in 2019 and to further the alignment of our NEO’s pay with our performance, commencing in 2020, the Compensation Committee increased the incentive compensation targets for our non-CEO NEOs and increased the allocation to performance based long-term equity awards for certain of these NEOs. These adjustments to target payments will further increase the portion of our NEOs’ compensation that is contingent on performance. As a result of these changes, in 2020, 87% of our NEOs average target compensation will consist of short- and long-term incentive compensation, and 80% of this incentive compensation will be performance-based.</w:t>
      </w:r>
    </w:p>
    <w:p>
      <w:pPr>
        <w:spacing w:after="0" w:line="289"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Base Salary</w:t>
      </w:r>
    </w:p>
    <w:p>
      <w:pPr>
        <w:spacing w:after="0" w:line="117" w:lineRule="exact"/>
        <w:rPr>
          <w:sz w:val="20"/>
          <w:szCs w:val="20"/>
          <w:color w:val="auto"/>
        </w:rPr>
      </w:pPr>
    </w:p>
    <w:p>
      <w:pPr>
        <w:ind w:left="120" w:right="580" w:firstLine="881"/>
        <w:spacing w:after="0" w:line="277" w:lineRule="auto"/>
        <w:rPr>
          <w:sz w:val="20"/>
          <w:szCs w:val="20"/>
          <w:color w:val="auto"/>
        </w:rPr>
      </w:pPr>
      <w:r>
        <w:rPr>
          <w:rFonts w:ascii="Arial" w:cs="Arial" w:eastAsia="Arial" w:hAnsi="Arial"/>
          <w:sz w:val="18"/>
          <w:szCs w:val="18"/>
          <w:color w:val="auto"/>
        </w:rPr>
        <w:t>Base salary provides a baseline level of cash compensation to our NEOs and is a fixed expense for the Company. The Compensation Committee established base salaries for our NEOs considering a variety of factors, including:</w:t>
      </w:r>
    </w:p>
    <w:p>
      <w:pPr>
        <w:spacing w:after="0" w:line="76" w:lineRule="exact"/>
        <w:rPr>
          <w:sz w:val="20"/>
          <w:szCs w:val="20"/>
          <w:color w:val="auto"/>
        </w:rPr>
      </w:pPr>
    </w:p>
    <w:p>
      <w:pPr>
        <w:ind w:left="980" w:hanging="432"/>
        <w:spacing w:after="0"/>
        <w:tabs>
          <w:tab w:leader="none" w:pos="9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current economic conditions and the competitive market for executive officers</w:t>
      </w:r>
    </w:p>
    <w:p>
      <w:pPr>
        <w:spacing w:after="0" w:line="23" w:lineRule="exact"/>
        <w:rPr>
          <w:rFonts w:ascii="Arial" w:cs="Arial" w:eastAsia="Arial" w:hAnsi="Arial"/>
          <w:sz w:val="18"/>
          <w:szCs w:val="18"/>
          <w:color w:val="auto"/>
        </w:rPr>
      </w:pPr>
    </w:p>
    <w:p>
      <w:pPr>
        <w:ind w:left="980" w:hanging="432"/>
        <w:spacing w:after="0"/>
        <w:tabs>
          <w:tab w:leader="none" w:pos="9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pay history and contractual obligations in effect at the time of the Internalization</w:t>
      </w:r>
    </w:p>
    <w:p>
      <w:pPr>
        <w:spacing w:after="0" w:line="139"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42</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20"/>
          </w:cols>
          <w:pgMar w:left="320" w:top="459" w:right="459" w:bottom="1440" w:gutter="0" w:footer="0" w:header="0"/>
        </w:sectPr>
      </w:pPr>
    </w:p>
    <w:bookmarkStart w:id="55" w:name="page56"/>
    <w:bookmarkEnd w:id="5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0">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1">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980" w:hanging="432"/>
        <w:spacing w:after="0"/>
        <w:tabs>
          <w:tab w:leader="none" w:pos="980" w:val="left"/>
        </w:tabs>
        <w:numPr>
          <w:ilvl w:val="0"/>
          <w:numId w:val="30"/>
        </w:numPr>
        <w:rPr>
          <w:rFonts w:ascii="Arial" w:cs="Arial" w:eastAsia="Arial" w:hAnsi="Arial"/>
          <w:sz w:val="18"/>
          <w:szCs w:val="18"/>
          <w:color w:val="auto"/>
        </w:rPr>
      </w:pPr>
      <w:r>
        <w:rPr>
          <w:rFonts w:ascii="Arial" w:cs="Arial" w:eastAsia="Arial" w:hAnsi="Arial"/>
          <w:sz w:val="18"/>
          <w:szCs w:val="18"/>
          <w:color w:val="auto"/>
        </w:rPr>
        <w:t>the scope of each executive officer’s responsibilities</w:t>
      </w:r>
    </w:p>
    <w:p>
      <w:pPr>
        <w:spacing w:after="0" w:line="23" w:lineRule="exact"/>
        <w:rPr>
          <w:rFonts w:ascii="Arial" w:cs="Arial" w:eastAsia="Arial" w:hAnsi="Arial"/>
          <w:sz w:val="18"/>
          <w:szCs w:val="18"/>
          <w:color w:val="auto"/>
        </w:rPr>
      </w:pPr>
    </w:p>
    <w:p>
      <w:pPr>
        <w:ind w:left="980" w:hanging="432"/>
        <w:spacing w:after="0"/>
        <w:tabs>
          <w:tab w:leader="none" w:pos="980" w:val="left"/>
        </w:tabs>
        <w:numPr>
          <w:ilvl w:val="0"/>
          <w:numId w:val="30"/>
        </w:numPr>
        <w:rPr>
          <w:rFonts w:ascii="Arial" w:cs="Arial" w:eastAsia="Arial" w:hAnsi="Arial"/>
          <w:sz w:val="18"/>
          <w:szCs w:val="18"/>
          <w:color w:val="auto"/>
        </w:rPr>
      </w:pPr>
      <w:r>
        <w:rPr>
          <w:rFonts w:ascii="Arial" w:cs="Arial" w:eastAsia="Arial" w:hAnsi="Arial"/>
          <w:sz w:val="18"/>
          <w:szCs w:val="18"/>
          <w:color w:val="auto"/>
        </w:rPr>
        <w:t>the highly complex and unique services provided by our NEOs</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30"/>
        </w:numPr>
        <w:rPr>
          <w:rFonts w:ascii="Arial" w:cs="Arial" w:eastAsia="Arial" w:hAnsi="Arial"/>
          <w:sz w:val="18"/>
          <w:szCs w:val="18"/>
          <w:color w:val="auto"/>
        </w:rPr>
      </w:pPr>
      <w:r>
        <w:rPr>
          <w:rFonts w:ascii="Arial" w:cs="Arial" w:eastAsia="Arial" w:hAnsi="Arial"/>
          <w:sz w:val="18"/>
          <w:szCs w:val="18"/>
          <w:color w:val="auto"/>
        </w:rPr>
        <w:t>the desire to retain our NEOs</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30"/>
        </w:numPr>
        <w:rPr>
          <w:rFonts w:ascii="Arial" w:cs="Arial" w:eastAsia="Arial" w:hAnsi="Arial"/>
          <w:sz w:val="18"/>
          <w:szCs w:val="18"/>
          <w:color w:val="auto"/>
        </w:rPr>
      </w:pPr>
      <w:r>
        <w:rPr>
          <w:rFonts w:ascii="Arial" w:cs="Arial" w:eastAsia="Arial" w:hAnsi="Arial"/>
          <w:sz w:val="18"/>
          <w:szCs w:val="18"/>
          <w:color w:val="auto"/>
        </w:rPr>
        <w:t>the duties and responsibilities of the NEOs</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30"/>
        </w:numPr>
        <w:rPr>
          <w:rFonts w:ascii="Arial" w:cs="Arial" w:eastAsia="Arial" w:hAnsi="Arial"/>
          <w:sz w:val="18"/>
          <w:szCs w:val="18"/>
          <w:color w:val="auto"/>
        </w:rPr>
      </w:pPr>
      <w:r>
        <w:rPr>
          <w:rFonts w:ascii="Arial" w:cs="Arial" w:eastAsia="Arial" w:hAnsi="Arial"/>
          <w:sz w:val="18"/>
          <w:szCs w:val="18"/>
          <w:color w:val="auto"/>
        </w:rPr>
        <w:t>internal and external pay equity</w:t>
      </w:r>
    </w:p>
    <w:p>
      <w:pPr>
        <w:spacing w:after="0" w:line="211" w:lineRule="exact"/>
        <w:rPr>
          <w:sz w:val="20"/>
          <w:szCs w:val="20"/>
          <w:color w:val="auto"/>
        </w:rPr>
      </w:pPr>
    </w:p>
    <w:p>
      <w:pPr>
        <w:ind w:left="120" w:right="160" w:firstLine="881"/>
        <w:spacing w:after="0" w:line="263" w:lineRule="auto"/>
        <w:rPr>
          <w:sz w:val="20"/>
          <w:szCs w:val="20"/>
          <w:color w:val="auto"/>
        </w:rPr>
      </w:pPr>
      <w:r>
        <w:rPr>
          <w:rFonts w:ascii="Arial" w:cs="Arial" w:eastAsia="Arial" w:hAnsi="Arial"/>
          <w:sz w:val="18"/>
          <w:szCs w:val="18"/>
          <w:color w:val="auto"/>
        </w:rPr>
        <w:t>The Compensation Committee reviews the base salaries for our NEOs annually and at the time of a promotion or other change in responsibilities, and salaries may be adjusted after considering the above factors. The annual base salaries set forth in the table below are the minimum levels required in each executive’s respective employment agreement.</w:t>
      </w:r>
    </w:p>
    <w:p>
      <w:pPr>
        <w:spacing w:after="0" w:line="205" w:lineRule="exact"/>
        <w:rPr>
          <w:sz w:val="20"/>
          <w:szCs w:val="20"/>
          <w:color w:val="auto"/>
        </w:rPr>
      </w:pPr>
    </w:p>
    <w:tbl>
      <w:tblPr>
        <w:tblLayout w:type="fixed"/>
        <w:tblInd w:w="120" w:type="dxa"/>
        <w:tblCellMar>
          <w:top w:w="0" w:type="dxa"/>
          <w:left w:w="0" w:type="dxa"/>
          <w:bottom w:w="0" w:type="dxa"/>
          <w:right w:w="0" w:type="dxa"/>
        </w:tblCellMar>
      </w:tblPr>
      <w:tr>
        <w:trPr>
          <w:trHeight w:val="243"/>
        </w:trPr>
        <w:tc>
          <w:tcPr>
            <w:tcW w:w="3440" w:type="dxa"/>
            <w:vAlign w:val="bottom"/>
            <w:tcBorders>
              <w:top w:val="single" w:sz="8" w:color="407CCA"/>
              <w:bottom w:val="single" w:sz="8" w:color="407CCA"/>
            </w:tcBorders>
          </w:tcPr>
          <w:p>
            <w:pPr>
              <w:ind w:left="80"/>
              <w:spacing w:after="0"/>
              <w:rPr>
                <w:sz w:val="20"/>
                <w:szCs w:val="20"/>
                <w:color w:val="auto"/>
              </w:rPr>
            </w:pPr>
            <w:r>
              <w:rPr>
                <w:rFonts w:ascii="Arial" w:cs="Arial" w:eastAsia="Arial" w:hAnsi="Arial"/>
                <w:sz w:val="18"/>
                <w:szCs w:val="18"/>
                <w:b w:val="1"/>
                <w:bCs w:val="1"/>
                <w:color w:val="auto"/>
              </w:rPr>
              <w:t>NEO</w:t>
            </w:r>
          </w:p>
        </w:tc>
        <w:tc>
          <w:tcPr>
            <w:tcW w:w="4000" w:type="dxa"/>
            <w:vAlign w:val="bottom"/>
            <w:tcBorders>
              <w:top w:val="single" w:sz="8" w:color="407CCA"/>
              <w:bottom w:val="single" w:sz="8" w:color="407CCA"/>
            </w:tcBorders>
          </w:tcPr>
          <w:p>
            <w:pPr>
              <w:jc w:val="center"/>
              <w:ind w:left="275"/>
              <w:spacing w:after="0"/>
              <w:rPr>
                <w:sz w:val="20"/>
                <w:szCs w:val="20"/>
                <w:color w:val="auto"/>
              </w:rPr>
            </w:pPr>
            <w:r>
              <w:rPr>
                <w:rFonts w:ascii="Arial" w:cs="Arial" w:eastAsia="Arial" w:hAnsi="Arial"/>
                <w:sz w:val="13"/>
                <w:szCs w:val="13"/>
                <w:b w:val="1"/>
                <w:bCs w:val="1"/>
                <w:color w:val="auto"/>
                <w:w w:val="86"/>
              </w:rPr>
              <w:t>2019 Base Salary</w:t>
            </w:r>
          </w:p>
        </w:tc>
        <w:tc>
          <w:tcPr>
            <w:tcW w:w="3580" w:type="dxa"/>
            <w:vAlign w:val="bottom"/>
            <w:tcBorders>
              <w:top w:val="single" w:sz="8" w:color="407CCA"/>
              <w:bottom w:val="single" w:sz="8" w:color="407CCA"/>
            </w:tcBorders>
          </w:tcPr>
          <w:p>
            <w:pPr>
              <w:jc w:val="center"/>
              <w:spacing w:after="0"/>
              <w:rPr>
                <w:sz w:val="20"/>
                <w:szCs w:val="20"/>
                <w:color w:val="auto"/>
              </w:rPr>
            </w:pPr>
            <w:r>
              <w:rPr>
                <w:rFonts w:ascii="Arial" w:cs="Arial" w:eastAsia="Arial" w:hAnsi="Arial"/>
                <w:sz w:val="13"/>
                <w:szCs w:val="13"/>
                <w:b w:val="1"/>
                <w:bCs w:val="1"/>
                <w:color w:val="auto"/>
                <w:w w:val="84"/>
              </w:rPr>
              <w:t>2020 Base Salary</w:t>
            </w:r>
          </w:p>
        </w:tc>
      </w:tr>
      <w:tr>
        <w:trPr>
          <w:trHeight w:val="210"/>
        </w:trPr>
        <w:tc>
          <w:tcPr>
            <w:tcW w:w="344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Gary D. Kain</w:t>
            </w:r>
          </w:p>
        </w:tc>
        <w:tc>
          <w:tcPr>
            <w:tcW w:w="4000" w:type="dxa"/>
            <w:vAlign w:val="bottom"/>
            <w:shd w:val="clear" w:color="auto" w:fill="CCEEFF"/>
          </w:tcPr>
          <w:p>
            <w:pPr>
              <w:jc w:val="center"/>
              <w:ind w:left="275"/>
              <w:spacing w:after="0"/>
              <w:rPr>
                <w:sz w:val="20"/>
                <w:szCs w:val="20"/>
                <w:color w:val="auto"/>
              </w:rPr>
            </w:pPr>
            <w:r>
              <w:rPr>
                <w:rFonts w:ascii="Arial" w:cs="Arial" w:eastAsia="Arial" w:hAnsi="Arial"/>
                <w:sz w:val="18"/>
                <w:szCs w:val="18"/>
                <w:color w:val="auto"/>
                <w:w w:val="91"/>
              </w:rPr>
              <w:t>$975,000</w:t>
            </w:r>
            <w:r>
              <w:rPr>
                <w:rFonts w:ascii="Arial" w:cs="Arial" w:eastAsia="Arial" w:hAnsi="Arial"/>
                <w:sz w:val="15"/>
                <w:szCs w:val="15"/>
                <w:color w:val="auto"/>
                <w:w w:val="91"/>
              </w:rPr>
              <w:t>1</w:t>
            </w:r>
          </w:p>
        </w:tc>
        <w:tc>
          <w:tcPr>
            <w:tcW w:w="358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$900,000</w:t>
            </w:r>
          </w:p>
        </w:tc>
      </w:tr>
      <w:tr>
        <w:trPr>
          <w:trHeight w:val="216"/>
        </w:trPr>
        <w:tc>
          <w:tcPr>
            <w:tcW w:w="3440" w:type="dxa"/>
            <w:vAlign w:val="bottom"/>
          </w:tcPr>
          <w:p>
            <w:pPr>
              <w:ind w:left="80"/>
              <w:spacing w:after="0"/>
              <w:rPr>
                <w:sz w:val="20"/>
                <w:szCs w:val="20"/>
                <w:color w:val="auto"/>
              </w:rPr>
            </w:pPr>
            <w:r>
              <w:rPr>
                <w:rFonts w:ascii="Arial" w:cs="Arial" w:eastAsia="Arial" w:hAnsi="Arial"/>
                <w:sz w:val="18"/>
                <w:szCs w:val="18"/>
                <w:b w:val="1"/>
                <w:bCs w:val="1"/>
                <w:color w:val="auto"/>
              </w:rPr>
              <w:t>Peter J. Federico</w:t>
            </w:r>
          </w:p>
        </w:tc>
        <w:tc>
          <w:tcPr>
            <w:tcW w:w="4000" w:type="dxa"/>
            <w:vAlign w:val="bottom"/>
          </w:tcPr>
          <w:p>
            <w:pPr>
              <w:jc w:val="center"/>
              <w:ind w:left="235"/>
              <w:spacing w:after="0"/>
              <w:rPr>
                <w:sz w:val="20"/>
                <w:szCs w:val="20"/>
                <w:color w:val="auto"/>
              </w:rPr>
            </w:pPr>
            <w:r>
              <w:rPr>
                <w:rFonts w:ascii="Arial" w:cs="Arial" w:eastAsia="Arial" w:hAnsi="Arial"/>
                <w:sz w:val="18"/>
                <w:szCs w:val="18"/>
                <w:color w:val="auto"/>
                <w:w w:val="90"/>
              </w:rPr>
              <w:t>$900,000</w:t>
            </w:r>
          </w:p>
        </w:tc>
        <w:tc>
          <w:tcPr>
            <w:tcW w:w="3580" w:type="dxa"/>
            <w:vAlign w:val="bottom"/>
          </w:tcPr>
          <w:p>
            <w:pPr>
              <w:jc w:val="center"/>
              <w:spacing w:after="0"/>
              <w:rPr>
                <w:sz w:val="20"/>
                <w:szCs w:val="20"/>
                <w:color w:val="auto"/>
              </w:rPr>
            </w:pPr>
            <w:r>
              <w:rPr>
                <w:rFonts w:ascii="Arial" w:cs="Arial" w:eastAsia="Arial" w:hAnsi="Arial"/>
                <w:sz w:val="18"/>
                <w:szCs w:val="18"/>
                <w:color w:val="auto"/>
                <w:w w:val="87"/>
              </w:rPr>
              <w:t>$900,000</w:t>
            </w:r>
          </w:p>
        </w:tc>
      </w:tr>
      <w:tr>
        <w:trPr>
          <w:trHeight w:val="216"/>
        </w:trPr>
        <w:tc>
          <w:tcPr>
            <w:tcW w:w="344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Christopher J. Kuehl</w:t>
            </w:r>
          </w:p>
        </w:tc>
        <w:tc>
          <w:tcPr>
            <w:tcW w:w="4000" w:type="dxa"/>
            <w:vAlign w:val="bottom"/>
            <w:shd w:val="clear" w:color="auto" w:fill="CCEEFF"/>
          </w:tcPr>
          <w:p>
            <w:pPr>
              <w:jc w:val="center"/>
              <w:ind w:left="235"/>
              <w:spacing w:after="0"/>
              <w:rPr>
                <w:sz w:val="20"/>
                <w:szCs w:val="20"/>
                <w:color w:val="auto"/>
              </w:rPr>
            </w:pPr>
            <w:r>
              <w:rPr>
                <w:rFonts w:ascii="Arial" w:cs="Arial" w:eastAsia="Arial" w:hAnsi="Arial"/>
                <w:sz w:val="18"/>
                <w:szCs w:val="18"/>
                <w:color w:val="auto"/>
                <w:w w:val="90"/>
              </w:rPr>
              <w:t>$900,000</w:t>
            </w:r>
          </w:p>
        </w:tc>
        <w:tc>
          <w:tcPr>
            <w:tcW w:w="358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$900,000</w:t>
            </w:r>
          </w:p>
        </w:tc>
      </w:tr>
      <w:tr>
        <w:trPr>
          <w:trHeight w:val="216"/>
        </w:trPr>
        <w:tc>
          <w:tcPr>
            <w:tcW w:w="3440" w:type="dxa"/>
            <w:vAlign w:val="bottom"/>
          </w:tcPr>
          <w:p>
            <w:pPr>
              <w:ind w:left="80"/>
              <w:spacing w:after="0"/>
              <w:rPr>
                <w:sz w:val="20"/>
                <w:szCs w:val="20"/>
                <w:color w:val="auto"/>
              </w:rPr>
            </w:pPr>
            <w:r>
              <w:rPr>
                <w:rFonts w:ascii="Arial" w:cs="Arial" w:eastAsia="Arial" w:hAnsi="Arial"/>
                <w:sz w:val="18"/>
                <w:szCs w:val="18"/>
                <w:b w:val="1"/>
                <w:bCs w:val="1"/>
                <w:color w:val="auto"/>
              </w:rPr>
              <w:t>Bernice E. Bell</w:t>
            </w:r>
          </w:p>
        </w:tc>
        <w:tc>
          <w:tcPr>
            <w:tcW w:w="4000" w:type="dxa"/>
            <w:vAlign w:val="bottom"/>
          </w:tcPr>
          <w:p>
            <w:pPr>
              <w:jc w:val="center"/>
              <w:ind w:left="235"/>
              <w:spacing w:after="0"/>
              <w:rPr>
                <w:sz w:val="20"/>
                <w:szCs w:val="20"/>
                <w:color w:val="auto"/>
              </w:rPr>
            </w:pPr>
            <w:r>
              <w:rPr>
                <w:rFonts w:ascii="Arial" w:cs="Arial" w:eastAsia="Arial" w:hAnsi="Arial"/>
                <w:sz w:val="18"/>
                <w:szCs w:val="18"/>
                <w:color w:val="auto"/>
                <w:w w:val="90"/>
              </w:rPr>
              <w:t>$500,000</w:t>
            </w:r>
          </w:p>
        </w:tc>
        <w:tc>
          <w:tcPr>
            <w:tcW w:w="3580" w:type="dxa"/>
            <w:vAlign w:val="bottom"/>
          </w:tcPr>
          <w:p>
            <w:pPr>
              <w:jc w:val="center"/>
              <w:spacing w:after="0"/>
              <w:rPr>
                <w:sz w:val="20"/>
                <w:szCs w:val="20"/>
                <w:color w:val="auto"/>
              </w:rPr>
            </w:pPr>
            <w:r>
              <w:rPr>
                <w:rFonts w:ascii="Arial" w:cs="Arial" w:eastAsia="Arial" w:hAnsi="Arial"/>
                <w:sz w:val="18"/>
                <w:szCs w:val="18"/>
                <w:color w:val="auto"/>
                <w:w w:val="87"/>
              </w:rPr>
              <w:t>$500,000</w:t>
            </w:r>
          </w:p>
        </w:tc>
      </w:tr>
      <w:tr>
        <w:trPr>
          <w:trHeight w:val="216"/>
        </w:trPr>
        <w:tc>
          <w:tcPr>
            <w:tcW w:w="344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Aaron J. Pas</w:t>
            </w:r>
          </w:p>
        </w:tc>
        <w:tc>
          <w:tcPr>
            <w:tcW w:w="4000" w:type="dxa"/>
            <w:vAlign w:val="bottom"/>
            <w:shd w:val="clear" w:color="auto" w:fill="CCEEFF"/>
          </w:tcPr>
          <w:p>
            <w:pPr>
              <w:jc w:val="center"/>
              <w:ind w:left="235"/>
              <w:spacing w:after="0"/>
              <w:rPr>
                <w:sz w:val="20"/>
                <w:szCs w:val="20"/>
                <w:color w:val="auto"/>
              </w:rPr>
            </w:pPr>
            <w:r>
              <w:rPr>
                <w:rFonts w:ascii="Arial" w:cs="Arial" w:eastAsia="Arial" w:hAnsi="Arial"/>
                <w:sz w:val="18"/>
                <w:szCs w:val="18"/>
                <w:color w:val="auto"/>
                <w:w w:val="90"/>
              </w:rPr>
              <w:t>$425,000</w:t>
            </w:r>
          </w:p>
        </w:tc>
        <w:tc>
          <w:tcPr>
            <w:tcW w:w="358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$425,000</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0</wp:posOffset>
            </wp:positionV>
            <wp:extent cx="6995160" cy="889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2">
                      <a:extLst>
                        <a:ext uri="{28A0092B-C50C-407E-A947-70E740481C1C}"/>
                      </a:extLst>
                    </a:blip>
                    <a:srcRect/>
                    <a:stretch>
                      <a:fillRect/>
                    </a:stretch>
                  </pic:blipFill>
                  <pic:spPr bwMode="auto">
                    <a:xfrm>
                      <a:off x="0" y="0"/>
                      <a:ext cx="6995160" cy="8890"/>
                    </a:xfrm>
                    <a:prstGeom prst="rect">
                      <a:avLst/>
                    </a:prstGeom>
                    <a:noFill/>
                  </pic:spPr>
                </pic:pic>
              </a:graphicData>
            </a:graphic>
          </wp:anchor>
        </w:drawing>
      </w:r>
    </w:p>
    <w:p>
      <w:pPr>
        <w:ind w:left="880" w:hanging="764"/>
        <w:spacing w:after="0"/>
        <w:tabs>
          <w:tab w:leader="none" w:pos="880" w:val="left"/>
        </w:tabs>
        <w:numPr>
          <w:ilvl w:val="0"/>
          <w:numId w:val="31"/>
        </w:numPr>
        <w:rPr>
          <w:rFonts w:ascii="Arial" w:cs="Arial" w:eastAsia="Arial" w:hAnsi="Arial"/>
          <w:sz w:val="14"/>
          <w:szCs w:val="14"/>
          <w:color w:val="auto"/>
        </w:rPr>
      </w:pPr>
      <w:r>
        <w:rPr>
          <w:rFonts w:ascii="Arial" w:cs="Arial" w:eastAsia="Arial" w:hAnsi="Arial"/>
          <w:sz w:val="14"/>
          <w:szCs w:val="14"/>
          <w:color w:val="auto"/>
        </w:rPr>
        <w:t>The decrease in Mr. Kain’s base salary from $1,800,000 to $900,000 took effect February 1, 2019.</w:t>
      </w:r>
    </w:p>
    <w:p>
      <w:pPr>
        <w:spacing w:after="0" w:line="203" w:lineRule="exact"/>
        <w:rPr>
          <w:sz w:val="20"/>
          <w:szCs w:val="20"/>
          <w:color w:val="auto"/>
        </w:rPr>
      </w:pPr>
    </w:p>
    <w:p>
      <w:pPr>
        <w:ind w:left="120" w:right="200" w:firstLine="881"/>
        <w:spacing w:after="0" w:line="293" w:lineRule="auto"/>
        <w:rPr>
          <w:sz w:val="20"/>
          <w:szCs w:val="20"/>
          <w:color w:val="auto"/>
        </w:rPr>
      </w:pPr>
      <w:r>
        <w:rPr>
          <w:rFonts w:ascii="Arial" w:cs="Arial" w:eastAsia="Arial" w:hAnsi="Arial"/>
          <w:sz w:val="16"/>
          <w:szCs w:val="16"/>
          <w:color w:val="auto"/>
        </w:rPr>
        <w:t>In response to feedback received as part of our stockholder outreach efforts in 2018 and to further align his compensation with our pay for performance compensation philosophy, effective February 1, 2019, Mr. Kain agreed to a 50% reduction in his base salary to $900,000 per year. This reduction in base salary was then reallocated to his target performance-based long-term equity incentive awards and represents an 80% cumulative reduction in Mr. Kain’s annual base salary since 2016. Also in 2019, Ms. Bell’s base salary was increased $50,000 in light of her increased responsibilities and performance following her appointment as our CFO effective in 2018. Other than these changes to Ms. Bell’s and Mr. Kain’s base salary in 2019, the base salaries for our NEOs are unchanged from 2018, and there are currently no further changes anticipated in 2020.</w:t>
      </w:r>
    </w:p>
    <w:p>
      <w:pPr>
        <w:spacing w:after="0" w:line="272"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Annual Bonus</w:t>
      </w:r>
    </w:p>
    <w:p>
      <w:pPr>
        <w:spacing w:after="0" w:line="117" w:lineRule="exact"/>
        <w:rPr>
          <w:sz w:val="20"/>
          <w:szCs w:val="20"/>
          <w:color w:val="auto"/>
        </w:rPr>
      </w:pPr>
    </w:p>
    <w:p>
      <w:pPr>
        <w:ind w:left="120" w:right="60" w:firstLine="881"/>
        <w:spacing w:after="0" w:line="259" w:lineRule="auto"/>
        <w:rPr>
          <w:sz w:val="20"/>
          <w:szCs w:val="20"/>
          <w:color w:val="auto"/>
        </w:rPr>
      </w:pPr>
      <w:r>
        <w:rPr>
          <w:rFonts w:ascii="Arial" w:cs="Arial" w:eastAsia="Arial" w:hAnsi="Arial"/>
          <w:sz w:val="18"/>
          <w:szCs w:val="18"/>
          <w:color w:val="auto"/>
        </w:rPr>
        <w:t>The Compensation Committee has established performance criteria for short-term incentives that directly correspond to the areas of greatest impact to our short- and long-term performance and operations, creating a direct connection between business success and our NEO’s compensation. Each NEO’s target for short-term incentive compensation, set forth in the table below for 2019 and 2020, is determined based on an evaluation of the same factors used in setting base salaries.</w:t>
      </w:r>
    </w:p>
    <w:p>
      <w:pPr>
        <w:spacing w:after="0" w:line="208" w:lineRule="exact"/>
        <w:rPr>
          <w:sz w:val="20"/>
          <w:szCs w:val="20"/>
          <w:color w:val="auto"/>
        </w:rPr>
      </w:pPr>
    </w:p>
    <w:tbl>
      <w:tblPr>
        <w:tblLayout w:type="fixed"/>
        <w:tblInd w:w="120" w:type="dxa"/>
        <w:tblCellMar>
          <w:top w:w="0" w:type="dxa"/>
          <w:left w:w="0" w:type="dxa"/>
          <w:bottom w:w="0" w:type="dxa"/>
          <w:right w:w="0" w:type="dxa"/>
        </w:tblCellMar>
      </w:tblPr>
      <w:tr>
        <w:trPr>
          <w:trHeight w:val="243"/>
        </w:trPr>
        <w:tc>
          <w:tcPr>
            <w:tcW w:w="3320" w:type="dxa"/>
            <w:vAlign w:val="bottom"/>
            <w:tcBorders>
              <w:top w:val="single" w:sz="8" w:color="407CCA"/>
              <w:bottom w:val="single" w:sz="8" w:color="407CCA"/>
            </w:tcBorders>
          </w:tcPr>
          <w:p>
            <w:pPr>
              <w:ind w:left="80"/>
              <w:spacing w:after="0"/>
              <w:rPr>
                <w:sz w:val="20"/>
                <w:szCs w:val="20"/>
                <w:color w:val="auto"/>
              </w:rPr>
            </w:pPr>
            <w:r>
              <w:rPr>
                <w:rFonts w:ascii="Arial" w:cs="Arial" w:eastAsia="Arial" w:hAnsi="Arial"/>
                <w:sz w:val="18"/>
                <w:szCs w:val="18"/>
                <w:b w:val="1"/>
                <w:bCs w:val="1"/>
                <w:color w:val="auto"/>
              </w:rPr>
              <w:t>NEO</w:t>
            </w:r>
          </w:p>
        </w:tc>
        <w:tc>
          <w:tcPr>
            <w:tcW w:w="4120" w:type="dxa"/>
            <w:vAlign w:val="bottom"/>
            <w:tcBorders>
              <w:top w:val="single" w:sz="8" w:color="407CCA"/>
              <w:bottom w:val="single" w:sz="8" w:color="407CCA"/>
            </w:tcBorders>
          </w:tcPr>
          <w:p>
            <w:pPr>
              <w:jc w:val="right"/>
              <w:ind w:right="1015"/>
              <w:spacing w:after="0"/>
              <w:rPr>
                <w:sz w:val="20"/>
                <w:szCs w:val="20"/>
                <w:color w:val="auto"/>
              </w:rPr>
            </w:pPr>
            <w:r>
              <w:rPr>
                <w:rFonts w:ascii="Arial" w:cs="Arial" w:eastAsia="Arial" w:hAnsi="Arial"/>
                <w:sz w:val="13"/>
                <w:szCs w:val="13"/>
                <w:b w:val="1"/>
                <w:bCs w:val="1"/>
                <w:color w:val="auto"/>
              </w:rPr>
              <w:t>2019 Target Annual Bonus</w:t>
            </w:r>
          </w:p>
        </w:tc>
        <w:tc>
          <w:tcPr>
            <w:tcW w:w="3580" w:type="dxa"/>
            <w:vAlign w:val="bottom"/>
            <w:tcBorders>
              <w:top w:val="single" w:sz="8" w:color="407CCA"/>
              <w:bottom w:val="single" w:sz="8" w:color="407CCA"/>
            </w:tcBorders>
          </w:tcPr>
          <w:p>
            <w:pPr>
              <w:jc w:val="right"/>
              <w:ind w:right="975"/>
              <w:spacing w:after="0"/>
              <w:rPr>
                <w:sz w:val="20"/>
                <w:szCs w:val="20"/>
                <w:color w:val="auto"/>
              </w:rPr>
            </w:pPr>
            <w:r>
              <w:rPr>
                <w:rFonts w:ascii="Arial" w:cs="Arial" w:eastAsia="Arial" w:hAnsi="Arial"/>
                <w:sz w:val="13"/>
                <w:szCs w:val="13"/>
                <w:b w:val="1"/>
                <w:bCs w:val="1"/>
                <w:color w:val="auto"/>
              </w:rPr>
              <w:t>2020 Target Annual Bonus</w:t>
            </w:r>
          </w:p>
        </w:tc>
      </w:tr>
      <w:tr>
        <w:trPr>
          <w:trHeight w:val="210"/>
        </w:trPr>
        <w:tc>
          <w:tcPr>
            <w:tcW w:w="332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Gary D. Kain</w:t>
            </w:r>
          </w:p>
        </w:tc>
        <w:tc>
          <w:tcPr>
            <w:tcW w:w="4120" w:type="dxa"/>
            <w:vAlign w:val="bottom"/>
            <w:shd w:val="clear" w:color="auto" w:fill="CCEEFF"/>
          </w:tcPr>
          <w:p>
            <w:pPr>
              <w:jc w:val="right"/>
              <w:ind w:right="1335"/>
              <w:spacing w:after="0"/>
              <w:rPr>
                <w:sz w:val="20"/>
                <w:szCs w:val="20"/>
                <w:color w:val="auto"/>
              </w:rPr>
            </w:pPr>
            <w:r>
              <w:rPr>
                <w:rFonts w:ascii="Arial" w:cs="Arial" w:eastAsia="Arial" w:hAnsi="Arial"/>
                <w:sz w:val="18"/>
                <w:szCs w:val="18"/>
                <w:color w:val="auto"/>
              </w:rPr>
              <w:t>$5,400,000</w:t>
            </w:r>
          </w:p>
        </w:tc>
        <w:tc>
          <w:tcPr>
            <w:tcW w:w="3580" w:type="dxa"/>
            <w:vAlign w:val="bottom"/>
            <w:shd w:val="clear" w:color="auto" w:fill="CCEEFF"/>
          </w:tcPr>
          <w:p>
            <w:pPr>
              <w:jc w:val="right"/>
              <w:ind w:right="1275"/>
              <w:spacing w:after="0"/>
              <w:rPr>
                <w:sz w:val="20"/>
                <w:szCs w:val="20"/>
                <w:color w:val="auto"/>
              </w:rPr>
            </w:pPr>
            <w:r>
              <w:rPr>
                <w:rFonts w:ascii="Arial" w:cs="Arial" w:eastAsia="Arial" w:hAnsi="Arial"/>
                <w:sz w:val="18"/>
                <w:szCs w:val="18"/>
                <w:color w:val="auto"/>
              </w:rPr>
              <w:t>$5,400,000</w:t>
            </w:r>
          </w:p>
        </w:tc>
      </w:tr>
      <w:tr>
        <w:trPr>
          <w:trHeight w:val="216"/>
        </w:trPr>
        <w:tc>
          <w:tcPr>
            <w:tcW w:w="3320" w:type="dxa"/>
            <w:vAlign w:val="bottom"/>
          </w:tcPr>
          <w:p>
            <w:pPr>
              <w:ind w:left="80"/>
              <w:spacing w:after="0"/>
              <w:rPr>
                <w:sz w:val="20"/>
                <w:szCs w:val="20"/>
                <w:color w:val="auto"/>
              </w:rPr>
            </w:pPr>
            <w:r>
              <w:rPr>
                <w:rFonts w:ascii="Arial" w:cs="Arial" w:eastAsia="Arial" w:hAnsi="Arial"/>
                <w:sz w:val="18"/>
                <w:szCs w:val="18"/>
                <w:b w:val="1"/>
                <w:bCs w:val="1"/>
                <w:color w:val="auto"/>
              </w:rPr>
              <w:t>Peter J. Federico</w:t>
            </w:r>
          </w:p>
        </w:tc>
        <w:tc>
          <w:tcPr>
            <w:tcW w:w="4120" w:type="dxa"/>
            <w:vAlign w:val="bottom"/>
          </w:tcPr>
          <w:p>
            <w:pPr>
              <w:jc w:val="right"/>
              <w:ind w:right="1335"/>
              <w:spacing w:after="0"/>
              <w:rPr>
                <w:sz w:val="20"/>
                <w:szCs w:val="20"/>
                <w:color w:val="auto"/>
              </w:rPr>
            </w:pPr>
            <w:r>
              <w:rPr>
                <w:rFonts w:ascii="Arial" w:cs="Arial" w:eastAsia="Arial" w:hAnsi="Arial"/>
                <w:sz w:val="18"/>
                <w:szCs w:val="18"/>
                <w:color w:val="auto"/>
              </w:rPr>
              <w:t>$1,800,000</w:t>
            </w:r>
          </w:p>
        </w:tc>
        <w:tc>
          <w:tcPr>
            <w:tcW w:w="3580" w:type="dxa"/>
            <w:vAlign w:val="bottom"/>
          </w:tcPr>
          <w:p>
            <w:pPr>
              <w:jc w:val="right"/>
              <w:ind w:right="1275"/>
              <w:spacing w:after="0"/>
              <w:rPr>
                <w:sz w:val="20"/>
                <w:szCs w:val="20"/>
                <w:color w:val="auto"/>
              </w:rPr>
            </w:pPr>
            <w:r>
              <w:rPr>
                <w:rFonts w:ascii="Arial" w:cs="Arial" w:eastAsia="Arial" w:hAnsi="Arial"/>
                <w:sz w:val="18"/>
                <w:szCs w:val="18"/>
                <w:color w:val="auto"/>
              </w:rPr>
              <w:t>$1,800,000</w:t>
            </w:r>
          </w:p>
        </w:tc>
      </w:tr>
      <w:tr>
        <w:trPr>
          <w:trHeight w:val="216"/>
        </w:trPr>
        <w:tc>
          <w:tcPr>
            <w:tcW w:w="332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Christopher J. Kuehl</w:t>
            </w:r>
          </w:p>
        </w:tc>
        <w:tc>
          <w:tcPr>
            <w:tcW w:w="4120" w:type="dxa"/>
            <w:vAlign w:val="bottom"/>
            <w:shd w:val="clear" w:color="auto" w:fill="CCEEFF"/>
          </w:tcPr>
          <w:p>
            <w:pPr>
              <w:jc w:val="right"/>
              <w:ind w:right="1335"/>
              <w:spacing w:after="0"/>
              <w:rPr>
                <w:sz w:val="20"/>
                <w:szCs w:val="20"/>
                <w:color w:val="auto"/>
              </w:rPr>
            </w:pPr>
            <w:r>
              <w:rPr>
                <w:rFonts w:ascii="Arial" w:cs="Arial" w:eastAsia="Arial" w:hAnsi="Arial"/>
                <w:sz w:val="18"/>
                <w:szCs w:val="18"/>
                <w:color w:val="auto"/>
              </w:rPr>
              <w:t>$1,602,000</w:t>
            </w:r>
          </w:p>
        </w:tc>
        <w:tc>
          <w:tcPr>
            <w:tcW w:w="3580" w:type="dxa"/>
            <w:vAlign w:val="bottom"/>
            <w:shd w:val="clear" w:color="auto" w:fill="CCEEFF"/>
          </w:tcPr>
          <w:p>
            <w:pPr>
              <w:jc w:val="right"/>
              <w:ind w:right="1275"/>
              <w:spacing w:after="0"/>
              <w:rPr>
                <w:sz w:val="20"/>
                <w:szCs w:val="20"/>
                <w:color w:val="auto"/>
              </w:rPr>
            </w:pPr>
            <w:r>
              <w:rPr>
                <w:rFonts w:ascii="Arial" w:cs="Arial" w:eastAsia="Arial" w:hAnsi="Arial"/>
                <w:sz w:val="18"/>
                <w:szCs w:val="18"/>
                <w:color w:val="auto"/>
              </w:rPr>
              <w:t>$1,602,000</w:t>
            </w:r>
          </w:p>
        </w:tc>
      </w:tr>
      <w:tr>
        <w:trPr>
          <w:trHeight w:val="216"/>
        </w:trPr>
        <w:tc>
          <w:tcPr>
            <w:tcW w:w="3320" w:type="dxa"/>
            <w:vAlign w:val="bottom"/>
          </w:tcPr>
          <w:p>
            <w:pPr>
              <w:ind w:left="80"/>
              <w:spacing w:after="0"/>
              <w:rPr>
                <w:sz w:val="20"/>
                <w:szCs w:val="20"/>
                <w:color w:val="auto"/>
              </w:rPr>
            </w:pPr>
            <w:r>
              <w:rPr>
                <w:rFonts w:ascii="Arial" w:cs="Arial" w:eastAsia="Arial" w:hAnsi="Arial"/>
                <w:sz w:val="18"/>
                <w:szCs w:val="18"/>
                <w:b w:val="1"/>
                <w:bCs w:val="1"/>
                <w:color w:val="auto"/>
              </w:rPr>
              <w:t>Bernice E. Bell</w:t>
            </w:r>
          </w:p>
        </w:tc>
        <w:tc>
          <w:tcPr>
            <w:tcW w:w="4120" w:type="dxa"/>
            <w:vAlign w:val="bottom"/>
          </w:tcPr>
          <w:p>
            <w:pPr>
              <w:jc w:val="right"/>
              <w:ind w:right="1335"/>
              <w:spacing w:after="0"/>
              <w:rPr>
                <w:sz w:val="20"/>
                <w:szCs w:val="20"/>
                <w:color w:val="auto"/>
              </w:rPr>
            </w:pPr>
            <w:r>
              <w:rPr>
                <w:rFonts w:ascii="Arial" w:cs="Arial" w:eastAsia="Arial" w:hAnsi="Arial"/>
                <w:sz w:val="18"/>
                <w:szCs w:val="18"/>
                <w:color w:val="auto"/>
              </w:rPr>
              <w:t>$500,000</w:t>
            </w:r>
          </w:p>
        </w:tc>
        <w:tc>
          <w:tcPr>
            <w:tcW w:w="3580" w:type="dxa"/>
            <w:vAlign w:val="bottom"/>
          </w:tcPr>
          <w:p>
            <w:pPr>
              <w:jc w:val="right"/>
              <w:ind w:right="1275"/>
              <w:spacing w:after="0"/>
              <w:rPr>
                <w:sz w:val="20"/>
                <w:szCs w:val="20"/>
                <w:color w:val="auto"/>
              </w:rPr>
            </w:pPr>
            <w:r>
              <w:rPr>
                <w:rFonts w:ascii="Arial" w:cs="Arial" w:eastAsia="Arial" w:hAnsi="Arial"/>
                <w:sz w:val="18"/>
                <w:szCs w:val="18"/>
                <w:color w:val="auto"/>
              </w:rPr>
              <w:t>$850,000</w:t>
            </w:r>
          </w:p>
        </w:tc>
      </w:tr>
      <w:tr>
        <w:trPr>
          <w:trHeight w:val="216"/>
        </w:trPr>
        <w:tc>
          <w:tcPr>
            <w:tcW w:w="3320" w:type="dxa"/>
            <w:vAlign w:val="bottom"/>
            <w:tcBorders>
              <w:bottom w:val="single" w:sz="8" w:color="407CCA"/>
            </w:tcBorders>
            <w:shd w:val="clear" w:color="auto" w:fill="CCEEFF"/>
          </w:tcPr>
          <w:p>
            <w:pPr>
              <w:ind w:left="80"/>
              <w:spacing w:after="0"/>
              <w:rPr>
                <w:sz w:val="20"/>
                <w:szCs w:val="20"/>
                <w:color w:val="auto"/>
              </w:rPr>
            </w:pPr>
            <w:r>
              <w:rPr>
                <w:rFonts w:ascii="Arial" w:cs="Arial" w:eastAsia="Arial" w:hAnsi="Arial"/>
                <w:sz w:val="18"/>
                <w:szCs w:val="18"/>
                <w:b w:val="1"/>
                <w:bCs w:val="1"/>
                <w:color w:val="auto"/>
              </w:rPr>
              <w:t>Aaron J. Pas</w:t>
            </w:r>
          </w:p>
        </w:tc>
        <w:tc>
          <w:tcPr>
            <w:tcW w:w="4120" w:type="dxa"/>
            <w:vAlign w:val="bottom"/>
            <w:tcBorders>
              <w:bottom w:val="single" w:sz="8" w:color="407CCA"/>
            </w:tcBorders>
            <w:shd w:val="clear" w:color="auto" w:fill="CCEEFF"/>
          </w:tcPr>
          <w:p>
            <w:pPr>
              <w:jc w:val="right"/>
              <w:ind w:right="1335"/>
              <w:spacing w:after="0"/>
              <w:rPr>
                <w:sz w:val="20"/>
                <w:szCs w:val="20"/>
                <w:color w:val="auto"/>
              </w:rPr>
            </w:pPr>
            <w:r>
              <w:rPr>
                <w:rFonts w:ascii="Arial" w:cs="Arial" w:eastAsia="Arial" w:hAnsi="Arial"/>
                <w:sz w:val="18"/>
                <w:szCs w:val="18"/>
                <w:color w:val="auto"/>
              </w:rPr>
              <w:t>$637,500</w:t>
            </w:r>
          </w:p>
        </w:tc>
        <w:tc>
          <w:tcPr>
            <w:tcW w:w="3580" w:type="dxa"/>
            <w:vAlign w:val="bottom"/>
            <w:tcBorders>
              <w:bottom w:val="single" w:sz="8" w:color="407CCA"/>
            </w:tcBorders>
            <w:shd w:val="clear" w:color="auto" w:fill="CCEEFF"/>
          </w:tcPr>
          <w:p>
            <w:pPr>
              <w:jc w:val="right"/>
              <w:ind w:right="1275"/>
              <w:spacing w:after="0"/>
              <w:rPr>
                <w:sz w:val="20"/>
                <w:szCs w:val="20"/>
                <w:color w:val="auto"/>
              </w:rPr>
            </w:pPr>
            <w:r>
              <w:rPr>
                <w:rFonts w:ascii="Arial" w:cs="Arial" w:eastAsia="Arial" w:hAnsi="Arial"/>
                <w:sz w:val="18"/>
                <w:szCs w:val="18"/>
                <w:color w:val="auto"/>
              </w:rPr>
              <w:t>$743,750</w:t>
            </w:r>
          </w:p>
        </w:tc>
      </w:tr>
    </w:tbl>
    <w:p>
      <w:pPr>
        <w:spacing w:after="0" w:line="202" w:lineRule="exact"/>
        <w:rPr>
          <w:sz w:val="20"/>
          <w:szCs w:val="20"/>
          <w:color w:val="auto"/>
        </w:rPr>
      </w:pPr>
    </w:p>
    <w:p>
      <w:pPr>
        <w:ind w:left="120" w:firstLine="881"/>
        <w:spacing w:after="0" w:line="259" w:lineRule="auto"/>
        <w:rPr>
          <w:sz w:val="20"/>
          <w:szCs w:val="20"/>
          <w:color w:val="auto"/>
        </w:rPr>
      </w:pPr>
      <w:r>
        <w:rPr>
          <w:rFonts w:ascii="Arial" w:cs="Arial" w:eastAsia="Arial" w:hAnsi="Arial"/>
          <w:sz w:val="18"/>
          <w:szCs w:val="18"/>
          <w:color w:val="auto"/>
        </w:rPr>
        <w:t>In response to feedback we received from investors in 2018 requesting that a larger percentage of CEO compensation be in the form of long-term incentive compensation, Mr. Kain’s annual bonus target in 2019 was reduced by $1.8 million, with such amount being reallocated to his target performance-based long-term incentive compensation. The Compensation Committee increased Ms. Bell’s annual bonus target for 2019 following her assumption of the CFO role and the resulting increase in her responsibilities.</w:t>
      </w:r>
    </w:p>
    <w:p>
      <w:pPr>
        <w:spacing w:after="0" w:line="115" w:lineRule="exact"/>
        <w:rPr>
          <w:sz w:val="20"/>
          <w:szCs w:val="20"/>
          <w:color w:val="auto"/>
        </w:rPr>
      </w:pPr>
    </w:p>
    <w:p>
      <w:pPr>
        <w:ind w:left="7960"/>
        <w:spacing w:after="0"/>
        <w:tabs>
          <w:tab w:leader="none" w:pos="109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43</w:t>
      </w:r>
    </w:p>
    <w:p>
      <w:pPr>
        <w:sectPr>
          <w:pgSz w:w="11900" w:h="16838" w:orient="portrait"/>
          <w:cols w:equalWidth="0" w:num="1">
            <w:col w:w="11140"/>
          </w:cols>
          <w:pgMar w:left="320" w:top="459" w:right="439" w:bottom="1440" w:gutter="0" w:footer="0" w:header="0"/>
        </w:sectPr>
      </w:pPr>
    </w:p>
    <w:bookmarkStart w:id="56" w:name="page57"/>
    <w:bookmarkEnd w:id="5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3">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4">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120" w:firstLine="881"/>
        <w:spacing w:after="0" w:line="255" w:lineRule="auto"/>
        <w:rPr>
          <w:sz w:val="20"/>
          <w:szCs w:val="20"/>
          <w:color w:val="auto"/>
        </w:rPr>
      </w:pPr>
      <w:r>
        <w:rPr>
          <w:rFonts w:ascii="Arial" w:cs="Arial" w:eastAsia="Arial" w:hAnsi="Arial"/>
          <w:sz w:val="18"/>
          <w:szCs w:val="18"/>
          <w:color w:val="auto"/>
        </w:rPr>
        <w:t>In 2020, the Compensation Committee again evaluated the compensation package provided to each of our NEOs in consultation with FW Cook. As part of the evaluation, the Compensation Committee examined compensation practices at comparable companies and, after considering stockholder feedback regarding the pay gap among our NEOs and our own commitment to link NEO compensation to our performance, the Compensation Committee determined it was appropriate to increase the 2020 target annual bonus for Ms. Bell and Mr. Pas as detailed in the table above. For Ms. Bell, in approving the increase in her annual target bonus the Compensation Committee also considered the continued expansion of her duties as our CFO.</w:t>
      </w:r>
    </w:p>
    <w:p>
      <w:pPr>
        <w:spacing w:after="0" w:line="296"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Corporate Scorecard for Calculating Annual Bonus</w:t>
      </w:r>
    </w:p>
    <w:p>
      <w:pPr>
        <w:spacing w:after="0" w:line="121" w:lineRule="exact"/>
        <w:rPr>
          <w:sz w:val="20"/>
          <w:szCs w:val="20"/>
          <w:color w:val="auto"/>
        </w:rPr>
      </w:pPr>
    </w:p>
    <w:p>
      <w:pPr>
        <w:ind w:left="120" w:right="20" w:firstLine="881"/>
        <w:spacing w:after="0" w:line="271" w:lineRule="auto"/>
        <w:rPr>
          <w:sz w:val="20"/>
          <w:szCs w:val="20"/>
          <w:color w:val="auto"/>
        </w:rPr>
      </w:pPr>
      <w:r>
        <w:rPr>
          <w:rFonts w:ascii="Arial" w:cs="Arial" w:eastAsia="Arial" w:hAnsi="Arial"/>
          <w:sz w:val="17"/>
          <w:szCs w:val="17"/>
          <w:color w:val="auto"/>
        </w:rPr>
        <w:t>The Compensation Committee uses a Corporate Scorecard to assist in its evaluation and awarding of an annual cash bonus. As described in greater detail below, the Corporate Scorecard is based on a mix of financial and strategic measures that corresponded to the core elements of our value proposition for stockholders. We believe the goals and measures included in the Corporate Scorecard effectively align NEO short-term incentives with financial, strategic, and operational performance of greatest import to our business. Under the Corporate Scorecard, actual payouts can range from 0% to 150% of target for each metric, with category and metric weights as assigned by the Compensation Committee, and payouts for performance between each measure are determined through linear interpolation. For 2019, the cash bonuses for Messrs. Kain and Federico were based solely on achievement of the scorecard measures. The other NEOs’ short-term cash incentives were based predominantly on the Corporate Scorecard measures and to a lesser extent on personal performance.</w:t>
      </w:r>
    </w:p>
    <w:p>
      <w:pPr>
        <w:spacing w:after="0" w:line="286"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2019 Corporate Scorecard</w:t>
      </w:r>
    </w:p>
    <w:p>
      <w:pPr>
        <w:spacing w:after="0" w:line="117" w:lineRule="exact"/>
        <w:rPr>
          <w:sz w:val="20"/>
          <w:szCs w:val="20"/>
          <w:color w:val="auto"/>
        </w:rPr>
      </w:pPr>
    </w:p>
    <w:p>
      <w:pPr>
        <w:ind w:left="120" w:right="40" w:firstLine="881"/>
        <w:spacing w:after="0" w:line="290" w:lineRule="auto"/>
        <w:rPr>
          <w:sz w:val="20"/>
          <w:szCs w:val="20"/>
          <w:color w:val="auto"/>
        </w:rPr>
      </w:pPr>
      <w:r>
        <w:rPr>
          <w:rFonts w:ascii="Arial" w:cs="Arial" w:eastAsia="Arial" w:hAnsi="Arial"/>
          <w:sz w:val="16"/>
          <w:szCs w:val="16"/>
          <w:color w:val="auto"/>
        </w:rPr>
        <w:t>Based on its annual evaluation and in response to stockholder feedback, the Committee simplified the Corporate Scorecard for 2019, more heavily weighted the financial measures, and increased overall rigor by raising the threshold, target, and outperformance levels for certain metrics as compared to the 2018 Corporate Scorecard. In January 2019, the Compensation Committee set the levels for each metric based on an evaluation of historic performance over a five-year period and our forecast for 2019. The threshold and outperformance measures were determined based on a number of factors, including the historic distribution of results. The Compensation Committee’s analysis included back-testing the financial measures against performance in the prior five-year period to evaluate hypothetical payout levels under current financial measures applied to those periods. Compared to the 2018 Scorecard, our 2019 Corporate Scorecard reflects more challenging performance standards and, had it been applied over the five-year period prior to its adoption, would have resulted in an average annual payout of less than 100% of target.</w:t>
      </w:r>
    </w:p>
    <w:p>
      <w:pPr>
        <w:spacing w:after="0" w:line="165"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In 2019, the Compensation Committee implemented the following changes to the scorecard:</w:t>
      </w:r>
    </w:p>
    <w:p>
      <w:pPr>
        <w:spacing w:after="0" w:line="131" w:lineRule="exact"/>
        <w:rPr>
          <w:sz w:val="20"/>
          <w:szCs w:val="20"/>
          <w:color w:val="auto"/>
        </w:rPr>
      </w:pPr>
    </w:p>
    <w:p>
      <w:pPr>
        <w:ind w:left="980" w:right="300" w:hanging="432"/>
        <w:spacing w:after="0" w:line="258" w:lineRule="auto"/>
        <w:tabs>
          <w:tab w:leader="none" w:pos="980" w:val="left"/>
        </w:tabs>
        <w:numPr>
          <w:ilvl w:val="0"/>
          <w:numId w:val="32"/>
        </w:numPr>
        <w:rPr>
          <w:rFonts w:ascii="Arial" w:cs="Arial" w:eastAsia="Arial" w:hAnsi="Arial"/>
          <w:sz w:val="18"/>
          <w:szCs w:val="18"/>
          <w:color w:val="auto"/>
        </w:rPr>
      </w:pPr>
      <w:r>
        <w:rPr>
          <w:rFonts w:ascii="Arial" w:cs="Arial" w:eastAsia="Arial" w:hAnsi="Arial"/>
          <w:sz w:val="18"/>
          <w:szCs w:val="18"/>
          <w:color w:val="auto"/>
        </w:rPr>
        <w:t>Adjusted the percentage weightings among scorecard components with a greater emphasis on financial performance; the financial metric components comprised 75% of the Scorecard in 2019 as compared to 65% in 2018.</w:t>
      </w:r>
    </w:p>
    <w:p>
      <w:pPr>
        <w:spacing w:after="0" w:line="1" w:lineRule="exact"/>
        <w:rPr>
          <w:rFonts w:ascii="Arial" w:cs="Arial" w:eastAsia="Arial" w:hAnsi="Arial"/>
          <w:sz w:val="18"/>
          <w:szCs w:val="18"/>
          <w:color w:val="auto"/>
        </w:rPr>
      </w:pPr>
    </w:p>
    <w:p>
      <w:pPr>
        <w:ind w:left="980" w:right="60" w:hanging="432"/>
        <w:spacing w:after="0" w:line="250" w:lineRule="auto"/>
        <w:tabs>
          <w:tab w:leader="none" w:pos="980" w:val="left"/>
        </w:tabs>
        <w:numPr>
          <w:ilvl w:val="0"/>
          <w:numId w:val="32"/>
        </w:numPr>
        <w:rPr>
          <w:rFonts w:ascii="Arial" w:cs="Arial" w:eastAsia="Arial" w:hAnsi="Arial"/>
          <w:sz w:val="18"/>
          <w:szCs w:val="18"/>
          <w:color w:val="auto"/>
        </w:rPr>
      </w:pPr>
      <w:r>
        <w:rPr>
          <w:rFonts w:ascii="Arial" w:cs="Arial" w:eastAsia="Arial" w:hAnsi="Arial"/>
          <w:sz w:val="18"/>
          <w:szCs w:val="18"/>
          <w:color w:val="auto"/>
        </w:rPr>
        <w:t>Increased the target level for our relative price-to-tangible book ratio to 3.5% (as compared to 2.5% under the 2018 scorecard) and correspondingly increased and expanded the range associated with our relative price-to-book ratio. The threshold and outperformance levels were set at (6.5%) and 11.0%, respectively, as compared to (4.5%) and 7.5% in 2018.</w:t>
      </w:r>
    </w:p>
    <w:p>
      <w:pPr>
        <w:spacing w:after="0" w:line="1" w:lineRule="exact"/>
        <w:rPr>
          <w:rFonts w:ascii="Arial" w:cs="Arial" w:eastAsia="Arial" w:hAnsi="Arial"/>
          <w:sz w:val="18"/>
          <w:szCs w:val="18"/>
          <w:color w:val="auto"/>
        </w:rPr>
      </w:pPr>
    </w:p>
    <w:p>
      <w:pPr>
        <w:ind w:left="980" w:right="180" w:hanging="432"/>
        <w:spacing w:after="0" w:line="260" w:lineRule="auto"/>
        <w:tabs>
          <w:tab w:leader="none" w:pos="980" w:val="left"/>
        </w:tabs>
        <w:numPr>
          <w:ilvl w:val="0"/>
          <w:numId w:val="32"/>
        </w:numPr>
        <w:rPr>
          <w:rFonts w:ascii="Arial" w:cs="Arial" w:eastAsia="Arial" w:hAnsi="Arial"/>
          <w:sz w:val="18"/>
          <w:szCs w:val="18"/>
          <w:color w:val="auto"/>
        </w:rPr>
      </w:pPr>
      <w:r>
        <w:rPr>
          <w:rFonts w:ascii="Arial" w:cs="Arial" w:eastAsia="Arial" w:hAnsi="Arial"/>
          <w:sz w:val="18"/>
          <w:szCs w:val="18"/>
          <w:color w:val="auto"/>
        </w:rPr>
        <w:t>Expanded the range associated with our relative economic return metric, with threshold and outperformance levels set at (6.0%) and 4.5%, respectively (as compared to (5.0%) and 3.0%, respectively, under the 2018 scorecard).</w:t>
      </w:r>
    </w:p>
    <w:p>
      <w:pPr>
        <w:spacing w:after="0" w:line="113"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44</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40"/>
          </w:cols>
          <w:pgMar w:left="320" w:top="459" w:right="439" w:bottom="1440" w:gutter="0" w:footer="0" w:header="0"/>
        </w:sectPr>
      </w:pPr>
    </w:p>
    <w:bookmarkStart w:id="57" w:name="page58"/>
    <w:bookmarkEnd w:id="5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5">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6">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980" w:right="240" w:hanging="432"/>
        <w:spacing w:after="0" w:line="291" w:lineRule="auto"/>
        <w:tabs>
          <w:tab w:leader="none" w:pos="980" w:val="left"/>
        </w:tabs>
        <w:numPr>
          <w:ilvl w:val="0"/>
          <w:numId w:val="33"/>
        </w:numPr>
        <w:rPr>
          <w:rFonts w:ascii="Arial" w:cs="Arial" w:eastAsia="Arial" w:hAnsi="Arial"/>
          <w:sz w:val="16"/>
          <w:szCs w:val="16"/>
          <w:color w:val="auto"/>
        </w:rPr>
      </w:pPr>
      <w:r>
        <w:rPr>
          <w:rFonts w:ascii="Arial" w:cs="Arial" w:eastAsia="Arial" w:hAnsi="Arial"/>
          <w:sz w:val="16"/>
          <w:szCs w:val="16"/>
          <w:color w:val="auto"/>
        </w:rPr>
        <w:t>Removed our net operating expense ratio from the financial metrics. This measure is indirectly captured in other Scorecard measures, and management validated the sustainability of our low operating cost structure in the two full years following the Internalization.</w:t>
      </w:r>
    </w:p>
    <w:p>
      <w:pPr>
        <w:ind w:left="980" w:right="160" w:hanging="432"/>
        <w:spacing w:after="0" w:line="265" w:lineRule="auto"/>
        <w:tabs>
          <w:tab w:leader="none" w:pos="980" w:val="left"/>
        </w:tabs>
        <w:numPr>
          <w:ilvl w:val="0"/>
          <w:numId w:val="33"/>
        </w:numPr>
        <w:rPr>
          <w:rFonts w:ascii="Arial" w:cs="Arial" w:eastAsia="Arial" w:hAnsi="Arial"/>
          <w:sz w:val="17"/>
          <w:szCs w:val="17"/>
          <w:color w:val="auto"/>
        </w:rPr>
      </w:pPr>
      <w:r>
        <w:rPr>
          <w:rFonts w:ascii="Arial" w:cs="Arial" w:eastAsia="Arial" w:hAnsi="Arial"/>
          <w:sz w:val="17"/>
          <w:szCs w:val="17"/>
          <w:color w:val="auto"/>
        </w:rPr>
        <w:t>Expanded the peer group used for calculating relative performance to include Two Harbors Investment Corp., Invesco Mortgage Capital Inc., and Dynex Capital, Inc. after the sale of CYS Investments, Inc. in 2018 resulted in a decline in the size of the peer group used in prior periods to four companies. The Compensation Committee selected the new peers based upon several criteria, including the level of capital allocation to Agency mortgage-backed securities and the amount of equity capital.</w:t>
      </w:r>
    </w:p>
    <w:p>
      <w:pPr>
        <w:ind w:left="980" w:right="300" w:hanging="432"/>
        <w:spacing w:after="0" w:line="323" w:lineRule="auto"/>
        <w:tabs>
          <w:tab w:leader="none" w:pos="980" w:val="left"/>
        </w:tabs>
        <w:numPr>
          <w:ilvl w:val="0"/>
          <w:numId w:val="33"/>
        </w:numPr>
        <w:rPr>
          <w:rFonts w:ascii="Arial" w:cs="Arial" w:eastAsia="Arial" w:hAnsi="Arial"/>
          <w:sz w:val="16"/>
          <w:szCs w:val="16"/>
          <w:color w:val="auto"/>
        </w:rPr>
      </w:pPr>
      <w:r>
        <w:rPr>
          <w:rFonts w:ascii="Arial" w:cs="Arial" w:eastAsia="Arial" w:hAnsi="Arial"/>
          <w:sz w:val="16"/>
          <w:szCs w:val="16"/>
          <w:color w:val="auto"/>
        </w:rPr>
        <w:t>Realigned the strategic and operational objectives more directly to the Company’s value proposition, consisting of goals that promote the Company’s highly efficient operating cost structure, disciplined risk management, stockholder focus, and liquidity and scale.</w:t>
      </w:r>
    </w:p>
    <w:p>
      <w:pPr>
        <w:spacing w:after="0" w:line="138" w:lineRule="exact"/>
        <w:rPr>
          <w:sz w:val="20"/>
          <w:szCs w:val="20"/>
          <w:color w:val="auto"/>
        </w:rPr>
      </w:pPr>
    </w:p>
    <w:p>
      <w:pPr>
        <w:ind w:left="120" w:right="740" w:firstLine="881"/>
        <w:spacing w:after="0" w:line="277" w:lineRule="auto"/>
        <w:rPr>
          <w:sz w:val="20"/>
          <w:szCs w:val="20"/>
          <w:color w:val="auto"/>
        </w:rPr>
      </w:pPr>
      <w:r>
        <w:rPr>
          <w:rFonts w:ascii="Arial" w:cs="Arial" w:eastAsia="Arial" w:hAnsi="Arial"/>
          <w:sz w:val="18"/>
          <w:szCs w:val="18"/>
          <w:color w:val="auto"/>
        </w:rPr>
        <w:t>The 2019 Corporate Scorecard included both financial and operational/strategic metrics corresponding to our value proposition for stockholders.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57150</wp:posOffset>
            </wp:positionV>
            <wp:extent cx="6995160" cy="17145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7">
                      <a:extLst>
                        <a:ext uri="{28A0092B-C50C-407E-A947-70E740481C1C}"/>
                      </a:extLst>
                    </a:blip>
                    <a:srcRect/>
                    <a:stretch>
                      <a:fillRect/>
                    </a:stretch>
                  </pic:blipFill>
                  <pic:spPr bwMode="auto">
                    <a:xfrm>
                      <a:off x="0" y="0"/>
                      <a:ext cx="6995160" cy="171450"/>
                    </a:xfrm>
                    <a:prstGeom prst="rect">
                      <a:avLst/>
                    </a:prstGeom>
                    <a:noFill/>
                  </pic:spPr>
                </pic:pic>
              </a:graphicData>
            </a:graphic>
          </wp:anchor>
        </w:drawing>
      </w:r>
    </w:p>
    <w:p>
      <w:pPr>
        <w:spacing w:after="0" w:line="79" w:lineRule="exact"/>
        <w:rPr>
          <w:sz w:val="20"/>
          <w:szCs w:val="20"/>
          <w:color w:val="auto"/>
        </w:rPr>
      </w:pPr>
    </w:p>
    <w:p>
      <w:pPr>
        <w:jc w:val="center"/>
        <w:ind w:right="-119"/>
        <w:spacing w:after="0"/>
        <w:rPr>
          <w:sz w:val="20"/>
          <w:szCs w:val="20"/>
          <w:color w:val="auto"/>
        </w:rPr>
      </w:pPr>
      <w:r>
        <w:rPr>
          <w:rFonts w:ascii="Arial" w:cs="Arial" w:eastAsia="Arial" w:hAnsi="Arial"/>
          <w:sz w:val="18"/>
          <w:szCs w:val="18"/>
          <w:b w:val="1"/>
          <w:bCs w:val="1"/>
          <w:u w:val="single" w:color="auto"/>
          <w:color w:val="auto"/>
        </w:rPr>
        <w:t>Financial Metrics (75% of Total Scorecard)</w:t>
      </w:r>
    </w:p>
    <w:p>
      <w:pPr>
        <w:spacing w:after="0" w:line="277" w:lineRule="exact"/>
        <w:rPr>
          <w:sz w:val="20"/>
          <w:szCs w:val="20"/>
          <w:color w:val="auto"/>
        </w:rPr>
      </w:pPr>
    </w:p>
    <w:tbl>
      <w:tblPr>
        <w:tblLayout w:type="fixed"/>
        <w:tblInd w:w="120" w:type="dxa"/>
        <w:tblCellMar>
          <w:top w:w="0" w:type="dxa"/>
          <w:left w:w="0" w:type="dxa"/>
          <w:bottom w:w="0" w:type="dxa"/>
          <w:right w:w="0" w:type="dxa"/>
        </w:tblCellMar>
      </w:tblPr>
      <w:tr>
        <w:trPr>
          <w:trHeight w:val="200"/>
        </w:trPr>
        <w:tc>
          <w:tcPr>
            <w:tcW w:w="820" w:type="dxa"/>
            <w:vAlign w:val="bottom"/>
          </w:tcPr>
          <w:p>
            <w:pPr>
              <w:spacing w:after="0"/>
              <w:rPr>
                <w:sz w:val="17"/>
                <w:szCs w:val="17"/>
                <w:color w:val="auto"/>
              </w:rPr>
            </w:pPr>
          </w:p>
        </w:tc>
        <w:tc>
          <w:tcPr>
            <w:tcW w:w="6200" w:type="dxa"/>
            <w:vAlign w:val="bottom"/>
          </w:tcPr>
          <w:p>
            <w:pPr>
              <w:spacing w:after="0"/>
              <w:rPr>
                <w:sz w:val="17"/>
                <w:szCs w:val="17"/>
                <w:color w:val="auto"/>
              </w:rPr>
            </w:pPr>
          </w:p>
        </w:tc>
        <w:tc>
          <w:tcPr>
            <w:tcW w:w="600" w:type="dxa"/>
            <w:vAlign w:val="bottom"/>
          </w:tcPr>
          <w:p>
            <w:pPr>
              <w:spacing w:after="0"/>
              <w:rPr>
                <w:sz w:val="17"/>
                <w:szCs w:val="17"/>
                <w:color w:val="auto"/>
              </w:rPr>
            </w:pPr>
          </w:p>
        </w:tc>
        <w:tc>
          <w:tcPr>
            <w:tcW w:w="960" w:type="dxa"/>
            <w:vAlign w:val="bottom"/>
            <w:tcBorders>
              <w:top w:val="single" w:sz="8" w:color="407CCA"/>
            </w:tcBorders>
            <w:shd w:val="clear" w:color="auto" w:fill="F2F2F2"/>
          </w:tcPr>
          <w:p>
            <w:pPr>
              <w:spacing w:after="0"/>
              <w:rPr>
                <w:sz w:val="17"/>
                <w:szCs w:val="17"/>
                <w:color w:val="auto"/>
              </w:rPr>
            </w:pPr>
          </w:p>
        </w:tc>
        <w:tc>
          <w:tcPr>
            <w:tcW w:w="1560" w:type="dxa"/>
            <w:vAlign w:val="bottom"/>
            <w:tcBorders>
              <w:top w:val="single" w:sz="8" w:color="407CCA"/>
            </w:tcBorders>
            <w:gridSpan w:val="2"/>
            <w:shd w:val="clear" w:color="auto" w:fill="F2F2F2"/>
          </w:tcPr>
          <w:p>
            <w:pPr>
              <w:ind w:left="120"/>
              <w:spacing w:after="0"/>
              <w:rPr>
                <w:sz w:val="20"/>
                <w:szCs w:val="20"/>
                <w:color w:val="auto"/>
              </w:rPr>
            </w:pPr>
            <w:r>
              <w:rPr>
                <w:rFonts w:ascii="Arial" w:cs="Arial" w:eastAsia="Arial" w:hAnsi="Arial"/>
                <w:sz w:val="13"/>
                <w:szCs w:val="13"/>
                <w:b w:val="1"/>
                <w:bCs w:val="1"/>
                <w:color w:val="auto"/>
                <w:w w:val="93"/>
              </w:rPr>
              <w:t>Performance Continuum</w:t>
            </w:r>
          </w:p>
        </w:tc>
        <w:tc>
          <w:tcPr>
            <w:tcW w:w="880" w:type="dxa"/>
            <w:vAlign w:val="bottom"/>
            <w:tcBorders>
              <w:top w:val="single" w:sz="8" w:color="407CCA"/>
            </w:tcBorders>
            <w:shd w:val="clear" w:color="auto" w:fill="F2F2F2"/>
          </w:tcPr>
          <w:p>
            <w:pPr>
              <w:spacing w:after="0"/>
              <w:rPr>
                <w:sz w:val="17"/>
                <w:szCs w:val="17"/>
                <w:color w:val="auto"/>
              </w:rPr>
            </w:pPr>
          </w:p>
        </w:tc>
      </w:tr>
      <w:tr>
        <w:trPr>
          <w:trHeight w:val="70"/>
        </w:trPr>
        <w:tc>
          <w:tcPr>
            <w:tcW w:w="820" w:type="dxa"/>
            <w:vAlign w:val="bottom"/>
          </w:tcPr>
          <w:p>
            <w:pPr>
              <w:spacing w:after="0"/>
              <w:rPr>
                <w:sz w:val="6"/>
                <w:szCs w:val="6"/>
                <w:color w:val="auto"/>
              </w:rPr>
            </w:pPr>
          </w:p>
        </w:tc>
        <w:tc>
          <w:tcPr>
            <w:tcW w:w="6200" w:type="dxa"/>
            <w:vAlign w:val="bottom"/>
          </w:tcPr>
          <w:p>
            <w:pPr>
              <w:spacing w:after="0"/>
              <w:rPr>
                <w:sz w:val="6"/>
                <w:szCs w:val="6"/>
                <w:color w:val="auto"/>
              </w:rPr>
            </w:pPr>
          </w:p>
        </w:tc>
        <w:tc>
          <w:tcPr>
            <w:tcW w:w="600" w:type="dxa"/>
            <w:vAlign w:val="bottom"/>
          </w:tcPr>
          <w:p>
            <w:pPr>
              <w:spacing w:after="0"/>
              <w:rPr>
                <w:sz w:val="6"/>
                <w:szCs w:val="6"/>
                <w:color w:val="auto"/>
              </w:rPr>
            </w:pPr>
          </w:p>
        </w:tc>
        <w:tc>
          <w:tcPr>
            <w:tcW w:w="960" w:type="dxa"/>
            <w:vAlign w:val="bottom"/>
            <w:shd w:val="clear" w:color="auto" w:fill="F2F2F2"/>
          </w:tcPr>
          <w:p>
            <w:pPr>
              <w:spacing w:after="0"/>
              <w:rPr>
                <w:sz w:val="6"/>
                <w:szCs w:val="6"/>
                <w:color w:val="auto"/>
              </w:rPr>
            </w:pPr>
          </w:p>
        </w:tc>
        <w:tc>
          <w:tcPr>
            <w:tcW w:w="800" w:type="dxa"/>
            <w:vAlign w:val="bottom"/>
            <w:shd w:val="clear" w:color="auto" w:fill="F2F2F2"/>
          </w:tcPr>
          <w:p>
            <w:pPr>
              <w:spacing w:after="0"/>
              <w:rPr>
                <w:sz w:val="6"/>
                <w:szCs w:val="6"/>
                <w:color w:val="auto"/>
              </w:rPr>
            </w:pPr>
          </w:p>
        </w:tc>
        <w:tc>
          <w:tcPr>
            <w:tcW w:w="760" w:type="dxa"/>
            <w:vAlign w:val="bottom"/>
            <w:shd w:val="clear" w:color="auto" w:fill="F2F2F2"/>
          </w:tcPr>
          <w:p>
            <w:pPr>
              <w:spacing w:after="0"/>
              <w:rPr>
                <w:sz w:val="6"/>
                <w:szCs w:val="6"/>
                <w:color w:val="auto"/>
              </w:rPr>
            </w:pPr>
          </w:p>
        </w:tc>
        <w:tc>
          <w:tcPr>
            <w:tcW w:w="880" w:type="dxa"/>
            <w:vAlign w:val="bottom"/>
            <w:shd w:val="clear" w:color="auto" w:fill="F2F2F2"/>
          </w:tcPr>
          <w:p>
            <w:pPr>
              <w:spacing w:after="0"/>
              <w:rPr>
                <w:sz w:val="6"/>
                <w:szCs w:val="6"/>
                <w:color w:val="auto"/>
              </w:rPr>
            </w:pPr>
          </w:p>
        </w:tc>
      </w:tr>
      <w:tr>
        <w:trPr>
          <w:trHeight w:val="176"/>
        </w:trPr>
        <w:tc>
          <w:tcPr>
            <w:tcW w:w="820" w:type="dxa"/>
            <w:vAlign w:val="bottom"/>
            <w:shd w:val="clear" w:color="auto" w:fill="407CCA"/>
          </w:tcPr>
          <w:p>
            <w:pPr>
              <w:ind w:left="120"/>
              <w:spacing w:after="0"/>
              <w:rPr>
                <w:sz w:val="20"/>
                <w:szCs w:val="20"/>
                <w:color w:val="auto"/>
              </w:rPr>
            </w:pPr>
            <w:r>
              <w:rPr>
                <w:rFonts w:ascii="Arial" w:cs="Arial" w:eastAsia="Arial" w:hAnsi="Arial"/>
                <w:sz w:val="13"/>
                <w:szCs w:val="13"/>
                <w:b w:val="1"/>
                <w:bCs w:val="1"/>
                <w:color w:val="auto"/>
              </w:rPr>
              <w:t>Category</w:t>
            </w:r>
          </w:p>
        </w:tc>
        <w:tc>
          <w:tcPr>
            <w:tcW w:w="620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88"/>
              </w:rPr>
              <w:t>Performance</w:t>
            </w:r>
          </w:p>
        </w:tc>
        <w:tc>
          <w:tcPr>
            <w:tcW w:w="600" w:type="dxa"/>
            <w:vAlign w:val="bottom"/>
            <w:shd w:val="clear" w:color="auto" w:fill="407CCA"/>
          </w:tcPr>
          <w:p>
            <w:pPr>
              <w:ind w:left="180"/>
              <w:spacing w:after="0"/>
              <w:rPr>
                <w:sz w:val="20"/>
                <w:szCs w:val="20"/>
                <w:color w:val="auto"/>
              </w:rPr>
            </w:pPr>
            <w:r>
              <w:rPr>
                <w:rFonts w:ascii="Arial" w:cs="Arial" w:eastAsia="Arial" w:hAnsi="Arial"/>
                <w:sz w:val="13"/>
                <w:szCs w:val="13"/>
                <w:b w:val="1"/>
                <w:bCs w:val="1"/>
                <w:color w:val="auto"/>
              </w:rPr>
              <w:t>Metric</w:t>
            </w:r>
          </w:p>
        </w:tc>
        <w:tc>
          <w:tcPr>
            <w:tcW w:w="96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88"/>
              </w:rPr>
              <w:t>Below</w:t>
            </w:r>
          </w:p>
        </w:tc>
        <w:tc>
          <w:tcPr>
            <w:tcW w:w="800" w:type="dxa"/>
            <w:vAlign w:val="bottom"/>
            <w:shd w:val="clear" w:color="auto" w:fill="407CCA"/>
          </w:tcPr>
          <w:p>
            <w:pPr>
              <w:spacing w:after="0"/>
              <w:rPr>
                <w:sz w:val="15"/>
                <w:szCs w:val="15"/>
                <w:color w:val="auto"/>
              </w:rPr>
            </w:pPr>
          </w:p>
        </w:tc>
        <w:tc>
          <w:tcPr>
            <w:tcW w:w="760" w:type="dxa"/>
            <w:vAlign w:val="bottom"/>
            <w:shd w:val="clear" w:color="auto" w:fill="407CCA"/>
          </w:tcPr>
          <w:p>
            <w:pPr>
              <w:spacing w:after="0"/>
              <w:rPr>
                <w:sz w:val="15"/>
                <w:szCs w:val="15"/>
                <w:color w:val="auto"/>
              </w:rPr>
            </w:pPr>
          </w:p>
        </w:tc>
        <w:tc>
          <w:tcPr>
            <w:tcW w:w="88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97"/>
              </w:rPr>
              <w:t>Out-</w:t>
            </w:r>
          </w:p>
        </w:tc>
      </w:tr>
      <w:tr>
        <w:trPr>
          <w:trHeight w:val="175"/>
        </w:trPr>
        <w:tc>
          <w:tcPr>
            <w:tcW w:w="820" w:type="dxa"/>
            <w:vAlign w:val="bottom"/>
            <w:shd w:val="clear" w:color="auto" w:fill="407CCA"/>
          </w:tcPr>
          <w:p>
            <w:pPr>
              <w:ind w:left="180"/>
              <w:spacing w:after="0"/>
              <w:rPr>
                <w:sz w:val="20"/>
                <w:szCs w:val="20"/>
                <w:color w:val="auto"/>
              </w:rPr>
            </w:pPr>
            <w:r>
              <w:rPr>
                <w:rFonts w:ascii="Arial" w:cs="Arial" w:eastAsia="Arial" w:hAnsi="Arial"/>
                <w:sz w:val="13"/>
                <w:szCs w:val="13"/>
                <w:b w:val="1"/>
                <w:bCs w:val="1"/>
                <w:color w:val="auto"/>
              </w:rPr>
              <w:t>Weight</w:t>
            </w:r>
          </w:p>
        </w:tc>
        <w:tc>
          <w:tcPr>
            <w:tcW w:w="620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99"/>
              </w:rPr>
              <w:t>Metric</w:t>
            </w:r>
          </w:p>
        </w:tc>
        <w:tc>
          <w:tcPr>
            <w:tcW w:w="600" w:type="dxa"/>
            <w:vAlign w:val="bottom"/>
            <w:shd w:val="clear" w:color="auto" w:fill="407CCA"/>
          </w:tcPr>
          <w:p>
            <w:pPr>
              <w:ind w:left="160"/>
              <w:spacing w:after="0"/>
              <w:rPr>
                <w:sz w:val="20"/>
                <w:szCs w:val="20"/>
                <w:color w:val="auto"/>
              </w:rPr>
            </w:pPr>
            <w:r>
              <w:rPr>
                <w:rFonts w:ascii="Arial" w:cs="Arial" w:eastAsia="Arial" w:hAnsi="Arial"/>
                <w:sz w:val="13"/>
                <w:szCs w:val="13"/>
                <w:b w:val="1"/>
                <w:bCs w:val="1"/>
                <w:color w:val="auto"/>
                <w:w w:val="96"/>
              </w:rPr>
              <w:t>Weight</w:t>
            </w:r>
          </w:p>
        </w:tc>
        <w:tc>
          <w:tcPr>
            <w:tcW w:w="96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85"/>
              </w:rPr>
              <w:t>Threshold</w:t>
            </w:r>
          </w:p>
        </w:tc>
        <w:tc>
          <w:tcPr>
            <w:tcW w:w="800" w:type="dxa"/>
            <w:vAlign w:val="bottom"/>
            <w:shd w:val="clear" w:color="auto" w:fill="407CCA"/>
          </w:tcPr>
          <w:p>
            <w:pPr>
              <w:ind w:left="120"/>
              <w:spacing w:after="0"/>
              <w:rPr>
                <w:sz w:val="20"/>
                <w:szCs w:val="20"/>
                <w:color w:val="auto"/>
              </w:rPr>
            </w:pPr>
            <w:r>
              <w:rPr>
                <w:rFonts w:ascii="Arial" w:cs="Arial" w:eastAsia="Arial" w:hAnsi="Arial"/>
                <w:sz w:val="13"/>
                <w:szCs w:val="13"/>
                <w:b w:val="1"/>
                <w:bCs w:val="1"/>
                <w:color w:val="auto"/>
              </w:rPr>
              <w:t>Threshold</w:t>
            </w:r>
          </w:p>
        </w:tc>
        <w:tc>
          <w:tcPr>
            <w:tcW w:w="760" w:type="dxa"/>
            <w:vAlign w:val="bottom"/>
            <w:shd w:val="clear" w:color="auto" w:fill="407CCA"/>
          </w:tcPr>
          <w:p>
            <w:pPr>
              <w:ind w:left="160"/>
              <w:spacing w:after="0"/>
              <w:rPr>
                <w:sz w:val="20"/>
                <w:szCs w:val="20"/>
                <w:color w:val="auto"/>
              </w:rPr>
            </w:pPr>
            <w:r>
              <w:rPr>
                <w:rFonts w:ascii="Arial" w:cs="Arial" w:eastAsia="Arial" w:hAnsi="Arial"/>
                <w:sz w:val="13"/>
                <w:szCs w:val="13"/>
                <w:b w:val="1"/>
                <w:bCs w:val="1"/>
                <w:color w:val="auto"/>
              </w:rPr>
              <w:t>Target</w:t>
            </w:r>
          </w:p>
        </w:tc>
        <w:tc>
          <w:tcPr>
            <w:tcW w:w="88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88"/>
              </w:rPr>
              <w:t>performance</w:t>
            </w:r>
          </w:p>
        </w:tc>
      </w:tr>
      <w:tr>
        <w:trPr>
          <w:trHeight w:val="283"/>
        </w:trPr>
        <w:tc>
          <w:tcPr>
            <w:tcW w:w="820" w:type="dxa"/>
            <w:vAlign w:val="bottom"/>
            <w:shd w:val="clear" w:color="auto" w:fill="F2F2F2"/>
          </w:tcPr>
          <w:p>
            <w:pPr>
              <w:spacing w:after="0"/>
              <w:rPr>
                <w:sz w:val="24"/>
                <w:szCs w:val="24"/>
                <w:color w:val="auto"/>
              </w:rPr>
            </w:pPr>
          </w:p>
        </w:tc>
        <w:tc>
          <w:tcPr>
            <w:tcW w:w="6200" w:type="dxa"/>
            <w:vAlign w:val="bottom"/>
            <w:shd w:val="clear" w:color="auto" w:fill="F2F2F2"/>
          </w:tcPr>
          <w:p>
            <w:pPr>
              <w:jc w:val="center"/>
              <w:spacing w:after="0" w:line="284" w:lineRule="exact"/>
              <w:rPr>
                <w:sz w:val="20"/>
                <w:szCs w:val="20"/>
                <w:color w:val="auto"/>
              </w:rPr>
            </w:pPr>
            <w:r>
              <w:rPr>
                <w:rFonts w:ascii="Arial" w:cs="Arial" w:eastAsia="Arial" w:hAnsi="Arial"/>
                <w:sz w:val="18"/>
                <w:szCs w:val="18"/>
                <w:color w:val="auto"/>
                <w:w w:val="90"/>
              </w:rPr>
              <w:t>Absolute Economic Return</w:t>
            </w:r>
            <w:r>
              <w:rPr>
                <w:rFonts w:ascii="Arial" w:cs="Arial" w:eastAsia="Arial" w:hAnsi="Arial"/>
                <w:sz w:val="30"/>
                <w:szCs w:val="30"/>
                <w:color w:val="auto"/>
                <w:w w:val="90"/>
                <w:vertAlign w:val="superscript"/>
              </w:rPr>
              <w:t>(1)</w:t>
            </w:r>
          </w:p>
        </w:tc>
        <w:tc>
          <w:tcPr>
            <w:tcW w:w="600" w:type="dxa"/>
            <w:vAlign w:val="bottom"/>
            <w:shd w:val="clear" w:color="auto" w:fill="F2F2F2"/>
          </w:tcPr>
          <w:p>
            <w:pPr>
              <w:ind w:left="200"/>
              <w:spacing w:after="0"/>
              <w:rPr>
                <w:sz w:val="20"/>
                <w:szCs w:val="20"/>
                <w:color w:val="auto"/>
              </w:rPr>
            </w:pPr>
            <w:r>
              <w:rPr>
                <w:rFonts w:ascii="Arial" w:cs="Arial" w:eastAsia="Arial" w:hAnsi="Arial"/>
                <w:sz w:val="18"/>
                <w:szCs w:val="18"/>
                <w:color w:val="auto"/>
              </w:rPr>
              <w:t>25%</w:t>
            </w:r>
          </w:p>
        </w:tc>
        <w:tc>
          <w:tcPr>
            <w:tcW w:w="960" w:type="dxa"/>
            <w:vAlign w:val="bottom"/>
            <w:shd w:val="clear" w:color="auto" w:fill="F2F2F2"/>
          </w:tcPr>
          <w:p>
            <w:pPr>
              <w:jc w:val="center"/>
              <w:spacing w:after="0"/>
              <w:rPr>
                <w:sz w:val="20"/>
                <w:szCs w:val="20"/>
                <w:color w:val="auto"/>
              </w:rPr>
            </w:pPr>
            <w:r>
              <w:rPr>
                <w:rFonts w:ascii="Arial" w:cs="Arial" w:eastAsia="Arial" w:hAnsi="Arial"/>
                <w:sz w:val="18"/>
                <w:szCs w:val="18"/>
                <w:color w:val="auto"/>
                <w:w w:val="95"/>
              </w:rPr>
              <w:t>&lt; 0.0%</w:t>
            </w:r>
          </w:p>
        </w:tc>
        <w:tc>
          <w:tcPr>
            <w:tcW w:w="800" w:type="dxa"/>
            <w:vAlign w:val="bottom"/>
            <w:shd w:val="clear" w:color="auto" w:fill="F2F2F2"/>
          </w:tcPr>
          <w:p>
            <w:pPr>
              <w:jc w:val="center"/>
              <w:spacing w:after="0"/>
              <w:rPr>
                <w:sz w:val="20"/>
                <w:szCs w:val="20"/>
                <w:color w:val="auto"/>
              </w:rPr>
            </w:pPr>
            <w:r>
              <w:rPr>
                <w:rFonts w:ascii="Arial" w:cs="Arial" w:eastAsia="Arial" w:hAnsi="Arial"/>
                <w:sz w:val="18"/>
                <w:szCs w:val="18"/>
                <w:color w:val="auto"/>
                <w:w w:val="87"/>
              </w:rPr>
              <w:t>0.0%</w:t>
            </w:r>
          </w:p>
        </w:tc>
        <w:tc>
          <w:tcPr>
            <w:tcW w:w="760" w:type="dxa"/>
            <w:vAlign w:val="bottom"/>
            <w:shd w:val="clear" w:color="auto" w:fill="F2F2F2"/>
          </w:tcPr>
          <w:p>
            <w:pPr>
              <w:jc w:val="center"/>
              <w:spacing w:after="0"/>
              <w:rPr>
                <w:sz w:val="20"/>
                <w:szCs w:val="20"/>
                <w:color w:val="auto"/>
              </w:rPr>
            </w:pPr>
            <w:r>
              <w:rPr>
                <w:rFonts w:ascii="Arial" w:cs="Arial" w:eastAsia="Arial" w:hAnsi="Arial"/>
                <w:sz w:val="18"/>
                <w:szCs w:val="18"/>
                <w:color w:val="auto"/>
                <w:w w:val="90"/>
              </w:rPr>
              <w:t>10.0%</w:t>
            </w:r>
          </w:p>
        </w:tc>
        <w:tc>
          <w:tcPr>
            <w:tcW w:w="880" w:type="dxa"/>
            <w:vAlign w:val="bottom"/>
            <w:shd w:val="clear" w:color="auto" w:fill="F2F2F2"/>
          </w:tcPr>
          <w:p>
            <w:pPr>
              <w:jc w:val="center"/>
              <w:spacing w:after="0"/>
              <w:rPr>
                <w:sz w:val="20"/>
                <w:szCs w:val="20"/>
                <w:color w:val="auto"/>
              </w:rPr>
            </w:pPr>
            <w:r>
              <w:rPr>
                <w:rFonts w:ascii="Arial" w:cs="Arial" w:eastAsia="Arial" w:hAnsi="Arial"/>
                <w:sz w:val="18"/>
                <w:szCs w:val="18"/>
                <w:color w:val="auto"/>
                <w:w w:val="90"/>
              </w:rPr>
              <w:t>³ 17.0%</w:t>
            </w:r>
          </w:p>
        </w:tc>
      </w:tr>
      <w:tr>
        <w:trPr>
          <w:trHeight w:val="283"/>
        </w:trPr>
        <w:tc>
          <w:tcPr>
            <w:tcW w:w="820" w:type="dxa"/>
            <w:vAlign w:val="bottom"/>
            <w:shd w:val="clear" w:color="auto" w:fill="F2F2F2"/>
          </w:tcPr>
          <w:p>
            <w:pPr>
              <w:ind w:left="180"/>
              <w:spacing w:after="0"/>
              <w:rPr>
                <w:sz w:val="20"/>
                <w:szCs w:val="20"/>
                <w:color w:val="auto"/>
              </w:rPr>
            </w:pPr>
            <w:r>
              <w:rPr>
                <w:rFonts w:ascii="Arial" w:cs="Arial" w:eastAsia="Arial" w:hAnsi="Arial"/>
                <w:sz w:val="18"/>
                <w:szCs w:val="18"/>
                <w:color w:val="auto"/>
              </w:rPr>
              <w:t>75%</w:t>
            </w:r>
          </w:p>
        </w:tc>
        <w:tc>
          <w:tcPr>
            <w:tcW w:w="6200" w:type="dxa"/>
            <w:vAlign w:val="bottom"/>
            <w:shd w:val="clear" w:color="auto" w:fill="F2F2F2"/>
          </w:tcPr>
          <w:p>
            <w:pPr>
              <w:jc w:val="center"/>
              <w:spacing w:after="0" w:line="284" w:lineRule="exact"/>
              <w:rPr>
                <w:sz w:val="20"/>
                <w:szCs w:val="20"/>
                <w:color w:val="auto"/>
              </w:rPr>
            </w:pPr>
            <w:r>
              <w:rPr>
                <w:rFonts w:ascii="Arial" w:cs="Arial" w:eastAsia="Arial" w:hAnsi="Arial"/>
                <w:sz w:val="18"/>
                <w:szCs w:val="18"/>
                <w:color w:val="auto"/>
                <w:w w:val="87"/>
              </w:rPr>
              <w:t>Economic Return vs. Peer Index</w:t>
            </w:r>
            <w:r>
              <w:rPr>
                <w:rFonts w:ascii="Arial" w:cs="Arial" w:eastAsia="Arial" w:hAnsi="Arial"/>
                <w:sz w:val="30"/>
                <w:szCs w:val="30"/>
                <w:color w:val="auto"/>
                <w:w w:val="87"/>
                <w:vertAlign w:val="superscript"/>
              </w:rPr>
              <w:t>(1)(2)</w:t>
            </w:r>
          </w:p>
        </w:tc>
        <w:tc>
          <w:tcPr>
            <w:tcW w:w="600" w:type="dxa"/>
            <w:vAlign w:val="bottom"/>
            <w:shd w:val="clear" w:color="auto" w:fill="F2F2F2"/>
          </w:tcPr>
          <w:p>
            <w:pPr>
              <w:ind w:left="200"/>
              <w:spacing w:after="0"/>
              <w:rPr>
                <w:sz w:val="20"/>
                <w:szCs w:val="20"/>
                <w:color w:val="auto"/>
              </w:rPr>
            </w:pPr>
            <w:r>
              <w:rPr>
                <w:rFonts w:ascii="Arial" w:cs="Arial" w:eastAsia="Arial" w:hAnsi="Arial"/>
                <w:sz w:val="18"/>
                <w:szCs w:val="18"/>
                <w:color w:val="auto"/>
              </w:rPr>
              <w:t>25%</w:t>
            </w:r>
          </w:p>
        </w:tc>
        <w:tc>
          <w:tcPr>
            <w:tcW w:w="960" w:type="dxa"/>
            <w:vAlign w:val="bottom"/>
            <w:shd w:val="clear" w:color="auto" w:fill="F2F2F2"/>
          </w:tcPr>
          <w:p>
            <w:pPr>
              <w:jc w:val="center"/>
              <w:spacing w:after="0"/>
              <w:rPr>
                <w:sz w:val="20"/>
                <w:szCs w:val="20"/>
                <w:color w:val="auto"/>
              </w:rPr>
            </w:pPr>
            <w:r>
              <w:rPr>
                <w:rFonts w:ascii="Arial" w:cs="Arial" w:eastAsia="Arial" w:hAnsi="Arial"/>
                <w:sz w:val="18"/>
                <w:szCs w:val="18"/>
                <w:color w:val="auto"/>
                <w:w w:val="96"/>
              </w:rPr>
              <w:t>&lt; (6.0%)</w:t>
            </w:r>
          </w:p>
        </w:tc>
        <w:tc>
          <w:tcPr>
            <w:tcW w:w="800" w:type="dxa"/>
            <w:vAlign w:val="bottom"/>
            <w:shd w:val="clear" w:color="auto" w:fill="F2F2F2"/>
          </w:tcPr>
          <w:p>
            <w:pPr>
              <w:jc w:val="center"/>
              <w:spacing w:after="0"/>
              <w:rPr>
                <w:sz w:val="20"/>
                <w:szCs w:val="20"/>
                <w:color w:val="auto"/>
              </w:rPr>
            </w:pPr>
            <w:r>
              <w:rPr>
                <w:rFonts w:ascii="Arial" w:cs="Arial" w:eastAsia="Arial" w:hAnsi="Arial"/>
                <w:sz w:val="18"/>
                <w:szCs w:val="18"/>
                <w:color w:val="auto"/>
                <w:w w:val="90"/>
              </w:rPr>
              <w:t>(6.0%)</w:t>
            </w:r>
          </w:p>
        </w:tc>
        <w:tc>
          <w:tcPr>
            <w:tcW w:w="760" w:type="dxa"/>
            <w:vAlign w:val="bottom"/>
            <w:shd w:val="clear" w:color="auto" w:fill="F2F2F2"/>
          </w:tcPr>
          <w:p>
            <w:pPr>
              <w:jc w:val="center"/>
              <w:spacing w:after="0"/>
              <w:rPr>
                <w:sz w:val="20"/>
                <w:szCs w:val="20"/>
                <w:color w:val="auto"/>
              </w:rPr>
            </w:pPr>
            <w:r>
              <w:rPr>
                <w:rFonts w:ascii="Arial" w:cs="Arial" w:eastAsia="Arial" w:hAnsi="Arial"/>
                <w:sz w:val="18"/>
                <w:szCs w:val="18"/>
                <w:color w:val="auto"/>
                <w:w w:val="92"/>
              </w:rPr>
              <w:t>0.0%</w:t>
            </w:r>
          </w:p>
        </w:tc>
        <w:tc>
          <w:tcPr>
            <w:tcW w:w="880" w:type="dxa"/>
            <w:vAlign w:val="bottom"/>
            <w:shd w:val="clear" w:color="auto" w:fill="F2F2F2"/>
          </w:tcPr>
          <w:p>
            <w:pPr>
              <w:jc w:val="center"/>
              <w:spacing w:after="0"/>
              <w:rPr>
                <w:sz w:val="20"/>
                <w:szCs w:val="20"/>
                <w:color w:val="auto"/>
              </w:rPr>
            </w:pPr>
            <w:r>
              <w:rPr>
                <w:rFonts w:ascii="Arial" w:cs="Arial" w:eastAsia="Arial" w:hAnsi="Arial"/>
                <w:sz w:val="18"/>
                <w:szCs w:val="18"/>
                <w:color w:val="auto"/>
                <w:w w:val="92"/>
              </w:rPr>
              <w:t>³ 4.5%</w:t>
            </w:r>
          </w:p>
        </w:tc>
      </w:tr>
      <w:tr>
        <w:trPr>
          <w:trHeight w:val="284"/>
        </w:trPr>
        <w:tc>
          <w:tcPr>
            <w:tcW w:w="820" w:type="dxa"/>
            <w:vAlign w:val="bottom"/>
            <w:tcBorders>
              <w:bottom w:val="single" w:sz="8" w:color="407CCA"/>
            </w:tcBorders>
            <w:shd w:val="clear" w:color="auto" w:fill="F2F2F2"/>
          </w:tcPr>
          <w:p>
            <w:pPr>
              <w:spacing w:after="0"/>
              <w:rPr>
                <w:sz w:val="24"/>
                <w:szCs w:val="24"/>
                <w:color w:val="auto"/>
              </w:rPr>
            </w:pPr>
          </w:p>
        </w:tc>
        <w:tc>
          <w:tcPr>
            <w:tcW w:w="6200" w:type="dxa"/>
            <w:vAlign w:val="bottom"/>
            <w:tcBorders>
              <w:bottom w:val="single" w:sz="8" w:color="407CCA"/>
            </w:tcBorders>
            <w:shd w:val="clear" w:color="auto" w:fill="F2F2F2"/>
          </w:tcPr>
          <w:p>
            <w:pPr>
              <w:jc w:val="center"/>
              <w:spacing w:after="0" w:line="284" w:lineRule="exact"/>
              <w:rPr>
                <w:sz w:val="20"/>
                <w:szCs w:val="20"/>
                <w:color w:val="auto"/>
              </w:rPr>
            </w:pPr>
            <w:r>
              <w:rPr>
                <w:rFonts w:ascii="Arial" w:cs="Arial" w:eastAsia="Arial" w:hAnsi="Arial"/>
                <w:sz w:val="18"/>
                <w:szCs w:val="18"/>
                <w:color w:val="auto"/>
                <w:w w:val="90"/>
              </w:rPr>
              <w:t>Price-to-Tangible Book Ratio vs. Peer Index</w:t>
            </w:r>
            <w:r>
              <w:rPr>
                <w:rFonts w:ascii="Arial" w:cs="Arial" w:eastAsia="Arial" w:hAnsi="Arial"/>
                <w:sz w:val="30"/>
                <w:szCs w:val="30"/>
                <w:color w:val="auto"/>
                <w:w w:val="90"/>
                <w:vertAlign w:val="superscript"/>
              </w:rPr>
              <w:t>(2)</w:t>
            </w:r>
          </w:p>
        </w:tc>
        <w:tc>
          <w:tcPr>
            <w:tcW w:w="600" w:type="dxa"/>
            <w:vAlign w:val="bottom"/>
            <w:tcBorders>
              <w:bottom w:val="single" w:sz="8" w:color="407CCA"/>
            </w:tcBorders>
            <w:shd w:val="clear" w:color="auto" w:fill="F2F2F2"/>
          </w:tcPr>
          <w:p>
            <w:pPr>
              <w:ind w:left="200"/>
              <w:spacing w:after="0"/>
              <w:rPr>
                <w:sz w:val="20"/>
                <w:szCs w:val="20"/>
                <w:color w:val="auto"/>
              </w:rPr>
            </w:pPr>
            <w:r>
              <w:rPr>
                <w:rFonts w:ascii="Arial" w:cs="Arial" w:eastAsia="Arial" w:hAnsi="Arial"/>
                <w:sz w:val="18"/>
                <w:szCs w:val="18"/>
                <w:color w:val="auto"/>
              </w:rPr>
              <w:t>25%</w:t>
            </w:r>
          </w:p>
        </w:tc>
        <w:tc>
          <w:tcPr>
            <w:tcW w:w="960" w:type="dxa"/>
            <w:vAlign w:val="bottom"/>
            <w:tcBorders>
              <w:bottom w:val="single" w:sz="8" w:color="407CCA"/>
            </w:tcBorders>
            <w:shd w:val="clear" w:color="auto" w:fill="F2F2F2"/>
          </w:tcPr>
          <w:p>
            <w:pPr>
              <w:jc w:val="center"/>
              <w:spacing w:after="0"/>
              <w:rPr>
                <w:sz w:val="20"/>
                <w:szCs w:val="20"/>
                <w:color w:val="auto"/>
              </w:rPr>
            </w:pPr>
            <w:r>
              <w:rPr>
                <w:rFonts w:ascii="Arial" w:cs="Arial" w:eastAsia="Arial" w:hAnsi="Arial"/>
                <w:sz w:val="18"/>
                <w:szCs w:val="18"/>
                <w:color w:val="auto"/>
                <w:w w:val="96"/>
              </w:rPr>
              <w:t>&lt; (6.5%)</w:t>
            </w:r>
          </w:p>
        </w:tc>
        <w:tc>
          <w:tcPr>
            <w:tcW w:w="800" w:type="dxa"/>
            <w:vAlign w:val="bottom"/>
            <w:tcBorders>
              <w:bottom w:val="single" w:sz="8" w:color="407CCA"/>
            </w:tcBorders>
            <w:shd w:val="clear" w:color="auto" w:fill="F2F2F2"/>
          </w:tcPr>
          <w:p>
            <w:pPr>
              <w:jc w:val="center"/>
              <w:spacing w:after="0"/>
              <w:rPr>
                <w:sz w:val="20"/>
                <w:szCs w:val="20"/>
                <w:color w:val="auto"/>
              </w:rPr>
            </w:pPr>
            <w:r>
              <w:rPr>
                <w:rFonts w:ascii="Arial" w:cs="Arial" w:eastAsia="Arial" w:hAnsi="Arial"/>
                <w:sz w:val="18"/>
                <w:szCs w:val="18"/>
                <w:color w:val="auto"/>
                <w:w w:val="90"/>
              </w:rPr>
              <w:t>(6.5%)</w:t>
            </w:r>
          </w:p>
        </w:tc>
        <w:tc>
          <w:tcPr>
            <w:tcW w:w="760" w:type="dxa"/>
            <w:vAlign w:val="bottom"/>
            <w:tcBorders>
              <w:bottom w:val="single" w:sz="8" w:color="407CCA"/>
            </w:tcBorders>
            <w:shd w:val="clear" w:color="auto" w:fill="F2F2F2"/>
          </w:tcPr>
          <w:p>
            <w:pPr>
              <w:jc w:val="center"/>
              <w:spacing w:after="0"/>
              <w:rPr>
                <w:sz w:val="20"/>
                <w:szCs w:val="20"/>
                <w:color w:val="auto"/>
              </w:rPr>
            </w:pPr>
            <w:r>
              <w:rPr>
                <w:rFonts w:ascii="Arial" w:cs="Arial" w:eastAsia="Arial" w:hAnsi="Arial"/>
                <w:sz w:val="18"/>
                <w:szCs w:val="18"/>
                <w:color w:val="auto"/>
                <w:w w:val="92"/>
              </w:rPr>
              <w:t>3.5%</w:t>
            </w:r>
          </w:p>
        </w:tc>
        <w:tc>
          <w:tcPr>
            <w:tcW w:w="880" w:type="dxa"/>
            <w:vAlign w:val="bottom"/>
            <w:tcBorders>
              <w:bottom w:val="single" w:sz="8" w:color="407CCA"/>
            </w:tcBorders>
            <w:shd w:val="clear" w:color="auto" w:fill="F2F2F2"/>
          </w:tcPr>
          <w:p>
            <w:pPr>
              <w:jc w:val="center"/>
              <w:spacing w:after="0"/>
              <w:rPr>
                <w:sz w:val="20"/>
                <w:szCs w:val="20"/>
                <w:color w:val="auto"/>
              </w:rPr>
            </w:pPr>
            <w:r>
              <w:rPr>
                <w:rFonts w:ascii="Arial" w:cs="Arial" w:eastAsia="Arial" w:hAnsi="Arial"/>
                <w:sz w:val="18"/>
                <w:szCs w:val="18"/>
                <w:color w:val="auto"/>
                <w:w w:val="90"/>
              </w:rPr>
              <w:t>³ 11.0%</w:t>
            </w:r>
          </w:p>
        </w:tc>
      </w:tr>
      <w:tr>
        <w:trPr>
          <w:trHeight w:val="248"/>
        </w:trPr>
        <w:tc>
          <w:tcPr>
            <w:tcW w:w="820" w:type="dxa"/>
            <w:vAlign w:val="bottom"/>
          </w:tcPr>
          <w:p>
            <w:pPr>
              <w:spacing w:after="0"/>
              <w:rPr>
                <w:sz w:val="21"/>
                <w:szCs w:val="21"/>
                <w:color w:val="auto"/>
              </w:rPr>
            </w:pPr>
          </w:p>
        </w:tc>
        <w:tc>
          <w:tcPr>
            <w:tcW w:w="6200" w:type="dxa"/>
            <w:vAlign w:val="bottom"/>
          </w:tcPr>
          <w:p>
            <w:pPr>
              <w:spacing w:after="0"/>
              <w:rPr>
                <w:sz w:val="21"/>
                <w:szCs w:val="21"/>
                <w:color w:val="auto"/>
              </w:rPr>
            </w:pPr>
          </w:p>
        </w:tc>
        <w:tc>
          <w:tcPr>
            <w:tcW w:w="600" w:type="dxa"/>
            <w:vAlign w:val="bottom"/>
          </w:tcPr>
          <w:p>
            <w:pPr>
              <w:spacing w:after="0"/>
              <w:rPr>
                <w:sz w:val="21"/>
                <w:szCs w:val="21"/>
                <w:color w:val="auto"/>
              </w:rPr>
            </w:pPr>
          </w:p>
        </w:tc>
        <w:tc>
          <w:tcPr>
            <w:tcW w:w="3400" w:type="dxa"/>
            <w:vAlign w:val="bottom"/>
            <w:gridSpan w:val="4"/>
            <w:shd w:val="clear" w:color="auto" w:fill="F2F2F2"/>
          </w:tcPr>
          <w:p>
            <w:pPr>
              <w:ind w:left="640"/>
              <w:spacing w:after="0"/>
              <w:rPr>
                <w:sz w:val="20"/>
                <w:szCs w:val="20"/>
                <w:color w:val="auto"/>
              </w:rPr>
            </w:pPr>
            <w:r>
              <w:rPr>
                <w:rFonts w:ascii="Arial" w:cs="Arial" w:eastAsia="Arial" w:hAnsi="Arial"/>
                <w:sz w:val="13"/>
                <w:szCs w:val="13"/>
                <w:b w:val="1"/>
                <w:bCs w:val="1"/>
                <w:color w:val="auto"/>
              </w:rPr>
              <w:t>Payout Continuum (% of Metric Weight)</w:t>
            </w:r>
          </w:p>
        </w:tc>
      </w:tr>
      <w:tr>
        <w:trPr>
          <w:trHeight w:val="70"/>
        </w:trPr>
        <w:tc>
          <w:tcPr>
            <w:tcW w:w="820" w:type="dxa"/>
            <w:vAlign w:val="bottom"/>
            <w:tcBorders>
              <w:bottom w:val="single" w:sz="8" w:color="407CCA"/>
            </w:tcBorders>
          </w:tcPr>
          <w:p>
            <w:pPr>
              <w:spacing w:after="0"/>
              <w:rPr>
                <w:sz w:val="6"/>
                <w:szCs w:val="6"/>
                <w:color w:val="auto"/>
              </w:rPr>
            </w:pPr>
          </w:p>
        </w:tc>
        <w:tc>
          <w:tcPr>
            <w:tcW w:w="6200" w:type="dxa"/>
            <w:vAlign w:val="bottom"/>
            <w:tcBorders>
              <w:bottom w:val="single" w:sz="8" w:color="407CCA"/>
            </w:tcBorders>
          </w:tcPr>
          <w:p>
            <w:pPr>
              <w:spacing w:after="0"/>
              <w:rPr>
                <w:sz w:val="6"/>
                <w:szCs w:val="6"/>
                <w:color w:val="auto"/>
              </w:rPr>
            </w:pPr>
          </w:p>
        </w:tc>
        <w:tc>
          <w:tcPr>
            <w:tcW w:w="600" w:type="dxa"/>
            <w:vAlign w:val="bottom"/>
            <w:tcBorders>
              <w:bottom w:val="single" w:sz="8" w:color="407CCA"/>
            </w:tcBorders>
          </w:tcPr>
          <w:p>
            <w:pPr>
              <w:spacing w:after="0"/>
              <w:rPr>
                <w:sz w:val="6"/>
                <w:szCs w:val="6"/>
                <w:color w:val="auto"/>
              </w:rPr>
            </w:pPr>
          </w:p>
        </w:tc>
        <w:tc>
          <w:tcPr>
            <w:tcW w:w="960" w:type="dxa"/>
            <w:vAlign w:val="bottom"/>
            <w:tcBorders>
              <w:bottom w:val="single" w:sz="8" w:color="407CCA"/>
            </w:tcBorders>
            <w:shd w:val="clear" w:color="auto" w:fill="F2F2F2"/>
          </w:tcPr>
          <w:p>
            <w:pPr>
              <w:spacing w:after="0"/>
              <w:rPr>
                <w:sz w:val="6"/>
                <w:szCs w:val="6"/>
                <w:color w:val="auto"/>
              </w:rPr>
            </w:pPr>
          </w:p>
        </w:tc>
        <w:tc>
          <w:tcPr>
            <w:tcW w:w="800" w:type="dxa"/>
            <w:vAlign w:val="bottom"/>
            <w:tcBorders>
              <w:bottom w:val="single" w:sz="8" w:color="407CCA"/>
            </w:tcBorders>
            <w:shd w:val="clear" w:color="auto" w:fill="F2F2F2"/>
          </w:tcPr>
          <w:p>
            <w:pPr>
              <w:spacing w:after="0"/>
              <w:rPr>
                <w:sz w:val="6"/>
                <w:szCs w:val="6"/>
                <w:color w:val="auto"/>
              </w:rPr>
            </w:pPr>
          </w:p>
        </w:tc>
        <w:tc>
          <w:tcPr>
            <w:tcW w:w="760" w:type="dxa"/>
            <w:vAlign w:val="bottom"/>
            <w:tcBorders>
              <w:bottom w:val="single" w:sz="8" w:color="407CCA"/>
            </w:tcBorders>
            <w:shd w:val="clear" w:color="auto" w:fill="F2F2F2"/>
          </w:tcPr>
          <w:p>
            <w:pPr>
              <w:spacing w:after="0"/>
              <w:rPr>
                <w:sz w:val="6"/>
                <w:szCs w:val="6"/>
                <w:color w:val="auto"/>
              </w:rPr>
            </w:pPr>
          </w:p>
        </w:tc>
        <w:tc>
          <w:tcPr>
            <w:tcW w:w="880" w:type="dxa"/>
            <w:vAlign w:val="bottom"/>
            <w:tcBorders>
              <w:bottom w:val="single" w:sz="8" w:color="407CCA"/>
            </w:tcBorders>
            <w:shd w:val="clear" w:color="auto" w:fill="F2F2F2"/>
          </w:tcPr>
          <w:p>
            <w:pPr>
              <w:spacing w:after="0"/>
              <w:rPr>
                <w:sz w:val="6"/>
                <w:szCs w:val="6"/>
                <w:color w:val="auto"/>
              </w:rPr>
            </w:pPr>
          </w:p>
        </w:tc>
      </w:tr>
      <w:tr>
        <w:trPr>
          <w:trHeight w:val="257"/>
        </w:trPr>
        <w:tc>
          <w:tcPr>
            <w:tcW w:w="820" w:type="dxa"/>
            <w:vAlign w:val="bottom"/>
          </w:tcPr>
          <w:p>
            <w:pPr>
              <w:spacing w:after="0"/>
              <w:rPr>
                <w:sz w:val="22"/>
                <w:szCs w:val="22"/>
                <w:color w:val="auto"/>
              </w:rPr>
            </w:pPr>
          </w:p>
        </w:tc>
        <w:tc>
          <w:tcPr>
            <w:tcW w:w="6200" w:type="dxa"/>
            <w:vAlign w:val="bottom"/>
          </w:tcPr>
          <w:p>
            <w:pPr>
              <w:spacing w:after="0"/>
              <w:rPr>
                <w:sz w:val="22"/>
                <w:szCs w:val="22"/>
                <w:color w:val="auto"/>
              </w:rPr>
            </w:pPr>
          </w:p>
        </w:tc>
        <w:tc>
          <w:tcPr>
            <w:tcW w:w="600" w:type="dxa"/>
            <w:vAlign w:val="bottom"/>
          </w:tcPr>
          <w:p>
            <w:pPr>
              <w:spacing w:after="0"/>
              <w:rPr>
                <w:sz w:val="22"/>
                <w:szCs w:val="22"/>
                <w:color w:val="auto"/>
              </w:rPr>
            </w:pPr>
          </w:p>
        </w:tc>
        <w:tc>
          <w:tcPr>
            <w:tcW w:w="960" w:type="dxa"/>
            <w:vAlign w:val="bottom"/>
            <w:tcBorders>
              <w:bottom w:val="single" w:sz="8" w:color="789E91"/>
            </w:tcBorders>
            <w:shd w:val="clear" w:color="auto" w:fill="789E91"/>
          </w:tcPr>
          <w:p>
            <w:pPr>
              <w:jc w:val="center"/>
              <w:spacing w:after="0"/>
              <w:rPr>
                <w:sz w:val="20"/>
                <w:szCs w:val="20"/>
                <w:color w:val="auto"/>
              </w:rPr>
            </w:pPr>
            <w:r>
              <w:rPr>
                <w:rFonts w:ascii="Arial" w:cs="Arial" w:eastAsia="Arial" w:hAnsi="Arial"/>
                <w:sz w:val="18"/>
                <w:szCs w:val="18"/>
                <w:b w:val="1"/>
                <w:bCs w:val="1"/>
                <w:color w:val="auto"/>
                <w:w w:val="99"/>
              </w:rPr>
              <w:t>0%</w:t>
            </w:r>
          </w:p>
        </w:tc>
        <w:tc>
          <w:tcPr>
            <w:tcW w:w="800" w:type="dxa"/>
            <w:vAlign w:val="bottom"/>
            <w:tcBorders>
              <w:bottom w:val="single" w:sz="8" w:color="789E91"/>
            </w:tcBorders>
            <w:shd w:val="clear" w:color="auto" w:fill="789E91"/>
          </w:tcPr>
          <w:p>
            <w:pPr>
              <w:jc w:val="center"/>
              <w:spacing w:after="0"/>
              <w:rPr>
                <w:sz w:val="20"/>
                <w:szCs w:val="20"/>
                <w:color w:val="auto"/>
              </w:rPr>
            </w:pPr>
            <w:r>
              <w:rPr>
                <w:rFonts w:ascii="Arial" w:cs="Arial" w:eastAsia="Arial" w:hAnsi="Arial"/>
                <w:sz w:val="18"/>
                <w:szCs w:val="18"/>
                <w:b w:val="1"/>
                <w:bCs w:val="1"/>
                <w:color w:val="auto"/>
                <w:w w:val="99"/>
              </w:rPr>
              <w:t>50%</w:t>
            </w:r>
          </w:p>
        </w:tc>
        <w:tc>
          <w:tcPr>
            <w:tcW w:w="760" w:type="dxa"/>
            <w:vAlign w:val="bottom"/>
            <w:tcBorders>
              <w:bottom w:val="single" w:sz="8" w:color="789E91"/>
            </w:tcBorders>
            <w:shd w:val="clear" w:color="auto" w:fill="789E91"/>
          </w:tcPr>
          <w:p>
            <w:pPr>
              <w:jc w:val="center"/>
              <w:spacing w:after="0"/>
              <w:rPr>
                <w:sz w:val="20"/>
                <w:szCs w:val="20"/>
                <w:color w:val="auto"/>
              </w:rPr>
            </w:pPr>
            <w:r>
              <w:rPr>
                <w:rFonts w:ascii="Arial" w:cs="Arial" w:eastAsia="Arial" w:hAnsi="Arial"/>
                <w:sz w:val="18"/>
                <w:szCs w:val="18"/>
                <w:b w:val="1"/>
                <w:bCs w:val="1"/>
                <w:color w:val="auto"/>
                <w:w w:val="95"/>
              </w:rPr>
              <w:t>100%</w:t>
            </w:r>
          </w:p>
        </w:tc>
        <w:tc>
          <w:tcPr>
            <w:tcW w:w="880" w:type="dxa"/>
            <w:vAlign w:val="bottom"/>
            <w:tcBorders>
              <w:bottom w:val="single" w:sz="8" w:color="789E91"/>
            </w:tcBorders>
            <w:shd w:val="clear" w:color="auto" w:fill="789E91"/>
          </w:tcPr>
          <w:p>
            <w:pPr>
              <w:jc w:val="center"/>
              <w:spacing w:after="0"/>
              <w:rPr>
                <w:sz w:val="20"/>
                <w:szCs w:val="20"/>
                <w:color w:val="auto"/>
              </w:rPr>
            </w:pPr>
            <w:r>
              <w:rPr>
                <w:rFonts w:ascii="Arial" w:cs="Arial" w:eastAsia="Arial" w:hAnsi="Arial"/>
                <w:sz w:val="18"/>
                <w:szCs w:val="18"/>
                <w:b w:val="1"/>
                <w:bCs w:val="1"/>
                <w:color w:val="auto"/>
                <w:w w:val="99"/>
              </w:rPr>
              <w:t>150%</w:t>
            </w:r>
          </w:p>
        </w:tc>
      </w:tr>
      <w:tr>
        <w:trPr>
          <w:trHeight w:val="20"/>
        </w:trPr>
        <w:tc>
          <w:tcPr>
            <w:tcW w:w="820" w:type="dxa"/>
            <w:vAlign w:val="bottom"/>
            <w:shd w:val="clear" w:color="auto" w:fill="407CCA"/>
          </w:tcPr>
          <w:p>
            <w:pPr>
              <w:spacing w:after="0" w:line="20" w:lineRule="exact"/>
              <w:rPr>
                <w:sz w:val="1"/>
                <w:szCs w:val="1"/>
                <w:color w:val="auto"/>
              </w:rPr>
            </w:pPr>
          </w:p>
        </w:tc>
        <w:tc>
          <w:tcPr>
            <w:tcW w:w="6200" w:type="dxa"/>
            <w:vAlign w:val="bottom"/>
            <w:shd w:val="clear" w:color="auto" w:fill="407CCA"/>
          </w:tcPr>
          <w:p>
            <w:pPr>
              <w:spacing w:after="0" w:line="20" w:lineRule="exact"/>
              <w:rPr>
                <w:sz w:val="1"/>
                <w:szCs w:val="1"/>
                <w:color w:val="auto"/>
              </w:rPr>
            </w:pPr>
          </w:p>
        </w:tc>
        <w:tc>
          <w:tcPr>
            <w:tcW w:w="600" w:type="dxa"/>
            <w:vAlign w:val="bottom"/>
            <w:shd w:val="clear" w:color="auto" w:fill="407CCA"/>
          </w:tcPr>
          <w:p>
            <w:pPr>
              <w:spacing w:after="0" w:line="20" w:lineRule="exact"/>
              <w:rPr>
                <w:sz w:val="1"/>
                <w:szCs w:val="1"/>
                <w:color w:val="auto"/>
              </w:rPr>
            </w:pPr>
          </w:p>
        </w:tc>
        <w:tc>
          <w:tcPr>
            <w:tcW w:w="960" w:type="dxa"/>
            <w:vAlign w:val="bottom"/>
            <w:shd w:val="clear" w:color="auto" w:fill="407CCA"/>
          </w:tcPr>
          <w:p>
            <w:pPr>
              <w:spacing w:after="0" w:line="20" w:lineRule="exact"/>
              <w:rPr>
                <w:sz w:val="1"/>
                <w:szCs w:val="1"/>
                <w:color w:val="auto"/>
              </w:rPr>
            </w:pPr>
          </w:p>
        </w:tc>
        <w:tc>
          <w:tcPr>
            <w:tcW w:w="800" w:type="dxa"/>
            <w:vAlign w:val="bottom"/>
            <w:shd w:val="clear" w:color="auto" w:fill="407CCA"/>
          </w:tcPr>
          <w:p>
            <w:pPr>
              <w:spacing w:after="0" w:line="20" w:lineRule="exact"/>
              <w:rPr>
                <w:sz w:val="1"/>
                <w:szCs w:val="1"/>
                <w:color w:val="auto"/>
              </w:rPr>
            </w:pPr>
          </w:p>
        </w:tc>
        <w:tc>
          <w:tcPr>
            <w:tcW w:w="760" w:type="dxa"/>
            <w:vAlign w:val="bottom"/>
            <w:shd w:val="clear" w:color="auto" w:fill="407CCA"/>
          </w:tcPr>
          <w:p>
            <w:pPr>
              <w:spacing w:after="0" w:line="20" w:lineRule="exact"/>
              <w:rPr>
                <w:sz w:val="1"/>
                <w:szCs w:val="1"/>
                <w:color w:val="auto"/>
              </w:rPr>
            </w:pPr>
          </w:p>
        </w:tc>
        <w:tc>
          <w:tcPr>
            <w:tcW w:w="880" w:type="dxa"/>
            <w:vAlign w:val="bottom"/>
            <w:shd w:val="clear" w:color="auto" w:fill="407CCA"/>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240030</wp:posOffset>
            </wp:positionV>
            <wp:extent cx="2451735" cy="889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8">
                      <a:extLst>
                        <a:ext uri="{28A0092B-C50C-407E-A947-70E740481C1C}"/>
                      </a:extLst>
                    </a:blip>
                    <a:srcRect/>
                    <a:stretch>
                      <a:fillRect/>
                    </a:stretch>
                  </pic:blipFill>
                  <pic:spPr bwMode="auto">
                    <a:xfrm>
                      <a:off x="0" y="0"/>
                      <a:ext cx="2451735" cy="8890"/>
                    </a:xfrm>
                    <a:prstGeom prst="rect">
                      <a:avLst/>
                    </a:prstGeom>
                    <a:noFill/>
                  </pic:spPr>
                </pic:pic>
              </a:graphicData>
            </a:graphic>
          </wp:anchor>
        </w:drawing>
      </w:r>
    </w:p>
    <w:p>
      <w:pPr>
        <w:spacing w:after="0" w:line="393" w:lineRule="exact"/>
        <w:rPr>
          <w:sz w:val="20"/>
          <w:szCs w:val="20"/>
          <w:color w:val="auto"/>
        </w:rPr>
      </w:pPr>
    </w:p>
    <w:p>
      <w:pPr>
        <w:ind w:left="880" w:hanging="764"/>
        <w:spacing w:after="0"/>
        <w:tabs>
          <w:tab w:leader="none" w:pos="880" w:val="left"/>
        </w:tabs>
        <w:numPr>
          <w:ilvl w:val="0"/>
          <w:numId w:val="34"/>
        </w:numPr>
        <w:rPr>
          <w:rFonts w:ascii="Arial" w:cs="Arial" w:eastAsia="Arial" w:hAnsi="Arial"/>
          <w:sz w:val="14"/>
          <w:szCs w:val="14"/>
          <w:color w:val="auto"/>
        </w:rPr>
      </w:pPr>
      <w:r>
        <w:rPr>
          <w:rFonts w:ascii="Arial" w:cs="Arial" w:eastAsia="Arial" w:hAnsi="Arial"/>
          <w:sz w:val="14"/>
          <w:szCs w:val="14"/>
          <w:color w:val="auto"/>
        </w:rPr>
        <w:t>Economic return is calculated on tangible common equity.</w:t>
      </w:r>
    </w:p>
    <w:p>
      <w:pPr>
        <w:ind w:left="880" w:right="40" w:hanging="764"/>
        <w:spacing w:after="0" w:line="237" w:lineRule="auto"/>
        <w:tabs>
          <w:tab w:leader="none" w:pos="880" w:val="left"/>
        </w:tabs>
        <w:numPr>
          <w:ilvl w:val="0"/>
          <w:numId w:val="34"/>
        </w:numPr>
        <w:rPr>
          <w:rFonts w:ascii="Arial" w:cs="Arial" w:eastAsia="Arial" w:hAnsi="Arial"/>
          <w:sz w:val="14"/>
          <w:szCs w:val="14"/>
          <w:color w:val="auto"/>
        </w:rPr>
      </w:pPr>
      <w:r>
        <w:rPr>
          <w:rFonts w:ascii="Arial" w:cs="Arial" w:eastAsia="Arial" w:hAnsi="Arial"/>
          <w:sz w:val="14"/>
          <w:szCs w:val="14"/>
          <w:color w:val="auto"/>
        </w:rPr>
        <w:t>Reflects AGNC’s relative performance to the unweighted, simple average of the Agency REIT Peer Group. Our relative economic return measure is calculated on an October 1 – September 30 year basis due to the availability of comparative data.</w:t>
      </w:r>
    </w:p>
    <w:p>
      <w:pPr>
        <w:spacing w:after="0" w:line="187" w:lineRule="exact"/>
        <w:rPr>
          <w:sz w:val="20"/>
          <w:szCs w:val="20"/>
          <w:color w:val="auto"/>
        </w:rPr>
      </w:pPr>
    </w:p>
    <w:p>
      <w:pPr>
        <w:ind w:left="120" w:right="580" w:firstLine="881"/>
        <w:spacing w:after="0" w:line="277" w:lineRule="auto"/>
        <w:rPr>
          <w:sz w:val="20"/>
          <w:szCs w:val="20"/>
          <w:color w:val="auto"/>
        </w:rPr>
      </w:pPr>
      <w:r>
        <w:rPr>
          <w:rFonts w:ascii="Arial" w:cs="Arial" w:eastAsia="Arial" w:hAnsi="Arial"/>
          <w:sz w:val="18"/>
          <w:szCs w:val="18"/>
          <w:color w:val="auto"/>
        </w:rPr>
        <w:t>The financial measures emphasized our interest in generating strong absolute and relative economic returns and maintaining a strong common stock trading price to tangible book value relative to our peers.</w:t>
      </w:r>
    </w:p>
    <w:p>
      <w:pPr>
        <w:spacing w:after="0" w:line="170" w:lineRule="exact"/>
        <w:rPr>
          <w:sz w:val="20"/>
          <w:szCs w:val="20"/>
          <w:color w:val="auto"/>
        </w:rPr>
      </w:pPr>
    </w:p>
    <w:p>
      <w:pPr>
        <w:ind w:left="120" w:right="100" w:firstLine="881"/>
        <w:spacing w:after="0" w:line="255" w:lineRule="auto"/>
        <w:rPr>
          <w:sz w:val="20"/>
          <w:szCs w:val="20"/>
          <w:color w:val="auto"/>
        </w:rPr>
      </w:pPr>
      <w:r>
        <w:rPr>
          <w:rFonts w:ascii="Arial" w:cs="Arial" w:eastAsia="Arial" w:hAnsi="Arial"/>
          <w:sz w:val="18"/>
          <w:szCs w:val="18"/>
          <w:color w:val="auto"/>
        </w:rPr>
        <w:t>Our economic return reflects the overall return we generate on our common equity capital and is comprised of our dividends paid and the change in our tangible net asset value over the relevant period. As such, it incorporates all aspects of our investment activity, including interest received on our investments, net of borrowing costs, and realized and unrealized gains and losses on our investments, hedging instruments, and other assets and liabilities. We believe that this measure thus best reflects a composite view of AGNC’s financial performance over any time period, and we believe that most investors and research analysts who are active in the residential mortgage REIT sector primarily utilize this metric to analyze residential mortgage REIT performance.</w:t>
      </w:r>
    </w:p>
    <w:p>
      <w:pPr>
        <w:spacing w:after="0" w:line="192" w:lineRule="exact"/>
        <w:rPr>
          <w:sz w:val="20"/>
          <w:szCs w:val="20"/>
          <w:color w:val="auto"/>
        </w:rPr>
      </w:pPr>
    </w:p>
    <w:p>
      <w:pPr>
        <w:ind w:left="120" w:right="160" w:firstLine="881"/>
        <w:spacing w:after="0" w:line="279" w:lineRule="auto"/>
        <w:rPr>
          <w:sz w:val="20"/>
          <w:szCs w:val="20"/>
          <w:color w:val="auto"/>
        </w:rPr>
      </w:pPr>
      <w:r>
        <w:rPr>
          <w:rFonts w:ascii="Arial" w:cs="Arial" w:eastAsia="Arial" w:hAnsi="Arial"/>
          <w:sz w:val="17"/>
          <w:szCs w:val="17"/>
          <w:color w:val="auto"/>
        </w:rPr>
        <w:t>Our Compensation Committee has included both absolute and relative economic return as separate financial performance measures. Our inclusion of absolute economic return is reflective of our focus on generating positive economic returns for our stockholders and supporting our dividend, regardless of overall macroeconomic conditions. Relative economic return has been included to differentiate our performance from our peers and to reward our management team and employees for outperformance. While a favorable</w:t>
      </w:r>
    </w:p>
    <w:p>
      <w:pPr>
        <w:spacing w:after="0" w:line="99" w:lineRule="exact"/>
        <w:rPr>
          <w:sz w:val="20"/>
          <w:szCs w:val="20"/>
          <w:color w:val="auto"/>
        </w:rPr>
      </w:pPr>
    </w:p>
    <w:p>
      <w:pPr>
        <w:ind w:left="7960"/>
        <w:spacing w:after="0"/>
        <w:tabs>
          <w:tab w:leader="none" w:pos="109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45</w:t>
      </w:r>
    </w:p>
    <w:p>
      <w:pPr>
        <w:sectPr>
          <w:pgSz w:w="11900" w:h="16838" w:orient="portrait"/>
          <w:cols w:equalWidth="0" w:num="1">
            <w:col w:w="11140"/>
          </w:cols>
          <w:pgMar w:left="320" w:top="459" w:right="439" w:bottom="1440" w:gutter="0" w:footer="0" w:header="0"/>
        </w:sectPr>
      </w:pPr>
    </w:p>
    <w:bookmarkStart w:id="58" w:name="page59"/>
    <w:bookmarkEnd w:id="5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9">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0">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120" w:right="120"/>
        <w:spacing w:after="0" w:line="275" w:lineRule="auto"/>
        <w:rPr>
          <w:sz w:val="20"/>
          <w:szCs w:val="20"/>
          <w:color w:val="auto"/>
        </w:rPr>
      </w:pPr>
      <w:r>
        <w:rPr>
          <w:rFonts w:ascii="Arial" w:cs="Arial" w:eastAsia="Arial" w:hAnsi="Arial"/>
          <w:sz w:val="17"/>
          <w:szCs w:val="17"/>
          <w:color w:val="auto"/>
        </w:rPr>
        <w:t>macroeconomic climate may drive a strong absolute economic return, relative economic return requires out-performance relative to peers, all of which are subject to the same prevailing macroeconomic conditions. The Compensation Committee believes that economic return is of primary importance to our stockholders as it reflects the combination of dividend distributions and book value accretion. Due to the importance of economic return as a measure of our financial success, our Compensation Committee concluded that it was appropriate to include both absolute and relative economic return as components of both our Corporate Scorecard and performance-based long-term incentive awards.</w:t>
      </w:r>
    </w:p>
    <w:p>
      <w:pPr>
        <w:spacing w:after="0" w:line="176" w:lineRule="exact"/>
        <w:rPr>
          <w:sz w:val="20"/>
          <w:szCs w:val="20"/>
          <w:color w:val="auto"/>
        </w:rPr>
      </w:pPr>
    </w:p>
    <w:p>
      <w:pPr>
        <w:ind w:left="120" w:right="60" w:firstLine="881"/>
        <w:spacing w:after="0" w:line="293" w:lineRule="auto"/>
        <w:rPr>
          <w:sz w:val="20"/>
          <w:szCs w:val="20"/>
          <w:color w:val="auto"/>
        </w:rPr>
      </w:pPr>
      <w:r>
        <w:rPr>
          <w:rFonts w:ascii="Arial" w:cs="Arial" w:eastAsia="Arial" w:hAnsi="Arial"/>
          <w:sz w:val="16"/>
          <w:szCs w:val="16"/>
          <w:color w:val="auto"/>
        </w:rPr>
        <w:t>Our third financial metric is our stock price to tangible net asset value per share or “price-to-book ratio.” Price-to-book ratio is the valuation metric utilized by most investors and research analysts and reflects the premium (or discount) to tangible net asset value of a company implied by the company’s stock price. As such, a favorable price-to-book ratio for AGNC relative to peers implies a favorable perception of, or outlook for, AGNC relative to its peer group. We believe that our value proposition to our stockholders – industry-leading returns, low cost operating structure, disciplined risk management, stockholder focus, and significant scale and liquidity – position AGNC for a premium valuation relative to our peer group. Our Compensation Committee has set our target price-to-book ratio at a significant premium to our peer group (+3.5%).</w:t>
      </w:r>
    </w:p>
    <w:p>
      <w:pPr>
        <w:spacing w:after="0" w:line="164" w:lineRule="exact"/>
        <w:rPr>
          <w:sz w:val="20"/>
          <w:szCs w:val="20"/>
          <w:color w:val="auto"/>
        </w:rPr>
      </w:pPr>
    </w:p>
    <w:p>
      <w:pPr>
        <w:ind w:left="120" w:right="200" w:firstLine="881"/>
        <w:spacing w:after="0" w:line="259" w:lineRule="auto"/>
        <w:rPr>
          <w:sz w:val="20"/>
          <w:szCs w:val="20"/>
          <w:color w:val="auto"/>
        </w:rPr>
      </w:pPr>
      <w:r>
        <w:rPr>
          <w:rFonts w:ascii="Arial" w:cs="Arial" w:eastAsia="Arial" w:hAnsi="Arial"/>
          <w:sz w:val="18"/>
          <w:szCs w:val="18"/>
          <w:color w:val="auto"/>
        </w:rPr>
        <w:t>Collectively, our three financial measures incentivize our management team to drive favorable returns – on both an absolute and relative basis – for our stockholders. Our success in generating economic returns at or above target levels while maintaining targeted premium valuation levels on a price-to-book basis should translate into favorable total stock returns for our stockholders. As such, we believe these metrics appropriately align management with our stockholders through our short-term incentive plan.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144780</wp:posOffset>
            </wp:positionV>
            <wp:extent cx="6995160" cy="17145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1">
                      <a:extLst>
                        <a:ext uri="{28A0092B-C50C-407E-A947-70E740481C1C}"/>
                      </a:extLst>
                    </a:blip>
                    <a:srcRect/>
                    <a:stretch>
                      <a:fillRect/>
                    </a:stretch>
                  </pic:blipFill>
                  <pic:spPr bwMode="auto">
                    <a:xfrm>
                      <a:off x="0" y="0"/>
                      <a:ext cx="6995160" cy="171450"/>
                    </a:xfrm>
                    <a:prstGeom prst="rect">
                      <a:avLst/>
                    </a:prstGeom>
                    <a:noFill/>
                  </pic:spPr>
                </pic:pic>
              </a:graphicData>
            </a:graphic>
          </wp:anchor>
        </w:drawing>
      </w:r>
    </w:p>
    <w:p>
      <w:pPr>
        <w:spacing w:after="0" w:line="217" w:lineRule="exact"/>
        <w:rPr>
          <w:sz w:val="20"/>
          <w:szCs w:val="20"/>
          <w:color w:val="auto"/>
        </w:rPr>
      </w:pPr>
    </w:p>
    <w:p>
      <w:pPr>
        <w:jc w:val="center"/>
        <w:ind w:right="-119"/>
        <w:spacing w:after="0"/>
        <w:rPr>
          <w:sz w:val="20"/>
          <w:szCs w:val="20"/>
          <w:color w:val="auto"/>
        </w:rPr>
      </w:pPr>
      <w:r>
        <w:rPr>
          <w:rFonts w:ascii="Arial" w:cs="Arial" w:eastAsia="Arial" w:hAnsi="Arial"/>
          <w:sz w:val="18"/>
          <w:szCs w:val="18"/>
          <w:b w:val="1"/>
          <w:bCs w:val="1"/>
          <w:color w:val="auto"/>
        </w:rPr>
        <w:t>Strategic and Operational Metrics (25% of Total Scorecard)</w:t>
      </w:r>
    </w:p>
    <w:p>
      <w:pPr>
        <w:spacing w:after="0" w:line="256" w:lineRule="exact"/>
        <w:rPr>
          <w:sz w:val="20"/>
          <w:szCs w:val="20"/>
          <w:color w:val="auto"/>
        </w:rPr>
      </w:pPr>
    </w:p>
    <w:p>
      <w:pPr>
        <w:ind w:left="120" w:right="320" w:firstLine="881"/>
        <w:spacing w:after="0" w:line="263" w:lineRule="auto"/>
        <w:rPr>
          <w:sz w:val="20"/>
          <w:szCs w:val="20"/>
          <w:color w:val="auto"/>
        </w:rPr>
      </w:pPr>
      <w:r>
        <w:rPr>
          <w:rFonts w:ascii="Arial" w:cs="Arial" w:eastAsia="Arial" w:hAnsi="Arial"/>
          <w:sz w:val="18"/>
          <w:szCs w:val="18"/>
          <w:color w:val="auto"/>
        </w:rPr>
        <w:t>As noted above, our Compensation Committee believes our value proposition to stockholders positions AGNC for a premium valuation. Our Compensation Committee seeks to drive management performance in these areas and focuses our strategic and operations measures on the following components:</w:t>
      </w:r>
    </w:p>
    <w:p>
      <w:pPr>
        <w:spacing w:after="0" w:line="89" w:lineRule="exact"/>
        <w:rPr>
          <w:sz w:val="20"/>
          <w:szCs w:val="20"/>
          <w:color w:val="auto"/>
        </w:rPr>
      </w:pPr>
    </w:p>
    <w:p>
      <w:pPr>
        <w:ind w:left="980" w:hanging="432"/>
        <w:spacing w:after="0"/>
        <w:tabs>
          <w:tab w:leader="none" w:pos="980" w:val="left"/>
        </w:tabs>
        <w:numPr>
          <w:ilvl w:val="0"/>
          <w:numId w:val="35"/>
        </w:numPr>
        <w:rPr>
          <w:rFonts w:ascii="Arial" w:cs="Arial" w:eastAsia="Arial" w:hAnsi="Arial"/>
          <w:sz w:val="18"/>
          <w:szCs w:val="18"/>
          <w:color w:val="auto"/>
        </w:rPr>
      </w:pPr>
      <w:r>
        <w:rPr>
          <w:rFonts w:ascii="Arial" w:cs="Arial" w:eastAsia="Arial" w:hAnsi="Arial"/>
          <w:sz w:val="18"/>
          <w:szCs w:val="18"/>
          <w:color w:val="auto"/>
        </w:rPr>
        <w:t>Highly Efficient Operating Cost Structure: maintain low operating cost structure relative to peers</w:t>
      </w:r>
    </w:p>
    <w:p>
      <w:pPr>
        <w:spacing w:after="0" w:line="23" w:lineRule="exact"/>
        <w:rPr>
          <w:rFonts w:ascii="Arial" w:cs="Arial" w:eastAsia="Arial" w:hAnsi="Arial"/>
          <w:sz w:val="18"/>
          <w:szCs w:val="18"/>
          <w:color w:val="auto"/>
        </w:rPr>
      </w:pPr>
    </w:p>
    <w:p>
      <w:pPr>
        <w:ind w:left="980" w:hanging="432"/>
        <w:spacing w:after="0"/>
        <w:tabs>
          <w:tab w:leader="none" w:pos="980" w:val="left"/>
        </w:tabs>
        <w:numPr>
          <w:ilvl w:val="0"/>
          <w:numId w:val="35"/>
        </w:numPr>
        <w:rPr>
          <w:rFonts w:ascii="Arial" w:cs="Arial" w:eastAsia="Arial" w:hAnsi="Arial"/>
          <w:sz w:val="18"/>
          <w:szCs w:val="18"/>
          <w:color w:val="auto"/>
        </w:rPr>
      </w:pPr>
      <w:r>
        <w:rPr>
          <w:rFonts w:ascii="Arial" w:cs="Arial" w:eastAsia="Arial" w:hAnsi="Arial"/>
          <w:sz w:val="18"/>
          <w:szCs w:val="18"/>
          <w:color w:val="auto"/>
        </w:rPr>
        <w:t>Disciplined Risk Management: mitigate risk based on the Company’s comprehensive risk management framework</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35"/>
        </w:numPr>
        <w:rPr>
          <w:rFonts w:ascii="Arial" w:cs="Arial" w:eastAsia="Arial" w:hAnsi="Arial"/>
          <w:sz w:val="18"/>
          <w:szCs w:val="18"/>
          <w:color w:val="auto"/>
        </w:rPr>
      </w:pPr>
      <w:r>
        <w:rPr>
          <w:rFonts w:ascii="Arial" w:cs="Arial" w:eastAsia="Arial" w:hAnsi="Arial"/>
          <w:sz w:val="18"/>
          <w:szCs w:val="18"/>
          <w:color w:val="auto"/>
        </w:rPr>
        <w:t>Stockholder Focus: focus on financial disclosure, stockholder engagement, and ESG practices</w:t>
      </w:r>
    </w:p>
    <w:p>
      <w:pPr>
        <w:spacing w:after="0" w:line="9" w:lineRule="exact"/>
        <w:rPr>
          <w:rFonts w:ascii="Arial" w:cs="Arial" w:eastAsia="Arial" w:hAnsi="Arial"/>
          <w:sz w:val="18"/>
          <w:szCs w:val="18"/>
          <w:color w:val="auto"/>
        </w:rPr>
      </w:pPr>
    </w:p>
    <w:p>
      <w:pPr>
        <w:ind w:left="1000" w:right="4520" w:hanging="452"/>
        <w:spacing w:after="0" w:line="483" w:lineRule="auto"/>
        <w:tabs>
          <w:tab w:leader="none" w:pos="983" w:val="left"/>
        </w:tabs>
        <w:numPr>
          <w:ilvl w:val="0"/>
          <w:numId w:val="35"/>
        </w:numPr>
        <w:rPr>
          <w:rFonts w:ascii="Arial" w:cs="Arial" w:eastAsia="Arial" w:hAnsi="Arial"/>
          <w:sz w:val="16"/>
          <w:szCs w:val="16"/>
          <w:color w:val="auto"/>
        </w:rPr>
      </w:pPr>
      <w:r>
        <w:rPr>
          <w:rFonts w:ascii="Arial" w:cs="Arial" w:eastAsia="Arial" w:hAnsi="Arial"/>
          <w:sz w:val="16"/>
          <w:szCs w:val="16"/>
          <w:color w:val="auto"/>
        </w:rPr>
        <w:t xml:space="preserve">Liquidity and Scale: active stockholder-friendly capital management approach </w:t>
      </w:r>
      <w:r>
        <w:rPr>
          <w:rFonts w:ascii="Arial" w:cs="Arial" w:eastAsia="Arial" w:hAnsi="Arial"/>
          <w:sz w:val="16"/>
          <w:szCs w:val="16"/>
          <w:i w:val="1"/>
          <w:iCs w:val="1"/>
          <w:color w:val="407CCA"/>
        </w:rPr>
        <w:t>Annual 2019 Corporate Scorecard Incentive Compensation Determination</w:t>
      </w:r>
    </w:p>
    <w:p>
      <w:pPr>
        <w:spacing w:after="0" w:line="1" w:lineRule="exact"/>
        <w:rPr>
          <w:sz w:val="20"/>
          <w:szCs w:val="20"/>
          <w:color w:val="auto"/>
        </w:rPr>
      </w:pPr>
    </w:p>
    <w:p>
      <w:pPr>
        <w:ind w:left="120" w:right="240" w:firstLine="881"/>
        <w:spacing w:after="0" w:line="263" w:lineRule="auto"/>
        <w:rPr>
          <w:sz w:val="20"/>
          <w:szCs w:val="20"/>
          <w:color w:val="auto"/>
        </w:rPr>
      </w:pPr>
      <w:r>
        <w:rPr>
          <w:rFonts w:ascii="Arial" w:cs="Arial" w:eastAsia="Arial" w:hAnsi="Arial"/>
          <w:sz w:val="18"/>
          <w:szCs w:val="18"/>
          <w:color w:val="auto"/>
        </w:rPr>
        <w:t>Following a review of each of the three components of the 2019 Corporate Scorecard, the Compensation Committee calculated a total scorecard payout for 2019 of 130.5%. A more detailed discussion regarding each of the two elements included in the Corporate Scorecard is provided below.</w:t>
      </w:r>
    </w:p>
    <w:p>
      <w:pPr>
        <w:spacing w:after="0" w:line="225" w:lineRule="exact"/>
        <w:rPr>
          <w:sz w:val="20"/>
          <w:szCs w:val="20"/>
          <w:color w:val="auto"/>
        </w:rPr>
      </w:pPr>
    </w:p>
    <w:tbl>
      <w:tblPr>
        <w:tblLayout w:type="fixed"/>
        <w:tblInd w:w="120" w:type="dxa"/>
        <w:tblCellMar>
          <w:top w:w="0" w:type="dxa"/>
          <w:left w:w="0" w:type="dxa"/>
          <w:bottom w:w="0" w:type="dxa"/>
          <w:right w:w="0" w:type="dxa"/>
        </w:tblCellMar>
      </w:tblPr>
      <w:tr>
        <w:trPr>
          <w:trHeight w:val="171"/>
        </w:trPr>
        <w:tc>
          <w:tcPr>
            <w:tcW w:w="6040" w:type="dxa"/>
            <w:vAlign w:val="bottom"/>
            <w:vMerge w:val="restart"/>
            <w:shd w:val="clear" w:color="auto" w:fill="407CCA"/>
          </w:tcPr>
          <w:p>
            <w:pPr>
              <w:ind w:left="80"/>
              <w:spacing w:after="0"/>
              <w:rPr>
                <w:sz w:val="20"/>
                <w:szCs w:val="20"/>
                <w:color w:val="auto"/>
              </w:rPr>
            </w:pPr>
            <w:r>
              <w:rPr>
                <w:rFonts w:ascii="Arial" w:cs="Arial" w:eastAsia="Arial" w:hAnsi="Arial"/>
                <w:sz w:val="18"/>
                <w:szCs w:val="18"/>
                <w:b w:val="1"/>
                <w:bCs w:val="1"/>
                <w:color w:val="auto"/>
              </w:rPr>
              <w:t>Index</w:t>
            </w:r>
          </w:p>
        </w:tc>
        <w:tc>
          <w:tcPr>
            <w:tcW w:w="2020" w:type="dxa"/>
            <w:vAlign w:val="bottom"/>
            <w:shd w:val="clear" w:color="auto" w:fill="407CCA"/>
          </w:tcPr>
          <w:p>
            <w:pPr>
              <w:jc w:val="right"/>
              <w:ind w:right="584"/>
              <w:spacing w:after="0"/>
              <w:rPr>
                <w:sz w:val="20"/>
                <w:szCs w:val="20"/>
                <w:color w:val="auto"/>
              </w:rPr>
            </w:pPr>
            <w:r>
              <w:rPr>
                <w:rFonts w:ascii="Arial" w:cs="Arial" w:eastAsia="Arial" w:hAnsi="Arial"/>
                <w:sz w:val="13"/>
                <w:szCs w:val="13"/>
                <w:b w:val="1"/>
                <w:bCs w:val="1"/>
                <w:color w:val="auto"/>
              </w:rPr>
              <w:t>Index</w:t>
            </w:r>
          </w:p>
        </w:tc>
        <w:tc>
          <w:tcPr>
            <w:tcW w:w="1620" w:type="dxa"/>
            <w:vAlign w:val="bottom"/>
            <w:shd w:val="clear" w:color="auto" w:fill="407CCA"/>
          </w:tcPr>
          <w:p>
            <w:pPr>
              <w:ind w:left="640"/>
              <w:spacing w:after="0"/>
              <w:rPr>
                <w:sz w:val="20"/>
                <w:szCs w:val="20"/>
                <w:color w:val="auto"/>
              </w:rPr>
            </w:pPr>
            <w:r>
              <w:rPr>
                <w:rFonts w:ascii="Arial" w:cs="Arial" w:eastAsia="Arial" w:hAnsi="Arial"/>
                <w:sz w:val="13"/>
                <w:szCs w:val="13"/>
                <w:b w:val="1"/>
                <w:bCs w:val="1"/>
                <w:color w:val="auto"/>
              </w:rPr>
              <w:t>Index</w:t>
            </w:r>
          </w:p>
        </w:tc>
        <w:tc>
          <w:tcPr>
            <w:tcW w:w="1340" w:type="dxa"/>
            <w:vAlign w:val="bottom"/>
            <w:shd w:val="clear" w:color="auto" w:fill="407CCA"/>
          </w:tcPr>
          <w:p>
            <w:pPr>
              <w:jc w:val="right"/>
              <w:ind w:right="281"/>
              <w:spacing w:after="0"/>
              <w:rPr>
                <w:sz w:val="20"/>
                <w:szCs w:val="20"/>
                <w:color w:val="auto"/>
              </w:rPr>
            </w:pPr>
            <w:r>
              <w:rPr>
                <w:rFonts w:ascii="Arial" w:cs="Arial" w:eastAsia="Arial" w:hAnsi="Arial"/>
                <w:sz w:val="13"/>
                <w:szCs w:val="13"/>
                <w:b w:val="1"/>
                <w:bCs w:val="1"/>
                <w:color w:val="auto"/>
              </w:rPr>
              <w:t>Weighted</w:t>
            </w:r>
          </w:p>
        </w:tc>
        <w:tc>
          <w:tcPr>
            <w:tcW w:w="0" w:type="dxa"/>
            <w:vAlign w:val="bottom"/>
          </w:tcPr>
          <w:p>
            <w:pPr>
              <w:spacing w:after="0"/>
              <w:rPr>
                <w:sz w:val="1"/>
                <w:szCs w:val="1"/>
                <w:color w:val="auto"/>
              </w:rPr>
            </w:pPr>
          </w:p>
        </w:tc>
      </w:tr>
      <w:tr>
        <w:trPr>
          <w:trHeight w:val="180"/>
        </w:trPr>
        <w:tc>
          <w:tcPr>
            <w:tcW w:w="6040" w:type="dxa"/>
            <w:vAlign w:val="bottom"/>
            <w:vMerge w:val="continue"/>
            <w:shd w:val="clear" w:color="auto" w:fill="407CCA"/>
          </w:tcPr>
          <w:p>
            <w:pPr>
              <w:spacing w:after="0"/>
              <w:rPr>
                <w:sz w:val="15"/>
                <w:szCs w:val="15"/>
                <w:color w:val="auto"/>
              </w:rPr>
            </w:pPr>
          </w:p>
        </w:tc>
        <w:tc>
          <w:tcPr>
            <w:tcW w:w="2020" w:type="dxa"/>
            <w:vAlign w:val="bottom"/>
            <w:shd w:val="clear" w:color="auto" w:fill="407CCA"/>
          </w:tcPr>
          <w:p>
            <w:pPr>
              <w:jc w:val="right"/>
              <w:ind w:right="544"/>
              <w:spacing w:after="0"/>
              <w:rPr>
                <w:sz w:val="20"/>
                <w:szCs w:val="20"/>
                <w:color w:val="auto"/>
              </w:rPr>
            </w:pPr>
            <w:r>
              <w:rPr>
                <w:rFonts w:ascii="Arial" w:cs="Arial" w:eastAsia="Arial" w:hAnsi="Arial"/>
                <w:sz w:val="13"/>
                <w:szCs w:val="13"/>
                <w:b w:val="1"/>
                <w:bCs w:val="1"/>
                <w:color w:val="auto"/>
              </w:rPr>
              <w:t>Weight</w:t>
            </w:r>
          </w:p>
        </w:tc>
        <w:tc>
          <w:tcPr>
            <w:tcW w:w="1620" w:type="dxa"/>
            <w:vAlign w:val="bottom"/>
            <w:shd w:val="clear" w:color="auto" w:fill="407CCA"/>
          </w:tcPr>
          <w:p>
            <w:pPr>
              <w:ind w:left="600"/>
              <w:spacing w:after="0"/>
              <w:rPr>
                <w:sz w:val="20"/>
                <w:szCs w:val="20"/>
                <w:color w:val="auto"/>
              </w:rPr>
            </w:pPr>
            <w:r>
              <w:rPr>
                <w:rFonts w:ascii="Arial" w:cs="Arial" w:eastAsia="Arial" w:hAnsi="Arial"/>
                <w:sz w:val="13"/>
                <w:szCs w:val="13"/>
                <w:b w:val="1"/>
                <w:bCs w:val="1"/>
                <w:color w:val="auto"/>
              </w:rPr>
              <w:t>Payout</w:t>
            </w:r>
          </w:p>
        </w:tc>
        <w:tc>
          <w:tcPr>
            <w:tcW w:w="1340" w:type="dxa"/>
            <w:vAlign w:val="bottom"/>
            <w:shd w:val="clear" w:color="auto" w:fill="407CCA"/>
          </w:tcPr>
          <w:p>
            <w:pPr>
              <w:jc w:val="right"/>
              <w:ind w:right="341"/>
              <w:spacing w:after="0"/>
              <w:rPr>
                <w:sz w:val="20"/>
                <w:szCs w:val="20"/>
                <w:color w:val="auto"/>
              </w:rPr>
            </w:pPr>
            <w:r>
              <w:rPr>
                <w:rFonts w:ascii="Arial" w:cs="Arial" w:eastAsia="Arial" w:hAnsi="Arial"/>
                <w:sz w:val="13"/>
                <w:szCs w:val="13"/>
                <w:b w:val="1"/>
                <w:bCs w:val="1"/>
                <w:color w:val="auto"/>
              </w:rPr>
              <w:t>Payout</w:t>
            </w:r>
          </w:p>
        </w:tc>
        <w:tc>
          <w:tcPr>
            <w:tcW w:w="0" w:type="dxa"/>
            <w:vAlign w:val="bottom"/>
          </w:tcPr>
          <w:p>
            <w:pPr>
              <w:spacing w:after="0"/>
              <w:rPr>
                <w:sz w:val="1"/>
                <w:szCs w:val="1"/>
                <w:color w:val="auto"/>
              </w:rPr>
            </w:pPr>
          </w:p>
        </w:tc>
      </w:tr>
      <w:tr>
        <w:trPr>
          <w:trHeight w:val="269"/>
        </w:trPr>
        <w:tc>
          <w:tcPr>
            <w:tcW w:w="6040" w:type="dxa"/>
            <w:vAlign w:val="bottom"/>
          </w:tcPr>
          <w:p>
            <w:pPr>
              <w:ind w:left="80"/>
              <w:spacing w:after="0"/>
              <w:rPr>
                <w:sz w:val="20"/>
                <w:szCs w:val="20"/>
                <w:color w:val="auto"/>
              </w:rPr>
            </w:pPr>
            <w:r>
              <w:rPr>
                <w:rFonts w:ascii="Arial" w:cs="Arial" w:eastAsia="Arial" w:hAnsi="Arial"/>
                <w:sz w:val="18"/>
                <w:szCs w:val="18"/>
                <w:color w:val="auto"/>
              </w:rPr>
              <w:t>Financial Metrics</w:t>
            </w:r>
          </w:p>
        </w:tc>
        <w:tc>
          <w:tcPr>
            <w:tcW w:w="2020" w:type="dxa"/>
            <w:vAlign w:val="bottom"/>
          </w:tcPr>
          <w:p>
            <w:pPr>
              <w:jc w:val="right"/>
              <w:ind w:right="524"/>
              <w:spacing w:after="0"/>
              <w:rPr>
                <w:sz w:val="20"/>
                <w:szCs w:val="20"/>
                <w:color w:val="auto"/>
              </w:rPr>
            </w:pPr>
            <w:r>
              <w:rPr>
                <w:rFonts w:ascii="Arial" w:cs="Arial" w:eastAsia="Arial" w:hAnsi="Arial"/>
                <w:sz w:val="18"/>
                <w:szCs w:val="18"/>
                <w:color w:val="auto"/>
              </w:rPr>
              <w:t>75%</w:t>
            </w:r>
          </w:p>
        </w:tc>
        <w:tc>
          <w:tcPr>
            <w:tcW w:w="1620" w:type="dxa"/>
            <w:vAlign w:val="bottom"/>
          </w:tcPr>
          <w:p>
            <w:pPr>
              <w:ind w:left="580"/>
              <w:spacing w:after="0"/>
              <w:rPr>
                <w:sz w:val="20"/>
                <w:szCs w:val="20"/>
                <w:color w:val="auto"/>
              </w:rPr>
            </w:pPr>
            <w:r>
              <w:rPr>
                <w:rFonts w:ascii="Arial" w:cs="Arial" w:eastAsia="Arial" w:hAnsi="Arial"/>
                <w:sz w:val="18"/>
                <w:szCs w:val="18"/>
                <w:color w:val="auto"/>
              </w:rPr>
              <w:t>140.7%</w:t>
            </w:r>
          </w:p>
        </w:tc>
        <w:tc>
          <w:tcPr>
            <w:tcW w:w="1340" w:type="dxa"/>
            <w:vAlign w:val="bottom"/>
          </w:tcPr>
          <w:p>
            <w:pPr>
              <w:jc w:val="right"/>
              <w:ind w:right="141"/>
              <w:spacing w:after="0"/>
              <w:rPr>
                <w:sz w:val="20"/>
                <w:szCs w:val="20"/>
                <w:color w:val="auto"/>
              </w:rPr>
            </w:pPr>
            <w:r>
              <w:rPr>
                <w:rFonts w:ascii="Arial" w:cs="Arial" w:eastAsia="Arial" w:hAnsi="Arial"/>
                <w:sz w:val="18"/>
                <w:szCs w:val="18"/>
                <w:color w:val="auto"/>
              </w:rPr>
              <w:t>105.5%</w:t>
            </w:r>
          </w:p>
        </w:tc>
        <w:tc>
          <w:tcPr>
            <w:tcW w:w="0" w:type="dxa"/>
            <w:vAlign w:val="bottom"/>
          </w:tcPr>
          <w:p>
            <w:pPr>
              <w:spacing w:after="0"/>
              <w:rPr>
                <w:sz w:val="1"/>
                <w:szCs w:val="1"/>
                <w:color w:val="auto"/>
              </w:rPr>
            </w:pPr>
          </w:p>
        </w:tc>
      </w:tr>
      <w:tr>
        <w:trPr>
          <w:trHeight w:val="230"/>
        </w:trPr>
        <w:tc>
          <w:tcPr>
            <w:tcW w:w="6040" w:type="dxa"/>
            <w:vAlign w:val="bottom"/>
          </w:tcPr>
          <w:p>
            <w:pPr>
              <w:ind w:left="80"/>
              <w:spacing w:after="0"/>
              <w:rPr>
                <w:sz w:val="20"/>
                <w:szCs w:val="20"/>
                <w:color w:val="auto"/>
              </w:rPr>
            </w:pPr>
            <w:r>
              <w:rPr>
                <w:rFonts w:ascii="Arial" w:cs="Arial" w:eastAsia="Arial" w:hAnsi="Arial"/>
                <w:sz w:val="18"/>
                <w:szCs w:val="18"/>
                <w:color w:val="auto"/>
              </w:rPr>
              <w:t>Operational / Strategic Metrics</w:t>
            </w:r>
          </w:p>
        </w:tc>
        <w:tc>
          <w:tcPr>
            <w:tcW w:w="2020" w:type="dxa"/>
            <w:vAlign w:val="bottom"/>
          </w:tcPr>
          <w:p>
            <w:pPr>
              <w:jc w:val="right"/>
              <w:ind w:right="524"/>
              <w:spacing w:after="0"/>
              <w:rPr>
                <w:sz w:val="20"/>
                <w:szCs w:val="20"/>
                <w:color w:val="auto"/>
              </w:rPr>
            </w:pPr>
            <w:r>
              <w:rPr>
                <w:rFonts w:ascii="Arial" w:cs="Arial" w:eastAsia="Arial" w:hAnsi="Arial"/>
                <w:sz w:val="18"/>
                <w:szCs w:val="18"/>
                <w:color w:val="auto"/>
              </w:rPr>
              <w:t>25%</w:t>
            </w:r>
          </w:p>
        </w:tc>
        <w:tc>
          <w:tcPr>
            <w:tcW w:w="1620" w:type="dxa"/>
            <w:vAlign w:val="bottom"/>
          </w:tcPr>
          <w:p>
            <w:pPr>
              <w:ind w:left="580"/>
              <w:spacing w:after="0"/>
              <w:rPr>
                <w:sz w:val="20"/>
                <w:szCs w:val="20"/>
                <w:color w:val="auto"/>
              </w:rPr>
            </w:pPr>
            <w:r>
              <w:rPr>
                <w:rFonts w:ascii="Arial" w:cs="Arial" w:eastAsia="Arial" w:hAnsi="Arial"/>
                <w:sz w:val="18"/>
                <w:szCs w:val="18"/>
                <w:color w:val="auto"/>
              </w:rPr>
              <w:t>100.0%</w:t>
            </w:r>
          </w:p>
        </w:tc>
        <w:tc>
          <w:tcPr>
            <w:tcW w:w="1340" w:type="dxa"/>
            <w:vAlign w:val="bottom"/>
          </w:tcPr>
          <w:p>
            <w:pPr>
              <w:jc w:val="right"/>
              <w:ind w:right="141"/>
              <w:spacing w:after="0"/>
              <w:rPr>
                <w:sz w:val="20"/>
                <w:szCs w:val="20"/>
                <w:color w:val="auto"/>
              </w:rPr>
            </w:pPr>
            <w:r>
              <w:rPr>
                <w:rFonts w:ascii="Arial" w:cs="Arial" w:eastAsia="Arial" w:hAnsi="Arial"/>
                <w:sz w:val="18"/>
                <w:szCs w:val="18"/>
                <w:color w:val="auto"/>
              </w:rPr>
              <w:t>25.0%</w:t>
            </w:r>
          </w:p>
        </w:tc>
        <w:tc>
          <w:tcPr>
            <w:tcW w:w="0" w:type="dxa"/>
            <w:vAlign w:val="bottom"/>
          </w:tcPr>
          <w:p>
            <w:pPr>
              <w:spacing w:after="0"/>
              <w:rPr>
                <w:sz w:val="1"/>
                <w:szCs w:val="1"/>
                <w:color w:val="auto"/>
              </w:rPr>
            </w:pPr>
          </w:p>
        </w:tc>
      </w:tr>
      <w:tr>
        <w:trPr>
          <w:trHeight w:val="27"/>
        </w:trPr>
        <w:tc>
          <w:tcPr>
            <w:tcW w:w="6040" w:type="dxa"/>
            <w:vAlign w:val="bottom"/>
          </w:tcPr>
          <w:p>
            <w:pPr>
              <w:spacing w:after="0"/>
              <w:rPr>
                <w:sz w:val="2"/>
                <w:szCs w:val="2"/>
                <w:color w:val="auto"/>
              </w:rPr>
            </w:pPr>
          </w:p>
        </w:tc>
        <w:tc>
          <w:tcPr>
            <w:tcW w:w="2020" w:type="dxa"/>
            <w:vAlign w:val="bottom"/>
          </w:tcPr>
          <w:p>
            <w:pPr>
              <w:spacing w:after="0"/>
              <w:rPr>
                <w:sz w:val="2"/>
                <w:szCs w:val="2"/>
                <w:color w:val="auto"/>
              </w:rPr>
            </w:pPr>
          </w:p>
        </w:tc>
        <w:tc>
          <w:tcPr>
            <w:tcW w:w="1620" w:type="dxa"/>
            <w:vAlign w:val="bottom"/>
          </w:tcPr>
          <w:p>
            <w:pPr>
              <w:spacing w:after="0"/>
              <w:rPr>
                <w:sz w:val="2"/>
                <w:szCs w:val="2"/>
                <w:color w:val="auto"/>
              </w:rPr>
            </w:pPr>
          </w:p>
        </w:tc>
        <w:tc>
          <w:tcPr>
            <w:tcW w:w="134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6040" w:type="dxa"/>
            <w:vAlign w:val="bottom"/>
            <w:shd w:val="clear" w:color="auto" w:fill="789E91"/>
          </w:tcPr>
          <w:p>
            <w:pPr>
              <w:ind w:left="80"/>
              <w:spacing w:after="0"/>
              <w:rPr>
                <w:sz w:val="20"/>
                <w:szCs w:val="20"/>
                <w:color w:val="auto"/>
              </w:rPr>
            </w:pPr>
            <w:r>
              <w:rPr>
                <w:rFonts w:ascii="Arial" w:cs="Arial" w:eastAsia="Arial" w:hAnsi="Arial"/>
                <w:sz w:val="18"/>
                <w:szCs w:val="18"/>
                <w:b w:val="1"/>
                <w:bCs w:val="1"/>
                <w:color w:val="auto"/>
              </w:rPr>
              <w:t>Corporate Scorecard Payout</w:t>
            </w:r>
          </w:p>
        </w:tc>
        <w:tc>
          <w:tcPr>
            <w:tcW w:w="2020" w:type="dxa"/>
            <w:vAlign w:val="bottom"/>
            <w:shd w:val="clear" w:color="auto" w:fill="789E91"/>
          </w:tcPr>
          <w:p>
            <w:pPr>
              <w:spacing w:after="0"/>
              <w:rPr>
                <w:sz w:val="18"/>
                <w:szCs w:val="18"/>
                <w:color w:val="auto"/>
              </w:rPr>
            </w:pPr>
          </w:p>
        </w:tc>
        <w:tc>
          <w:tcPr>
            <w:tcW w:w="1620" w:type="dxa"/>
            <w:vAlign w:val="bottom"/>
            <w:shd w:val="clear" w:color="auto" w:fill="789E91"/>
          </w:tcPr>
          <w:p>
            <w:pPr>
              <w:spacing w:after="0"/>
              <w:rPr>
                <w:sz w:val="18"/>
                <w:szCs w:val="18"/>
                <w:color w:val="auto"/>
              </w:rPr>
            </w:pPr>
          </w:p>
        </w:tc>
        <w:tc>
          <w:tcPr>
            <w:tcW w:w="1340" w:type="dxa"/>
            <w:vAlign w:val="bottom"/>
            <w:shd w:val="clear" w:color="auto" w:fill="789E91"/>
          </w:tcPr>
          <w:p>
            <w:pPr>
              <w:jc w:val="right"/>
              <w:ind w:right="141"/>
              <w:spacing w:after="0"/>
              <w:rPr>
                <w:sz w:val="20"/>
                <w:szCs w:val="20"/>
                <w:color w:val="auto"/>
              </w:rPr>
            </w:pPr>
            <w:r>
              <w:rPr>
                <w:rFonts w:ascii="Arial" w:cs="Arial" w:eastAsia="Arial" w:hAnsi="Arial"/>
                <w:sz w:val="18"/>
                <w:szCs w:val="18"/>
                <w:b w:val="1"/>
                <w:bCs w:val="1"/>
                <w:color w:val="auto"/>
              </w:rPr>
              <w:t>130.5%</w:t>
            </w:r>
          </w:p>
        </w:tc>
        <w:tc>
          <w:tcPr>
            <w:tcW w:w="0" w:type="dxa"/>
            <w:vAlign w:val="bottom"/>
          </w:tcPr>
          <w:p>
            <w:pPr>
              <w:spacing w:after="0"/>
              <w:rPr>
                <w:sz w:val="1"/>
                <w:szCs w:val="1"/>
                <w:color w:val="auto"/>
              </w:rPr>
            </w:pPr>
          </w:p>
        </w:tc>
      </w:tr>
    </w:tbl>
    <w:p>
      <w:pPr>
        <w:spacing w:after="0" w:line="130"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46</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40"/>
          </w:cols>
          <w:pgMar w:left="320" w:top="459" w:right="439" w:bottom="1440" w:gutter="0" w:footer="0" w:header="0"/>
        </w:sectPr>
      </w:pPr>
    </w:p>
    <w:bookmarkStart w:id="59" w:name="page60"/>
    <w:bookmarkEnd w:id="5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2">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3">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1880"/>
        <w:spacing w:after="0"/>
        <w:rPr>
          <w:sz w:val="20"/>
          <w:szCs w:val="20"/>
          <w:color w:val="auto"/>
        </w:rPr>
      </w:pPr>
      <w:r>
        <w:rPr>
          <w:rFonts w:ascii="Arial" w:cs="Arial" w:eastAsia="Arial" w:hAnsi="Arial"/>
          <w:sz w:val="18"/>
          <w:szCs w:val="18"/>
          <w:u w:val="single" w:color="auto"/>
          <w:color w:val="auto"/>
        </w:rPr>
        <w:t>Financial Metric Results</w:t>
      </w:r>
    </w:p>
    <w:p>
      <w:pPr>
        <w:spacing w:after="0" w:line="117" w:lineRule="exact"/>
        <w:rPr>
          <w:sz w:val="20"/>
          <w:szCs w:val="20"/>
          <w:color w:val="auto"/>
        </w:rPr>
      </w:pPr>
    </w:p>
    <w:p>
      <w:pPr>
        <w:ind w:left="120" w:right="100" w:firstLine="881"/>
        <w:spacing w:after="0" w:line="301" w:lineRule="auto"/>
        <w:rPr>
          <w:sz w:val="20"/>
          <w:szCs w:val="20"/>
          <w:color w:val="auto"/>
        </w:rPr>
      </w:pPr>
      <w:r>
        <w:rPr>
          <w:rFonts w:ascii="Arial" w:cs="Arial" w:eastAsia="Arial" w:hAnsi="Arial"/>
          <w:sz w:val="16"/>
          <w:szCs w:val="16"/>
          <w:color w:val="auto"/>
        </w:rPr>
        <w:t>Based on our 2019 Corporate Scorecard, a review of our 2019 financial performance indicated a 140.7% payout for the financial metric portion. AGNC produced strong results in 2019, exceeding the target performance goals for relative economic return and relative price-to-tangible book ratio and exceeding the outperformance level for absolute annual economic return. These strong results are particularly compelling in light of the challenges of interest rate volatility, a flat or inverted yield curve, and disruption of the funding markets that occurred during the year.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982345</wp:posOffset>
            </wp:positionH>
            <wp:positionV relativeFrom="paragraph">
              <wp:posOffset>125730</wp:posOffset>
            </wp:positionV>
            <wp:extent cx="5186045" cy="2828925"/>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4">
                      <a:extLst>
                        <a:ext uri="{28A0092B-C50C-407E-A947-70E740481C1C}"/>
                      </a:extLst>
                    </a:blip>
                    <a:srcRect/>
                    <a:stretch>
                      <a:fillRect/>
                    </a:stretch>
                  </pic:blipFill>
                  <pic:spPr bwMode="auto">
                    <a:xfrm>
                      <a:off x="0" y="0"/>
                      <a:ext cx="5186045" cy="28289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3" w:lineRule="exact"/>
        <w:rPr>
          <w:sz w:val="20"/>
          <w:szCs w:val="20"/>
          <w:color w:val="auto"/>
        </w:rPr>
      </w:pPr>
    </w:p>
    <w:p>
      <w:pPr>
        <w:ind w:left="7960"/>
        <w:spacing w:after="0"/>
        <w:tabs>
          <w:tab w:leader="none" w:pos="109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47</w:t>
      </w:r>
    </w:p>
    <w:p>
      <w:pPr>
        <w:sectPr>
          <w:pgSz w:w="11900" w:h="16838" w:orient="portrait"/>
          <w:cols w:equalWidth="0" w:num="1">
            <w:col w:w="11140"/>
          </w:cols>
          <w:pgMar w:left="320" w:top="459" w:right="439" w:bottom="1440" w:gutter="0" w:footer="0" w:header="0"/>
        </w:sectPr>
      </w:pPr>
    </w:p>
    <w:bookmarkStart w:id="60" w:name="page61"/>
    <w:bookmarkEnd w:id="6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5">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6">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1880"/>
        <w:spacing w:after="0"/>
        <w:rPr>
          <w:sz w:val="20"/>
          <w:szCs w:val="20"/>
          <w:color w:val="auto"/>
        </w:rPr>
      </w:pPr>
      <w:r>
        <w:rPr>
          <w:rFonts w:ascii="Arial" w:cs="Arial" w:eastAsia="Arial" w:hAnsi="Arial"/>
          <w:sz w:val="18"/>
          <w:szCs w:val="18"/>
          <w:u w:val="single" w:color="auto"/>
          <w:color w:val="auto"/>
        </w:rPr>
        <w:t>2019 Operational and Strategic Review</w:t>
      </w:r>
    </w:p>
    <w:p>
      <w:pPr>
        <w:spacing w:after="0" w:line="117" w:lineRule="exact"/>
        <w:rPr>
          <w:sz w:val="20"/>
          <w:szCs w:val="20"/>
          <w:color w:val="auto"/>
        </w:rPr>
      </w:pPr>
    </w:p>
    <w:p>
      <w:pPr>
        <w:ind w:left="120" w:right="20" w:firstLine="881"/>
        <w:spacing w:after="0" w:line="263" w:lineRule="auto"/>
        <w:rPr>
          <w:sz w:val="20"/>
          <w:szCs w:val="20"/>
          <w:color w:val="auto"/>
        </w:rPr>
      </w:pPr>
      <w:r>
        <w:rPr>
          <w:rFonts w:ascii="Arial" w:cs="Arial" w:eastAsia="Arial" w:hAnsi="Arial"/>
          <w:sz w:val="18"/>
          <w:szCs w:val="18"/>
          <w:color w:val="auto"/>
        </w:rPr>
        <w:t>2019 marked our third full year as an internally-managed REIT. In evaluating our performance under the operational and strategic objectives portion of the scorecard, the Compensation Committee noted the following achievements, among others, in determining that the Company had met target expectations on the operational and strategic objectives:</w:t>
      </w:r>
    </w:p>
    <w:p>
      <w:pPr>
        <w:spacing w:after="0" w:line="205" w:lineRule="exact"/>
        <w:rPr>
          <w:sz w:val="20"/>
          <w:szCs w:val="20"/>
          <w:color w:val="auto"/>
        </w:rPr>
      </w:pPr>
    </w:p>
    <w:tbl>
      <w:tblPr>
        <w:tblLayout w:type="fixed"/>
        <w:tblInd w:w="130" w:type="dxa"/>
        <w:tblCellMar>
          <w:top w:w="0" w:type="dxa"/>
          <w:left w:w="0" w:type="dxa"/>
          <w:bottom w:w="0" w:type="dxa"/>
          <w:right w:w="0" w:type="dxa"/>
        </w:tblCellMar>
      </w:tblPr>
      <w:tr>
        <w:trPr>
          <w:trHeight w:val="211"/>
        </w:trPr>
        <w:tc>
          <w:tcPr>
            <w:tcW w:w="2220" w:type="dxa"/>
            <w:vAlign w:val="bottom"/>
            <w:tcBorders>
              <w:top w:val="single" w:sz="8" w:color="407CCA"/>
              <w:left w:val="single" w:sz="8" w:color="407CCA"/>
              <w:right w:val="single" w:sz="8" w:color="407CCA"/>
            </w:tcBorders>
            <w:shd w:val="clear" w:color="auto" w:fill="EDF3F0"/>
          </w:tcPr>
          <w:p>
            <w:pPr>
              <w:ind w:left="160"/>
              <w:spacing w:after="0"/>
              <w:rPr>
                <w:sz w:val="20"/>
                <w:szCs w:val="20"/>
                <w:color w:val="auto"/>
              </w:rPr>
            </w:pPr>
            <w:r>
              <w:rPr>
                <w:rFonts w:ascii="Arial" w:cs="Arial" w:eastAsia="Arial" w:hAnsi="Arial"/>
                <w:sz w:val="18"/>
                <w:szCs w:val="18"/>
                <w:b w:val="1"/>
                <w:bCs w:val="1"/>
                <w:color w:val="auto"/>
              </w:rPr>
              <w:t>Component of</w:t>
            </w:r>
          </w:p>
        </w:tc>
        <w:tc>
          <w:tcPr>
            <w:tcW w:w="3300" w:type="dxa"/>
            <w:vAlign w:val="bottom"/>
            <w:tcBorders>
              <w:top w:val="single" w:sz="8" w:color="407CCA"/>
              <w:right w:val="single" w:sz="8" w:color="407CCA"/>
            </w:tcBorders>
            <w:shd w:val="clear" w:color="auto" w:fill="EDF3F0"/>
          </w:tcPr>
          <w:p>
            <w:pPr>
              <w:spacing w:after="0"/>
              <w:rPr>
                <w:sz w:val="18"/>
                <w:szCs w:val="18"/>
                <w:color w:val="auto"/>
              </w:rPr>
            </w:pPr>
          </w:p>
        </w:tc>
        <w:tc>
          <w:tcPr>
            <w:tcW w:w="5520" w:type="dxa"/>
            <w:vAlign w:val="bottom"/>
            <w:tcBorders>
              <w:top w:val="single" w:sz="8" w:color="407CCA"/>
              <w:right w:val="single" w:sz="8" w:color="407CCA"/>
            </w:tcBorders>
            <w:shd w:val="clear" w:color="auto" w:fill="EDF3F0"/>
          </w:tcPr>
          <w:p>
            <w:pPr>
              <w:spacing w:after="0"/>
              <w:rPr>
                <w:sz w:val="18"/>
                <w:szCs w:val="18"/>
                <w:color w:val="auto"/>
              </w:rPr>
            </w:pPr>
          </w:p>
        </w:tc>
      </w:tr>
      <w:tr>
        <w:trPr>
          <w:trHeight w:val="216"/>
        </w:trPr>
        <w:tc>
          <w:tcPr>
            <w:tcW w:w="2220" w:type="dxa"/>
            <w:vAlign w:val="bottom"/>
            <w:tcBorders>
              <w:left w:val="single" w:sz="8" w:color="407CCA"/>
              <w:right w:val="single" w:sz="8" w:color="407CCA"/>
            </w:tcBorders>
            <w:shd w:val="clear" w:color="auto" w:fill="EDF3F0"/>
          </w:tcPr>
          <w:p>
            <w:pPr>
              <w:ind w:left="160"/>
              <w:spacing w:after="0"/>
              <w:rPr>
                <w:sz w:val="20"/>
                <w:szCs w:val="20"/>
                <w:color w:val="auto"/>
              </w:rPr>
            </w:pPr>
            <w:r>
              <w:rPr>
                <w:rFonts w:ascii="Arial" w:cs="Arial" w:eastAsia="Arial" w:hAnsi="Arial"/>
                <w:sz w:val="18"/>
                <w:szCs w:val="18"/>
                <w:b w:val="1"/>
                <w:bCs w:val="1"/>
                <w:color w:val="auto"/>
              </w:rPr>
              <w:t>Value</w:t>
            </w:r>
          </w:p>
        </w:tc>
        <w:tc>
          <w:tcPr>
            <w:tcW w:w="3300" w:type="dxa"/>
            <w:vAlign w:val="bottom"/>
            <w:tcBorders>
              <w:right w:val="single" w:sz="8" w:color="407CCA"/>
            </w:tcBorders>
            <w:shd w:val="clear" w:color="auto" w:fill="EDF3F0"/>
          </w:tcPr>
          <w:p>
            <w:pPr>
              <w:ind w:left="1300"/>
              <w:spacing w:after="0"/>
              <w:rPr>
                <w:sz w:val="20"/>
                <w:szCs w:val="20"/>
                <w:color w:val="auto"/>
              </w:rPr>
            </w:pPr>
            <w:r>
              <w:rPr>
                <w:rFonts w:ascii="Arial" w:cs="Arial" w:eastAsia="Arial" w:hAnsi="Arial"/>
                <w:sz w:val="18"/>
                <w:szCs w:val="18"/>
                <w:b w:val="1"/>
                <w:bCs w:val="1"/>
                <w:color w:val="auto"/>
              </w:rPr>
              <w:t>Objective</w:t>
            </w:r>
          </w:p>
        </w:tc>
        <w:tc>
          <w:tcPr>
            <w:tcW w:w="5520" w:type="dxa"/>
            <w:vAlign w:val="bottom"/>
            <w:tcBorders>
              <w:right w:val="single" w:sz="8" w:color="407CCA"/>
            </w:tcBorders>
            <w:shd w:val="clear" w:color="auto" w:fill="EDF3F0"/>
          </w:tcPr>
          <w:p>
            <w:pPr>
              <w:ind w:left="2140"/>
              <w:spacing w:after="0"/>
              <w:rPr>
                <w:sz w:val="20"/>
                <w:szCs w:val="20"/>
                <w:color w:val="auto"/>
              </w:rPr>
            </w:pPr>
            <w:r>
              <w:rPr>
                <w:rFonts w:ascii="Arial" w:cs="Arial" w:eastAsia="Arial" w:hAnsi="Arial"/>
                <w:sz w:val="18"/>
                <w:szCs w:val="18"/>
                <w:b w:val="1"/>
                <w:bCs w:val="1"/>
                <w:color w:val="auto"/>
              </w:rPr>
              <w:t>2019 Assessment</w:t>
            </w:r>
          </w:p>
        </w:tc>
      </w:tr>
      <w:tr>
        <w:trPr>
          <w:trHeight w:val="293"/>
        </w:trPr>
        <w:tc>
          <w:tcPr>
            <w:tcW w:w="2220" w:type="dxa"/>
            <w:vAlign w:val="bottom"/>
            <w:tcBorders>
              <w:left w:val="single" w:sz="8" w:color="407CCA"/>
              <w:bottom w:val="single" w:sz="8" w:color="EDF3F0"/>
              <w:right w:val="single" w:sz="8" w:color="407CCA"/>
            </w:tcBorders>
            <w:shd w:val="clear" w:color="auto" w:fill="EDF3F0"/>
          </w:tcPr>
          <w:p>
            <w:pPr>
              <w:ind w:left="160"/>
              <w:spacing w:after="0"/>
              <w:rPr>
                <w:sz w:val="20"/>
                <w:szCs w:val="20"/>
                <w:color w:val="auto"/>
              </w:rPr>
            </w:pPr>
            <w:r>
              <w:rPr>
                <w:rFonts w:ascii="Arial" w:cs="Arial" w:eastAsia="Arial" w:hAnsi="Arial"/>
                <w:sz w:val="18"/>
                <w:szCs w:val="18"/>
                <w:b w:val="1"/>
                <w:bCs w:val="1"/>
                <w:color w:val="auto"/>
              </w:rPr>
              <w:t>Proposition</w:t>
            </w:r>
          </w:p>
        </w:tc>
        <w:tc>
          <w:tcPr>
            <w:tcW w:w="3300" w:type="dxa"/>
            <w:vAlign w:val="bottom"/>
            <w:tcBorders>
              <w:bottom w:val="single" w:sz="8" w:color="EDF3F0"/>
              <w:right w:val="single" w:sz="8" w:color="407CCA"/>
            </w:tcBorders>
            <w:shd w:val="clear" w:color="auto" w:fill="EDF3F0"/>
          </w:tcPr>
          <w:p>
            <w:pPr>
              <w:spacing w:after="0"/>
              <w:rPr>
                <w:sz w:val="24"/>
                <w:szCs w:val="24"/>
                <w:color w:val="auto"/>
              </w:rPr>
            </w:pPr>
          </w:p>
        </w:tc>
        <w:tc>
          <w:tcPr>
            <w:tcW w:w="5520" w:type="dxa"/>
            <w:vAlign w:val="bottom"/>
            <w:tcBorders>
              <w:bottom w:val="single" w:sz="8" w:color="EDF3F0"/>
              <w:right w:val="single" w:sz="8" w:color="407CCA"/>
            </w:tcBorders>
            <w:shd w:val="clear" w:color="auto" w:fill="EDF3F0"/>
          </w:tcPr>
          <w:p>
            <w:pPr>
              <w:spacing w:after="0"/>
              <w:rPr>
                <w:sz w:val="24"/>
                <w:szCs w:val="24"/>
                <w:color w:val="auto"/>
              </w:rPr>
            </w:pPr>
          </w:p>
        </w:tc>
      </w:tr>
      <w:tr>
        <w:trPr>
          <w:trHeight w:val="203"/>
        </w:trPr>
        <w:tc>
          <w:tcPr>
            <w:tcW w:w="2220" w:type="dxa"/>
            <w:vAlign w:val="bottom"/>
            <w:tcBorders>
              <w:top w:val="single" w:sz="8" w:color="407CCA"/>
              <w:left w:val="single" w:sz="8" w:color="407CCA"/>
              <w:right w:val="single" w:sz="8" w:color="407CCA"/>
            </w:tcBorders>
            <w:shd w:val="clear" w:color="auto" w:fill="D8E4F4"/>
          </w:tcPr>
          <w:p>
            <w:pPr>
              <w:ind w:left="240"/>
              <w:spacing w:after="0" w:line="203" w:lineRule="exact"/>
              <w:rPr>
                <w:sz w:val="20"/>
                <w:szCs w:val="20"/>
                <w:color w:val="auto"/>
              </w:rPr>
            </w:pPr>
            <w:r>
              <w:rPr>
                <w:rFonts w:ascii="Arial" w:cs="Arial" w:eastAsia="Arial" w:hAnsi="Arial"/>
                <w:sz w:val="18"/>
                <w:szCs w:val="18"/>
                <w:b w:val="1"/>
                <w:bCs w:val="1"/>
                <w:color w:val="auto"/>
              </w:rPr>
              <w:t>Highly Efficient</w:t>
            </w:r>
          </w:p>
        </w:tc>
        <w:tc>
          <w:tcPr>
            <w:tcW w:w="3300" w:type="dxa"/>
            <w:vAlign w:val="bottom"/>
            <w:tcBorders>
              <w:top w:val="single" w:sz="8" w:color="407CCA"/>
              <w:right w:val="single" w:sz="8" w:color="407CCA"/>
            </w:tcBorders>
          </w:tcPr>
          <w:p>
            <w:pPr>
              <w:ind w:left="80"/>
              <w:spacing w:after="0" w:line="203" w:lineRule="exact"/>
              <w:rPr>
                <w:sz w:val="20"/>
                <w:szCs w:val="20"/>
                <w:color w:val="auto"/>
              </w:rPr>
            </w:pPr>
            <w:r>
              <w:rPr>
                <w:rFonts w:ascii="MS PGothic" w:cs="MS PGothic" w:eastAsia="MS PGothic" w:hAnsi="MS PGothic"/>
                <w:sz w:val="18"/>
                <w:szCs w:val="18"/>
                <w:color w:val="auto"/>
                <w:w w:val="99"/>
              </w:rPr>
              <w:t>✓</w:t>
            </w:r>
            <w:r>
              <w:rPr>
                <w:rFonts w:ascii="Arial" w:cs="Arial" w:eastAsia="Arial" w:hAnsi="Arial"/>
                <w:sz w:val="18"/>
                <w:szCs w:val="18"/>
                <w:color w:val="auto"/>
                <w:w w:val="99"/>
              </w:rPr>
              <w:t xml:space="preserve">  Maintain low operating cost structure</w:t>
            </w:r>
          </w:p>
        </w:tc>
        <w:tc>
          <w:tcPr>
            <w:tcW w:w="5520" w:type="dxa"/>
            <w:vAlign w:val="bottom"/>
            <w:tcBorders>
              <w:top w:val="single" w:sz="8" w:color="407CCA"/>
              <w:right w:val="single" w:sz="8" w:color="407CCA"/>
            </w:tcBorders>
          </w:tcPr>
          <w:p>
            <w:pPr>
              <w:ind w:left="100"/>
              <w:spacing w:after="0" w:line="203" w:lineRule="exact"/>
              <w:rPr>
                <w:sz w:val="20"/>
                <w:szCs w:val="20"/>
                <w:color w:val="auto"/>
              </w:rPr>
            </w:pPr>
            <w:r>
              <w:rPr>
                <w:rFonts w:ascii="MS PGothic" w:cs="MS PGothic" w:eastAsia="MS PGothic" w:hAnsi="MS PGothic"/>
                <w:sz w:val="18"/>
                <w:szCs w:val="18"/>
                <w:color w:val="auto"/>
                <w:w w:val="99"/>
              </w:rPr>
              <w:t>✓</w:t>
            </w:r>
            <w:r>
              <w:rPr>
                <w:rFonts w:ascii="Arial" w:cs="Arial" w:eastAsia="Arial" w:hAnsi="Arial"/>
                <w:sz w:val="18"/>
                <w:szCs w:val="18"/>
                <w:color w:val="auto"/>
                <w:w w:val="99"/>
              </w:rPr>
              <w:t xml:space="preserve">  Maintained lowest cost operating model among mortgage REITs</w:t>
            </w:r>
          </w:p>
        </w:tc>
      </w:tr>
      <w:tr>
        <w:trPr>
          <w:trHeight w:val="245"/>
        </w:trPr>
        <w:tc>
          <w:tcPr>
            <w:tcW w:w="2220" w:type="dxa"/>
            <w:vAlign w:val="bottom"/>
            <w:tcBorders>
              <w:left w:val="single" w:sz="8" w:color="407CCA"/>
              <w:right w:val="single" w:sz="8" w:color="407CCA"/>
            </w:tcBorders>
            <w:shd w:val="clear" w:color="auto" w:fill="D8E4F4"/>
          </w:tcPr>
          <w:p>
            <w:pPr>
              <w:ind w:left="240"/>
              <w:spacing w:after="0"/>
              <w:rPr>
                <w:sz w:val="20"/>
                <w:szCs w:val="20"/>
                <w:color w:val="auto"/>
              </w:rPr>
            </w:pPr>
            <w:r>
              <w:rPr>
                <w:rFonts w:ascii="Arial" w:cs="Arial" w:eastAsia="Arial" w:hAnsi="Arial"/>
                <w:sz w:val="18"/>
                <w:szCs w:val="18"/>
                <w:b w:val="1"/>
                <w:bCs w:val="1"/>
                <w:color w:val="auto"/>
              </w:rPr>
              <w:t>Operating Cost</w:t>
            </w:r>
          </w:p>
        </w:tc>
        <w:tc>
          <w:tcPr>
            <w:tcW w:w="3300" w:type="dxa"/>
            <w:vAlign w:val="bottom"/>
            <w:tcBorders>
              <w:right w:val="single" w:sz="8" w:color="407CCA"/>
            </w:tcBorders>
          </w:tcPr>
          <w:p>
            <w:pPr>
              <w:ind w:left="440"/>
              <w:spacing w:after="0"/>
              <w:rPr>
                <w:sz w:val="20"/>
                <w:szCs w:val="20"/>
                <w:color w:val="auto"/>
              </w:rPr>
            </w:pPr>
            <w:r>
              <w:rPr>
                <w:rFonts w:ascii="Arial" w:cs="Arial" w:eastAsia="Arial" w:hAnsi="Arial"/>
                <w:sz w:val="18"/>
                <w:szCs w:val="18"/>
                <w:color w:val="auto"/>
              </w:rPr>
              <w:t>relative to the residential mortgage</w:t>
            </w:r>
          </w:p>
        </w:tc>
        <w:tc>
          <w:tcPr>
            <w:tcW w:w="5520" w:type="dxa"/>
            <w:vAlign w:val="bottom"/>
            <w:tcBorders>
              <w:right w:val="single" w:sz="8" w:color="407CCA"/>
            </w:tcBorders>
          </w:tcPr>
          <w:p>
            <w:pPr>
              <w:ind w:left="100"/>
              <w:spacing w:after="0" w:line="207" w:lineRule="exact"/>
              <w:rPr>
                <w:sz w:val="20"/>
                <w:szCs w:val="20"/>
                <w:color w:val="auto"/>
              </w:rPr>
            </w:pPr>
            <w:r>
              <w:rPr>
                <w:rFonts w:ascii="MS PGothic" w:cs="MS PGothic" w:eastAsia="MS PGothic" w:hAnsi="MS PGothic"/>
                <w:sz w:val="18"/>
                <w:szCs w:val="18"/>
                <w:color w:val="auto"/>
              </w:rPr>
              <w:t>✓</w:t>
            </w:r>
            <w:r>
              <w:rPr>
                <w:rFonts w:ascii="Arial" w:cs="Arial" w:eastAsia="Arial" w:hAnsi="Arial"/>
                <w:sz w:val="18"/>
                <w:szCs w:val="18"/>
                <w:color w:val="auto"/>
              </w:rPr>
              <w:t xml:space="preserve">  Maintained service levels throughout the organization</w:t>
            </w:r>
          </w:p>
        </w:tc>
      </w:tr>
      <w:tr>
        <w:trPr>
          <w:trHeight w:val="220"/>
        </w:trPr>
        <w:tc>
          <w:tcPr>
            <w:tcW w:w="2220" w:type="dxa"/>
            <w:vAlign w:val="bottom"/>
            <w:tcBorders>
              <w:left w:val="single" w:sz="8" w:color="407CCA"/>
              <w:right w:val="single" w:sz="8" w:color="407CCA"/>
            </w:tcBorders>
            <w:shd w:val="clear" w:color="auto" w:fill="D8E4F4"/>
          </w:tcPr>
          <w:p>
            <w:pPr>
              <w:ind w:left="240"/>
              <w:spacing w:after="0"/>
              <w:rPr>
                <w:sz w:val="20"/>
                <w:szCs w:val="20"/>
                <w:color w:val="auto"/>
              </w:rPr>
            </w:pPr>
            <w:r>
              <w:rPr>
                <w:rFonts w:ascii="Arial" w:cs="Arial" w:eastAsia="Arial" w:hAnsi="Arial"/>
                <w:sz w:val="18"/>
                <w:szCs w:val="18"/>
                <w:b w:val="1"/>
                <w:bCs w:val="1"/>
                <w:color w:val="auto"/>
              </w:rPr>
              <w:t>Structure</w:t>
            </w:r>
          </w:p>
        </w:tc>
        <w:tc>
          <w:tcPr>
            <w:tcW w:w="3300" w:type="dxa"/>
            <w:vAlign w:val="bottom"/>
            <w:tcBorders>
              <w:right w:val="single" w:sz="8" w:color="407CCA"/>
            </w:tcBorders>
          </w:tcPr>
          <w:p>
            <w:pPr>
              <w:ind w:left="440"/>
              <w:spacing w:after="0"/>
              <w:rPr>
                <w:sz w:val="20"/>
                <w:szCs w:val="20"/>
                <w:color w:val="auto"/>
              </w:rPr>
            </w:pPr>
            <w:r>
              <w:rPr>
                <w:rFonts w:ascii="Arial" w:cs="Arial" w:eastAsia="Arial" w:hAnsi="Arial"/>
                <w:sz w:val="18"/>
                <w:szCs w:val="18"/>
                <w:color w:val="auto"/>
                <w:w w:val="93"/>
              </w:rPr>
              <w:t>REIT and broader asset management</w:t>
            </w:r>
          </w:p>
        </w:tc>
        <w:tc>
          <w:tcPr>
            <w:tcW w:w="5520" w:type="dxa"/>
            <w:vAlign w:val="bottom"/>
            <w:tcBorders>
              <w:right w:val="single" w:sz="8" w:color="407CCA"/>
            </w:tcBorders>
          </w:tcPr>
          <w:p>
            <w:pPr>
              <w:spacing w:after="0"/>
              <w:rPr>
                <w:sz w:val="19"/>
                <w:szCs w:val="19"/>
                <w:color w:val="auto"/>
              </w:rPr>
            </w:pPr>
          </w:p>
        </w:tc>
      </w:tr>
      <w:tr>
        <w:trPr>
          <w:trHeight w:val="284"/>
        </w:trPr>
        <w:tc>
          <w:tcPr>
            <w:tcW w:w="2220" w:type="dxa"/>
            <w:vAlign w:val="bottom"/>
            <w:tcBorders>
              <w:left w:val="single" w:sz="8" w:color="407CCA"/>
              <w:bottom w:val="single" w:sz="8" w:color="D8E4F4"/>
              <w:right w:val="single" w:sz="8" w:color="407CCA"/>
            </w:tcBorders>
            <w:shd w:val="clear" w:color="auto" w:fill="D8E4F4"/>
          </w:tcPr>
          <w:p>
            <w:pPr>
              <w:spacing w:after="0"/>
              <w:rPr>
                <w:sz w:val="24"/>
                <w:szCs w:val="24"/>
                <w:color w:val="auto"/>
              </w:rPr>
            </w:pPr>
          </w:p>
        </w:tc>
        <w:tc>
          <w:tcPr>
            <w:tcW w:w="3300" w:type="dxa"/>
            <w:vAlign w:val="bottom"/>
            <w:tcBorders>
              <w:right w:val="single" w:sz="8" w:color="407CCA"/>
            </w:tcBorders>
          </w:tcPr>
          <w:p>
            <w:pPr>
              <w:ind w:left="440"/>
              <w:spacing w:after="0"/>
              <w:rPr>
                <w:sz w:val="20"/>
                <w:szCs w:val="20"/>
                <w:color w:val="auto"/>
              </w:rPr>
            </w:pPr>
            <w:r>
              <w:rPr>
                <w:rFonts w:ascii="Arial" w:cs="Arial" w:eastAsia="Arial" w:hAnsi="Arial"/>
                <w:sz w:val="18"/>
                <w:szCs w:val="18"/>
                <w:color w:val="auto"/>
              </w:rPr>
              <w:t>industries</w:t>
            </w:r>
          </w:p>
        </w:tc>
        <w:tc>
          <w:tcPr>
            <w:tcW w:w="5520" w:type="dxa"/>
            <w:vAlign w:val="bottom"/>
            <w:tcBorders>
              <w:right w:val="single" w:sz="8" w:color="407CCA"/>
            </w:tcBorders>
          </w:tcPr>
          <w:p>
            <w:pPr>
              <w:spacing w:after="0"/>
              <w:rPr>
                <w:sz w:val="24"/>
                <w:szCs w:val="24"/>
                <w:color w:val="auto"/>
              </w:rPr>
            </w:pPr>
          </w:p>
        </w:tc>
      </w:tr>
      <w:tr>
        <w:trPr>
          <w:trHeight w:val="232"/>
        </w:trPr>
        <w:tc>
          <w:tcPr>
            <w:tcW w:w="2220" w:type="dxa"/>
            <w:vAlign w:val="bottom"/>
            <w:tcBorders>
              <w:top w:val="single" w:sz="8" w:color="407CCA"/>
              <w:left w:val="single" w:sz="8" w:color="407CCA"/>
              <w:right w:val="single" w:sz="8" w:color="407CCA"/>
            </w:tcBorders>
            <w:shd w:val="clear" w:color="auto" w:fill="D8E4F4"/>
          </w:tcPr>
          <w:p>
            <w:pPr>
              <w:ind w:left="240"/>
              <w:spacing w:after="0"/>
              <w:rPr>
                <w:sz w:val="20"/>
                <w:szCs w:val="20"/>
                <w:color w:val="auto"/>
              </w:rPr>
            </w:pPr>
            <w:r>
              <w:rPr>
                <w:rFonts w:ascii="Arial" w:cs="Arial" w:eastAsia="Arial" w:hAnsi="Arial"/>
                <w:sz w:val="18"/>
                <w:szCs w:val="18"/>
                <w:b w:val="1"/>
                <w:bCs w:val="1"/>
                <w:color w:val="auto"/>
              </w:rPr>
              <w:t>Disciplined Risk</w:t>
            </w:r>
          </w:p>
        </w:tc>
        <w:tc>
          <w:tcPr>
            <w:tcW w:w="3300" w:type="dxa"/>
            <w:vAlign w:val="bottom"/>
            <w:tcBorders>
              <w:top w:val="single" w:sz="8" w:color="407CCA"/>
              <w:right w:val="single" w:sz="8" w:color="407CCA"/>
            </w:tcBorders>
          </w:tcPr>
          <w:p>
            <w:pPr>
              <w:ind w:left="80"/>
              <w:spacing w:after="0" w:line="207" w:lineRule="exact"/>
              <w:rPr>
                <w:sz w:val="20"/>
                <w:szCs w:val="20"/>
                <w:color w:val="auto"/>
              </w:rPr>
            </w:pPr>
            <w:r>
              <w:rPr>
                <w:rFonts w:ascii="MS PGothic" w:cs="MS PGothic" w:eastAsia="MS PGothic" w:hAnsi="MS PGothic"/>
                <w:sz w:val="18"/>
                <w:szCs w:val="18"/>
                <w:color w:val="auto"/>
              </w:rPr>
              <w:t>✓</w:t>
            </w:r>
            <w:r>
              <w:rPr>
                <w:rFonts w:ascii="Arial" w:cs="Arial" w:eastAsia="Arial" w:hAnsi="Arial"/>
                <w:sz w:val="18"/>
                <w:szCs w:val="18"/>
                <w:color w:val="auto"/>
              </w:rPr>
              <w:t xml:space="preserve">  Mitigate risk through AGNC’s</w:t>
            </w:r>
          </w:p>
        </w:tc>
        <w:tc>
          <w:tcPr>
            <w:tcW w:w="5520" w:type="dxa"/>
            <w:vAlign w:val="bottom"/>
            <w:tcBorders>
              <w:top w:val="single" w:sz="8" w:color="407CCA"/>
              <w:right w:val="single" w:sz="8" w:color="407CCA"/>
            </w:tcBorders>
          </w:tcPr>
          <w:p>
            <w:pPr>
              <w:ind w:left="100"/>
              <w:spacing w:after="0" w:line="207" w:lineRule="exact"/>
              <w:rPr>
                <w:sz w:val="20"/>
                <w:szCs w:val="20"/>
                <w:color w:val="auto"/>
              </w:rPr>
            </w:pPr>
            <w:r>
              <w:rPr>
                <w:rFonts w:ascii="MS PGothic" w:cs="MS PGothic" w:eastAsia="MS PGothic" w:hAnsi="MS PGothic"/>
                <w:sz w:val="18"/>
                <w:szCs w:val="18"/>
                <w:color w:val="auto"/>
              </w:rPr>
              <w:t>✓</w:t>
            </w:r>
            <w:r>
              <w:rPr>
                <w:rFonts w:ascii="Arial" w:cs="Arial" w:eastAsia="Arial" w:hAnsi="Arial"/>
                <w:sz w:val="18"/>
                <w:szCs w:val="18"/>
                <w:color w:val="auto"/>
              </w:rPr>
              <w:t xml:space="preserve">  Operated within defined risk limits, regulatory requirements, and</w:t>
            </w:r>
          </w:p>
        </w:tc>
      </w:tr>
      <w:tr>
        <w:trPr>
          <w:trHeight w:val="220"/>
        </w:trPr>
        <w:tc>
          <w:tcPr>
            <w:tcW w:w="2220" w:type="dxa"/>
            <w:vAlign w:val="bottom"/>
            <w:tcBorders>
              <w:left w:val="single" w:sz="8" w:color="407CCA"/>
              <w:right w:val="single" w:sz="8" w:color="407CCA"/>
            </w:tcBorders>
            <w:shd w:val="clear" w:color="auto" w:fill="D8E4F4"/>
          </w:tcPr>
          <w:p>
            <w:pPr>
              <w:ind w:left="240"/>
              <w:spacing w:after="0"/>
              <w:rPr>
                <w:sz w:val="20"/>
                <w:szCs w:val="20"/>
                <w:color w:val="auto"/>
              </w:rPr>
            </w:pPr>
            <w:r>
              <w:rPr>
                <w:rFonts w:ascii="Arial" w:cs="Arial" w:eastAsia="Arial" w:hAnsi="Arial"/>
                <w:sz w:val="18"/>
                <w:szCs w:val="18"/>
                <w:b w:val="1"/>
                <w:bCs w:val="1"/>
                <w:color w:val="auto"/>
              </w:rPr>
              <w:t>Management</w:t>
            </w:r>
          </w:p>
        </w:tc>
        <w:tc>
          <w:tcPr>
            <w:tcW w:w="3300" w:type="dxa"/>
            <w:vAlign w:val="bottom"/>
            <w:tcBorders>
              <w:right w:val="single" w:sz="8" w:color="407CCA"/>
            </w:tcBorders>
          </w:tcPr>
          <w:p>
            <w:pPr>
              <w:ind w:left="440"/>
              <w:spacing w:after="0"/>
              <w:rPr>
                <w:sz w:val="20"/>
                <w:szCs w:val="20"/>
                <w:color w:val="auto"/>
              </w:rPr>
            </w:pPr>
            <w:r>
              <w:rPr>
                <w:rFonts w:ascii="Arial" w:cs="Arial" w:eastAsia="Arial" w:hAnsi="Arial"/>
                <w:sz w:val="18"/>
                <w:szCs w:val="18"/>
                <w:color w:val="auto"/>
              </w:rPr>
              <w:t>comprehensive risk management</w:t>
            </w:r>
          </w:p>
        </w:tc>
        <w:tc>
          <w:tcPr>
            <w:tcW w:w="5520" w:type="dxa"/>
            <w:vAlign w:val="bottom"/>
            <w:tcBorders>
              <w:right w:val="single" w:sz="8" w:color="407CCA"/>
            </w:tcBorders>
          </w:tcPr>
          <w:p>
            <w:pPr>
              <w:ind w:left="460"/>
              <w:spacing w:after="0"/>
              <w:rPr>
                <w:sz w:val="20"/>
                <w:szCs w:val="20"/>
                <w:color w:val="auto"/>
              </w:rPr>
            </w:pPr>
            <w:r>
              <w:rPr>
                <w:rFonts w:ascii="Arial" w:cs="Arial" w:eastAsia="Arial" w:hAnsi="Arial"/>
                <w:sz w:val="18"/>
                <w:szCs w:val="18"/>
                <w:color w:val="auto"/>
                <w:w w:val="98"/>
              </w:rPr>
              <w:t>operational norms, with a view toward managing enterprise wide</w:t>
            </w:r>
          </w:p>
        </w:tc>
      </w:tr>
      <w:tr>
        <w:trPr>
          <w:trHeight w:val="183"/>
        </w:trPr>
        <w:tc>
          <w:tcPr>
            <w:tcW w:w="2220" w:type="dxa"/>
            <w:vAlign w:val="bottom"/>
            <w:tcBorders>
              <w:left w:val="single" w:sz="8" w:color="407CCA"/>
              <w:right w:val="single" w:sz="8" w:color="407CCA"/>
            </w:tcBorders>
            <w:shd w:val="clear" w:color="auto" w:fill="D8E4F4"/>
          </w:tcPr>
          <w:p>
            <w:pPr>
              <w:spacing w:after="0"/>
              <w:rPr>
                <w:sz w:val="15"/>
                <w:szCs w:val="15"/>
                <w:color w:val="auto"/>
              </w:rPr>
            </w:pPr>
          </w:p>
        </w:tc>
        <w:tc>
          <w:tcPr>
            <w:tcW w:w="3300" w:type="dxa"/>
            <w:vAlign w:val="bottom"/>
            <w:tcBorders>
              <w:right w:val="single" w:sz="8" w:color="407CCA"/>
            </w:tcBorders>
          </w:tcPr>
          <w:p>
            <w:pPr>
              <w:ind w:left="440"/>
              <w:spacing w:after="0" w:line="183" w:lineRule="exact"/>
              <w:rPr>
                <w:sz w:val="20"/>
                <w:szCs w:val="20"/>
                <w:color w:val="auto"/>
              </w:rPr>
            </w:pPr>
            <w:r>
              <w:rPr>
                <w:rFonts w:ascii="Arial" w:cs="Arial" w:eastAsia="Arial" w:hAnsi="Arial"/>
                <w:sz w:val="18"/>
                <w:szCs w:val="18"/>
                <w:color w:val="auto"/>
              </w:rPr>
              <w:t>framework, which is predicated on</w:t>
            </w:r>
          </w:p>
        </w:tc>
        <w:tc>
          <w:tcPr>
            <w:tcW w:w="5520" w:type="dxa"/>
            <w:vAlign w:val="bottom"/>
            <w:tcBorders>
              <w:right w:val="single" w:sz="8" w:color="407CCA"/>
            </w:tcBorders>
          </w:tcPr>
          <w:p>
            <w:pPr>
              <w:ind w:left="460"/>
              <w:spacing w:after="0" w:line="183" w:lineRule="exact"/>
              <w:rPr>
                <w:sz w:val="20"/>
                <w:szCs w:val="20"/>
                <w:color w:val="auto"/>
              </w:rPr>
            </w:pPr>
            <w:r>
              <w:rPr>
                <w:rFonts w:ascii="Arial" w:cs="Arial" w:eastAsia="Arial" w:hAnsi="Arial"/>
                <w:sz w:val="18"/>
                <w:szCs w:val="18"/>
                <w:color w:val="auto"/>
              </w:rPr>
              <w:t>risks</w:t>
            </w:r>
          </w:p>
        </w:tc>
      </w:tr>
      <w:tr>
        <w:trPr>
          <w:trHeight w:val="249"/>
        </w:trPr>
        <w:tc>
          <w:tcPr>
            <w:tcW w:w="2220" w:type="dxa"/>
            <w:vAlign w:val="bottom"/>
            <w:tcBorders>
              <w:left w:val="single" w:sz="8" w:color="407CCA"/>
              <w:right w:val="single" w:sz="8" w:color="407CCA"/>
            </w:tcBorders>
            <w:shd w:val="clear" w:color="auto" w:fill="D8E4F4"/>
          </w:tcPr>
          <w:p>
            <w:pPr>
              <w:spacing w:after="0"/>
              <w:rPr>
                <w:sz w:val="21"/>
                <w:szCs w:val="21"/>
                <w:color w:val="auto"/>
              </w:rPr>
            </w:pPr>
          </w:p>
        </w:tc>
        <w:tc>
          <w:tcPr>
            <w:tcW w:w="3300" w:type="dxa"/>
            <w:vAlign w:val="bottom"/>
            <w:tcBorders>
              <w:right w:val="single" w:sz="8" w:color="407CCA"/>
            </w:tcBorders>
          </w:tcPr>
          <w:p>
            <w:pPr>
              <w:ind w:left="440"/>
              <w:spacing w:after="0"/>
              <w:rPr>
                <w:sz w:val="20"/>
                <w:szCs w:val="20"/>
                <w:color w:val="auto"/>
              </w:rPr>
            </w:pPr>
            <w:r>
              <w:rPr>
                <w:rFonts w:ascii="Arial" w:cs="Arial" w:eastAsia="Arial" w:hAnsi="Arial"/>
                <w:sz w:val="18"/>
                <w:szCs w:val="18"/>
                <w:color w:val="auto"/>
              </w:rPr>
              <w:t>careful asset selection, disciplined</w:t>
            </w:r>
          </w:p>
        </w:tc>
        <w:tc>
          <w:tcPr>
            <w:tcW w:w="5520" w:type="dxa"/>
            <w:vAlign w:val="bottom"/>
            <w:tcBorders>
              <w:right w:val="single" w:sz="8" w:color="407CCA"/>
            </w:tcBorders>
          </w:tcPr>
          <w:p>
            <w:pPr>
              <w:ind w:left="100"/>
              <w:spacing w:after="0" w:line="207" w:lineRule="exact"/>
              <w:rPr>
                <w:sz w:val="20"/>
                <w:szCs w:val="20"/>
                <w:color w:val="auto"/>
              </w:rPr>
            </w:pPr>
            <w:r>
              <w:rPr>
                <w:rFonts w:ascii="MS PGothic" w:cs="MS PGothic" w:eastAsia="MS PGothic" w:hAnsi="MS PGothic"/>
                <w:sz w:val="18"/>
                <w:szCs w:val="18"/>
                <w:color w:val="auto"/>
                <w:w w:val="94"/>
              </w:rPr>
              <w:t>✓</w:t>
            </w:r>
            <w:r>
              <w:rPr>
                <w:rFonts w:ascii="Arial" w:cs="Arial" w:eastAsia="Arial" w:hAnsi="Arial"/>
                <w:sz w:val="18"/>
                <w:szCs w:val="18"/>
                <w:color w:val="auto"/>
                <w:w w:val="94"/>
              </w:rPr>
              <w:t xml:space="preserve">  Repositioned Agency MBS portfolio into lower coupons and prepay-</w:t>
            </w:r>
          </w:p>
        </w:tc>
      </w:tr>
      <w:tr>
        <w:trPr>
          <w:trHeight w:val="216"/>
        </w:trPr>
        <w:tc>
          <w:tcPr>
            <w:tcW w:w="2220" w:type="dxa"/>
            <w:vAlign w:val="bottom"/>
            <w:tcBorders>
              <w:left w:val="single" w:sz="8" w:color="407CCA"/>
              <w:right w:val="single" w:sz="8" w:color="407CCA"/>
            </w:tcBorders>
            <w:shd w:val="clear" w:color="auto" w:fill="D8E4F4"/>
          </w:tcPr>
          <w:p>
            <w:pPr>
              <w:spacing w:after="0"/>
              <w:rPr>
                <w:sz w:val="18"/>
                <w:szCs w:val="18"/>
                <w:color w:val="auto"/>
              </w:rPr>
            </w:pPr>
          </w:p>
        </w:tc>
        <w:tc>
          <w:tcPr>
            <w:tcW w:w="3300" w:type="dxa"/>
            <w:vAlign w:val="bottom"/>
            <w:tcBorders>
              <w:right w:val="single" w:sz="8" w:color="407CCA"/>
            </w:tcBorders>
          </w:tcPr>
          <w:p>
            <w:pPr>
              <w:ind w:left="440"/>
              <w:spacing w:after="0"/>
              <w:rPr>
                <w:sz w:val="20"/>
                <w:szCs w:val="20"/>
                <w:color w:val="auto"/>
              </w:rPr>
            </w:pPr>
            <w:r>
              <w:rPr>
                <w:rFonts w:ascii="Arial" w:cs="Arial" w:eastAsia="Arial" w:hAnsi="Arial"/>
                <w:sz w:val="18"/>
                <w:szCs w:val="18"/>
                <w:color w:val="auto"/>
                <w:w w:val="95"/>
              </w:rPr>
              <w:t>hedging, and diversified funding, with</w:t>
            </w:r>
          </w:p>
        </w:tc>
        <w:tc>
          <w:tcPr>
            <w:tcW w:w="5520" w:type="dxa"/>
            <w:vAlign w:val="bottom"/>
            <w:tcBorders>
              <w:right w:val="single" w:sz="8" w:color="407CCA"/>
            </w:tcBorders>
          </w:tcPr>
          <w:p>
            <w:pPr>
              <w:ind w:left="460"/>
              <w:spacing w:after="0"/>
              <w:rPr>
                <w:sz w:val="20"/>
                <w:szCs w:val="20"/>
                <w:color w:val="auto"/>
              </w:rPr>
            </w:pPr>
            <w:r>
              <w:rPr>
                <w:rFonts w:ascii="Arial" w:cs="Arial" w:eastAsia="Arial" w:hAnsi="Arial"/>
                <w:sz w:val="18"/>
                <w:szCs w:val="18"/>
                <w:color w:val="auto"/>
                <w:w w:val="92"/>
              </w:rPr>
              <w:t>protected securities to mitigate the impact of the significant rate rally</w:t>
            </w:r>
          </w:p>
        </w:tc>
      </w:tr>
      <w:tr>
        <w:trPr>
          <w:trHeight w:val="183"/>
        </w:trPr>
        <w:tc>
          <w:tcPr>
            <w:tcW w:w="2220" w:type="dxa"/>
            <w:vAlign w:val="bottom"/>
            <w:tcBorders>
              <w:left w:val="single" w:sz="8" w:color="407CCA"/>
              <w:right w:val="single" w:sz="8" w:color="407CCA"/>
            </w:tcBorders>
            <w:shd w:val="clear" w:color="auto" w:fill="D8E4F4"/>
          </w:tcPr>
          <w:p>
            <w:pPr>
              <w:spacing w:after="0"/>
              <w:rPr>
                <w:sz w:val="15"/>
                <w:szCs w:val="15"/>
                <w:color w:val="auto"/>
              </w:rPr>
            </w:pPr>
          </w:p>
        </w:tc>
        <w:tc>
          <w:tcPr>
            <w:tcW w:w="3300" w:type="dxa"/>
            <w:vAlign w:val="bottom"/>
            <w:tcBorders>
              <w:right w:val="single" w:sz="8" w:color="407CCA"/>
            </w:tcBorders>
          </w:tcPr>
          <w:p>
            <w:pPr>
              <w:ind w:left="440"/>
              <w:spacing w:after="0" w:line="183" w:lineRule="exact"/>
              <w:rPr>
                <w:sz w:val="20"/>
                <w:szCs w:val="20"/>
                <w:color w:val="auto"/>
              </w:rPr>
            </w:pPr>
            <w:r>
              <w:rPr>
                <w:rFonts w:ascii="Arial" w:cs="Arial" w:eastAsia="Arial" w:hAnsi="Arial"/>
                <w:sz w:val="18"/>
                <w:szCs w:val="18"/>
                <w:color w:val="auto"/>
              </w:rPr>
              <w:t>the goal of preserving tangible net</w:t>
            </w:r>
          </w:p>
        </w:tc>
        <w:tc>
          <w:tcPr>
            <w:tcW w:w="5520" w:type="dxa"/>
            <w:vAlign w:val="bottom"/>
            <w:tcBorders>
              <w:right w:val="single" w:sz="8" w:color="407CCA"/>
            </w:tcBorders>
          </w:tcPr>
          <w:p>
            <w:pPr>
              <w:ind w:left="460"/>
              <w:spacing w:after="0" w:line="183" w:lineRule="exact"/>
              <w:rPr>
                <w:sz w:val="20"/>
                <w:szCs w:val="20"/>
                <w:color w:val="auto"/>
              </w:rPr>
            </w:pPr>
            <w:r>
              <w:rPr>
                <w:rFonts w:ascii="Arial" w:cs="Arial" w:eastAsia="Arial" w:hAnsi="Arial"/>
                <w:sz w:val="18"/>
                <w:szCs w:val="18"/>
                <w:color w:val="auto"/>
              </w:rPr>
              <w:t>that occurred during the year</w:t>
            </w:r>
          </w:p>
        </w:tc>
      </w:tr>
      <w:tr>
        <w:trPr>
          <w:trHeight w:val="249"/>
        </w:trPr>
        <w:tc>
          <w:tcPr>
            <w:tcW w:w="2220" w:type="dxa"/>
            <w:vAlign w:val="bottom"/>
            <w:tcBorders>
              <w:left w:val="single" w:sz="8" w:color="407CCA"/>
              <w:right w:val="single" w:sz="8" w:color="407CCA"/>
            </w:tcBorders>
            <w:shd w:val="clear" w:color="auto" w:fill="D8E4F4"/>
          </w:tcPr>
          <w:p>
            <w:pPr>
              <w:spacing w:after="0"/>
              <w:rPr>
                <w:sz w:val="21"/>
                <w:szCs w:val="21"/>
                <w:color w:val="auto"/>
              </w:rPr>
            </w:pPr>
          </w:p>
        </w:tc>
        <w:tc>
          <w:tcPr>
            <w:tcW w:w="3300" w:type="dxa"/>
            <w:vAlign w:val="bottom"/>
            <w:tcBorders>
              <w:right w:val="single" w:sz="8" w:color="407CCA"/>
            </w:tcBorders>
          </w:tcPr>
          <w:p>
            <w:pPr>
              <w:ind w:left="440"/>
              <w:spacing w:after="0"/>
              <w:rPr>
                <w:sz w:val="20"/>
                <w:szCs w:val="20"/>
                <w:color w:val="auto"/>
              </w:rPr>
            </w:pPr>
            <w:r>
              <w:rPr>
                <w:rFonts w:ascii="Arial" w:cs="Arial" w:eastAsia="Arial" w:hAnsi="Arial"/>
                <w:sz w:val="18"/>
                <w:szCs w:val="18"/>
                <w:color w:val="auto"/>
                <w:w w:val="98"/>
              </w:rPr>
              <w:t>book value across market scenarios</w:t>
            </w:r>
          </w:p>
        </w:tc>
        <w:tc>
          <w:tcPr>
            <w:tcW w:w="5520" w:type="dxa"/>
            <w:vAlign w:val="bottom"/>
            <w:tcBorders>
              <w:right w:val="single" w:sz="8" w:color="407CCA"/>
            </w:tcBorders>
          </w:tcPr>
          <w:p>
            <w:pPr>
              <w:ind w:left="100"/>
              <w:spacing w:after="0" w:line="207" w:lineRule="exact"/>
              <w:rPr>
                <w:sz w:val="20"/>
                <w:szCs w:val="20"/>
                <w:color w:val="auto"/>
              </w:rPr>
            </w:pPr>
            <w:r>
              <w:rPr>
                <w:rFonts w:ascii="MS PGothic" w:cs="MS PGothic" w:eastAsia="MS PGothic" w:hAnsi="MS PGothic"/>
                <w:sz w:val="18"/>
                <w:szCs w:val="18"/>
                <w:color w:val="auto"/>
              </w:rPr>
              <w:t>✓</w:t>
            </w:r>
            <w:r>
              <w:rPr>
                <w:rFonts w:ascii="Arial" w:cs="Arial" w:eastAsia="Arial" w:hAnsi="Arial"/>
                <w:sz w:val="18"/>
                <w:szCs w:val="18"/>
                <w:color w:val="auto"/>
              </w:rPr>
              <w:t xml:space="preserve">  Increased hedge ratio while also opportunistically terminating a</w:t>
            </w:r>
          </w:p>
        </w:tc>
      </w:tr>
      <w:tr>
        <w:trPr>
          <w:trHeight w:val="216"/>
        </w:trPr>
        <w:tc>
          <w:tcPr>
            <w:tcW w:w="2220" w:type="dxa"/>
            <w:vAlign w:val="bottom"/>
            <w:tcBorders>
              <w:left w:val="single" w:sz="8" w:color="407CCA"/>
              <w:right w:val="single" w:sz="8" w:color="407CCA"/>
            </w:tcBorders>
            <w:shd w:val="clear" w:color="auto" w:fill="D8E4F4"/>
          </w:tcPr>
          <w:p>
            <w:pPr>
              <w:spacing w:after="0"/>
              <w:rPr>
                <w:sz w:val="18"/>
                <w:szCs w:val="18"/>
                <w:color w:val="auto"/>
              </w:rPr>
            </w:pPr>
          </w:p>
        </w:tc>
        <w:tc>
          <w:tcPr>
            <w:tcW w:w="3300" w:type="dxa"/>
            <w:vAlign w:val="bottom"/>
            <w:tcBorders>
              <w:right w:val="single" w:sz="8" w:color="407CCA"/>
            </w:tcBorders>
          </w:tcPr>
          <w:p>
            <w:pPr>
              <w:ind w:left="440"/>
              <w:spacing w:after="0"/>
              <w:rPr>
                <w:sz w:val="20"/>
                <w:szCs w:val="20"/>
                <w:color w:val="auto"/>
              </w:rPr>
            </w:pPr>
            <w:r>
              <w:rPr>
                <w:rFonts w:ascii="Arial" w:cs="Arial" w:eastAsia="Arial" w:hAnsi="Arial"/>
                <w:sz w:val="18"/>
                <w:szCs w:val="18"/>
                <w:color w:val="auto"/>
              </w:rPr>
              <w:t>over the long-term</w:t>
            </w:r>
          </w:p>
        </w:tc>
        <w:tc>
          <w:tcPr>
            <w:tcW w:w="5520" w:type="dxa"/>
            <w:vAlign w:val="bottom"/>
            <w:tcBorders>
              <w:right w:val="single" w:sz="8" w:color="407CCA"/>
            </w:tcBorders>
          </w:tcPr>
          <w:p>
            <w:pPr>
              <w:ind w:left="460"/>
              <w:spacing w:after="0"/>
              <w:rPr>
                <w:sz w:val="20"/>
                <w:szCs w:val="20"/>
                <w:color w:val="auto"/>
              </w:rPr>
            </w:pPr>
            <w:r>
              <w:rPr>
                <w:rFonts w:ascii="Arial" w:cs="Arial" w:eastAsia="Arial" w:hAnsi="Arial"/>
                <w:sz w:val="18"/>
                <w:szCs w:val="18"/>
                <w:color w:val="auto"/>
                <w:w w:val="97"/>
              </w:rPr>
              <w:t>significant amount of longer-term pay-fixed swaps and short U.S.</w:t>
            </w:r>
          </w:p>
        </w:tc>
      </w:tr>
      <w:tr>
        <w:trPr>
          <w:trHeight w:val="216"/>
        </w:trPr>
        <w:tc>
          <w:tcPr>
            <w:tcW w:w="2220" w:type="dxa"/>
            <w:vAlign w:val="bottom"/>
            <w:tcBorders>
              <w:left w:val="single" w:sz="8" w:color="407CCA"/>
              <w:right w:val="single" w:sz="8" w:color="407CCA"/>
            </w:tcBorders>
            <w:shd w:val="clear" w:color="auto" w:fill="D8E4F4"/>
          </w:tcPr>
          <w:p>
            <w:pPr>
              <w:spacing w:after="0"/>
              <w:rPr>
                <w:sz w:val="18"/>
                <w:szCs w:val="18"/>
                <w:color w:val="auto"/>
              </w:rPr>
            </w:pPr>
          </w:p>
        </w:tc>
        <w:tc>
          <w:tcPr>
            <w:tcW w:w="3300" w:type="dxa"/>
            <w:vAlign w:val="bottom"/>
            <w:tcBorders>
              <w:right w:val="single" w:sz="8" w:color="407CCA"/>
            </w:tcBorders>
          </w:tcPr>
          <w:p>
            <w:pPr>
              <w:spacing w:after="0"/>
              <w:rPr>
                <w:sz w:val="18"/>
                <w:szCs w:val="18"/>
                <w:color w:val="auto"/>
              </w:rPr>
            </w:pPr>
          </w:p>
        </w:tc>
        <w:tc>
          <w:tcPr>
            <w:tcW w:w="5520" w:type="dxa"/>
            <w:vAlign w:val="bottom"/>
            <w:tcBorders>
              <w:right w:val="single" w:sz="8" w:color="407CCA"/>
            </w:tcBorders>
          </w:tcPr>
          <w:p>
            <w:pPr>
              <w:ind w:left="460"/>
              <w:spacing w:after="0"/>
              <w:rPr>
                <w:sz w:val="20"/>
                <w:szCs w:val="20"/>
                <w:color w:val="auto"/>
              </w:rPr>
            </w:pPr>
            <w:r>
              <w:rPr>
                <w:rFonts w:ascii="Arial" w:cs="Arial" w:eastAsia="Arial" w:hAnsi="Arial"/>
                <w:sz w:val="18"/>
                <w:szCs w:val="18"/>
                <w:color w:val="auto"/>
                <w:w w:val="95"/>
              </w:rPr>
              <w:t>Treasury positions to effectively “lock in” Fed rate cuts and reduce</w:t>
            </w:r>
          </w:p>
        </w:tc>
      </w:tr>
      <w:tr>
        <w:trPr>
          <w:trHeight w:val="183"/>
        </w:trPr>
        <w:tc>
          <w:tcPr>
            <w:tcW w:w="2220" w:type="dxa"/>
            <w:vAlign w:val="bottom"/>
            <w:tcBorders>
              <w:left w:val="single" w:sz="8" w:color="407CCA"/>
              <w:right w:val="single" w:sz="8" w:color="407CCA"/>
            </w:tcBorders>
            <w:shd w:val="clear" w:color="auto" w:fill="D8E4F4"/>
          </w:tcPr>
          <w:p>
            <w:pPr>
              <w:spacing w:after="0"/>
              <w:rPr>
                <w:sz w:val="15"/>
                <w:szCs w:val="15"/>
                <w:color w:val="auto"/>
              </w:rPr>
            </w:pPr>
          </w:p>
        </w:tc>
        <w:tc>
          <w:tcPr>
            <w:tcW w:w="3300" w:type="dxa"/>
            <w:vAlign w:val="bottom"/>
            <w:tcBorders>
              <w:right w:val="single" w:sz="8" w:color="407CCA"/>
            </w:tcBorders>
          </w:tcPr>
          <w:p>
            <w:pPr>
              <w:spacing w:after="0"/>
              <w:rPr>
                <w:sz w:val="15"/>
                <w:szCs w:val="15"/>
                <w:color w:val="auto"/>
              </w:rPr>
            </w:pPr>
          </w:p>
        </w:tc>
        <w:tc>
          <w:tcPr>
            <w:tcW w:w="5520" w:type="dxa"/>
            <w:vAlign w:val="bottom"/>
            <w:tcBorders>
              <w:right w:val="single" w:sz="8" w:color="407CCA"/>
            </w:tcBorders>
          </w:tcPr>
          <w:p>
            <w:pPr>
              <w:ind w:left="460"/>
              <w:spacing w:after="0" w:line="183" w:lineRule="exact"/>
              <w:rPr>
                <w:sz w:val="20"/>
                <w:szCs w:val="20"/>
                <w:color w:val="auto"/>
              </w:rPr>
            </w:pPr>
            <w:r>
              <w:rPr>
                <w:rFonts w:ascii="Arial" w:cs="Arial" w:eastAsia="Arial" w:hAnsi="Arial"/>
                <w:sz w:val="18"/>
                <w:szCs w:val="18"/>
                <w:color w:val="auto"/>
              </w:rPr>
              <w:t>exposure to LIBOR</w:t>
            </w:r>
          </w:p>
        </w:tc>
      </w:tr>
      <w:tr>
        <w:trPr>
          <w:trHeight w:val="249"/>
        </w:trPr>
        <w:tc>
          <w:tcPr>
            <w:tcW w:w="2220" w:type="dxa"/>
            <w:vAlign w:val="bottom"/>
            <w:tcBorders>
              <w:left w:val="single" w:sz="8" w:color="407CCA"/>
              <w:right w:val="single" w:sz="8" w:color="407CCA"/>
            </w:tcBorders>
            <w:shd w:val="clear" w:color="auto" w:fill="D8E4F4"/>
          </w:tcPr>
          <w:p>
            <w:pPr>
              <w:spacing w:after="0"/>
              <w:rPr>
                <w:sz w:val="21"/>
                <w:szCs w:val="21"/>
                <w:color w:val="auto"/>
              </w:rPr>
            </w:pPr>
          </w:p>
        </w:tc>
        <w:tc>
          <w:tcPr>
            <w:tcW w:w="3300" w:type="dxa"/>
            <w:vAlign w:val="bottom"/>
            <w:tcBorders>
              <w:right w:val="single" w:sz="8" w:color="407CCA"/>
            </w:tcBorders>
          </w:tcPr>
          <w:p>
            <w:pPr>
              <w:spacing w:after="0"/>
              <w:rPr>
                <w:sz w:val="21"/>
                <w:szCs w:val="21"/>
                <w:color w:val="auto"/>
              </w:rPr>
            </w:pPr>
          </w:p>
        </w:tc>
        <w:tc>
          <w:tcPr>
            <w:tcW w:w="5520" w:type="dxa"/>
            <w:vAlign w:val="bottom"/>
            <w:tcBorders>
              <w:right w:val="single" w:sz="8" w:color="407CCA"/>
            </w:tcBorders>
          </w:tcPr>
          <w:p>
            <w:pPr>
              <w:ind w:left="100"/>
              <w:spacing w:after="0" w:line="207" w:lineRule="exact"/>
              <w:rPr>
                <w:sz w:val="20"/>
                <w:szCs w:val="20"/>
                <w:color w:val="auto"/>
              </w:rPr>
            </w:pPr>
            <w:r>
              <w:rPr>
                <w:rFonts w:ascii="MS PGothic" w:cs="MS PGothic" w:eastAsia="MS PGothic" w:hAnsi="MS PGothic"/>
                <w:sz w:val="18"/>
                <w:szCs w:val="18"/>
                <w:color w:val="auto"/>
              </w:rPr>
              <w:t>✓</w:t>
            </w:r>
            <w:r>
              <w:rPr>
                <w:rFonts w:ascii="Arial" w:cs="Arial" w:eastAsia="Arial" w:hAnsi="Arial"/>
                <w:sz w:val="18"/>
                <w:szCs w:val="18"/>
                <w:color w:val="auto"/>
              </w:rPr>
              <w:t xml:space="preserve">  Risk management activities resulted in significant increase in</w:t>
            </w:r>
          </w:p>
        </w:tc>
      </w:tr>
      <w:tr>
        <w:trPr>
          <w:trHeight w:val="216"/>
        </w:trPr>
        <w:tc>
          <w:tcPr>
            <w:tcW w:w="2220" w:type="dxa"/>
            <w:vAlign w:val="bottom"/>
            <w:tcBorders>
              <w:left w:val="single" w:sz="8" w:color="407CCA"/>
              <w:right w:val="single" w:sz="8" w:color="407CCA"/>
            </w:tcBorders>
            <w:shd w:val="clear" w:color="auto" w:fill="D8E4F4"/>
          </w:tcPr>
          <w:p>
            <w:pPr>
              <w:spacing w:after="0"/>
              <w:rPr>
                <w:sz w:val="18"/>
                <w:szCs w:val="18"/>
                <w:color w:val="auto"/>
              </w:rPr>
            </w:pPr>
          </w:p>
        </w:tc>
        <w:tc>
          <w:tcPr>
            <w:tcW w:w="3300" w:type="dxa"/>
            <w:vAlign w:val="bottom"/>
            <w:tcBorders>
              <w:right w:val="single" w:sz="8" w:color="407CCA"/>
            </w:tcBorders>
          </w:tcPr>
          <w:p>
            <w:pPr>
              <w:spacing w:after="0"/>
              <w:rPr>
                <w:sz w:val="18"/>
                <w:szCs w:val="18"/>
                <w:color w:val="auto"/>
              </w:rPr>
            </w:pPr>
          </w:p>
        </w:tc>
        <w:tc>
          <w:tcPr>
            <w:tcW w:w="5520" w:type="dxa"/>
            <w:vAlign w:val="bottom"/>
            <w:tcBorders>
              <w:right w:val="single" w:sz="8" w:color="407CCA"/>
            </w:tcBorders>
          </w:tcPr>
          <w:p>
            <w:pPr>
              <w:ind w:left="460"/>
              <w:spacing w:after="0"/>
              <w:rPr>
                <w:sz w:val="20"/>
                <w:szCs w:val="20"/>
                <w:color w:val="auto"/>
              </w:rPr>
            </w:pPr>
            <w:r>
              <w:rPr>
                <w:rFonts w:ascii="Arial" w:cs="Arial" w:eastAsia="Arial" w:hAnsi="Arial"/>
                <w:sz w:val="18"/>
                <w:szCs w:val="18"/>
                <w:color w:val="auto"/>
              </w:rPr>
              <w:t>tangible book value on an absolute basis and relative to what</w:t>
            </w:r>
          </w:p>
        </w:tc>
      </w:tr>
      <w:tr>
        <w:trPr>
          <w:trHeight w:val="284"/>
        </w:trPr>
        <w:tc>
          <w:tcPr>
            <w:tcW w:w="2220" w:type="dxa"/>
            <w:vAlign w:val="bottom"/>
            <w:tcBorders>
              <w:left w:val="single" w:sz="8" w:color="407CCA"/>
              <w:bottom w:val="single" w:sz="8" w:color="D8E4F4"/>
              <w:right w:val="single" w:sz="8" w:color="407CCA"/>
            </w:tcBorders>
            <w:shd w:val="clear" w:color="auto" w:fill="D8E4F4"/>
          </w:tcPr>
          <w:p>
            <w:pPr>
              <w:spacing w:after="0"/>
              <w:rPr>
                <w:sz w:val="24"/>
                <w:szCs w:val="24"/>
                <w:color w:val="auto"/>
              </w:rPr>
            </w:pPr>
          </w:p>
        </w:tc>
        <w:tc>
          <w:tcPr>
            <w:tcW w:w="3300" w:type="dxa"/>
            <w:vAlign w:val="bottom"/>
            <w:tcBorders>
              <w:right w:val="single" w:sz="8" w:color="407CCA"/>
            </w:tcBorders>
          </w:tcPr>
          <w:p>
            <w:pPr>
              <w:spacing w:after="0"/>
              <w:rPr>
                <w:sz w:val="24"/>
                <w:szCs w:val="24"/>
                <w:color w:val="auto"/>
              </w:rPr>
            </w:pPr>
          </w:p>
        </w:tc>
        <w:tc>
          <w:tcPr>
            <w:tcW w:w="5520" w:type="dxa"/>
            <w:vAlign w:val="bottom"/>
            <w:tcBorders>
              <w:right w:val="single" w:sz="8" w:color="407CCA"/>
            </w:tcBorders>
          </w:tcPr>
          <w:p>
            <w:pPr>
              <w:ind w:left="460"/>
              <w:spacing w:after="0"/>
              <w:rPr>
                <w:sz w:val="20"/>
                <w:szCs w:val="20"/>
                <w:color w:val="auto"/>
              </w:rPr>
            </w:pPr>
            <w:r>
              <w:rPr>
                <w:rFonts w:ascii="Arial" w:cs="Arial" w:eastAsia="Arial" w:hAnsi="Arial"/>
                <w:sz w:val="18"/>
                <w:szCs w:val="18"/>
                <w:color w:val="auto"/>
                <w:w w:val="94"/>
              </w:rPr>
              <w:t>management’s sensitivity model indicated at the beginning of 2019</w:t>
            </w:r>
          </w:p>
        </w:tc>
      </w:tr>
      <w:tr>
        <w:trPr>
          <w:trHeight w:val="236"/>
        </w:trPr>
        <w:tc>
          <w:tcPr>
            <w:tcW w:w="2220" w:type="dxa"/>
            <w:vAlign w:val="bottom"/>
            <w:tcBorders>
              <w:top w:val="single" w:sz="8" w:color="407CCA"/>
              <w:left w:val="single" w:sz="8" w:color="407CCA"/>
              <w:right w:val="single" w:sz="8" w:color="407CCA"/>
            </w:tcBorders>
            <w:shd w:val="clear" w:color="auto" w:fill="D8E4F4"/>
          </w:tcPr>
          <w:p>
            <w:pPr>
              <w:ind w:left="240"/>
              <w:spacing w:after="0"/>
              <w:rPr>
                <w:sz w:val="20"/>
                <w:szCs w:val="20"/>
                <w:color w:val="auto"/>
              </w:rPr>
            </w:pPr>
            <w:r>
              <w:rPr>
                <w:rFonts w:ascii="Arial" w:cs="Arial" w:eastAsia="Arial" w:hAnsi="Arial"/>
                <w:sz w:val="18"/>
                <w:szCs w:val="18"/>
                <w:b w:val="1"/>
                <w:bCs w:val="1"/>
                <w:color w:val="auto"/>
              </w:rPr>
              <w:t>Stockholder Focus</w:t>
            </w:r>
          </w:p>
        </w:tc>
        <w:tc>
          <w:tcPr>
            <w:tcW w:w="3300" w:type="dxa"/>
            <w:vAlign w:val="bottom"/>
            <w:tcBorders>
              <w:top w:val="single" w:sz="8" w:color="407CCA"/>
              <w:right w:val="single" w:sz="8" w:color="407CCA"/>
            </w:tcBorders>
          </w:tcPr>
          <w:p>
            <w:pPr>
              <w:ind w:left="80"/>
              <w:spacing w:after="0" w:line="207" w:lineRule="exact"/>
              <w:rPr>
                <w:sz w:val="20"/>
                <w:szCs w:val="20"/>
                <w:color w:val="auto"/>
              </w:rPr>
            </w:pPr>
            <w:r>
              <w:rPr>
                <w:rFonts w:ascii="MS PGothic" w:cs="MS PGothic" w:eastAsia="MS PGothic" w:hAnsi="MS PGothic"/>
                <w:sz w:val="18"/>
                <w:szCs w:val="18"/>
                <w:color w:val="auto"/>
              </w:rPr>
              <w:t>✓</w:t>
            </w:r>
            <w:r>
              <w:rPr>
                <w:rFonts w:ascii="Arial" w:cs="Arial" w:eastAsia="Arial" w:hAnsi="Arial"/>
                <w:sz w:val="18"/>
                <w:szCs w:val="18"/>
                <w:color w:val="auto"/>
              </w:rPr>
              <w:t xml:space="preserve">  Produce detailed and transparent</w:t>
            </w:r>
          </w:p>
        </w:tc>
        <w:tc>
          <w:tcPr>
            <w:tcW w:w="5520" w:type="dxa"/>
            <w:vAlign w:val="bottom"/>
            <w:tcBorders>
              <w:top w:val="single" w:sz="8" w:color="407CCA"/>
              <w:right w:val="single" w:sz="8" w:color="407CCA"/>
            </w:tcBorders>
          </w:tcPr>
          <w:p>
            <w:pPr>
              <w:ind w:left="100"/>
              <w:spacing w:after="0" w:line="207" w:lineRule="exact"/>
              <w:rPr>
                <w:sz w:val="20"/>
                <w:szCs w:val="20"/>
                <w:color w:val="auto"/>
              </w:rPr>
            </w:pPr>
            <w:r>
              <w:rPr>
                <w:rFonts w:ascii="MS PGothic" w:cs="MS PGothic" w:eastAsia="MS PGothic" w:hAnsi="MS PGothic"/>
                <w:sz w:val="18"/>
                <w:szCs w:val="18"/>
                <w:color w:val="auto"/>
                <w:w w:val="93"/>
              </w:rPr>
              <w:t>✓</w:t>
            </w:r>
            <w:r>
              <w:rPr>
                <w:rFonts w:ascii="Arial" w:cs="Arial" w:eastAsia="Arial" w:hAnsi="Arial"/>
                <w:sz w:val="18"/>
                <w:szCs w:val="18"/>
                <w:color w:val="auto"/>
                <w:w w:val="93"/>
              </w:rPr>
              <w:t xml:space="preserve">  Maintained best-in-class disclosure and timely and accurate financial</w:t>
            </w:r>
          </w:p>
        </w:tc>
      </w:tr>
      <w:tr>
        <w:trPr>
          <w:trHeight w:val="183"/>
        </w:trPr>
        <w:tc>
          <w:tcPr>
            <w:tcW w:w="2220" w:type="dxa"/>
            <w:vAlign w:val="bottom"/>
            <w:tcBorders>
              <w:left w:val="single" w:sz="8" w:color="407CCA"/>
              <w:right w:val="single" w:sz="8" w:color="407CCA"/>
            </w:tcBorders>
            <w:shd w:val="clear" w:color="auto" w:fill="D8E4F4"/>
          </w:tcPr>
          <w:p>
            <w:pPr>
              <w:spacing w:after="0"/>
              <w:rPr>
                <w:sz w:val="15"/>
                <w:szCs w:val="15"/>
                <w:color w:val="auto"/>
              </w:rPr>
            </w:pPr>
          </w:p>
        </w:tc>
        <w:tc>
          <w:tcPr>
            <w:tcW w:w="3300" w:type="dxa"/>
            <w:vAlign w:val="bottom"/>
            <w:tcBorders>
              <w:right w:val="single" w:sz="8" w:color="407CCA"/>
            </w:tcBorders>
          </w:tcPr>
          <w:p>
            <w:pPr>
              <w:ind w:left="440"/>
              <w:spacing w:after="0" w:line="183" w:lineRule="exact"/>
              <w:rPr>
                <w:sz w:val="20"/>
                <w:szCs w:val="20"/>
                <w:color w:val="auto"/>
              </w:rPr>
            </w:pPr>
            <w:r>
              <w:rPr>
                <w:rFonts w:ascii="Arial" w:cs="Arial" w:eastAsia="Arial" w:hAnsi="Arial"/>
                <w:sz w:val="18"/>
                <w:szCs w:val="18"/>
                <w:color w:val="auto"/>
              </w:rPr>
              <w:t>public financial disclosure; actively</w:t>
            </w:r>
          </w:p>
        </w:tc>
        <w:tc>
          <w:tcPr>
            <w:tcW w:w="5520" w:type="dxa"/>
            <w:vAlign w:val="bottom"/>
            <w:tcBorders>
              <w:right w:val="single" w:sz="8" w:color="407CCA"/>
            </w:tcBorders>
          </w:tcPr>
          <w:p>
            <w:pPr>
              <w:ind w:left="460"/>
              <w:spacing w:after="0" w:line="183" w:lineRule="exact"/>
              <w:rPr>
                <w:sz w:val="20"/>
                <w:szCs w:val="20"/>
                <w:color w:val="auto"/>
              </w:rPr>
            </w:pPr>
            <w:r>
              <w:rPr>
                <w:rFonts w:ascii="Arial" w:cs="Arial" w:eastAsia="Arial" w:hAnsi="Arial"/>
                <w:sz w:val="18"/>
                <w:szCs w:val="18"/>
                <w:color w:val="auto"/>
              </w:rPr>
              <w:t>reporting</w:t>
            </w:r>
          </w:p>
        </w:tc>
      </w:tr>
      <w:tr>
        <w:trPr>
          <w:trHeight w:val="249"/>
        </w:trPr>
        <w:tc>
          <w:tcPr>
            <w:tcW w:w="2220" w:type="dxa"/>
            <w:vAlign w:val="bottom"/>
            <w:tcBorders>
              <w:left w:val="single" w:sz="8" w:color="407CCA"/>
              <w:right w:val="single" w:sz="8" w:color="407CCA"/>
            </w:tcBorders>
            <w:shd w:val="clear" w:color="auto" w:fill="D8E4F4"/>
          </w:tcPr>
          <w:p>
            <w:pPr>
              <w:spacing w:after="0"/>
              <w:rPr>
                <w:sz w:val="21"/>
                <w:szCs w:val="21"/>
                <w:color w:val="auto"/>
              </w:rPr>
            </w:pPr>
          </w:p>
        </w:tc>
        <w:tc>
          <w:tcPr>
            <w:tcW w:w="3300" w:type="dxa"/>
            <w:vAlign w:val="bottom"/>
            <w:tcBorders>
              <w:right w:val="single" w:sz="8" w:color="407CCA"/>
            </w:tcBorders>
          </w:tcPr>
          <w:p>
            <w:pPr>
              <w:ind w:left="440"/>
              <w:spacing w:after="0"/>
              <w:rPr>
                <w:sz w:val="20"/>
                <w:szCs w:val="20"/>
                <w:color w:val="auto"/>
              </w:rPr>
            </w:pPr>
            <w:r>
              <w:rPr>
                <w:rFonts w:ascii="Arial" w:cs="Arial" w:eastAsia="Arial" w:hAnsi="Arial"/>
                <w:sz w:val="18"/>
                <w:szCs w:val="18"/>
                <w:color w:val="auto"/>
                <w:w w:val="98"/>
              </w:rPr>
              <w:t>engage with investors; and maintain</w:t>
            </w:r>
          </w:p>
        </w:tc>
        <w:tc>
          <w:tcPr>
            <w:tcW w:w="5520" w:type="dxa"/>
            <w:vAlign w:val="bottom"/>
            <w:tcBorders>
              <w:right w:val="single" w:sz="8" w:color="407CCA"/>
            </w:tcBorders>
          </w:tcPr>
          <w:p>
            <w:pPr>
              <w:ind w:left="100"/>
              <w:spacing w:after="0" w:line="207" w:lineRule="exact"/>
              <w:rPr>
                <w:sz w:val="20"/>
                <w:szCs w:val="20"/>
                <w:color w:val="auto"/>
              </w:rPr>
            </w:pPr>
            <w:r>
              <w:rPr>
                <w:rFonts w:ascii="MS PGothic" w:cs="MS PGothic" w:eastAsia="MS PGothic" w:hAnsi="MS PGothic"/>
                <w:sz w:val="18"/>
                <w:szCs w:val="18"/>
                <w:color w:val="auto"/>
                <w:w w:val="97"/>
              </w:rPr>
              <w:t>✓</w:t>
            </w:r>
            <w:r>
              <w:rPr>
                <w:rFonts w:ascii="Arial" w:cs="Arial" w:eastAsia="Arial" w:hAnsi="Arial"/>
                <w:sz w:val="18"/>
                <w:szCs w:val="18"/>
                <w:color w:val="auto"/>
                <w:w w:val="97"/>
              </w:rPr>
              <w:t xml:space="preserve">  Participated in over 120 institutional investor meetings through six</w:t>
            </w:r>
          </w:p>
        </w:tc>
      </w:tr>
      <w:tr>
        <w:trPr>
          <w:trHeight w:val="183"/>
        </w:trPr>
        <w:tc>
          <w:tcPr>
            <w:tcW w:w="2220" w:type="dxa"/>
            <w:vAlign w:val="bottom"/>
            <w:tcBorders>
              <w:left w:val="single" w:sz="8" w:color="407CCA"/>
              <w:right w:val="single" w:sz="8" w:color="407CCA"/>
            </w:tcBorders>
            <w:shd w:val="clear" w:color="auto" w:fill="D8E4F4"/>
          </w:tcPr>
          <w:p>
            <w:pPr>
              <w:spacing w:after="0"/>
              <w:rPr>
                <w:sz w:val="15"/>
                <w:szCs w:val="15"/>
                <w:color w:val="auto"/>
              </w:rPr>
            </w:pPr>
          </w:p>
        </w:tc>
        <w:tc>
          <w:tcPr>
            <w:tcW w:w="3300" w:type="dxa"/>
            <w:vAlign w:val="bottom"/>
            <w:tcBorders>
              <w:right w:val="single" w:sz="8" w:color="407CCA"/>
            </w:tcBorders>
          </w:tcPr>
          <w:p>
            <w:pPr>
              <w:ind w:left="440"/>
              <w:spacing w:after="0" w:line="183" w:lineRule="exact"/>
              <w:rPr>
                <w:sz w:val="20"/>
                <w:szCs w:val="20"/>
                <w:color w:val="auto"/>
              </w:rPr>
            </w:pPr>
            <w:r>
              <w:rPr>
                <w:rFonts w:ascii="Arial" w:cs="Arial" w:eastAsia="Arial" w:hAnsi="Arial"/>
                <w:sz w:val="18"/>
                <w:szCs w:val="18"/>
                <w:color w:val="auto"/>
                <w:w w:val="90"/>
              </w:rPr>
              <w:t>strong corporate environmental, social,</w:t>
            </w:r>
          </w:p>
        </w:tc>
        <w:tc>
          <w:tcPr>
            <w:tcW w:w="5520" w:type="dxa"/>
            <w:vAlign w:val="bottom"/>
            <w:tcBorders>
              <w:right w:val="single" w:sz="8" w:color="407CCA"/>
            </w:tcBorders>
          </w:tcPr>
          <w:p>
            <w:pPr>
              <w:ind w:left="460"/>
              <w:spacing w:after="0" w:line="183" w:lineRule="exact"/>
              <w:rPr>
                <w:sz w:val="20"/>
                <w:szCs w:val="20"/>
                <w:color w:val="auto"/>
              </w:rPr>
            </w:pPr>
            <w:r>
              <w:rPr>
                <w:rFonts w:ascii="Arial" w:cs="Arial" w:eastAsia="Arial" w:hAnsi="Arial"/>
                <w:sz w:val="18"/>
                <w:szCs w:val="18"/>
                <w:color w:val="auto"/>
              </w:rPr>
              <w:t>conferences, six non-deal roadshows, and various calls</w:t>
            </w:r>
          </w:p>
        </w:tc>
      </w:tr>
      <w:tr>
        <w:trPr>
          <w:trHeight w:val="249"/>
        </w:trPr>
        <w:tc>
          <w:tcPr>
            <w:tcW w:w="2220" w:type="dxa"/>
            <w:vAlign w:val="bottom"/>
            <w:tcBorders>
              <w:left w:val="single" w:sz="8" w:color="407CCA"/>
              <w:right w:val="single" w:sz="8" w:color="407CCA"/>
            </w:tcBorders>
            <w:shd w:val="clear" w:color="auto" w:fill="D8E4F4"/>
          </w:tcPr>
          <w:p>
            <w:pPr>
              <w:spacing w:after="0"/>
              <w:rPr>
                <w:sz w:val="21"/>
                <w:szCs w:val="21"/>
                <w:color w:val="auto"/>
              </w:rPr>
            </w:pPr>
          </w:p>
        </w:tc>
        <w:tc>
          <w:tcPr>
            <w:tcW w:w="3300" w:type="dxa"/>
            <w:vAlign w:val="bottom"/>
            <w:tcBorders>
              <w:right w:val="single" w:sz="8" w:color="407CCA"/>
            </w:tcBorders>
          </w:tcPr>
          <w:p>
            <w:pPr>
              <w:ind w:left="440"/>
              <w:spacing w:after="0"/>
              <w:rPr>
                <w:sz w:val="20"/>
                <w:szCs w:val="20"/>
                <w:color w:val="auto"/>
              </w:rPr>
            </w:pPr>
            <w:r>
              <w:rPr>
                <w:rFonts w:ascii="Arial" w:cs="Arial" w:eastAsia="Arial" w:hAnsi="Arial"/>
                <w:sz w:val="18"/>
                <w:szCs w:val="18"/>
                <w:color w:val="auto"/>
              </w:rPr>
              <w:t>and governance (“ESG”) practices</w:t>
            </w:r>
          </w:p>
        </w:tc>
        <w:tc>
          <w:tcPr>
            <w:tcW w:w="5520" w:type="dxa"/>
            <w:vAlign w:val="bottom"/>
            <w:tcBorders>
              <w:right w:val="single" w:sz="8" w:color="407CCA"/>
            </w:tcBorders>
          </w:tcPr>
          <w:p>
            <w:pPr>
              <w:ind w:left="100"/>
              <w:spacing w:after="0" w:line="207" w:lineRule="exact"/>
              <w:rPr>
                <w:sz w:val="20"/>
                <w:szCs w:val="20"/>
                <w:color w:val="auto"/>
              </w:rPr>
            </w:pPr>
            <w:r>
              <w:rPr>
                <w:rFonts w:ascii="MS PGothic" w:cs="MS PGothic" w:eastAsia="MS PGothic" w:hAnsi="MS PGothic"/>
                <w:sz w:val="18"/>
                <w:szCs w:val="18"/>
                <w:color w:val="auto"/>
              </w:rPr>
              <w:t>✓</w:t>
            </w:r>
            <w:r>
              <w:rPr>
                <w:rFonts w:ascii="Arial" w:cs="Arial" w:eastAsia="Arial" w:hAnsi="Arial"/>
                <w:sz w:val="18"/>
                <w:szCs w:val="18"/>
                <w:color w:val="auto"/>
              </w:rPr>
              <w:t xml:space="preserve"> Actively engaged with institutional stockholders regarding</w:t>
            </w:r>
          </w:p>
        </w:tc>
      </w:tr>
      <w:tr>
        <w:trPr>
          <w:trHeight w:val="183"/>
        </w:trPr>
        <w:tc>
          <w:tcPr>
            <w:tcW w:w="2220" w:type="dxa"/>
            <w:vAlign w:val="bottom"/>
            <w:tcBorders>
              <w:left w:val="single" w:sz="8" w:color="407CCA"/>
              <w:right w:val="single" w:sz="8" w:color="407CCA"/>
            </w:tcBorders>
            <w:shd w:val="clear" w:color="auto" w:fill="D8E4F4"/>
          </w:tcPr>
          <w:p>
            <w:pPr>
              <w:spacing w:after="0"/>
              <w:rPr>
                <w:sz w:val="15"/>
                <w:szCs w:val="15"/>
                <w:color w:val="auto"/>
              </w:rPr>
            </w:pPr>
          </w:p>
        </w:tc>
        <w:tc>
          <w:tcPr>
            <w:tcW w:w="3300" w:type="dxa"/>
            <w:vAlign w:val="bottom"/>
            <w:tcBorders>
              <w:right w:val="single" w:sz="8" w:color="407CCA"/>
            </w:tcBorders>
          </w:tcPr>
          <w:p>
            <w:pPr>
              <w:spacing w:after="0"/>
              <w:rPr>
                <w:sz w:val="15"/>
                <w:szCs w:val="15"/>
                <w:color w:val="auto"/>
              </w:rPr>
            </w:pPr>
          </w:p>
        </w:tc>
        <w:tc>
          <w:tcPr>
            <w:tcW w:w="5520" w:type="dxa"/>
            <w:vAlign w:val="bottom"/>
            <w:tcBorders>
              <w:right w:val="single" w:sz="8" w:color="407CCA"/>
            </w:tcBorders>
          </w:tcPr>
          <w:p>
            <w:pPr>
              <w:ind w:left="460"/>
              <w:spacing w:after="0" w:line="183" w:lineRule="exact"/>
              <w:rPr>
                <w:sz w:val="20"/>
                <w:szCs w:val="20"/>
                <w:color w:val="auto"/>
              </w:rPr>
            </w:pPr>
            <w:r>
              <w:rPr>
                <w:rFonts w:ascii="Arial" w:cs="Arial" w:eastAsia="Arial" w:hAnsi="Arial"/>
                <w:sz w:val="18"/>
                <w:szCs w:val="18"/>
                <w:color w:val="auto"/>
              </w:rPr>
              <w:t>governance and “Say on Pay”</w:t>
            </w:r>
          </w:p>
        </w:tc>
      </w:tr>
      <w:tr>
        <w:trPr>
          <w:trHeight w:val="249"/>
        </w:trPr>
        <w:tc>
          <w:tcPr>
            <w:tcW w:w="2220" w:type="dxa"/>
            <w:vAlign w:val="bottom"/>
            <w:tcBorders>
              <w:left w:val="single" w:sz="8" w:color="407CCA"/>
              <w:right w:val="single" w:sz="8" w:color="407CCA"/>
            </w:tcBorders>
            <w:shd w:val="clear" w:color="auto" w:fill="D8E4F4"/>
          </w:tcPr>
          <w:p>
            <w:pPr>
              <w:spacing w:after="0"/>
              <w:rPr>
                <w:sz w:val="21"/>
                <w:szCs w:val="21"/>
                <w:color w:val="auto"/>
              </w:rPr>
            </w:pPr>
          </w:p>
        </w:tc>
        <w:tc>
          <w:tcPr>
            <w:tcW w:w="3300" w:type="dxa"/>
            <w:vAlign w:val="bottom"/>
            <w:tcBorders>
              <w:right w:val="single" w:sz="8" w:color="407CCA"/>
            </w:tcBorders>
          </w:tcPr>
          <w:p>
            <w:pPr>
              <w:spacing w:after="0"/>
              <w:rPr>
                <w:sz w:val="21"/>
                <w:szCs w:val="21"/>
                <w:color w:val="auto"/>
              </w:rPr>
            </w:pPr>
          </w:p>
        </w:tc>
        <w:tc>
          <w:tcPr>
            <w:tcW w:w="5520" w:type="dxa"/>
            <w:vAlign w:val="bottom"/>
            <w:tcBorders>
              <w:right w:val="single" w:sz="8" w:color="407CCA"/>
            </w:tcBorders>
          </w:tcPr>
          <w:p>
            <w:pPr>
              <w:ind w:left="100"/>
              <w:spacing w:after="0" w:line="207" w:lineRule="exact"/>
              <w:rPr>
                <w:sz w:val="20"/>
                <w:szCs w:val="20"/>
                <w:color w:val="auto"/>
              </w:rPr>
            </w:pPr>
            <w:r>
              <w:rPr>
                <w:rFonts w:ascii="MS PGothic" w:cs="MS PGothic" w:eastAsia="MS PGothic" w:hAnsi="MS PGothic"/>
                <w:sz w:val="18"/>
                <w:szCs w:val="18"/>
                <w:color w:val="auto"/>
                <w:w w:val="94"/>
              </w:rPr>
              <w:t>✓</w:t>
            </w:r>
            <w:r>
              <w:rPr>
                <w:rFonts w:ascii="Arial" w:cs="Arial" w:eastAsia="Arial" w:hAnsi="Arial"/>
                <w:sz w:val="18"/>
                <w:szCs w:val="18"/>
                <w:color w:val="auto"/>
                <w:w w:val="94"/>
              </w:rPr>
              <w:t xml:space="preserve">  Enhanced disclosure in proxy statement and website regarding ESG</w:t>
            </w:r>
          </w:p>
        </w:tc>
      </w:tr>
      <w:tr>
        <w:trPr>
          <w:trHeight w:val="183"/>
        </w:trPr>
        <w:tc>
          <w:tcPr>
            <w:tcW w:w="2220" w:type="dxa"/>
            <w:vAlign w:val="bottom"/>
            <w:tcBorders>
              <w:left w:val="single" w:sz="8" w:color="407CCA"/>
              <w:right w:val="single" w:sz="8" w:color="407CCA"/>
            </w:tcBorders>
            <w:shd w:val="clear" w:color="auto" w:fill="D8E4F4"/>
          </w:tcPr>
          <w:p>
            <w:pPr>
              <w:spacing w:after="0"/>
              <w:rPr>
                <w:sz w:val="15"/>
                <w:szCs w:val="15"/>
                <w:color w:val="auto"/>
              </w:rPr>
            </w:pPr>
          </w:p>
        </w:tc>
        <w:tc>
          <w:tcPr>
            <w:tcW w:w="3300" w:type="dxa"/>
            <w:vAlign w:val="bottom"/>
            <w:tcBorders>
              <w:right w:val="single" w:sz="8" w:color="407CCA"/>
            </w:tcBorders>
          </w:tcPr>
          <w:p>
            <w:pPr>
              <w:spacing w:after="0"/>
              <w:rPr>
                <w:sz w:val="15"/>
                <w:szCs w:val="15"/>
                <w:color w:val="auto"/>
              </w:rPr>
            </w:pPr>
          </w:p>
        </w:tc>
        <w:tc>
          <w:tcPr>
            <w:tcW w:w="5520" w:type="dxa"/>
            <w:vAlign w:val="bottom"/>
            <w:tcBorders>
              <w:right w:val="single" w:sz="8" w:color="407CCA"/>
            </w:tcBorders>
          </w:tcPr>
          <w:p>
            <w:pPr>
              <w:ind w:left="460"/>
              <w:spacing w:after="0" w:line="183" w:lineRule="exact"/>
              <w:rPr>
                <w:sz w:val="20"/>
                <w:szCs w:val="20"/>
                <w:color w:val="auto"/>
              </w:rPr>
            </w:pPr>
            <w:r>
              <w:rPr>
                <w:rFonts w:ascii="Arial" w:cs="Arial" w:eastAsia="Arial" w:hAnsi="Arial"/>
                <w:sz w:val="18"/>
                <w:szCs w:val="18"/>
                <w:color w:val="auto"/>
              </w:rPr>
              <w:t>practices</w:t>
            </w:r>
          </w:p>
        </w:tc>
      </w:tr>
      <w:tr>
        <w:trPr>
          <w:trHeight w:val="249"/>
        </w:trPr>
        <w:tc>
          <w:tcPr>
            <w:tcW w:w="2220" w:type="dxa"/>
            <w:vAlign w:val="bottom"/>
            <w:tcBorders>
              <w:left w:val="single" w:sz="8" w:color="407CCA"/>
              <w:right w:val="single" w:sz="8" w:color="407CCA"/>
            </w:tcBorders>
            <w:shd w:val="clear" w:color="auto" w:fill="D8E4F4"/>
          </w:tcPr>
          <w:p>
            <w:pPr>
              <w:spacing w:after="0"/>
              <w:rPr>
                <w:sz w:val="21"/>
                <w:szCs w:val="21"/>
                <w:color w:val="auto"/>
              </w:rPr>
            </w:pPr>
          </w:p>
        </w:tc>
        <w:tc>
          <w:tcPr>
            <w:tcW w:w="3300" w:type="dxa"/>
            <w:vAlign w:val="bottom"/>
            <w:tcBorders>
              <w:right w:val="single" w:sz="8" w:color="407CCA"/>
            </w:tcBorders>
          </w:tcPr>
          <w:p>
            <w:pPr>
              <w:spacing w:after="0"/>
              <w:rPr>
                <w:sz w:val="21"/>
                <w:szCs w:val="21"/>
                <w:color w:val="auto"/>
              </w:rPr>
            </w:pPr>
          </w:p>
        </w:tc>
        <w:tc>
          <w:tcPr>
            <w:tcW w:w="5520" w:type="dxa"/>
            <w:vAlign w:val="bottom"/>
            <w:tcBorders>
              <w:right w:val="single" w:sz="8" w:color="407CCA"/>
            </w:tcBorders>
          </w:tcPr>
          <w:p>
            <w:pPr>
              <w:ind w:left="100"/>
              <w:spacing w:after="0" w:line="207" w:lineRule="exact"/>
              <w:rPr>
                <w:sz w:val="20"/>
                <w:szCs w:val="20"/>
                <w:color w:val="auto"/>
              </w:rPr>
            </w:pPr>
            <w:r>
              <w:rPr>
                <w:rFonts w:ascii="MS PGothic" w:cs="MS PGothic" w:eastAsia="MS PGothic" w:hAnsi="MS PGothic"/>
                <w:sz w:val="18"/>
                <w:szCs w:val="18"/>
                <w:color w:val="auto"/>
                <w:w w:val="97"/>
              </w:rPr>
              <w:t>✓</w:t>
            </w:r>
            <w:r>
              <w:rPr>
                <w:rFonts w:ascii="Arial" w:cs="Arial" w:eastAsia="Arial" w:hAnsi="Arial"/>
                <w:sz w:val="18"/>
                <w:szCs w:val="18"/>
                <w:color w:val="auto"/>
                <w:w w:val="97"/>
              </w:rPr>
              <w:t xml:space="preserve">  Complied with governance requirements, listing standards, record</w:t>
            </w:r>
          </w:p>
        </w:tc>
      </w:tr>
      <w:tr>
        <w:trPr>
          <w:trHeight w:val="284"/>
        </w:trPr>
        <w:tc>
          <w:tcPr>
            <w:tcW w:w="2220" w:type="dxa"/>
            <w:vAlign w:val="bottom"/>
            <w:tcBorders>
              <w:left w:val="single" w:sz="8" w:color="407CCA"/>
              <w:bottom w:val="single" w:sz="8" w:color="D8E4F4"/>
              <w:right w:val="single" w:sz="8" w:color="407CCA"/>
            </w:tcBorders>
            <w:shd w:val="clear" w:color="auto" w:fill="D8E4F4"/>
          </w:tcPr>
          <w:p>
            <w:pPr>
              <w:spacing w:after="0"/>
              <w:rPr>
                <w:sz w:val="24"/>
                <w:szCs w:val="24"/>
                <w:color w:val="auto"/>
              </w:rPr>
            </w:pPr>
          </w:p>
        </w:tc>
        <w:tc>
          <w:tcPr>
            <w:tcW w:w="3300" w:type="dxa"/>
            <w:vAlign w:val="bottom"/>
            <w:tcBorders>
              <w:right w:val="single" w:sz="8" w:color="407CCA"/>
            </w:tcBorders>
          </w:tcPr>
          <w:p>
            <w:pPr>
              <w:spacing w:after="0"/>
              <w:rPr>
                <w:sz w:val="24"/>
                <w:szCs w:val="24"/>
                <w:color w:val="auto"/>
              </w:rPr>
            </w:pPr>
          </w:p>
        </w:tc>
        <w:tc>
          <w:tcPr>
            <w:tcW w:w="5520" w:type="dxa"/>
            <w:vAlign w:val="bottom"/>
            <w:tcBorders>
              <w:right w:val="single" w:sz="8" w:color="407CCA"/>
            </w:tcBorders>
          </w:tcPr>
          <w:p>
            <w:pPr>
              <w:ind w:left="460"/>
              <w:spacing w:after="0"/>
              <w:rPr>
                <w:sz w:val="20"/>
                <w:szCs w:val="20"/>
                <w:color w:val="auto"/>
              </w:rPr>
            </w:pPr>
            <w:r>
              <w:rPr>
                <w:rFonts w:ascii="Arial" w:cs="Arial" w:eastAsia="Arial" w:hAnsi="Arial"/>
                <w:sz w:val="18"/>
                <w:szCs w:val="18"/>
                <w:color w:val="auto"/>
              </w:rPr>
              <w:t>keeping, and legal reporting</w:t>
            </w:r>
          </w:p>
        </w:tc>
      </w:tr>
      <w:tr>
        <w:trPr>
          <w:trHeight w:val="305"/>
        </w:trPr>
        <w:tc>
          <w:tcPr>
            <w:tcW w:w="5520" w:type="dxa"/>
            <w:vAlign w:val="bottom"/>
            <w:tcBorders>
              <w:top w:val="single" w:sz="8" w:color="407CCA"/>
            </w:tcBorders>
            <w:gridSpan w:val="2"/>
          </w:tcPr>
          <w:p>
            <w:pPr>
              <w:spacing w:after="0"/>
              <w:rPr>
                <w:sz w:val="20"/>
                <w:szCs w:val="20"/>
                <w:color w:val="auto"/>
              </w:rPr>
            </w:pPr>
            <w:r>
              <w:rPr>
                <w:rFonts w:ascii="Arial" w:cs="Arial" w:eastAsia="Arial" w:hAnsi="Arial"/>
                <w:sz w:val="14"/>
                <w:szCs w:val="14"/>
                <w:color w:val="407CCA"/>
              </w:rPr>
              <w:t xml:space="preserve">48  AGNC INVESTMENT CORP. – </w:t>
            </w:r>
            <w:r>
              <w:rPr>
                <w:rFonts w:ascii="Arial" w:cs="Arial" w:eastAsia="Arial" w:hAnsi="Arial"/>
                <w:sz w:val="14"/>
                <w:szCs w:val="14"/>
                <w:i w:val="1"/>
                <w:iCs w:val="1"/>
                <w:color w:val="407CCA"/>
              </w:rPr>
              <w:t>Proxy Statement</w:t>
            </w:r>
          </w:p>
        </w:tc>
        <w:tc>
          <w:tcPr>
            <w:tcW w:w="5520" w:type="dxa"/>
            <w:vAlign w:val="bottom"/>
            <w:tcBorders>
              <w:top w:val="single" w:sz="8" w:color="407CCA"/>
            </w:tcBorders>
          </w:tcPr>
          <w:p>
            <w:pPr>
              <w:spacing w:after="0"/>
              <w:rPr>
                <w:sz w:val="24"/>
                <w:szCs w:val="24"/>
                <w:color w:val="auto"/>
              </w:rPr>
            </w:pPr>
          </w:p>
        </w:tc>
      </w:tr>
    </w:tbl>
    <w:p>
      <w:pPr>
        <w:sectPr>
          <w:pgSz w:w="11900" w:h="16838" w:orient="portrait"/>
          <w:cols w:equalWidth="0" w:num="1">
            <w:col w:w="11140"/>
          </w:cols>
          <w:pgMar w:left="320" w:top="459" w:right="439" w:bottom="1440" w:gutter="0" w:footer="0" w:header="0"/>
        </w:sectPr>
      </w:pPr>
    </w:p>
    <w:bookmarkStart w:id="61" w:name="page62"/>
    <w:bookmarkEnd w:id="6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7">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tbl>
      <w:tblPr>
        <w:tblLayout w:type="fixed"/>
        <w:tblInd w:w="130" w:type="dxa"/>
        <w:tblCellMar>
          <w:top w:w="0" w:type="dxa"/>
          <w:left w:w="0" w:type="dxa"/>
          <w:bottom w:w="0" w:type="dxa"/>
          <w:right w:w="0" w:type="dxa"/>
        </w:tblCellMar>
      </w:tblPr>
      <w:tr>
        <w:trPr>
          <w:trHeight w:val="188"/>
        </w:trPr>
        <w:tc>
          <w:tcPr>
            <w:tcW w:w="2220" w:type="dxa"/>
            <w:vAlign w:val="bottom"/>
          </w:tcPr>
          <w:p>
            <w:pPr>
              <w:spacing w:after="0"/>
              <w:rPr>
                <w:sz w:val="16"/>
                <w:szCs w:val="16"/>
                <w:color w:val="auto"/>
              </w:rPr>
            </w:pPr>
          </w:p>
        </w:tc>
        <w:tc>
          <w:tcPr>
            <w:tcW w:w="3320" w:type="dxa"/>
            <w:vAlign w:val="bottom"/>
          </w:tcPr>
          <w:p>
            <w:pPr>
              <w:spacing w:after="0"/>
              <w:rPr>
                <w:sz w:val="16"/>
                <w:szCs w:val="16"/>
                <w:color w:val="auto"/>
              </w:rPr>
            </w:pPr>
          </w:p>
        </w:tc>
        <w:tc>
          <w:tcPr>
            <w:tcW w:w="5500" w:type="dxa"/>
            <w:vAlign w:val="bottom"/>
          </w:tcPr>
          <w:p>
            <w:pPr>
              <w:ind w:left="3520"/>
              <w:spacing w:after="0"/>
              <w:rPr>
                <w:sz w:val="20"/>
                <w:szCs w:val="20"/>
                <w:color w:val="auto"/>
              </w:rPr>
            </w:pPr>
            <w:r>
              <w:rPr>
                <w:rFonts w:ascii="Arial" w:cs="Arial" w:eastAsia="Arial" w:hAnsi="Arial"/>
                <w:sz w:val="14"/>
                <w:szCs w:val="14"/>
                <w:color w:val="407CCA"/>
                <w:w w:val="98"/>
              </w:rPr>
              <w:t>EXECUTIVE COMPENSATION</w:t>
            </w:r>
          </w:p>
        </w:tc>
      </w:tr>
      <w:tr>
        <w:trPr>
          <w:trHeight w:val="175"/>
        </w:trPr>
        <w:tc>
          <w:tcPr>
            <w:tcW w:w="2220" w:type="dxa"/>
            <w:vAlign w:val="bottom"/>
            <w:tcBorders>
              <w:top w:val="single" w:sz="8" w:color="407CCA"/>
              <w:bottom w:val="single" w:sz="8" w:color="407CCA"/>
            </w:tcBorders>
          </w:tcPr>
          <w:p>
            <w:pPr>
              <w:spacing w:after="0"/>
              <w:rPr>
                <w:sz w:val="15"/>
                <w:szCs w:val="15"/>
                <w:color w:val="auto"/>
              </w:rPr>
            </w:pPr>
          </w:p>
        </w:tc>
        <w:tc>
          <w:tcPr>
            <w:tcW w:w="3320" w:type="dxa"/>
            <w:vAlign w:val="bottom"/>
            <w:tcBorders>
              <w:top w:val="single" w:sz="8" w:color="407CCA"/>
              <w:bottom w:val="single" w:sz="8" w:color="407CCA"/>
            </w:tcBorders>
          </w:tcPr>
          <w:p>
            <w:pPr>
              <w:spacing w:after="0"/>
              <w:rPr>
                <w:sz w:val="15"/>
                <w:szCs w:val="15"/>
                <w:color w:val="auto"/>
              </w:rPr>
            </w:pPr>
          </w:p>
        </w:tc>
        <w:tc>
          <w:tcPr>
            <w:tcW w:w="5500" w:type="dxa"/>
            <w:vAlign w:val="bottom"/>
            <w:tcBorders>
              <w:top w:val="single" w:sz="8" w:color="407CCA"/>
              <w:bottom w:val="single" w:sz="8" w:color="407CCA"/>
            </w:tcBorders>
          </w:tcPr>
          <w:p>
            <w:pPr>
              <w:spacing w:after="0"/>
              <w:rPr>
                <w:sz w:val="15"/>
                <w:szCs w:val="15"/>
                <w:color w:val="auto"/>
              </w:rPr>
            </w:pPr>
          </w:p>
        </w:tc>
      </w:tr>
      <w:tr>
        <w:trPr>
          <w:trHeight w:val="191"/>
        </w:trPr>
        <w:tc>
          <w:tcPr>
            <w:tcW w:w="2220" w:type="dxa"/>
            <w:vAlign w:val="bottom"/>
            <w:tcBorders>
              <w:left w:val="single" w:sz="8" w:color="407CCA"/>
              <w:right w:val="single" w:sz="8" w:color="407CCA"/>
            </w:tcBorders>
            <w:shd w:val="clear" w:color="auto" w:fill="EDF3F0"/>
          </w:tcPr>
          <w:p>
            <w:pPr>
              <w:ind w:left="160"/>
              <w:spacing w:after="0" w:line="191" w:lineRule="exact"/>
              <w:rPr>
                <w:sz w:val="20"/>
                <w:szCs w:val="20"/>
                <w:color w:val="auto"/>
              </w:rPr>
            </w:pPr>
            <w:r>
              <w:rPr>
                <w:rFonts w:ascii="Arial" w:cs="Arial" w:eastAsia="Arial" w:hAnsi="Arial"/>
                <w:sz w:val="18"/>
                <w:szCs w:val="18"/>
                <w:b w:val="1"/>
                <w:bCs w:val="1"/>
                <w:color w:val="auto"/>
              </w:rPr>
              <w:t>Component of</w:t>
            </w:r>
          </w:p>
        </w:tc>
        <w:tc>
          <w:tcPr>
            <w:tcW w:w="3320" w:type="dxa"/>
            <w:vAlign w:val="bottom"/>
            <w:tcBorders>
              <w:right w:val="single" w:sz="8" w:color="407CCA"/>
            </w:tcBorders>
            <w:shd w:val="clear" w:color="auto" w:fill="EDF3F0"/>
          </w:tcPr>
          <w:p>
            <w:pPr>
              <w:spacing w:after="0"/>
              <w:rPr>
                <w:sz w:val="16"/>
                <w:szCs w:val="16"/>
                <w:color w:val="auto"/>
              </w:rPr>
            </w:pPr>
          </w:p>
        </w:tc>
        <w:tc>
          <w:tcPr>
            <w:tcW w:w="5500" w:type="dxa"/>
            <w:vAlign w:val="bottom"/>
            <w:tcBorders>
              <w:right w:val="single" w:sz="8" w:color="407CCA"/>
            </w:tcBorders>
            <w:shd w:val="clear" w:color="auto" w:fill="EDF3F0"/>
          </w:tcPr>
          <w:p>
            <w:pPr>
              <w:spacing w:after="0"/>
              <w:rPr>
                <w:sz w:val="16"/>
                <w:szCs w:val="16"/>
                <w:color w:val="auto"/>
              </w:rPr>
            </w:pPr>
          </w:p>
        </w:tc>
      </w:tr>
      <w:tr>
        <w:trPr>
          <w:trHeight w:val="216"/>
        </w:trPr>
        <w:tc>
          <w:tcPr>
            <w:tcW w:w="2220" w:type="dxa"/>
            <w:vAlign w:val="bottom"/>
            <w:tcBorders>
              <w:left w:val="single" w:sz="8" w:color="407CCA"/>
              <w:right w:val="single" w:sz="8" w:color="407CCA"/>
            </w:tcBorders>
            <w:shd w:val="clear" w:color="auto" w:fill="EDF3F0"/>
          </w:tcPr>
          <w:p>
            <w:pPr>
              <w:ind w:left="160"/>
              <w:spacing w:after="0"/>
              <w:rPr>
                <w:sz w:val="20"/>
                <w:szCs w:val="20"/>
                <w:color w:val="auto"/>
              </w:rPr>
            </w:pPr>
            <w:r>
              <w:rPr>
                <w:rFonts w:ascii="Arial" w:cs="Arial" w:eastAsia="Arial" w:hAnsi="Arial"/>
                <w:sz w:val="18"/>
                <w:szCs w:val="18"/>
                <w:b w:val="1"/>
                <w:bCs w:val="1"/>
                <w:color w:val="auto"/>
              </w:rPr>
              <w:t>Value</w:t>
            </w:r>
          </w:p>
        </w:tc>
        <w:tc>
          <w:tcPr>
            <w:tcW w:w="3320" w:type="dxa"/>
            <w:vAlign w:val="bottom"/>
            <w:tcBorders>
              <w:right w:val="single" w:sz="8" w:color="407CCA"/>
            </w:tcBorders>
            <w:shd w:val="clear" w:color="auto" w:fill="EDF3F0"/>
          </w:tcPr>
          <w:p>
            <w:pPr>
              <w:ind w:left="1340"/>
              <w:spacing w:after="0"/>
              <w:rPr>
                <w:sz w:val="20"/>
                <w:szCs w:val="20"/>
                <w:color w:val="auto"/>
              </w:rPr>
            </w:pPr>
            <w:r>
              <w:rPr>
                <w:rFonts w:ascii="Arial" w:cs="Arial" w:eastAsia="Arial" w:hAnsi="Arial"/>
                <w:sz w:val="18"/>
                <w:szCs w:val="18"/>
                <w:b w:val="1"/>
                <w:bCs w:val="1"/>
                <w:color w:val="auto"/>
              </w:rPr>
              <w:t>Objective</w:t>
            </w:r>
          </w:p>
        </w:tc>
        <w:tc>
          <w:tcPr>
            <w:tcW w:w="5500" w:type="dxa"/>
            <w:vAlign w:val="bottom"/>
            <w:tcBorders>
              <w:right w:val="single" w:sz="8" w:color="407CCA"/>
            </w:tcBorders>
            <w:shd w:val="clear" w:color="auto" w:fill="EDF3F0"/>
          </w:tcPr>
          <w:p>
            <w:pPr>
              <w:ind w:left="2120"/>
              <w:spacing w:after="0"/>
              <w:rPr>
                <w:sz w:val="20"/>
                <w:szCs w:val="20"/>
                <w:color w:val="auto"/>
              </w:rPr>
            </w:pPr>
            <w:r>
              <w:rPr>
                <w:rFonts w:ascii="Arial" w:cs="Arial" w:eastAsia="Arial" w:hAnsi="Arial"/>
                <w:sz w:val="18"/>
                <w:szCs w:val="18"/>
                <w:b w:val="1"/>
                <w:bCs w:val="1"/>
                <w:color w:val="auto"/>
              </w:rPr>
              <w:t>2019 Assessment</w:t>
            </w:r>
          </w:p>
        </w:tc>
      </w:tr>
      <w:tr>
        <w:trPr>
          <w:trHeight w:val="293"/>
        </w:trPr>
        <w:tc>
          <w:tcPr>
            <w:tcW w:w="2220" w:type="dxa"/>
            <w:vAlign w:val="bottom"/>
            <w:tcBorders>
              <w:left w:val="single" w:sz="8" w:color="407CCA"/>
              <w:bottom w:val="single" w:sz="8" w:color="EDF3F0"/>
              <w:right w:val="single" w:sz="8" w:color="407CCA"/>
            </w:tcBorders>
            <w:shd w:val="clear" w:color="auto" w:fill="EDF3F0"/>
          </w:tcPr>
          <w:p>
            <w:pPr>
              <w:ind w:left="160"/>
              <w:spacing w:after="0"/>
              <w:rPr>
                <w:sz w:val="20"/>
                <w:szCs w:val="20"/>
                <w:color w:val="auto"/>
              </w:rPr>
            </w:pPr>
            <w:r>
              <w:rPr>
                <w:rFonts w:ascii="Arial" w:cs="Arial" w:eastAsia="Arial" w:hAnsi="Arial"/>
                <w:sz w:val="18"/>
                <w:szCs w:val="18"/>
                <w:b w:val="1"/>
                <w:bCs w:val="1"/>
                <w:color w:val="auto"/>
              </w:rPr>
              <w:t>Proposition</w:t>
            </w:r>
          </w:p>
        </w:tc>
        <w:tc>
          <w:tcPr>
            <w:tcW w:w="3320" w:type="dxa"/>
            <w:vAlign w:val="bottom"/>
            <w:tcBorders>
              <w:bottom w:val="single" w:sz="8" w:color="EDF3F0"/>
              <w:right w:val="single" w:sz="8" w:color="407CCA"/>
            </w:tcBorders>
            <w:shd w:val="clear" w:color="auto" w:fill="EDF3F0"/>
          </w:tcPr>
          <w:p>
            <w:pPr>
              <w:spacing w:after="0"/>
              <w:rPr>
                <w:sz w:val="24"/>
                <w:szCs w:val="24"/>
                <w:color w:val="auto"/>
              </w:rPr>
            </w:pPr>
          </w:p>
        </w:tc>
        <w:tc>
          <w:tcPr>
            <w:tcW w:w="5500" w:type="dxa"/>
            <w:vAlign w:val="bottom"/>
            <w:tcBorders>
              <w:bottom w:val="single" w:sz="8" w:color="EDF3F0"/>
              <w:right w:val="single" w:sz="8" w:color="407CCA"/>
            </w:tcBorders>
            <w:shd w:val="clear" w:color="auto" w:fill="EDF3F0"/>
          </w:tcPr>
          <w:p>
            <w:pPr>
              <w:spacing w:after="0"/>
              <w:rPr>
                <w:sz w:val="24"/>
                <w:szCs w:val="24"/>
                <w:color w:val="auto"/>
              </w:rPr>
            </w:pPr>
          </w:p>
        </w:tc>
      </w:tr>
      <w:tr>
        <w:trPr>
          <w:trHeight w:val="236"/>
        </w:trPr>
        <w:tc>
          <w:tcPr>
            <w:tcW w:w="2220" w:type="dxa"/>
            <w:vAlign w:val="bottom"/>
            <w:tcBorders>
              <w:top w:val="single" w:sz="8" w:color="407CCA"/>
              <w:left w:val="single" w:sz="8" w:color="407CCA"/>
              <w:right w:val="single" w:sz="8" w:color="407CCA"/>
            </w:tcBorders>
            <w:shd w:val="clear" w:color="auto" w:fill="D8E4F4"/>
          </w:tcPr>
          <w:p>
            <w:pPr>
              <w:ind w:left="240"/>
              <w:spacing w:after="0"/>
              <w:rPr>
                <w:sz w:val="20"/>
                <w:szCs w:val="20"/>
                <w:color w:val="auto"/>
              </w:rPr>
            </w:pPr>
            <w:r>
              <w:rPr>
                <w:rFonts w:ascii="Arial" w:cs="Arial" w:eastAsia="Arial" w:hAnsi="Arial"/>
                <w:sz w:val="18"/>
                <w:szCs w:val="18"/>
                <w:b w:val="1"/>
                <w:bCs w:val="1"/>
                <w:color w:val="auto"/>
              </w:rPr>
              <w:t>Liquidity and Scale</w:t>
            </w:r>
          </w:p>
        </w:tc>
        <w:tc>
          <w:tcPr>
            <w:tcW w:w="3320" w:type="dxa"/>
            <w:vAlign w:val="bottom"/>
            <w:tcBorders>
              <w:top w:val="single" w:sz="8" w:color="407CCA"/>
              <w:right w:val="single" w:sz="8" w:color="407CCA"/>
            </w:tcBorders>
          </w:tcPr>
          <w:p>
            <w:pPr>
              <w:ind w:left="120"/>
              <w:spacing w:after="0" w:line="207" w:lineRule="exact"/>
              <w:rPr>
                <w:sz w:val="20"/>
                <w:szCs w:val="20"/>
                <w:color w:val="auto"/>
              </w:rPr>
            </w:pPr>
            <w:r>
              <w:rPr>
                <w:rFonts w:ascii="MS PGothic" w:cs="MS PGothic" w:eastAsia="MS PGothic" w:hAnsi="MS PGothic"/>
                <w:sz w:val="18"/>
                <w:szCs w:val="18"/>
                <w:color w:val="auto"/>
                <w:w w:val="99"/>
              </w:rPr>
              <w:t>✓</w:t>
            </w:r>
            <w:r>
              <w:rPr>
                <w:rFonts w:ascii="Arial" w:cs="Arial" w:eastAsia="Arial" w:hAnsi="Arial"/>
                <w:sz w:val="18"/>
                <w:szCs w:val="18"/>
                <w:color w:val="auto"/>
                <w:w w:val="99"/>
              </w:rPr>
              <w:t xml:space="preserve">  Continue active, stockholder-friendly</w:t>
            </w:r>
          </w:p>
        </w:tc>
        <w:tc>
          <w:tcPr>
            <w:tcW w:w="5500" w:type="dxa"/>
            <w:vAlign w:val="bottom"/>
            <w:tcBorders>
              <w:top w:val="single" w:sz="8" w:color="407CCA"/>
              <w:right w:val="single" w:sz="8" w:color="407CCA"/>
            </w:tcBorders>
          </w:tcPr>
          <w:p>
            <w:pPr>
              <w:ind w:left="80"/>
              <w:spacing w:after="0" w:line="207" w:lineRule="exact"/>
              <w:rPr>
                <w:sz w:val="20"/>
                <w:szCs w:val="20"/>
                <w:color w:val="auto"/>
              </w:rPr>
            </w:pPr>
            <w:r>
              <w:rPr>
                <w:rFonts w:ascii="MS PGothic" w:cs="MS PGothic" w:eastAsia="MS PGothic" w:hAnsi="MS PGothic"/>
                <w:sz w:val="18"/>
                <w:szCs w:val="18"/>
                <w:color w:val="auto"/>
                <w:w w:val="96"/>
              </w:rPr>
              <w:t>✓</w:t>
            </w:r>
            <w:r>
              <w:rPr>
                <w:rFonts w:ascii="Arial" w:cs="Arial" w:eastAsia="Arial" w:hAnsi="Arial"/>
                <w:sz w:val="18"/>
                <w:szCs w:val="18"/>
                <w:color w:val="auto"/>
                <w:w w:val="96"/>
              </w:rPr>
              <w:t xml:space="preserve">  Raised $638 million of preferred equity across two deals, including</w:t>
            </w:r>
          </w:p>
        </w:tc>
      </w:tr>
      <w:tr>
        <w:trPr>
          <w:trHeight w:val="216"/>
        </w:trPr>
        <w:tc>
          <w:tcPr>
            <w:tcW w:w="2220" w:type="dxa"/>
            <w:vAlign w:val="bottom"/>
            <w:tcBorders>
              <w:left w:val="single" w:sz="8" w:color="407CCA"/>
              <w:right w:val="single" w:sz="8" w:color="407CCA"/>
            </w:tcBorders>
            <w:shd w:val="clear" w:color="auto" w:fill="D8E4F4"/>
          </w:tcPr>
          <w:p>
            <w:pPr>
              <w:spacing w:after="0"/>
              <w:rPr>
                <w:sz w:val="18"/>
                <w:szCs w:val="18"/>
                <w:color w:val="auto"/>
              </w:rPr>
            </w:pPr>
          </w:p>
        </w:tc>
        <w:tc>
          <w:tcPr>
            <w:tcW w:w="3320" w:type="dxa"/>
            <w:vAlign w:val="bottom"/>
            <w:tcBorders>
              <w:right w:val="single" w:sz="8" w:color="407CCA"/>
            </w:tcBorders>
          </w:tcPr>
          <w:p>
            <w:pPr>
              <w:ind w:left="480"/>
              <w:spacing w:after="0"/>
              <w:rPr>
                <w:sz w:val="20"/>
                <w:szCs w:val="20"/>
                <w:color w:val="auto"/>
              </w:rPr>
            </w:pPr>
            <w:r>
              <w:rPr>
                <w:rFonts w:ascii="Arial" w:cs="Arial" w:eastAsia="Arial" w:hAnsi="Arial"/>
                <w:sz w:val="18"/>
                <w:szCs w:val="18"/>
                <w:color w:val="auto"/>
                <w:w w:val="94"/>
              </w:rPr>
              <w:t>capital management approach that is</w:t>
            </w:r>
          </w:p>
        </w:tc>
        <w:tc>
          <w:tcPr>
            <w:tcW w:w="5500" w:type="dxa"/>
            <w:vAlign w:val="bottom"/>
            <w:tcBorders>
              <w:right w:val="single" w:sz="8" w:color="407CCA"/>
            </w:tcBorders>
          </w:tcPr>
          <w:p>
            <w:pPr>
              <w:ind w:left="440"/>
              <w:spacing w:after="0"/>
              <w:rPr>
                <w:sz w:val="20"/>
                <w:szCs w:val="20"/>
                <w:color w:val="auto"/>
              </w:rPr>
            </w:pPr>
            <w:r>
              <w:rPr>
                <w:rFonts w:ascii="Arial" w:cs="Arial" w:eastAsia="Arial" w:hAnsi="Arial"/>
                <w:sz w:val="18"/>
                <w:szCs w:val="18"/>
                <w:color w:val="auto"/>
                <w:w w:val="95"/>
              </w:rPr>
              <w:t>our Series E preferred, which was at the time the largest preferred</w:t>
            </w:r>
          </w:p>
        </w:tc>
      </w:tr>
      <w:tr>
        <w:trPr>
          <w:trHeight w:val="216"/>
        </w:trPr>
        <w:tc>
          <w:tcPr>
            <w:tcW w:w="2220" w:type="dxa"/>
            <w:vAlign w:val="bottom"/>
            <w:tcBorders>
              <w:left w:val="single" w:sz="8" w:color="407CCA"/>
              <w:right w:val="single" w:sz="8" w:color="407CCA"/>
            </w:tcBorders>
            <w:shd w:val="clear" w:color="auto" w:fill="D8E4F4"/>
          </w:tcPr>
          <w:p>
            <w:pPr>
              <w:spacing w:after="0"/>
              <w:rPr>
                <w:sz w:val="18"/>
                <w:szCs w:val="18"/>
                <w:color w:val="auto"/>
              </w:rPr>
            </w:pPr>
          </w:p>
        </w:tc>
        <w:tc>
          <w:tcPr>
            <w:tcW w:w="3320" w:type="dxa"/>
            <w:vAlign w:val="bottom"/>
            <w:tcBorders>
              <w:right w:val="single" w:sz="8" w:color="407CCA"/>
            </w:tcBorders>
          </w:tcPr>
          <w:p>
            <w:pPr>
              <w:ind w:left="480"/>
              <w:spacing w:after="0"/>
              <w:rPr>
                <w:sz w:val="20"/>
                <w:szCs w:val="20"/>
                <w:color w:val="auto"/>
              </w:rPr>
            </w:pPr>
            <w:r>
              <w:rPr>
                <w:rFonts w:ascii="Arial" w:cs="Arial" w:eastAsia="Arial" w:hAnsi="Arial"/>
                <w:sz w:val="18"/>
                <w:szCs w:val="18"/>
                <w:color w:val="auto"/>
              </w:rPr>
              <w:t>consistent with broader market</w:t>
            </w:r>
          </w:p>
        </w:tc>
        <w:tc>
          <w:tcPr>
            <w:tcW w:w="5500" w:type="dxa"/>
            <w:vAlign w:val="bottom"/>
            <w:tcBorders>
              <w:right w:val="single" w:sz="8" w:color="407CCA"/>
            </w:tcBorders>
          </w:tcPr>
          <w:p>
            <w:pPr>
              <w:ind w:left="440"/>
              <w:spacing w:after="0"/>
              <w:rPr>
                <w:sz w:val="20"/>
                <w:szCs w:val="20"/>
                <w:color w:val="auto"/>
              </w:rPr>
            </w:pPr>
            <w:r>
              <w:rPr>
                <w:rFonts w:ascii="Arial" w:cs="Arial" w:eastAsia="Arial" w:hAnsi="Arial"/>
                <w:sz w:val="18"/>
                <w:szCs w:val="18"/>
                <w:color w:val="auto"/>
              </w:rPr>
              <w:t>stock offering in AGNC’s history and at our lowest fixed-rate</w:t>
            </w:r>
          </w:p>
        </w:tc>
      </w:tr>
      <w:tr>
        <w:trPr>
          <w:trHeight w:val="183"/>
        </w:trPr>
        <w:tc>
          <w:tcPr>
            <w:tcW w:w="2220" w:type="dxa"/>
            <w:vAlign w:val="bottom"/>
            <w:tcBorders>
              <w:left w:val="single" w:sz="8" w:color="407CCA"/>
              <w:right w:val="single" w:sz="8" w:color="407CCA"/>
            </w:tcBorders>
            <w:shd w:val="clear" w:color="auto" w:fill="D8E4F4"/>
          </w:tcPr>
          <w:p>
            <w:pPr>
              <w:spacing w:after="0"/>
              <w:rPr>
                <w:sz w:val="15"/>
                <w:szCs w:val="15"/>
                <w:color w:val="auto"/>
              </w:rPr>
            </w:pPr>
          </w:p>
        </w:tc>
        <w:tc>
          <w:tcPr>
            <w:tcW w:w="3320" w:type="dxa"/>
            <w:vAlign w:val="bottom"/>
            <w:tcBorders>
              <w:right w:val="single" w:sz="8" w:color="407CCA"/>
            </w:tcBorders>
          </w:tcPr>
          <w:p>
            <w:pPr>
              <w:ind w:left="480"/>
              <w:spacing w:after="0" w:line="183" w:lineRule="exact"/>
              <w:rPr>
                <w:sz w:val="20"/>
                <w:szCs w:val="20"/>
                <w:color w:val="auto"/>
              </w:rPr>
            </w:pPr>
            <w:r>
              <w:rPr>
                <w:rFonts w:ascii="Arial" w:cs="Arial" w:eastAsia="Arial" w:hAnsi="Arial"/>
                <w:sz w:val="18"/>
                <w:szCs w:val="18"/>
                <w:color w:val="auto"/>
              </w:rPr>
              <w:t>considerations</w:t>
            </w:r>
          </w:p>
        </w:tc>
        <w:tc>
          <w:tcPr>
            <w:tcW w:w="5500" w:type="dxa"/>
            <w:vAlign w:val="bottom"/>
            <w:tcBorders>
              <w:right w:val="single" w:sz="8" w:color="407CCA"/>
            </w:tcBorders>
          </w:tcPr>
          <w:p>
            <w:pPr>
              <w:ind w:left="440"/>
              <w:spacing w:after="0" w:line="183" w:lineRule="exact"/>
              <w:rPr>
                <w:sz w:val="20"/>
                <w:szCs w:val="20"/>
                <w:color w:val="auto"/>
              </w:rPr>
            </w:pPr>
            <w:r>
              <w:rPr>
                <w:rFonts w:ascii="Arial" w:cs="Arial" w:eastAsia="Arial" w:hAnsi="Arial"/>
                <w:sz w:val="18"/>
                <w:szCs w:val="18"/>
                <w:color w:val="auto"/>
              </w:rPr>
              <w:t>coupon during the fixed rate period</w:t>
            </w:r>
          </w:p>
        </w:tc>
      </w:tr>
      <w:tr>
        <w:trPr>
          <w:trHeight w:val="249"/>
        </w:trPr>
        <w:tc>
          <w:tcPr>
            <w:tcW w:w="2220" w:type="dxa"/>
            <w:vAlign w:val="bottom"/>
            <w:tcBorders>
              <w:left w:val="single" w:sz="8" w:color="407CCA"/>
              <w:right w:val="single" w:sz="8" w:color="407CCA"/>
            </w:tcBorders>
            <w:shd w:val="clear" w:color="auto" w:fill="D8E4F4"/>
          </w:tcPr>
          <w:p>
            <w:pPr>
              <w:spacing w:after="0"/>
              <w:rPr>
                <w:sz w:val="21"/>
                <w:szCs w:val="21"/>
                <w:color w:val="auto"/>
              </w:rPr>
            </w:pPr>
          </w:p>
        </w:tc>
        <w:tc>
          <w:tcPr>
            <w:tcW w:w="3320" w:type="dxa"/>
            <w:vAlign w:val="bottom"/>
            <w:tcBorders>
              <w:right w:val="single" w:sz="8" w:color="407CCA"/>
            </w:tcBorders>
          </w:tcPr>
          <w:p>
            <w:pPr>
              <w:spacing w:after="0"/>
              <w:rPr>
                <w:sz w:val="21"/>
                <w:szCs w:val="21"/>
                <w:color w:val="auto"/>
              </w:rPr>
            </w:pPr>
          </w:p>
        </w:tc>
        <w:tc>
          <w:tcPr>
            <w:tcW w:w="5500" w:type="dxa"/>
            <w:vAlign w:val="bottom"/>
            <w:tcBorders>
              <w:right w:val="single" w:sz="8" w:color="407CCA"/>
            </w:tcBorders>
          </w:tcPr>
          <w:p>
            <w:pPr>
              <w:ind w:left="80"/>
              <w:spacing w:after="0" w:line="207" w:lineRule="exact"/>
              <w:rPr>
                <w:sz w:val="20"/>
                <w:szCs w:val="20"/>
                <w:color w:val="auto"/>
              </w:rPr>
            </w:pPr>
            <w:r>
              <w:rPr>
                <w:rFonts w:ascii="MS PGothic" w:cs="MS PGothic" w:eastAsia="MS PGothic" w:hAnsi="MS PGothic"/>
                <w:sz w:val="18"/>
                <w:szCs w:val="18"/>
                <w:color w:val="auto"/>
                <w:w w:val="99"/>
              </w:rPr>
              <w:t>✓</w:t>
            </w:r>
            <w:r>
              <w:rPr>
                <w:rFonts w:ascii="Arial" w:cs="Arial" w:eastAsia="Arial" w:hAnsi="Arial"/>
                <w:sz w:val="18"/>
                <w:szCs w:val="18"/>
                <w:color w:val="auto"/>
                <w:w w:val="99"/>
              </w:rPr>
              <w:t xml:space="preserve">  Redeemed the $175 million Series B preferred stock to generate</w:t>
            </w:r>
          </w:p>
        </w:tc>
      </w:tr>
      <w:tr>
        <w:trPr>
          <w:trHeight w:val="183"/>
        </w:trPr>
        <w:tc>
          <w:tcPr>
            <w:tcW w:w="2220" w:type="dxa"/>
            <w:vAlign w:val="bottom"/>
            <w:tcBorders>
              <w:left w:val="single" w:sz="8" w:color="407CCA"/>
              <w:right w:val="single" w:sz="8" w:color="407CCA"/>
            </w:tcBorders>
            <w:shd w:val="clear" w:color="auto" w:fill="D8E4F4"/>
          </w:tcPr>
          <w:p>
            <w:pPr>
              <w:spacing w:after="0"/>
              <w:rPr>
                <w:sz w:val="15"/>
                <w:szCs w:val="15"/>
                <w:color w:val="auto"/>
              </w:rPr>
            </w:pPr>
          </w:p>
        </w:tc>
        <w:tc>
          <w:tcPr>
            <w:tcW w:w="3320" w:type="dxa"/>
            <w:vAlign w:val="bottom"/>
            <w:tcBorders>
              <w:right w:val="single" w:sz="8" w:color="407CCA"/>
            </w:tcBorders>
          </w:tcPr>
          <w:p>
            <w:pPr>
              <w:spacing w:after="0"/>
              <w:rPr>
                <w:sz w:val="15"/>
                <w:szCs w:val="15"/>
                <w:color w:val="auto"/>
              </w:rPr>
            </w:pPr>
          </w:p>
        </w:tc>
        <w:tc>
          <w:tcPr>
            <w:tcW w:w="5500" w:type="dxa"/>
            <w:vAlign w:val="bottom"/>
            <w:tcBorders>
              <w:right w:val="single" w:sz="8" w:color="407CCA"/>
            </w:tcBorders>
          </w:tcPr>
          <w:p>
            <w:pPr>
              <w:ind w:left="440"/>
              <w:spacing w:after="0" w:line="183" w:lineRule="exact"/>
              <w:rPr>
                <w:sz w:val="20"/>
                <w:szCs w:val="20"/>
                <w:color w:val="auto"/>
              </w:rPr>
            </w:pPr>
            <w:r>
              <w:rPr>
                <w:rFonts w:ascii="Arial" w:cs="Arial" w:eastAsia="Arial" w:hAnsi="Arial"/>
                <w:sz w:val="18"/>
                <w:szCs w:val="18"/>
                <w:color w:val="auto"/>
              </w:rPr>
              <w:t>meaningful cost savings</w:t>
            </w:r>
          </w:p>
        </w:tc>
      </w:tr>
      <w:tr>
        <w:trPr>
          <w:trHeight w:val="249"/>
        </w:trPr>
        <w:tc>
          <w:tcPr>
            <w:tcW w:w="2220" w:type="dxa"/>
            <w:vAlign w:val="bottom"/>
            <w:tcBorders>
              <w:left w:val="single" w:sz="8" w:color="407CCA"/>
              <w:right w:val="single" w:sz="8" w:color="407CCA"/>
            </w:tcBorders>
            <w:shd w:val="clear" w:color="auto" w:fill="D8E4F4"/>
          </w:tcPr>
          <w:p>
            <w:pPr>
              <w:spacing w:after="0"/>
              <w:rPr>
                <w:sz w:val="21"/>
                <w:szCs w:val="21"/>
                <w:color w:val="auto"/>
              </w:rPr>
            </w:pPr>
          </w:p>
        </w:tc>
        <w:tc>
          <w:tcPr>
            <w:tcW w:w="3320" w:type="dxa"/>
            <w:vAlign w:val="bottom"/>
            <w:tcBorders>
              <w:right w:val="single" w:sz="8" w:color="407CCA"/>
            </w:tcBorders>
          </w:tcPr>
          <w:p>
            <w:pPr>
              <w:spacing w:after="0"/>
              <w:rPr>
                <w:sz w:val="21"/>
                <w:szCs w:val="21"/>
                <w:color w:val="auto"/>
              </w:rPr>
            </w:pPr>
          </w:p>
        </w:tc>
        <w:tc>
          <w:tcPr>
            <w:tcW w:w="5500" w:type="dxa"/>
            <w:vAlign w:val="bottom"/>
            <w:tcBorders>
              <w:right w:val="single" w:sz="8" w:color="407CCA"/>
            </w:tcBorders>
          </w:tcPr>
          <w:p>
            <w:pPr>
              <w:ind w:left="80"/>
              <w:spacing w:after="0" w:line="207" w:lineRule="exact"/>
              <w:rPr>
                <w:sz w:val="20"/>
                <w:szCs w:val="20"/>
                <w:color w:val="auto"/>
              </w:rPr>
            </w:pPr>
            <w:r>
              <w:rPr>
                <w:rFonts w:ascii="MS PGothic" w:cs="MS PGothic" w:eastAsia="MS PGothic" w:hAnsi="MS PGothic"/>
                <w:sz w:val="18"/>
                <w:szCs w:val="18"/>
                <w:color w:val="auto"/>
                <w:w w:val="95"/>
              </w:rPr>
              <w:t>✓</w:t>
            </w:r>
            <w:r>
              <w:rPr>
                <w:rFonts w:ascii="Arial" w:cs="Arial" w:eastAsia="Arial" w:hAnsi="Arial"/>
                <w:sz w:val="18"/>
                <w:szCs w:val="18"/>
                <w:color w:val="auto"/>
                <w:w w:val="95"/>
              </w:rPr>
              <w:t xml:space="preserve">  Opportunistically raised $190 million through the ATM at a premium</w:t>
            </w:r>
          </w:p>
        </w:tc>
      </w:tr>
      <w:tr>
        <w:trPr>
          <w:trHeight w:val="216"/>
        </w:trPr>
        <w:tc>
          <w:tcPr>
            <w:tcW w:w="2220" w:type="dxa"/>
            <w:vAlign w:val="bottom"/>
            <w:tcBorders>
              <w:left w:val="single" w:sz="8" w:color="407CCA"/>
              <w:right w:val="single" w:sz="8" w:color="407CCA"/>
            </w:tcBorders>
            <w:shd w:val="clear" w:color="auto" w:fill="D8E4F4"/>
          </w:tcPr>
          <w:p>
            <w:pPr>
              <w:spacing w:after="0"/>
              <w:rPr>
                <w:sz w:val="18"/>
                <w:szCs w:val="18"/>
                <w:color w:val="auto"/>
              </w:rPr>
            </w:pPr>
          </w:p>
        </w:tc>
        <w:tc>
          <w:tcPr>
            <w:tcW w:w="3320" w:type="dxa"/>
            <w:vAlign w:val="bottom"/>
            <w:tcBorders>
              <w:right w:val="single" w:sz="8" w:color="407CCA"/>
            </w:tcBorders>
          </w:tcPr>
          <w:p>
            <w:pPr>
              <w:spacing w:after="0"/>
              <w:rPr>
                <w:sz w:val="18"/>
                <w:szCs w:val="18"/>
                <w:color w:val="auto"/>
              </w:rPr>
            </w:pPr>
          </w:p>
        </w:tc>
        <w:tc>
          <w:tcPr>
            <w:tcW w:w="5500" w:type="dxa"/>
            <w:vAlign w:val="bottom"/>
            <w:tcBorders>
              <w:right w:val="single" w:sz="8" w:color="407CCA"/>
            </w:tcBorders>
          </w:tcPr>
          <w:p>
            <w:pPr>
              <w:ind w:left="440"/>
              <w:spacing w:after="0"/>
              <w:rPr>
                <w:sz w:val="20"/>
                <w:szCs w:val="20"/>
                <w:color w:val="auto"/>
              </w:rPr>
            </w:pPr>
            <w:r>
              <w:rPr>
                <w:rFonts w:ascii="Arial" w:cs="Arial" w:eastAsia="Arial" w:hAnsi="Arial"/>
                <w:sz w:val="18"/>
                <w:szCs w:val="18"/>
                <w:color w:val="auto"/>
                <w:w w:val="92"/>
              </w:rPr>
              <w:t>to tangible net book value and repurchased $103 million of common</w:t>
            </w:r>
          </w:p>
        </w:tc>
      </w:tr>
      <w:tr>
        <w:trPr>
          <w:trHeight w:val="216"/>
        </w:trPr>
        <w:tc>
          <w:tcPr>
            <w:tcW w:w="2220" w:type="dxa"/>
            <w:vAlign w:val="bottom"/>
            <w:tcBorders>
              <w:left w:val="single" w:sz="8" w:color="407CCA"/>
              <w:right w:val="single" w:sz="8" w:color="407CCA"/>
            </w:tcBorders>
            <w:shd w:val="clear" w:color="auto" w:fill="D8E4F4"/>
          </w:tcPr>
          <w:p>
            <w:pPr>
              <w:spacing w:after="0"/>
              <w:rPr>
                <w:sz w:val="18"/>
                <w:szCs w:val="18"/>
                <w:color w:val="auto"/>
              </w:rPr>
            </w:pPr>
          </w:p>
        </w:tc>
        <w:tc>
          <w:tcPr>
            <w:tcW w:w="3320" w:type="dxa"/>
            <w:vAlign w:val="bottom"/>
            <w:tcBorders>
              <w:right w:val="single" w:sz="8" w:color="407CCA"/>
            </w:tcBorders>
          </w:tcPr>
          <w:p>
            <w:pPr>
              <w:spacing w:after="0"/>
              <w:rPr>
                <w:sz w:val="18"/>
                <w:szCs w:val="18"/>
                <w:color w:val="auto"/>
              </w:rPr>
            </w:pPr>
          </w:p>
        </w:tc>
        <w:tc>
          <w:tcPr>
            <w:tcW w:w="5500" w:type="dxa"/>
            <w:vAlign w:val="bottom"/>
            <w:tcBorders>
              <w:right w:val="single" w:sz="8" w:color="407CCA"/>
            </w:tcBorders>
          </w:tcPr>
          <w:p>
            <w:pPr>
              <w:ind w:left="440"/>
              <w:spacing w:after="0"/>
              <w:rPr>
                <w:sz w:val="20"/>
                <w:szCs w:val="20"/>
                <w:color w:val="auto"/>
              </w:rPr>
            </w:pPr>
            <w:r>
              <w:rPr>
                <w:rFonts w:ascii="Arial" w:cs="Arial" w:eastAsia="Arial" w:hAnsi="Arial"/>
                <w:sz w:val="18"/>
                <w:szCs w:val="18"/>
                <w:color w:val="auto"/>
                <w:w w:val="98"/>
              </w:rPr>
              <w:t>stock when it reached a significant discount to tangible net book</w:t>
            </w:r>
          </w:p>
        </w:tc>
      </w:tr>
      <w:tr>
        <w:trPr>
          <w:trHeight w:val="230"/>
        </w:trPr>
        <w:tc>
          <w:tcPr>
            <w:tcW w:w="2220" w:type="dxa"/>
            <w:vAlign w:val="bottom"/>
            <w:tcBorders>
              <w:left w:val="single" w:sz="8" w:color="407CCA"/>
              <w:right w:val="single" w:sz="8" w:color="407CCA"/>
            </w:tcBorders>
            <w:shd w:val="clear" w:color="auto" w:fill="D8E4F4"/>
          </w:tcPr>
          <w:p>
            <w:pPr>
              <w:spacing w:after="0"/>
              <w:rPr>
                <w:sz w:val="20"/>
                <w:szCs w:val="20"/>
                <w:color w:val="auto"/>
              </w:rPr>
            </w:pPr>
          </w:p>
        </w:tc>
        <w:tc>
          <w:tcPr>
            <w:tcW w:w="3320" w:type="dxa"/>
            <w:vAlign w:val="bottom"/>
            <w:tcBorders>
              <w:right w:val="single" w:sz="8" w:color="407CCA"/>
            </w:tcBorders>
          </w:tcPr>
          <w:p>
            <w:pPr>
              <w:spacing w:after="0"/>
              <w:rPr>
                <w:sz w:val="20"/>
                <w:szCs w:val="20"/>
                <w:color w:val="auto"/>
              </w:rPr>
            </w:pPr>
          </w:p>
        </w:tc>
        <w:tc>
          <w:tcPr>
            <w:tcW w:w="5500" w:type="dxa"/>
            <w:vAlign w:val="bottom"/>
            <w:tcBorders>
              <w:right w:val="single" w:sz="8" w:color="407CCA"/>
            </w:tcBorders>
          </w:tcPr>
          <w:p>
            <w:pPr>
              <w:ind w:left="440"/>
              <w:spacing w:after="0"/>
              <w:rPr>
                <w:sz w:val="20"/>
                <w:szCs w:val="20"/>
                <w:color w:val="auto"/>
              </w:rPr>
            </w:pPr>
            <w:r>
              <w:rPr>
                <w:rFonts w:ascii="Arial" w:cs="Arial" w:eastAsia="Arial" w:hAnsi="Arial"/>
                <w:sz w:val="18"/>
                <w:szCs w:val="18"/>
                <w:color w:val="auto"/>
              </w:rPr>
              <w:t>value</w:t>
            </w:r>
          </w:p>
        </w:tc>
      </w:tr>
      <w:tr>
        <w:trPr>
          <w:trHeight w:val="94"/>
        </w:trPr>
        <w:tc>
          <w:tcPr>
            <w:tcW w:w="2220" w:type="dxa"/>
            <w:vAlign w:val="bottom"/>
            <w:tcBorders>
              <w:left w:val="single" w:sz="8" w:color="407CCA"/>
              <w:bottom w:val="single" w:sz="8" w:color="407CCA"/>
              <w:right w:val="single" w:sz="8" w:color="407CCA"/>
            </w:tcBorders>
            <w:shd w:val="clear" w:color="auto" w:fill="D8E4F4"/>
          </w:tcPr>
          <w:p>
            <w:pPr>
              <w:spacing w:after="0"/>
              <w:rPr>
                <w:sz w:val="8"/>
                <w:szCs w:val="8"/>
                <w:color w:val="auto"/>
              </w:rPr>
            </w:pPr>
          </w:p>
        </w:tc>
        <w:tc>
          <w:tcPr>
            <w:tcW w:w="3320" w:type="dxa"/>
            <w:vAlign w:val="bottom"/>
            <w:tcBorders>
              <w:bottom w:val="single" w:sz="8" w:color="407CCA"/>
              <w:right w:val="single" w:sz="8" w:color="407CCA"/>
            </w:tcBorders>
          </w:tcPr>
          <w:p>
            <w:pPr>
              <w:spacing w:after="0"/>
              <w:rPr>
                <w:sz w:val="8"/>
                <w:szCs w:val="8"/>
                <w:color w:val="auto"/>
              </w:rPr>
            </w:pPr>
          </w:p>
        </w:tc>
        <w:tc>
          <w:tcPr>
            <w:tcW w:w="5500" w:type="dxa"/>
            <w:vAlign w:val="bottom"/>
            <w:tcBorders>
              <w:bottom w:val="single" w:sz="8" w:color="407CCA"/>
              <w:right w:val="single" w:sz="8" w:color="407CCA"/>
            </w:tcBorders>
          </w:tcPr>
          <w:p>
            <w:pPr>
              <w:spacing w:after="0"/>
              <w:rPr>
                <w:sz w:val="8"/>
                <w:szCs w:val="8"/>
                <w:color w:val="auto"/>
              </w:rPr>
            </w:pPr>
          </w:p>
        </w:tc>
      </w:tr>
    </w:tbl>
    <w:p>
      <w:pPr>
        <w:spacing w:after="0" w:line="202" w:lineRule="exact"/>
        <w:rPr>
          <w:sz w:val="20"/>
          <w:szCs w:val="20"/>
          <w:color w:val="auto"/>
        </w:rPr>
      </w:pPr>
    </w:p>
    <w:p>
      <w:pPr>
        <w:ind w:left="1880"/>
        <w:spacing w:after="0"/>
        <w:rPr>
          <w:sz w:val="20"/>
          <w:szCs w:val="20"/>
          <w:color w:val="auto"/>
        </w:rPr>
      </w:pPr>
      <w:r>
        <w:rPr>
          <w:rFonts w:ascii="Arial" w:cs="Arial" w:eastAsia="Arial" w:hAnsi="Arial"/>
          <w:sz w:val="18"/>
          <w:szCs w:val="18"/>
          <w:i w:val="1"/>
          <w:iCs w:val="1"/>
          <w:color w:val="407CCA"/>
        </w:rPr>
        <w:t>Individual Bonus Decisions</w:t>
      </w:r>
    </w:p>
    <w:p>
      <w:pPr>
        <w:spacing w:after="0" w:line="117" w:lineRule="exact"/>
        <w:rPr>
          <w:sz w:val="20"/>
          <w:szCs w:val="20"/>
          <w:color w:val="auto"/>
        </w:rPr>
      </w:pPr>
    </w:p>
    <w:p>
      <w:pPr>
        <w:ind w:left="120" w:right="40" w:firstLine="881"/>
        <w:spacing w:after="0" w:line="263" w:lineRule="auto"/>
        <w:rPr>
          <w:sz w:val="20"/>
          <w:szCs w:val="20"/>
          <w:color w:val="auto"/>
        </w:rPr>
      </w:pPr>
      <w:r>
        <w:rPr>
          <w:rFonts w:ascii="Arial" w:cs="Arial" w:eastAsia="Arial" w:hAnsi="Arial"/>
          <w:sz w:val="18"/>
          <w:szCs w:val="18"/>
          <w:color w:val="auto"/>
        </w:rPr>
        <w:t>Short-term incentives for Messrs. Kain and Federico in 2019 were based solely on achievement of the Corporate Scorecard measures. Based on the Compensation Committee’s assessment of the 2019 Corporate Scorecard, this resulted in a payout of 130.5% of target for Messrs. Kain and Federico.</w:t>
      </w:r>
    </w:p>
    <w:p>
      <w:pPr>
        <w:spacing w:after="0" w:line="184" w:lineRule="exact"/>
        <w:rPr>
          <w:sz w:val="20"/>
          <w:szCs w:val="20"/>
          <w:color w:val="auto"/>
        </w:rPr>
      </w:pPr>
    </w:p>
    <w:p>
      <w:pPr>
        <w:ind w:left="120" w:right="140" w:firstLine="881"/>
        <w:spacing w:after="0" w:line="269" w:lineRule="auto"/>
        <w:rPr>
          <w:sz w:val="20"/>
          <w:szCs w:val="20"/>
          <w:color w:val="auto"/>
        </w:rPr>
      </w:pPr>
      <w:r>
        <w:rPr>
          <w:rFonts w:ascii="Arial" w:cs="Arial" w:eastAsia="Arial" w:hAnsi="Arial"/>
          <w:sz w:val="17"/>
          <w:szCs w:val="17"/>
          <w:color w:val="auto"/>
        </w:rPr>
        <w:t>Other NEOs’ short-term cash incentives were based predominantly on the Corporate Scorecard measures and to a lesser extent on an individual performance assessment. Mr. Kuehl was awarded a cash bonus at 124.4% of his target based on a relative weighting of the Corporate Scorecard at 80% and his personal performance at 20% (awarded at target). In evaluating his personal performance, the Compensation Committee considered the significant positive impact that his management of the Agency portfolio, including the repositioning of the Agency portfolio to mitigate the impact of prepayments resulting from declining interest rates, had on the Company’s overall performance in 2019. Ms. Bell and Mr. Pas each were awarded 118.3% of their target bonus, which reflects a relative weighting of the Corporate Scorecard at 60% and their individual personal performance at 40% (awarded at target). For Ms. Bell, the Compensation Committee considered her contributions to AGNC’s high quality financial reporting, management of a large team, and her ongoing and significant contributions in oversight of our accounting, tax, and treasury operations and financial planning. For Mr. Pas, the Compensation Committee considered his contributions in managing the Company’s portfolio of non-Agency securities, his insights on the credit landscape that have influenced our overall outlook, and his leadership in developing our capabilities to invest in new business lines.</w:t>
      </w:r>
    </w:p>
    <w:p>
      <w:pPr>
        <w:spacing w:after="0" w:line="182"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These 2019 bonus payments are reflected in the following table:</w:t>
      </w:r>
    </w:p>
    <w:p>
      <w:pPr>
        <w:spacing w:after="0" w:line="246" w:lineRule="exact"/>
        <w:rPr>
          <w:sz w:val="20"/>
          <w:szCs w:val="20"/>
          <w:color w:val="auto"/>
        </w:rPr>
      </w:pPr>
    </w:p>
    <w:tbl>
      <w:tblPr>
        <w:tblLayout w:type="fixed"/>
        <w:tblInd w:w="120" w:type="dxa"/>
        <w:tblCellMar>
          <w:top w:w="0" w:type="dxa"/>
          <w:left w:w="0" w:type="dxa"/>
          <w:bottom w:w="0" w:type="dxa"/>
          <w:right w:w="0" w:type="dxa"/>
        </w:tblCellMar>
      </w:tblPr>
      <w:tr>
        <w:trPr>
          <w:trHeight w:val="243"/>
        </w:trPr>
        <w:tc>
          <w:tcPr>
            <w:tcW w:w="3380" w:type="dxa"/>
            <w:vAlign w:val="bottom"/>
            <w:tcBorders>
              <w:top w:val="single" w:sz="8" w:color="407CCA"/>
              <w:bottom w:val="single" w:sz="8" w:color="407CCA"/>
            </w:tcBorders>
          </w:tcPr>
          <w:p>
            <w:pPr>
              <w:ind w:left="80"/>
              <w:spacing w:after="0"/>
              <w:rPr>
                <w:sz w:val="20"/>
                <w:szCs w:val="20"/>
                <w:color w:val="auto"/>
              </w:rPr>
            </w:pPr>
            <w:r>
              <w:rPr>
                <w:rFonts w:ascii="Arial" w:cs="Arial" w:eastAsia="Arial" w:hAnsi="Arial"/>
                <w:sz w:val="18"/>
                <w:szCs w:val="18"/>
                <w:b w:val="1"/>
                <w:bCs w:val="1"/>
                <w:color w:val="auto"/>
              </w:rPr>
              <w:t>NEO</w:t>
            </w:r>
          </w:p>
        </w:tc>
        <w:tc>
          <w:tcPr>
            <w:tcW w:w="4340" w:type="dxa"/>
            <w:vAlign w:val="bottom"/>
            <w:tcBorders>
              <w:top w:val="single" w:sz="8" w:color="407CCA"/>
              <w:bottom w:val="single" w:sz="8" w:color="407CCA"/>
            </w:tcBorders>
          </w:tcPr>
          <w:p>
            <w:pPr>
              <w:jc w:val="right"/>
              <w:ind w:right="895"/>
              <w:spacing w:after="0"/>
              <w:rPr>
                <w:sz w:val="20"/>
                <w:szCs w:val="20"/>
                <w:color w:val="auto"/>
              </w:rPr>
            </w:pPr>
            <w:r>
              <w:rPr>
                <w:rFonts w:ascii="Arial" w:cs="Arial" w:eastAsia="Arial" w:hAnsi="Arial"/>
                <w:sz w:val="13"/>
                <w:szCs w:val="13"/>
                <w:b w:val="1"/>
                <w:bCs w:val="1"/>
                <w:color w:val="auto"/>
              </w:rPr>
              <w:t>Short-Term Incentive Award ($)</w:t>
            </w:r>
          </w:p>
        </w:tc>
        <w:tc>
          <w:tcPr>
            <w:tcW w:w="3300" w:type="dxa"/>
            <w:vAlign w:val="bottom"/>
            <w:tcBorders>
              <w:top w:val="single" w:sz="8" w:color="407CCA"/>
              <w:bottom w:val="single" w:sz="8" w:color="407CCA"/>
            </w:tcBorders>
          </w:tcPr>
          <w:p>
            <w:pPr>
              <w:jc w:val="center"/>
              <w:spacing w:after="0"/>
              <w:rPr>
                <w:sz w:val="20"/>
                <w:szCs w:val="20"/>
                <w:color w:val="auto"/>
              </w:rPr>
            </w:pPr>
            <w:r>
              <w:rPr>
                <w:rFonts w:ascii="Arial" w:cs="Arial" w:eastAsia="Arial" w:hAnsi="Arial"/>
                <w:sz w:val="13"/>
                <w:szCs w:val="13"/>
                <w:b w:val="1"/>
                <w:bCs w:val="1"/>
                <w:color w:val="auto"/>
                <w:w w:val="85"/>
              </w:rPr>
              <w:t>Percentage of 2019 Target</w:t>
            </w:r>
          </w:p>
        </w:tc>
      </w:tr>
      <w:tr>
        <w:trPr>
          <w:trHeight w:val="210"/>
        </w:trPr>
        <w:tc>
          <w:tcPr>
            <w:tcW w:w="338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Gary D. Kain</w:t>
            </w:r>
          </w:p>
        </w:tc>
        <w:tc>
          <w:tcPr>
            <w:tcW w:w="4340" w:type="dxa"/>
            <w:vAlign w:val="bottom"/>
            <w:shd w:val="clear" w:color="auto" w:fill="CCEEFF"/>
          </w:tcPr>
          <w:p>
            <w:pPr>
              <w:jc w:val="right"/>
              <w:ind w:right="1395"/>
              <w:spacing w:after="0"/>
              <w:rPr>
                <w:sz w:val="20"/>
                <w:szCs w:val="20"/>
                <w:color w:val="auto"/>
              </w:rPr>
            </w:pPr>
            <w:r>
              <w:rPr>
                <w:rFonts w:ascii="Arial" w:cs="Arial" w:eastAsia="Arial" w:hAnsi="Arial"/>
                <w:sz w:val="18"/>
                <w:szCs w:val="18"/>
                <w:color w:val="auto"/>
              </w:rPr>
              <w:t>7,047,000</w:t>
            </w:r>
          </w:p>
        </w:tc>
        <w:tc>
          <w:tcPr>
            <w:tcW w:w="33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8"/>
              </w:rPr>
              <w:t>130.5%</w:t>
            </w:r>
          </w:p>
        </w:tc>
      </w:tr>
      <w:tr>
        <w:trPr>
          <w:trHeight w:val="216"/>
        </w:trPr>
        <w:tc>
          <w:tcPr>
            <w:tcW w:w="3380" w:type="dxa"/>
            <w:vAlign w:val="bottom"/>
          </w:tcPr>
          <w:p>
            <w:pPr>
              <w:ind w:left="80"/>
              <w:spacing w:after="0"/>
              <w:rPr>
                <w:sz w:val="20"/>
                <w:szCs w:val="20"/>
                <w:color w:val="auto"/>
              </w:rPr>
            </w:pPr>
            <w:r>
              <w:rPr>
                <w:rFonts w:ascii="Arial" w:cs="Arial" w:eastAsia="Arial" w:hAnsi="Arial"/>
                <w:sz w:val="18"/>
                <w:szCs w:val="18"/>
                <w:b w:val="1"/>
                <w:bCs w:val="1"/>
                <w:color w:val="auto"/>
              </w:rPr>
              <w:t>Peter J. Federico</w:t>
            </w:r>
          </w:p>
        </w:tc>
        <w:tc>
          <w:tcPr>
            <w:tcW w:w="4340" w:type="dxa"/>
            <w:vAlign w:val="bottom"/>
          </w:tcPr>
          <w:p>
            <w:pPr>
              <w:jc w:val="right"/>
              <w:ind w:right="1395"/>
              <w:spacing w:after="0"/>
              <w:rPr>
                <w:sz w:val="20"/>
                <w:szCs w:val="20"/>
                <w:color w:val="auto"/>
              </w:rPr>
            </w:pPr>
            <w:r>
              <w:rPr>
                <w:rFonts w:ascii="Arial" w:cs="Arial" w:eastAsia="Arial" w:hAnsi="Arial"/>
                <w:sz w:val="18"/>
                <w:szCs w:val="18"/>
                <w:color w:val="auto"/>
              </w:rPr>
              <w:t>2,349,000</w:t>
            </w:r>
          </w:p>
        </w:tc>
        <w:tc>
          <w:tcPr>
            <w:tcW w:w="3300" w:type="dxa"/>
            <w:vAlign w:val="bottom"/>
          </w:tcPr>
          <w:p>
            <w:pPr>
              <w:jc w:val="center"/>
              <w:spacing w:after="0"/>
              <w:rPr>
                <w:sz w:val="20"/>
                <w:szCs w:val="20"/>
                <w:color w:val="auto"/>
              </w:rPr>
            </w:pPr>
            <w:r>
              <w:rPr>
                <w:rFonts w:ascii="Arial" w:cs="Arial" w:eastAsia="Arial" w:hAnsi="Arial"/>
                <w:sz w:val="18"/>
                <w:szCs w:val="18"/>
                <w:color w:val="auto"/>
                <w:w w:val="88"/>
              </w:rPr>
              <w:t>130.5%</w:t>
            </w:r>
          </w:p>
        </w:tc>
      </w:tr>
      <w:tr>
        <w:trPr>
          <w:trHeight w:val="216"/>
        </w:trPr>
        <w:tc>
          <w:tcPr>
            <w:tcW w:w="338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Christopher J. Kuehl</w:t>
            </w:r>
          </w:p>
        </w:tc>
        <w:tc>
          <w:tcPr>
            <w:tcW w:w="4340" w:type="dxa"/>
            <w:vAlign w:val="bottom"/>
            <w:shd w:val="clear" w:color="auto" w:fill="CCEEFF"/>
          </w:tcPr>
          <w:p>
            <w:pPr>
              <w:jc w:val="right"/>
              <w:ind w:right="1395"/>
              <w:spacing w:after="0"/>
              <w:rPr>
                <w:sz w:val="20"/>
                <w:szCs w:val="20"/>
                <w:color w:val="auto"/>
              </w:rPr>
            </w:pPr>
            <w:r>
              <w:rPr>
                <w:rFonts w:ascii="Arial" w:cs="Arial" w:eastAsia="Arial" w:hAnsi="Arial"/>
                <w:sz w:val="18"/>
                <w:szCs w:val="18"/>
                <w:color w:val="auto"/>
              </w:rPr>
              <w:t>1,992,888</w:t>
            </w:r>
          </w:p>
        </w:tc>
        <w:tc>
          <w:tcPr>
            <w:tcW w:w="33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8"/>
              </w:rPr>
              <w:t>124.4%</w:t>
            </w:r>
          </w:p>
        </w:tc>
      </w:tr>
      <w:tr>
        <w:trPr>
          <w:trHeight w:val="216"/>
        </w:trPr>
        <w:tc>
          <w:tcPr>
            <w:tcW w:w="3380" w:type="dxa"/>
            <w:vAlign w:val="bottom"/>
          </w:tcPr>
          <w:p>
            <w:pPr>
              <w:ind w:left="80"/>
              <w:spacing w:after="0"/>
              <w:rPr>
                <w:sz w:val="20"/>
                <w:szCs w:val="20"/>
                <w:color w:val="auto"/>
              </w:rPr>
            </w:pPr>
            <w:r>
              <w:rPr>
                <w:rFonts w:ascii="Arial" w:cs="Arial" w:eastAsia="Arial" w:hAnsi="Arial"/>
                <w:sz w:val="18"/>
                <w:szCs w:val="18"/>
                <w:b w:val="1"/>
                <w:bCs w:val="1"/>
                <w:color w:val="auto"/>
              </w:rPr>
              <w:t>Aaron J. Pas</w:t>
            </w:r>
          </w:p>
        </w:tc>
        <w:tc>
          <w:tcPr>
            <w:tcW w:w="4340" w:type="dxa"/>
            <w:vAlign w:val="bottom"/>
          </w:tcPr>
          <w:p>
            <w:pPr>
              <w:jc w:val="right"/>
              <w:ind w:right="1395"/>
              <w:spacing w:after="0"/>
              <w:rPr>
                <w:sz w:val="20"/>
                <w:szCs w:val="20"/>
                <w:color w:val="auto"/>
              </w:rPr>
            </w:pPr>
            <w:r>
              <w:rPr>
                <w:rFonts w:ascii="Arial" w:cs="Arial" w:eastAsia="Arial" w:hAnsi="Arial"/>
                <w:sz w:val="18"/>
                <w:szCs w:val="18"/>
                <w:color w:val="auto"/>
              </w:rPr>
              <w:t>754,163</w:t>
            </w:r>
          </w:p>
        </w:tc>
        <w:tc>
          <w:tcPr>
            <w:tcW w:w="3300" w:type="dxa"/>
            <w:vAlign w:val="bottom"/>
          </w:tcPr>
          <w:p>
            <w:pPr>
              <w:jc w:val="center"/>
              <w:spacing w:after="0"/>
              <w:rPr>
                <w:sz w:val="20"/>
                <w:szCs w:val="20"/>
                <w:color w:val="auto"/>
              </w:rPr>
            </w:pPr>
            <w:r>
              <w:rPr>
                <w:rFonts w:ascii="Arial" w:cs="Arial" w:eastAsia="Arial" w:hAnsi="Arial"/>
                <w:sz w:val="18"/>
                <w:szCs w:val="18"/>
                <w:color w:val="auto"/>
                <w:w w:val="88"/>
              </w:rPr>
              <w:t>118.3%</w:t>
            </w:r>
          </w:p>
        </w:tc>
      </w:tr>
      <w:tr>
        <w:trPr>
          <w:trHeight w:val="216"/>
        </w:trPr>
        <w:tc>
          <w:tcPr>
            <w:tcW w:w="3380" w:type="dxa"/>
            <w:vAlign w:val="bottom"/>
            <w:tcBorders>
              <w:bottom w:val="single" w:sz="8" w:color="407CCA"/>
            </w:tcBorders>
            <w:shd w:val="clear" w:color="auto" w:fill="CCEEFF"/>
          </w:tcPr>
          <w:p>
            <w:pPr>
              <w:ind w:left="80"/>
              <w:spacing w:after="0"/>
              <w:rPr>
                <w:sz w:val="20"/>
                <w:szCs w:val="20"/>
                <w:color w:val="auto"/>
              </w:rPr>
            </w:pPr>
            <w:r>
              <w:rPr>
                <w:rFonts w:ascii="Arial" w:cs="Arial" w:eastAsia="Arial" w:hAnsi="Arial"/>
                <w:sz w:val="18"/>
                <w:szCs w:val="18"/>
                <w:b w:val="1"/>
                <w:bCs w:val="1"/>
                <w:color w:val="auto"/>
              </w:rPr>
              <w:t>Bernice E. Bell</w:t>
            </w:r>
          </w:p>
        </w:tc>
        <w:tc>
          <w:tcPr>
            <w:tcW w:w="4340" w:type="dxa"/>
            <w:vAlign w:val="bottom"/>
            <w:tcBorders>
              <w:bottom w:val="single" w:sz="8" w:color="407CCA"/>
            </w:tcBorders>
            <w:shd w:val="clear" w:color="auto" w:fill="CCEEFF"/>
          </w:tcPr>
          <w:p>
            <w:pPr>
              <w:jc w:val="right"/>
              <w:ind w:right="1395"/>
              <w:spacing w:after="0"/>
              <w:rPr>
                <w:sz w:val="20"/>
                <w:szCs w:val="20"/>
                <w:color w:val="auto"/>
              </w:rPr>
            </w:pPr>
            <w:r>
              <w:rPr>
                <w:rFonts w:ascii="Arial" w:cs="Arial" w:eastAsia="Arial" w:hAnsi="Arial"/>
                <w:sz w:val="18"/>
                <w:szCs w:val="18"/>
                <w:color w:val="auto"/>
              </w:rPr>
              <w:t>591,500</w:t>
            </w:r>
          </w:p>
        </w:tc>
        <w:tc>
          <w:tcPr>
            <w:tcW w:w="3300" w:type="dxa"/>
            <w:vAlign w:val="bottom"/>
            <w:tcBorders>
              <w:bottom w:val="single" w:sz="8" w:color="407CCA"/>
            </w:tcBorders>
            <w:shd w:val="clear" w:color="auto" w:fill="CCEEFF"/>
          </w:tcPr>
          <w:p>
            <w:pPr>
              <w:jc w:val="center"/>
              <w:spacing w:after="0"/>
              <w:rPr>
                <w:sz w:val="20"/>
                <w:szCs w:val="20"/>
                <w:color w:val="auto"/>
              </w:rPr>
            </w:pPr>
            <w:r>
              <w:rPr>
                <w:rFonts w:ascii="Arial" w:cs="Arial" w:eastAsia="Arial" w:hAnsi="Arial"/>
                <w:sz w:val="18"/>
                <w:szCs w:val="18"/>
                <w:color w:val="auto"/>
                <w:w w:val="88"/>
              </w:rPr>
              <w:t>118.3%</w:t>
            </w:r>
          </w:p>
        </w:tc>
      </w:tr>
    </w:tbl>
    <w:p>
      <w:pPr>
        <w:spacing w:after="0" w:line="130" w:lineRule="exact"/>
        <w:rPr>
          <w:sz w:val="20"/>
          <w:szCs w:val="20"/>
          <w:color w:val="auto"/>
        </w:rPr>
      </w:pPr>
    </w:p>
    <w:p>
      <w:pPr>
        <w:ind w:left="7960"/>
        <w:spacing w:after="0"/>
        <w:tabs>
          <w:tab w:leader="none" w:pos="109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49</w:t>
      </w:r>
    </w:p>
    <w:p>
      <w:pPr>
        <w:sectPr>
          <w:pgSz w:w="11900" w:h="16838" w:orient="portrait"/>
          <w:cols w:equalWidth="0" w:num="1">
            <w:col w:w="11140"/>
          </w:cols>
          <w:pgMar w:left="320" w:top="459" w:right="439" w:bottom="1440" w:gutter="0" w:footer="0" w:header="0"/>
        </w:sectPr>
      </w:pPr>
    </w:p>
    <w:bookmarkStart w:id="62" w:name="page63"/>
    <w:bookmarkEnd w:id="6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8">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9">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2020 Corporate Scorecard</w:t>
      </w:r>
    </w:p>
    <w:p>
      <w:pPr>
        <w:spacing w:after="0" w:line="117" w:lineRule="exact"/>
        <w:rPr>
          <w:sz w:val="20"/>
          <w:szCs w:val="20"/>
          <w:color w:val="auto"/>
        </w:rPr>
      </w:pPr>
    </w:p>
    <w:p>
      <w:pPr>
        <w:ind w:left="120" w:right="20" w:firstLine="881"/>
        <w:spacing w:after="0" w:line="271" w:lineRule="auto"/>
        <w:rPr>
          <w:sz w:val="20"/>
          <w:szCs w:val="20"/>
          <w:color w:val="auto"/>
        </w:rPr>
      </w:pPr>
      <w:r>
        <w:rPr>
          <w:rFonts w:ascii="Arial" w:cs="Arial" w:eastAsia="Arial" w:hAnsi="Arial"/>
          <w:sz w:val="17"/>
          <w:szCs w:val="17"/>
          <w:color w:val="auto"/>
        </w:rPr>
        <w:t>The Compensation Committee annually reviews the appropriateness of the Corporate Scorecard and considers feedback from stockholders as part of their deliberations. As in prior years, the Compensation Committee set financial measures for the 2020 Scorecard following its review of back-testing over a multi-year period and the Company’s forecast for 2020. After reviewing these factors, the Compensation Committee elected to increase the rigor of the relative annual economic return measure by raising the base target to 1% (above peer group average) from 0% (equal to peer group average), with performance bounds updated to reflect appropriate ranges based upon the historical distribution of results and other factors. A table outlining the financial objectives for 2020 is provided below. The Compensation Committee determined that, after adding three new peers in 2019 to the comparative group used in evaluating our compensation, no additional changes were necessary for 2020 after considering the size and capital allocations of these peers and other residential mortgage REITs.</w:t>
      </w:r>
    </w:p>
    <w:p>
      <w:pPr>
        <w:spacing w:after="0" w:line="200" w:lineRule="exact"/>
        <w:rPr>
          <w:sz w:val="20"/>
          <w:szCs w:val="20"/>
          <w:color w:val="auto"/>
        </w:rPr>
      </w:pPr>
    </w:p>
    <w:tbl>
      <w:tblPr>
        <w:tblLayout w:type="fixed"/>
        <w:tblInd w:w="130" w:type="dxa"/>
        <w:tblCellMar>
          <w:top w:w="0" w:type="dxa"/>
          <w:left w:w="0" w:type="dxa"/>
          <w:bottom w:w="0" w:type="dxa"/>
          <w:right w:w="0" w:type="dxa"/>
        </w:tblCellMar>
      </w:tblPr>
      <w:tr>
        <w:trPr>
          <w:trHeight w:val="200"/>
        </w:trPr>
        <w:tc>
          <w:tcPr>
            <w:tcW w:w="660" w:type="dxa"/>
            <w:vAlign w:val="bottom"/>
          </w:tcPr>
          <w:p>
            <w:pPr>
              <w:spacing w:after="0"/>
              <w:rPr>
                <w:sz w:val="17"/>
                <w:szCs w:val="17"/>
                <w:color w:val="auto"/>
              </w:rPr>
            </w:pPr>
          </w:p>
        </w:tc>
        <w:tc>
          <w:tcPr>
            <w:tcW w:w="17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5760" w:type="dxa"/>
            <w:vAlign w:val="bottom"/>
            <w:tcBorders>
              <w:right w:val="single" w:sz="8" w:color="auto"/>
            </w:tcBorders>
          </w:tcPr>
          <w:p>
            <w:pPr>
              <w:spacing w:after="0"/>
              <w:rPr>
                <w:sz w:val="17"/>
                <w:szCs w:val="17"/>
                <w:color w:val="auto"/>
              </w:rPr>
            </w:pPr>
          </w:p>
        </w:tc>
        <w:tc>
          <w:tcPr>
            <w:tcW w:w="680" w:type="dxa"/>
            <w:vAlign w:val="bottom"/>
            <w:tcBorders>
              <w:top w:val="single" w:sz="8" w:color="auto"/>
              <w:right w:val="single" w:sz="8" w:color="F2F2F2"/>
            </w:tcBorders>
            <w:shd w:val="clear" w:color="auto" w:fill="F2F2F2"/>
          </w:tcPr>
          <w:p>
            <w:pPr>
              <w:spacing w:after="0"/>
              <w:rPr>
                <w:sz w:val="17"/>
                <w:szCs w:val="17"/>
                <w:color w:val="auto"/>
              </w:rPr>
            </w:pPr>
          </w:p>
        </w:tc>
        <w:tc>
          <w:tcPr>
            <w:tcW w:w="2100" w:type="dxa"/>
            <w:vAlign w:val="bottom"/>
            <w:tcBorders>
              <w:top w:val="single" w:sz="8" w:color="auto"/>
              <w:right w:val="single" w:sz="8" w:color="auto"/>
            </w:tcBorders>
            <w:gridSpan w:val="3"/>
            <w:shd w:val="clear" w:color="auto" w:fill="F2F2F2"/>
          </w:tcPr>
          <w:p>
            <w:pPr>
              <w:ind w:left="20"/>
              <w:spacing w:after="0"/>
              <w:rPr>
                <w:sz w:val="20"/>
                <w:szCs w:val="20"/>
                <w:color w:val="auto"/>
              </w:rPr>
            </w:pPr>
            <w:r>
              <w:rPr>
                <w:rFonts w:ascii="Arial" w:cs="Arial" w:eastAsia="Arial" w:hAnsi="Arial"/>
                <w:sz w:val="13"/>
                <w:szCs w:val="13"/>
                <w:b w:val="1"/>
                <w:bCs w:val="1"/>
                <w:color w:val="auto"/>
              </w:rPr>
              <w:t>Performance Continuum</w:t>
            </w:r>
          </w:p>
        </w:tc>
        <w:tc>
          <w:tcPr>
            <w:tcW w:w="0" w:type="dxa"/>
            <w:vAlign w:val="bottom"/>
          </w:tcPr>
          <w:p>
            <w:pPr>
              <w:spacing w:after="0"/>
              <w:rPr>
                <w:sz w:val="1"/>
                <w:szCs w:val="1"/>
                <w:color w:val="auto"/>
              </w:rPr>
            </w:pPr>
          </w:p>
        </w:tc>
      </w:tr>
      <w:tr>
        <w:trPr>
          <w:trHeight w:val="70"/>
        </w:trPr>
        <w:tc>
          <w:tcPr>
            <w:tcW w:w="660" w:type="dxa"/>
            <w:vAlign w:val="bottom"/>
            <w:tcBorders>
              <w:bottom w:val="single" w:sz="8" w:color="auto"/>
            </w:tcBorders>
          </w:tcPr>
          <w:p>
            <w:pPr>
              <w:spacing w:after="0"/>
              <w:rPr>
                <w:sz w:val="6"/>
                <w:szCs w:val="6"/>
                <w:color w:val="auto"/>
              </w:rPr>
            </w:pPr>
          </w:p>
        </w:tc>
        <w:tc>
          <w:tcPr>
            <w:tcW w:w="176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5760" w:type="dxa"/>
            <w:vAlign w:val="bottom"/>
            <w:tcBorders>
              <w:bottom w:val="single" w:sz="8" w:color="auto"/>
              <w:right w:val="single" w:sz="8" w:color="auto"/>
            </w:tcBorders>
          </w:tcPr>
          <w:p>
            <w:pPr>
              <w:spacing w:after="0"/>
              <w:rPr>
                <w:sz w:val="6"/>
                <w:szCs w:val="6"/>
                <w:color w:val="auto"/>
              </w:rPr>
            </w:pPr>
          </w:p>
        </w:tc>
        <w:tc>
          <w:tcPr>
            <w:tcW w:w="680" w:type="dxa"/>
            <w:vAlign w:val="bottom"/>
            <w:tcBorders>
              <w:bottom w:val="single" w:sz="8" w:color="auto"/>
              <w:right w:val="single" w:sz="8" w:color="F2F2F2"/>
            </w:tcBorders>
            <w:shd w:val="clear" w:color="auto" w:fill="F2F2F2"/>
          </w:tcPr>
          <w:p>
            <w:pPr>
              <w:spacing w:after="0"/>
              <w:rPr>
                <w:sz w:val="6"/>
                <w:szCs w:val="6"/>
                <w:color w:val="auto"/>
              </w:rPr>
            </w:pPr>
          </w:p>
        </w:tc>
        <w:tc>
          <w:tcPr>
            <w:tcW w:w="680" w:type="dxa"/>
            <w:vAlign w:val="bottom"/>
            <w:tcBorders>
              <w:bottom w:val="single" w:sz="8" w:color="auto"/>
              <w:right w:val="single" w:sz="8" w:color="F2F2F2"/>
            </w:tcBorders>
            <w:shd w:val="clear" w:color="auto" w:fill="F2F2F2"/>
          </w:tcPr>
          <w:p>
            <w:pPr>
              <w:spacing w:after="0"/>
              <w:rPr>
                <w:sz w:val="6"/>
                <w:szCs w:val="6"/>
                <w:color w:val="auto"/>
              </w:rPr>
            </w:pPr>
          </w:p>
        </w:tc>
        <w:tc>
          <w:tcPr>
            <w:tcW w:w="500" w:type="dxa"/>
            <w:vAlign w:val="bottom"/>
            <w:tcBorders>
              <w:bottom w:val="single" w:sz="8" w:color="auto"/>
              <w:right w:val="single" w:sz="8" w:color="F2F2F2"/>
            </w:tcBorders>
            <w:shd w:val="clear" w:color="auto" w:fill="F2F2F2"/>
          </w:tcPr>
          <w:p>
            <w:pPr>
              <w:spacing w:after="0"/>
              <w:rPr>
                <w:sz w:val="6"/>
                <w:szCs w:val="6"/>
                <w:color w:val="auto"/>
              </w:rPr>
            </w:pPr>
          </w:p>
        </w:tc>
        <w:tc>
          <w:tcPr>
            <w:tcW w:w="920" w:type="dxa"/>
            <w:vAlign w:val="bottom"/>
            <w:tcBorders>
              <w:bottom w:val="single" w:sz="8" w:color="auto"/>
              <w:right w:val="single" w:sz="8" w:color="auto"/>
            </w:tcBorders>
            <w:shd w:val="clear" w:color="auto" w:fill="F2F2F2"/>
          </w:tcPr>
          <w:p>
            <w:pPr>
              <w:spacing w:after="0"/>
              <w:rPr>
                <w:sz w:val="6"/>
                <w:szCs w:val="6"/>
                <w:color w:val="auto"/>
              </w:rPr>
            </w:pPr>
          </w:p>
        </w:tc>
        <w:tc>
          <w:tcPr>
            <w:tcW w:w="0" w:type="dxa"/>
            <w:vAlign w:val="bottom"/>
          </w:tcPr>
          <w:p>
            <w:pPr>
              <w:spacing w:after="0"/>
              <w:rPr>
                <w:sz w:val="1"/>
                <w:szCs w:val="1"/>
                <w:color w:val="auto"/>
              </w:rPr>
            </w:pPr>
          </w:p>
        </w:tc>
      </w:tr>
      <w:tr>
        <w:trPr>
          <w:trHeight w:val="156"/>
        </w:trPr>
        <w:tc>
          <w:tcPr>
            <w:tcW w:w="660" w:type="dxa"/>
            <w:vAlign w:val="bottom"/>
            <w:tcBorders>
              <w:left w:val="single" w:sz="8" w:color="auto"/>
              <w:right w:val="single" w:sz="8" w:color="auto"/>
            </w:tcBorders>
            <w:shd w:val="clear" w:color="auto" w:fill="407CCA"/>
          </w:tcPr>
          <w:p>
            <w:pPr>
              <w:jc w:val="right"/>
              <w:ind w:right="31"/>
              <w:spacing w:after="0"/>
              <w:rPr>
                <w:sz w:val="20"/>
                <w:szCs w:val="20"/>
                <w:color w:val="auto"/>
              </w:rPr>
            </w:pPr>
            <w:r>
              <w:rPr>
                <w:rFonts w:ascii="Arial" w:cs="Arial" w:eastAsia="Arial" w:hAnsi="Arial"/>
                <w:sz w:val="13"/>
                <w:szCs w:val="13"/>
                <w:b w:val="1"/>
                <w:bCs w:val="1"/>
                <w:color w:val="FFFFFF"/>
              </w:rPr>
              <w:t>Metric</w:t>
            </w:r>
          </w:p>
        </w:tc>
        <w:tc>
          <w:tcPr>
            <w:tcW w:w="1760" w:type="dxa"/>
            <w:vAlign w:val="bottom"/>
            <w:tcBorders>
              <w:right w:val="single" w:sz="8" w:color="auto"/>
            </w:tcBorders>
            <w:shd w:val="clear" w:color="auto" w:fill="407CCA"/>
          </w:tcPr>
          <w:p>
            <w:pPr>
              <w:jc w:val="center"/>
              <w:ind w:left="13"/>
              <w:spacing w:after="0"/>
              <w:rPr>
                <w:sz w:val="20"/>
                <w:szCs w:val="20"/>
                <w:color w:val="auto"/>
              </w:rPr>
            </w:pPr>
            <w:r>
              <w:rPr>
                <w:rFonts w:ascii="Arial" w:cs="Arial" w:eastAsia="Arial" w:hAnsi="Arial"/>
                <w:sz w:val="13"/>
                <w:szCs w:val="13"/>
                <w:b w:val="1"/>
                <w:bCs w:val="1"/>
                <w:color w:val="FFFFFF"/>
                <w:w w:val="86"/>
              </w:rPr>
              <w:t>Component of</w:t>
            </w:r>
          </w:p>
        </w:tc>
        <w:tc>
          <w:tcPr>
            <w:tcW w:w="80" w:type="dxa"/>
            <w:vAlign w:val="bottom"/>
            <w:shd w:val="clear" w:color="auto" w:fill="407CCA"/>
          </w:tcPr>
          <w:p>
            <w:pPr>
              <w:spacing w:after="0"/>
              <w:rPr>
                <w:sz w:val="13"/>
                <w:szCs w:val="13"/>
                <w:color w:val="auto"/>
              </w:rPr>
            </w:pPr>
          </w:p>
        </w:tc>
        <w:tc>
          <w:tcPr>
            <w:tcW w:w="5760" w:type="dxa"/>
            <w:vAlign w:val="bottom"/>
            <w:tcBorders>
              <w:right w:val="single" w:sz="8" w:color="auto"/>
            </w:tcBorders>
            <w:shd w:val="clear" w:color="auto" w:fill="407CCA"/>
          </w:tcPr>
          <w:p>
            <w:pPr>
              <w:jc w:val="center"/>
              <w:spacing w:after="0"/>
              <w:rPr>
                <w:sz w:val="20"/>
                <w:szCs w:val="20"/>
                <w:color w:val="auto"/>
              </w:rPr>
            </w:pPr>
            <w:r>
              <w:rPr>
                <w:rFonts w:ascii="Arial" w:cs="Arial" w:eastAsia="Arial" w:hAnsi="Arial"/>
                <w:sz w:val="13"/>
                <w:szCs w:val="13"/>
                <w:b w:val="1"/>
                <w:bCs w:val="1"/>
                <w:color w:val="FFFFFF"/>
                <w:w w:val="88"/>
              </w:rPr>
              <w:t>Performance</w:t>
            </w:r>
          </w:p>
        </w:tc>
        <w:tc>
          <w:tcPr>
            <w:tcW w:w="680" w:type="dxa"/>
            <w:vAlign w:val="bottom"/>
            <w:tcBorders>
              <w:right w:val="single" w:sz="8" w:color="auto"/>
            </w:tcBorders>
            <w:shd w:val="clear" w:color="auto" w:fill="407CCA"/>
          </w:tcPr>
          <w:p>
            <w:pPr>
              <w:jc w:val="center"/>
              <w:spacing w:after="0"/>
              <w:rPr>
                <w:sz w:val="20"/>
                <w:szCs w:val="20"/>
                <w:color w:val="auto"/>
              </w:rPr>
            </w:pPr>
            <w:r>
              <w:rPr>
                <w:rFonts w:ascii="Arial" w:cs="Arial" w:eastAsia="Arial" w:hAnsi="Arial"/>
                <w:sz w:val="13"/>
                <w:szCs w:val="13"/>
                <w:b w:val="1"/>
                <w:bCs w:val="1"/>
                <w:color w:val="FFFFFF"/>
                <w:w w:val="83"/>
              </w:rPr>
              <w:t>Below</w:t>
            </w:r>
          </w:p>
        </w:tc>
        <w:tc>
          <w:tcPr>
            <w:tcW w:w="680" w:type="dxa"/>
            <w:vAlign w:val="bottom"/>
            <w:tcBorders>
              <w:right w:val="single" w:sz="8" w:color="auto"/>
            </w:tcBorders>
            <w:shd w:val="clear" w:color="auto" w:fill="407CCA"/>
          </w:tcPr>
          <w:p>
            <w:pPr>
              <w:spacing w:after="0"/>
              <w:rPr>
                <w:sz w:val="13"/>
                <w:szCs w:val="13"/>
                <w:color w:val="auto"/>
              </w:rPr>
            </w:pPr>
          </w:p>
        </w:tc>
        <w:tc>
          <w:tcPr>
            <w:tcW w:w="500" w:type="dxa"/>
            <w:vAlign w:val="bottom"/>
            <w:tcBorders>
              <w:right w:val="single" w:sz="8" w:color="auto"/>
            </w:tcBorders>
            <w:shd w:val="clear" w:color="auto" w:fill="407CCA"/>
          </w:tcPr>
          <w:p>
            <w:pPr>
              <w:jc w:val="center"/>
              <w:spacing w:after="0"/>
              <w:rPr>
                <w:sz w:val="20"/>
                <w:szCs w:val="20"/>
                <w:color w:val="auto"/>
              </w:rPr>
            </w:pPr>
            <w:r>
              <w:rPr>
                <w:rFonts w:ascii="Arial" w:cs="Arial" w:eastAsia="Arial" w:hAnsi="Arial"/>
                <w:sz w:val="13"/>
                <w:szCs w:val="13"/>
                <w:b w:val="1"/>
                <w:bCs w:val="1"/>
                <w:color w:val="FFFFFF"/>
                <w:w w:val="77"/>
              </w:rPr>
              <w:t>Base</w:t>
            </w:r>
          </w:p>
        </w:tc>
        <w:tc>
          <w:tcPr>
            <w:tcW w:w="920" w:type="dxa"/>
            <w:vAlign w:val="bottom"/>
            <w:tcBorders>
              <w:right w:val="single" w:sz="8" w:color="304963"/>
            </w:tcBorders>
            <w:shd w:val="clear" w:color="auto" w:fill="407CCA"/>
          </w:tcPr>
          <w:p>
            <w:pPr>
              <w:jc w:val="center"/>
              <w:spacing w:after="0"/>
              <w:rPr>
                <w:sz w:val="20"/>
                <w:szCs w:val="20"/>
                <w:color w:val="auto"/>
              </w:rPr>
            </w:pPr>
            <w:r>
              <w:rPr>
                <w:rFonts w:ascii="Arial" w:cs="Arial" w:eastAsia="Arial" w:hAnsi="Arial"/>
                <w:sz w:val="13"/>
                <w:szCs w:val="13"/>
                <w:b w:val="1"/>
                <w:bCs w:val="1"/>
                <w:color w:val="FFFFFF"/>
                <w:w w:val="89"/>
              </w:rPr>
              <w:t>Out-</w:t>
            </w:r>
          </w:p>
        </w:tc>
        <w:tc>
          <w:tcPr>
            <w:tcW w:w="0" w:type="dxa"/>
            <w:vAlign w:val="bottom"/>
          </w:tcPr>
          <w:p>
            <w:pPr>
              <w:spacing w:after="0"/>
              <w:rPr>
                <w:sz w:val="1"/>
                <w:szCs w:val="1"/>
                <w:color w:val="auto"/>
              </w:rPr>
            </w:pPr>
          </w:p>
        </w:tc>
      </w:tr>
      <w:tr>
        <w:trPr>
          <w:trHeight w:val="162"/>
        </w:trPr>
        <w:tc>
          <w:tcPr>
            <w:tcW w:w="660" w:type="dxa"/>
            <w:vAlign w:val="bottom"/>
            <w:tcBorders>
              <w:left w:val="single" w:sz="8" w:color="auto"/>
              <w:bottom w:val="single" w:sz="8" w:color="auto"/>
              <w:right w:val="single" w:sz="8" w:color="auto"/>
            </w:tcBorders>
            <w:shd w:val="clear" w:color="auto" w:fill="407CCA"/>
          </w:tcPr>
          <w:p>
            <w:pPr>
              <w:jc w:val="right"/>
              <w:spacing w:after="0"/>
              <w:rPr>
                <w:sz w:val="20"/>
                <w:szCs w:val="20"/>
                <w:color w:val="auto"/>
              </w:rPr>
            </w:pPr>
            <w:r>
              <w:rPr>
                <w:rFonts w:ascii="Arial" w:cs="Arial" w:eastAsia="Arial" w:hAnsi="Arial"/>
                <w:sz w:val="13"/>
                <w:szCs w:val="13"/>
                <w:b w:val="1"/>
                <w:bCs w:val="1"/>
                <w:color w:val="FFFFFF"/>
              </w:rPr>
              <w:t>Weight</w:t>
            </w:r>
          </w:p>
        </w:tc>
        <w:tc>
          <w:tcPr>
            <w:tcW w:w="1760" w:type="dxa"/>
            <w:vAlign w:val="bottom"/>
            <w:tcBorders>
              <w:bottom w:val="single" w:sz="8" w:color="auto"/>
              <w:right w:val="single" w:sz="8" w:color="auto"/>
            </w:tcBorders>
            <w:shd w:val="clear" w:color="auto" w:fill="407CCA"/>
          </w:tcPr>
          <w:p>
            <w:pPr>
              <w:jc w:val="center"/>
              <w:ind w:left="13"/>
              <w:spacing w:after="0"/>
              <w:rPr>
                <w:sz w:val="20"/>
                <w:szCs w:val="20"/>
                <w:color w:val="auto"/>
              </w:rPr>
            </w:pPr>
            <w:r>
              <w:rPr>
                <w:rFonts w:ascii="Arial" w:cs="Arial" w:eastAsia="Arial" w:hAnsi="Arial"/>
                <w:sz w:val="13"/>
                <w:szCs w:val="13"/>
                <w:b w:val="1"/>
                <w:bCs w:val="1"/>
                <w:color w:val="FFFFFF"/>
                <w:w w:val="86"/>
              </w:rPr>
              <w:t>Value Proposition</w:t>
            </w:r>
          </w:p>
        </w:tc>
        <w:tc>
          <w:tcPr>
            <w:tcW w:w="80" w:type="dxa"/>
            <w:vAlign w:val="bottom"/>
            <w:tcBorders>
              <w:bottom w:val="single" w:sz="8" w:color="auto"/>
            </w:tcBorders>
            <w:shd w:val="clear" w:color="auto" w:fill="407CCA"/>
          </w:tcPr>
          <w:p>
            <w:pPr>
              <w:spacing w:after="0"/>
              <w:rPr>
                <w:sz w:val="14"/>
                <w:szCs w:val="14"/>
                <w:color w:val="auto"/>
              </w:rPr>
            </w:pPr>
          </w:p>
        </w:tc>
        <w:tc>
          <w:tcPr>
            <w:tcW w:w="5760" w:type="dxa"/>
            <w:vAlign w:val="bottom"/>
            <w:tcBorders>
              <w:bottom w:val="single" w:sz="8" w:color="auto"/>
              <w:right w:val="single" w:sz="8" w:color="auto"/>
            </w:tcBorders>
            <w:shd w:val="clear" w:color="auto" w:fill="407CCA"/>
          </w:tcPr>
          <w:p>
            <w:pPr>
              <w:jc w:val="center"/>
              <w:spacing w:after="0"/>
              <w:rPr>
                <w:sz w:val="20"/>
                <w:szCs w:val="20"/>
                <w:color w:val="auto"/>
              </w:rPr>
            </w:pPr>
            <w:r>
              <w:rPr>
                <w:rFonts w:ascii="Arial" w:cs="Arial" w:eastAsia="Arial" w:hAnsi="Arial"/>
                <w:sz w:val="13"/>
                <w:szCs w:val="13"/>
                <w:b w:val="1"/>
                <w:bCs w:val="1"/>
                <w:color w:val="FFFFFF"/>
                <w:w w:val="99"/>
              </w:rPr>
              <w:t>Metric</w:t>
            </w:r>
          </w:p>
        </w:tc>
        <w:tc>
          <w:tcPr>
            <w:tcW w:w="680" w:type="dxa"/>
            <w:vAlign w:val="bottom"/>
            <w:tcBorders>
              <w:bottom w:val="single" w:sz="8" w:color="auto"/>
              <w:right w:val="single" w:sz="8" w:color="auto"/>
            </w:tcBorders>
            <w:shd w:val="clear" w:color="auto" w:fill="407CCA"/>
          </w:tcPr>
          <w:p>
            <w:pPr>
              <w:jc w:val="center"/>
              <w:spacing w:after="0"/>
              <w:rPr>
                <w:sz w:val="20"/>
                <w:szCs w:val="20"/>
                <w:color w:val="auto"/>
              </w:rPr>
            </w:pPr>
            <w:r>
              <w:rPr>
                <w:rFonts w:ascii="Arial" w:cs="Arial" w:eastAsia="Arial" w:hAnsi="Arial"/>
                <w:sz w:val="13"/>
                <w:szCs w:val="13"/>
                <w:b w:val="1"/>
                <w:bCs w:val="1"/>
                <w:color w:val="FFFFFF"/>
                <w:w w:val="89"/>
              </w:rPr>
              <w:t>Threshold</w:t>
            </w:r>
          </w:p>
        </w:tc>
        <w:tc>
          <w:tcPr>
            <w:tcW w:w="680" w:type="dxa"/>
            <w:vAlign w:val="bottom"/>
            <w:tcBorders>
              <w:bottom w:val="single" w:sz="8" w:color="auto"/>
              <w:right w:val="single" w:sz="8" w:color="auto"/>
            </w:tcBorders>
            <w:shd w:val="clear" w:color="auto" w:fill="407CCA"/>
          </w:tcPr>
          <w:p>
            <w:pPr>
              <w:ind w:left="80"/>
              <w:spacing w:after="0"/>
              <w:rPr>
                <w:sz w:val="20"/>
                <w:szCs w:val="20"/>
                <w:color w:val="auto"/>
              </w:rPr>
            </w:pPr>
            <w:r>
              <w:rPr>
                <w:rFonts w:ascii="Arial" w:cs="Arial" w:eastAsia="Arial" w:hAnsi="Arial"/>
                <w:sz w:val="13"/>
                <w:szCs w:val="13"/>
                <w:b w:val="1"/>
                <w:bCs w:val="1"/>
                <w:color w:val="FFFFFF"/>
                <w:w w:val="89"/>
              </w:rPr>
              <w:t>Threshold</w:t>
            </w:r>
          </w:p>
        </w:tc>
        <w:tc>
          <w:tcPr>
            <w:tcW w:w="500" w:type="dxa"/>
            <w:vAlign w:val="bottom"/>
            <w:tcBorders>
              <w:bottom w:val="single" w:sz="8" w:color="auto"/>
              <w:right w:val="single" w:sz="8" w:color="auto"/>
            </w:tcBorders>
            <w:shd w:val="clear" w:color="auto" w:fill="407CCA"/>
          </w:tcPr>
          <w:p>
            <w:pPr>
              <w:jc w:val="center"/>
              <w:spacing w:after="0"/>
              <w:rPr>
                <w:sz w:val="20"/>
                <w:szCs w:val="20"/>
                <w:color w:val="auto"/>
              </w:rPr>
            </w:pPr>
            <w:r>
              <w:rPr>
                <w:rFonts w:ascii="Arial" w:cs="Arial" w:eastAsia="Arial" w:hAnsi="Arial"/>
                <w:sz w:val="13"/>
                <w:szCs w:val="13"/>
                <w:b w:val="1"/>
                <w:bCs w:val="1"/>
                <w:color w:val="FFFFFF"/>
                <w:w w:val="90"/>
              </w:rPr>
              <w:t>Target</w:t>
            </w:r>
          </w:p>
        </w:tc>
        <w:tc>
          <w:tcPr>
            <w:tcW w:w="920" w:type="dxa"/>
            <w:vAlign w:val="bottom"/>
            <w:tcBorders>
              <w:bottom w:val="single" w:sz="8" w:color="auto"/>
              <w:right w:val="single" w:sz="8" w:color="304963"/>
            </w:tcBorders>
            <w:shd w:val="clear" w:color="auto" w:fill="407CCA"/>
          </w:tcPr>
          <w:p>
            <w:pPr>
              <w:jc w:val="center"/>
              <w:spacing w:after="0"/>
              <w:rPr>
                <w:sz w:val="20"/>
                <w:szCs w:val="20"/>
                <w:color w:val="auto"/>
              </w:rPr>
            </w:pPr>
            <w:r>
              <w:rPr>
                <w:rFonts w:ascii="Arial" w:cs="Arial" w:eastAsia="Arial" w:hAnsi="Arial"/>
                <w:sz w:val="13"/>
                <w:szCs w:val="13"/>
                <w:b w:val="1"/>
                <w:bCs w:val="1"/>
                <w:color w:val="FFFFFF"/>
                <w:w w:val="86"/>
              </w:rPr>
              <w:t>performance</w:t>
            </w:r>
          </w:p>
        </w:tc>
        <w:tc>
          <w:tcPr>
            <w:tcW w:w="0" w:type="dxa"/>
            <w:vAlign w:val="bottom"/>
          </w:tcPr>
          <w:p>
            <w:pPr>
              <w:spacing w:after="0"/>
              <w:rPr>
                <w:sz w:val="1"/>
                <w:szCs w:val="1"/>
                <w:color w:val="auto"/>
              </w:rPr>
            </w:pPr>
          </w:p>
        </w:tc>
      </w:tr>
      <w:tr>
        <w:trPr>
          <w:trHeight w:val="142"/>
        </w:trPr>
        <w:tc>
          <w:tcPr>
            <w:tcW w:w="660" w:type="dxa"/>
            <w:vAlign w:val="bottom"/>
            <w:tcBorders>
              <w:left w:val="single" w:sz="8" w:color="304963"/>
              <w:bottom w:val="single" w:sz="8" w:color="auto"/>
              <w:right w:val="single" w:sz="8" w:color="auto"/>
            </w:tcBorders>
            <w:shd w:val="clear" w:color="auto" w:fill="304963"/>
          </w:tcPr>
          <w:p>
            <w:pPr>
              <w:jc w:val="right"/>
              <w:ind w:right="31"/>
              <w:spacing w:after="0" w:line="142" w:lineRule="exact"/>
              <w:rPr>
                <w:sz w:val="20"/>
                <w:szCs w:val="20"/>
                <w:color w:val="auto"/>
              </w:rPr>
            </w:pPr>
            <w:r>
              <w:rPr>
                <w:rFonts w:ascii="Arial" w:cs="Arial" w:eastAsia="Arial" w:hAnsi="Arial"/>
                <w:sz w:val="14"/>
                <w:szCs w:val="14"/>
                <w:color w:val="FFFFFF"/>
              </w:rPr>
              <w:t>25%</w:t>
            </w:r>
          </w:p>
        </w:tc>
        <w:tc>
          <w:tcPr>
            <w:tcW w:w="1760" w:type="dxa"/>
            <w:vAlign w:val="bottom"/>
            <w:tcBorders>
              <w:bottom w:val="single" w:sz="8" w:color="F2F2F2"/>
              <w:right w:val="single" w:sz="8" w:color="auto"/>
            </w:tcBorders>
            <w:vMerge w:val="restart"/>
            <w:shd w:val="clear" w:color="auto" w:fill="F2F2F2"/>
          </w:tcPr>
          <w:p>
            <w:pPr>
              <w:jc w:val="center"/>
              <w:ind w:left="13"/>
              <w:spacing w:after="0"/>
              <w:rPr>
                <w:sz w:val="20"/>
                <w:szCs w:val="20"/>
                <w:color w:val="auto"/>
              </w:rPr>
            </w:pPr>
            <w:r>
              <w:rPr>
                <w:rFonts w:ascii="Arial" w:cs="Arial" w:eastAsia="Arial" w:hAnsi="Arial"/>
                <w:sz w:val="14"/>
                <w:szCs w:val="14"/>
                <w:color w:val="auto"/>
                <w:w w:val="94"/>
              </w:rPr>
              <w:t>Strong Financial</w:t>
            </w:r>
          </w:p>
        </w:tc>
        <w:tc>
          <w:tcPr>
            <w:tcW w:w="80" w:type="dxa"/>
            <w:vAlign w:val="bottom"/>
            <w:tcBorders>
              <w:bottom w:val="single" w:sz="8" w:color="auto"/>
            </w:tcBorders>
            <w:shd w:val="clear" w:color="auto" w:fill="F2F2F2"/>
          </w:tcPr>
          <w:p>
            <w:pPr>
              <w:spacing w:after="0"/>
              <w:rPr>
                <w:sz w:val="12"/>
                <w:szCs w:val="12"/>
                <w:color w:val="auto"/>
              </w:rPr>
            </w:pPr>
          </w:p>
        </w:tc>
        <w:tc>
          <w:tcPr>
            <w:tcW w:w="5760" w:type="dxa"/>
            <w:vAlign w:val="bottom"/>
            <w:tcBorders>
              <w:bottom w:val="single" w:sz="8" w:color="auto"/>
              <w:right w:val="single" w:sz="8" w:color="auto"/>
            </w:tcBorders>
            <w:shd w:val="clear" w:color="auto" w:fill="F2F2F2"/>
          </w:tcPr>
          <w:p>
            <w:pPr>
              <w:jc w:val="center"/>
              <w:spacing w:after="0" w:line="142" w:lineRule="exact"/>
              <w:rPr>
                <w:sz w:val="20"/>
                <w:szCs w:val="20"/>
                <w:color w:val="auto"/>
              </w:rPr>
            </w:pPr>
            <w:r>
              <w:rPr>
                <w:rFonts w:ascii="Arial" w:cs="Arial" w:eastAsia="Arial" w:hAnsi="Arial"/>
                <w:sz w:val="14"/>
                <w:szCs w:val="14"/>
                <w:color w:val="auto"/>
                <w:w w:val="94"/>
              </w:rPr>
              <w:t>Absolute Annual Economic Return</w:t>
            </w:r>
          </w:p>
        </w:tc>
        <w:tc>
          <w:tcPr>
            <w:tcW w:w="680" w:type="dxa"/>
            <w:vAlign w:val="bottom"/>
            <w:tcBorders>
              <w:bottom w:val="single" w:sz="8" w:color="auto"/>
              <w:right w:val="single" w:sz="8" w:color="auto"/>
            </w:tcBorders>
            <w:shd w:val="clear" w:color="auto" w:fill="F2F2F2"/>
          </w:tcPr>
          <w:p>
            <w:pPr>
              <w:jc w:val="center"/>
              <w:spacing w:after="0" w:line="142" w:lineRule="exact"/>
              <w:rPr>
                <w:sz w:val="20"/>
                <w:szCs w:val="20"/>
                <w:color w:val="auto"/>
              </w:rPr>
            </w:pPr>
            <w:r>
              <w:rPr>
                <w:rFonts w:ascii="Arial" w:cs="Arial" w:eastAsia="Arial" w:hAnsi="Arial"/>
                <w:sz w:val="14"/>
                <w:szCs w:val="14"/>
                <w:color w:val="auto"/>
                <w:w w:val="95"/>
              </w:rPr>
              <w:t>&lt; 0.0%</w:t>
            </w:r>
          </w:p>
        </w:tc>
        <w:tc>
          <w:tcPr>
            <w:tcW w:w="680" w:type="dxa"/>
            <w:vAlign w:val="bottom"/>
            <w:tcBorders>
              <w:bottom w:val="single" w:sz="8" w:color="auto"/>
              <w:right w:val="single" w:sz="8" w:color="auto"/>
            </w:tcBorders>
            <w:shd w:val="clear" w:color="auto" w:fill="F2F2F2"/>
          </w:tcPr>
          <w:p>
            <w:pPr>
              <w:jc w:val="center"/>
              <w:spacing w:after="0" w:line="142" w:lineRule="exact"/>
              <w:rPr>
                <w:sz w:val="20"/>
                <w:szCs w:val="20"/>
                <w:color w:val="auto"/>
              </w:rPr>
            </w:pPr>
            <w:r>
              <w:rPr>
                <w:rFonts w:ascii="Arial" w:cs="Arial" w:eastAsia="Arial" w:hAnsi="Arial"/>
                <w:sz w:val="14"/>
                <w:szCs w:val="14"/>
                <w:color w:val="auto"/>
                <w:w w:val="93"/>
              </w:rPr>
              <w:t>0.0%</w:t>
            </w:r>
          </w:p>
        </w:tc>
        <w:tc>
          <w:tcPr>
            <w:tcW w:w="500" w:type="dxa"/>
            <w:vAlign w:val="bottom"/>
            <w:tcBorders>
              <w:bottom w:val="single" w:sz="8" w:color="auto"/>
              <w:right w:val="single" w:sz="8" w:color="auto"/>
            </w:tcBorders>
            <w:shd w:val="clear" w:color="auto" w:fill="F2F2F2"/>
          </w:tcPr>
          <w:p>
            <w:pPr>
              <w:jc w:val="center"/>
              <w:spacing w:after="0" w:line="142" w:lineRule="exact"/>
              <w:rPr>
                <w:sz w:val="20"/>
                <w:szCs w:val="20"/>
                <w:color w:val="auto"/>
              </w:rPr>
            </w:pPr>
            <w:r>
              <w:rPr>
                <w:rFonts w:ascii="Arial" w:cs="Arial" w:eastAsia="Arial" w:hAnsi="Arial"/>
                <w:sz w:val="14"/>
                <w:szCs w:val="14"/>
                <w:color w:val="auto"/>
                <w:w w:val="90"/>
              </w:rPr>
              <w:t>10.0%</w:t>
            </w:r>
          </w:p>
        </w:tc>
        <w:tc>
          <w:tcPr>
            <w:tcW w:w="920" w:type="dxa"/>
            <w:vAlign w:val="bottom"/>
            <w:tcBorders>
              <w:bottom w:val="single" w:sz="8" w:color="auto"/>
              <w:right w:val="single" w:sz="8" w:color="304963"/>
            </w:tcBorders>
            <w:shd w:val="clear" w:color="auto" w:fill="F2F2F2"/>
          </w:tcPr>
          <w:p>
            <w:pPr>
              <w:jc w:val="center"/>
              <w:spacing w:after="0" w:line="142" w:lineRule="exact"/>
              <w:rPr>
                <w:sz w:val="20"/>
                <w:szCs w:val="20"/>
                <w:color w:val="auto"/>
              </w:rPr>
            </w:pPr>
            <w:r>
              <w:rPr>
                <w:rFonts w:ascii="Arial" w:cs="Arial" w:eastAsia="Arial" w:hAnsi="Arial"/>
                <w:sz w:val="14"/>
                <w:szCs w:val="14"/>
                <w:color w:val="auto"/>
                <w:w w:val="91"/>
              </w:rPr>
              <w:t>³ 17.0%</w:t>
            </w:r>
          </w:p>
        </w:tc>
        <w:tc>
          <w:tcPr>
            <w:tcW w:w="0" w:type="dxa"/>
            <w:vAlign w:val="bottom"/>
          </w:tcPr>
          <w:p>
            <w:pPr>
              <w:spacing w:after="0"/>
              <w:rPr>
                <w:sz w:val="1"/>
                <w:szCs w:val="1"/>
                <w:color w:val="auto"/>
              </w:rPr>
            </w:pPr>
          </w:p>
        </w:tc>
      </w:tr>
      <w:tr>
        <w:trPr>
          <w:trHeight w:val="42"/>
        </w:trPr>
        <w:tc>
          <w:tcPr>
            <w:tcW w:w="660" w:type="dxa"/>
            <w:vAlign w:val="bottom"/>
            <w:tcBorders>
              <w:left w:val="single" w:sz="8" w:color="304963"/>
              <w:right w:val="single" w:sz="8" w:color="auto"/>
            </w:tcBorders>
            <w:vMerge w:val="restart"/>
            <w:shd w:val="clear" w:color="auto" w:fill="304963"/>
          </w:tcPr>
          <w:p>
            <w:pPr>
              <w:jc w:val="right"/>
              <w:ind w:right="31"/>
              <w:spacing w:after="0" w:line="142" w:lineRule="exact"/>
              <w:rPr>
                <w:sz w:val="20"/>
                <w:szCs w:val="20"/>
                <w:color w:val="auto"/>
              </w:rPr>
            </w:pPr>
            <w:r>
              <w:rPr>
                <w:rFonts w:ascii="Arial" w:cs="Arial" w:eastAsia="Arial" w:hAnsi="Arial"/>
                <w:sz w:val="14"/>
                <w:szCs w:val="14"/>
                <w:color w:val="FFFFFF"/>
              </w:rPr>
              <w:t>25%</w:t>
            </w:r>
          </w:p>
        </w:tc>
        <w:tc>
          <w:tcPr>
            <w:tcW w:w="1760" w:type="dxa"/>
            <w:vAlign w:val="bottom"/>
            <w:tcBorders>
              <w:right w:val="single" w:sz="8" w:color="auto"/>
            </w:tcBorders>
            <w:vMerge w:val="continue"/>
            <w:shd w:val="clear" w:color="auto" w:fill="F2F2F2"/>
          </w:tcPr>
          <w:p>
            <w:pPr>
              <w:spacing w:after="0"/>
              <w:rPr>
                <w:sz w:val="3"/>
                <w:szCs w:val="3"/>
                <w:color w:val="auto"/>
              </w:rPr>
            </w:pPr>
          </w:p>
        </w:tc>
        <w:tc>
          <w:tcPr>
            <w:tcW w:w="80" w:type="dxa"/>
            <w:vAlign w:val="bottom"/>
            <w:shd w:val="clear" w:color="auto" w:fill="F2F2F2"/>
          </w:tcPr>
          <w:p>
            <w:pPr>
              <w:spacing w:after="0"/>
              <w:rPr>
                <w:sz w:val="3"/>
                <w:szCs w:val="3"/>
                <w:color w:val="auto"/>
              </w:rPr>
            </w:pPr>
          </w:p>
        </w:tc>
        <w:tc>
          <w:tcPr>
            <w:tcW w:w="5760" w:type="dxa"/>
            <w:vAlign w:val="bottom"/>
            <w:tcBorders>
              <w:right w:val="single" w:sz="8" w:color="auto"/>
            </w:tcBorders>
            <w:vMerge w:val="restart"/>
            <w:shd w:val="clear" w:color="auto" w:fill="F2F2F2"/>
          </w:tcPr>
          <w:p>
            <w:pPr>
              <w:jc w:val="center"/>
              <w:spacing w:after="0" w:line="142" w:lineRule="exact"/>
              <w:rPr>
                <w:sz w:val="20"/>
                <w:szCs w:val="20"/>
                <w:color w:val="auto"/>
              </w:rPr>
            </w:pPr>
            <w:r>
              <w:rPr>
                <w:rFonts w:ascii="Arial" w:cs="Arial" w:eastAsia="Arial" w:hAnsi="Arial"/>
                <w:sz w:val="14"/>
                <w:szCs w:val="14"/>
                <w:color w:val="auto"/>
                <w:w w:val="94"/>
              </w:rPr>
              <w:t>Relative Annual Economic Return</w:t>
            </w:r>
          </w:p>
        </w:tc>
        <w:tc>
          <w:tcPr>
            <w:tcW w:w="680" w:type="dxa"/>
            <w:vAlign w:val="bottom"/>
            <w:tcBorders>
              <w:right w:val="single" w:sz="8" w:color="auto"/>
            </w:tcBorders>
            <w:vMerge w:val="restart"/>
            <w:shd w:val="clear" w:color="auto" w:fill="F2F2F2"/>
          </w:tcPr>
          <w:p>
            <w:pPr>
              <w:jc w:val="center"/>
              <w:spacing w:after="0" w:line="142" w:lineRule="exact"/>
              <w:rPr>
                <w:sz w:val="20"/>
                <w:szCs w:val="20"/>
                <w:color w:val="auto"/>
              </w:rPr>
            </w:pPr>
            <w:r>
              <w:rPr>
                <w:rFonts w:ascii="Arial" w:cs="Arial" w:eastAsia="Arial" w:hAnsi="Arial"/>
                <w:sz w:val="14"/>
                <w:szCs w:val="14"/>
                <w:color w:val="auto"/>
                <w:w w:val="97"/>
              </w:rPr>
              <w:t>&lt; (5.0%)</w:t>
            </w:r>
          </w:p>
        </w:tc>
        <w:tc>
          <w:tcPr>
            <w:tcW w:w="680" w:type="dxa"/>
            <w:vAlign w:val="bottom"/>
            <w:tcBorders>
              <w:right w:val="single" w:sz="8" w:color="auto"/>
            </w:tcBorders>
            <w:vMerge w:val="restart"/>
            <w:shd w:val="clear" w:color="auto" w:fill="F2F2F2"/>
          </w:tcPr>
          <w:p>
            <w:pPr>
              <w:jc w:val="center"/>
              <w:spacing w:after="0" w:line="142" w:lineRule="exact"/>
              <w:rPr>
                <w:sz w:val="20"/>
                <w:szCs w:val="20"/>
                <w:color w:val="auto"/>
              </w:rPr>
            </w:pPr>
            <w:r>
              <w:rPr>
                <w:rFonts w:ascii="Arial" w:cs="Arial" w:eastAsia="Arial" w:hAnsi="Arial"/>
                <w:sz w:val="14"/>
                <w:szCs w:val="14"/>
                <w:color w:val="auto"/>
                <w:w w:val="92"/>
              </w:rPr>
              <w:t>(5.0%)</w:t>
            </w:r>
          </w:p>
        </w:tc>
        <w:tc>
          <w:tcPr>
            <w:tcW w:w="500" w:type="dxa"/>
            <w:vAlign w:val="bottom"/>
            <w:tcBorders>
              <w:right w:val="single" w:sz="8" w:color="auto"/>
            </w:tcBorders>
            <w:vMerge w:val="restart"/>
            <w:shd w:val="clear" w:color="auto" w:fill="F2F2F2"/>
          </w:tcPr>
          <w:p>
            <w:pPr>
              <w:jc w:val="center"/>
              <w:spacing w:after="0" w:line="142" w:lineRule="exact"/>
              <w:rPr>
                <w:sz w:val="20"/>
                <w:szCs w:val="20"/>
                <w:color w:val="auto"/>
              </w:rPr>
            </w:pPr>
            <w:r>
              <w:rPr>
                <w:rFonts w:ascii="Arial" w:cs="Arial" w:eastAsia="Arial" w:hAnsi="Arial"/>
                <w:sz w:val="14"/>
                <w:szCs w:val="14"/>
                <w:color w:val="auto"/>
                <w:w w:val="93"/>
              </w:rPr>
              <w:t>1.0%</w:t>
            </w:r>
          </w:p>
        </w:tc>
        <w:tc>
          <w:tcPr>
            <w:tcW w:w="920" w:type="dxa"/>
            <w:vAlign w:val="bottom"/>
            <w:tcBorders>
              <w:right w:val="single" w:sz="8" w:color="304963"/>
            </w:tcBorders>
            <w:vMerge w:val="restart"/>
            <w:shd w:val="clear" w:color="auto" w:fill="F2F2F2"/>
          </w:tcPr>
          <w:p>
            <w:pPr>
              <w:jc w:val="center"/>
              <w:spacing w:after="0" w:line="142" w:lineRule="exact"/>
              <w:rPr>
                <w:sz w:val="20"/>
                <w:szCs w:val="20"/>
                <w:color w:val="auto"/>
              </w:rPr>
            </w:pPr>
            <w:r>
              <w:rPr>
                <w:rFonts w:ascii="Arial" w:cs="Arial" w:eastAsia="Arial" w:hAnsi="Arial"/>
                <w:sz w:val="14"/>
                <w:szCs w:val="14"/>
                <w:color w:val="auto"/>
                <w:w w:val="88"/>
              </w:rPr>
              <w:t>³ 5.5%</w:t>
            </w:r>
          </w:p>
        </w:tc>
        <w:tc>
          <w:tcPr>
            <w:tcW w:w="0" w:type="dxa"/>
            <w:vAlign w:val="bottom"/>
          </w:tcPr>
          <w:p>
            <w:pPr>
              <w:spacing w:after="0"/>
              <w:rPr>
                <w:sz w:val="1"/>
                <w:szCs w:val="1"/>
                <w:color w:val="auto"/>
              </w:rPr>
            </w:pPr>
          </w:p>
        </w:tc>
      </w:tr>
      <w:tr>
        <w:trPr>
          <w:trHeight w:val="100"/>
        </w:trPr>
        <w:tc>
          <w:tcPr>
            <w:tcW w:w="660" w:type="dxa"/>
            <w:vAlign w:val="bottom"/>
            <w:tcBorders>
              <w:left w:val="single" w:sz="8" w:color="304963"/>
              <w:bottom w:val="single" w:sz="8" w:color="auto"/>
              <w:right w:val="single" w:sz="8" w:color="auto"/>
            </w:tcBorders>
            <w:vMerge w:val="continue"/>
            <w:shd w:val="clear" w:color="auto" w:fill="304963"/>
          </w:tcPr>
          <w:p>
            <w:pPr>
              <w:spacing w:after="0"/>
              <w:rPr>
                <w:sz w:val="8"/>
                <w:szCs w:val="8"/>
                <w:color w:val="auto"/>
              </w:rPr>
            </w:pPr>
          </w:p>
        </w:tc>
        <w:tc>
          <w:tcPr>
            <w:tcW w:w="1760" w:type="dxa"/>
            <w:vAlign w:val="bottom"/>
            <w:tcBorders>
              <w:bottom w:val="single" w:sz="8" w:color="F2F2F2"/>
              <w:right w:val="single" w:sz="8" w:color="auto"/>
            </w:tcBorders>
            <w:vMerge w:val="restart"/>
            <w:shd w:val="clear" w:color="auto" w:fill="F2F2F2"/>
          </w:tcPr>
          <w:p>
            <w:pPr>
              <w:jc w:val="center"/>
              <w:spacing w:after="0"/>
              <w:rPr>
                <w:sz w:val="20"/>
                <w:szCs w:val="20"/>
                <w:color w:val="auto"/>
              </w:rPr>
            </w:pPr>
            <w:r>
              <w:rPr>
                <w:rFonts w:ascii="Arial" w:cs="Arial" w:eastAsia="Arial" w:hAnsi="Arial"/>
                <w:sz w:val="14"/>
                <w:szCs w:val="14"/>
                <w:color w:val="auto"/>
                <w:w w:val="92"/>
              </w:rPr>
              <w:t>Performance</w:t>
            </w:r>
          </w:p>
        </w:tc>
        <w:tc>
          <w:tcPr>
            <w:tcW w:w="80" w:type="dxa"/>
            <w:vAlign w:val="bottom"/>
            <w:tcBorders>
              <w:bottom w:val="single" w:sz="8" w:color="auto"/>
            </w:tcBorders>
            <w:shd w:val="clear" w:color="auto" w:fill="F2F2F2"/>
          </w:tcPr>
          <w:p>
            <w:pPr>
              <w:spacing w:after="0"/>
              <w:rPr>
                <w:sz w:val="8"/>
                <w:szCs w:val="8"/>
                <w:color w:val="auto"/>
              </w:rPr>
            </w:pPr>
          </w:p>
        </w:tc>
        <w:tc>
          <w:tcPr>
            <w:tcW w:w="5760" w:type="dxa"/>
            <w:vAlign w:val="bottom"/>
            <w:tcBorders>
              <w:bottom w:val="single" w:sz="8" w:color="auto"/>
              <w:right w:val="single" w:sz="8" w:color="auto"/>
            </w:tcBorders>
            <w:vMerge w:val="continue"/>
            <w:shd w:val="clear" w:color="auto" w:fill="F2F2F2"/>
          </w:tcPr>
          <w:p>
            <w:pPr>
              <w:spacing w:after="0"/>
              <w:rPr>
                <w:sz w:val="8"/>
                <w:szCs w:val="8"/>
                <w:color w:val="auto"/>
              </w:rPr>
            </w:pPr>
          </w:p>
        </w:tc>
        <w:tc>
          <w:tcPr>
            <w:tcW w:w="680" w:type="dxa"/>
            <w:vAlign w:val="bottom"/>
            <w:tcBorders>
              <w:bottom w:val="single" w:sz="8" w:color="auto"/>
              <w:right w:val="single" w:sz="8" w:color="auto"/>
            </w:tcBorders>
            <w:vMerge w:val="continue"/>
            <w:shd w:val="clear" w:color="auto" w:fill="F2F2F2"/>
          </w:tcPr>
          <w:p>
            <w:pPr>
              <w:spacing w:after="0"/>
              <w:rPr>
                <w:sz w:val="8"/>
                <w:szCs w:val="8"/>
                <w:color w:val="auto"/>
              </w:rPr>
            </w:pPr>
          </w:p>
        </w:tc>
        <w:tc>
          <w:tcPr>
            <w:tcW w:w="680" w:type="dxa"/>
            <w:vAlign w:val="bottom"/>
            <w:tcBorders>
              <w:bottom w:val="single" w:sz="8" w:color="auto"/>
              <w:right w:val="single" w:sz="8" w:color="auto"/>
            </w:tcBorders>
            <w:vMerge w:val="continue"/>
            <w:shd w:val="clear" w:color="auto" w:fill="F2F2F2"/>
          </w:tcPr>
          <w:p>
            <w:pPr>
              <w:spacing w:after="0"/>
              <w:rPr>
                <w:sz w:val="8"/>
                <w:szCs w:val="8"/>
                <w:color w:val="auto"/>
              </w:rPr>
            </w:pPr>
          </w:p>
        </w:tc>
        <w:tc>
          <w:tcPr>
            <w:tcW w:w="500" w:type="dxa"/>
            <w:vAlign w:val="bottom"/>
            <w:tcBorders>
              <w:bottom w:val="single" w:sz="8" w:color="auto"/>
              <w:right w:val="single" w:sz="8" w:color="auto"/>
            </w:tcBorders>
            <w:vMerge w:val="continue"/>
            <w:shd w:val="clear" w:color="auto" w:fill="F2F2F2"/>
          </w:tcPr>
          <w:p>
            <w:pPr>
              <w:spacing w:after="0"/>
              <w:rPr>
                <w:sz w:val="8"/>
                <w:szCs w:val="8"/>
                <w:color w:val="auto"/>
              </w:rPr>
            </w:pPr>
          </w:p>
        </w:tc>
        <w:tc>
          <w:tcPr>
            <w:tcW w:w="920" w:type="dxa"/>
            <w:vAlign w:val="bottom"/>
            <w:tcBorders>
              <w:bottom w:val="single" w:sz="8" w:color="auto"/>
              <w:right w:val="single" w:sz="8" w:color="304963"/>
            </w:tcBorders>
            <w:vMerge w:val="continue"/>
            <w:shd w:val="clear" w:color="auto" w:fill="F2F2F2"/>
          </w:tcPr>
          <w:p>
            <w:pPr>
              <w:spacing w:after="0"/>
              <w:rPr>
                <w:sz w:val="8"/>
                <w:szCs w:val="8"/>
                <w:color w:val="auto"/>
              </w:rPr>
            </w:pPr>
          </w:p>
        </w:tc>
        <w:tc>
          <w:tcPr>
            <w:tcW w:w="0" w:type="dxa"/>
            <w:vAlign w:val="bottom"/>
          </w:tcPr>
          <w:p>
            <w:pPr>
              <w:spacing w:after="0"/>
              <w:rPr>
                <w:sz w:val="1"/>
                <w:szCs w:val="1"/>
                <w:color w:val="auto"/>
              </w:rPr>
            </w:pPr>
          </w:p>
        </w:tc>
      </w:tr>
      <w:tr>
        <w:trPr>
          <w:trHeight w:val="63"/>
        </w:trPr>
        <w:tc>
          <w:tcPr>
            <w:tcW w:w="660" w:type="dxa"/>
            <w:vAlign w:val="bottom"/>
            <w:tcBorders>
              <w:left w:val="single" w:sz="8" w:color="auto"/>
              <w:right w:val="single" w:sz="8" w:color="auto"/>
            </w:tcBorders>
            <w:vMerge w:val="restart"/>
            <w:shd w:val="clear" w:color="auto" w:fill="304963"/>
          </w:tcPr>
          <w:p>
            <w:pPr>
              <w:jc w:val="right"/>
              <w:ind w:right="31"/>
              <w:spacing w:after="0" w:line="142" w:lineRule="exact"/>
              <w:rPr>
                <w:sz w:val="20"/>
                <w:szCs w:val="20"/>
                <w:color w:val="auto"/>
              </w:rPr>
            </w:pPr>
            <w:r>
              <w:rPr>
                <w:rFonts w:ascii="Arial" w:cs="Arial" w:eastAsia="Arial" w:hAnsi="Arial"/>
                <w:sz w:val="14"/>
                <w:szCs w:val="14"/>
                <w:color w:val="FFFFFF"/>
              </w:rPr>
              <w:t>25%</w:t>
            </w:r>
          </w:p>
        </w:tc>
        <w:tc>
          <w:tcPr>
            <w:tcW w:w="1760" w:type="dxa"/>
            <w:vAlign w:val="bottom"/>
            <w:tcBorders>
              <w:right w:val="single" w:sz="8" w:color="auto"/>
            </w:tcBorders>
            <w:vMerge w:val="continue"/>
            <w:shd w:val="clear" w:color="auto" w:fill="F2F2F2"/>
          </w:tcPr>
          <w:p>
            <w:pPr>
              <w:spacing w:after="0"/>
              <w:rPr>
                <w:sz w:val="5"/>
                <w:szCs w:val="5"/>
                <w:color w:val="auto"/>
              </w:rPr>
            </w:pPr>
          </w:p>
        </w:tc>
        <w:tc>
          <w:tcPr>
            <w:tcW w:w="80" w:type="dxa"/>
            <w:vAlign w:val="bottom"/>
            <w:shd w:val="clear" w:color="auto" w:fill="F2F2F2"/>
          </w:tcPr>
          <w:p>
            <w:pPr>
              <w:spacing w:after="0"/>
              <w:rPr>
                <w:sz w:val="5"/>
                <w:szCs w:val="5"/>
                <w:color w:val="auto"/>
              </w:rPr>
            </w:pPr>
          </w:p>
        </w:tc>
        <w:tc>
          <w:tcPr>
            <w:tcW w:w="5760" w:type="dxa"/>
            <w:vAlign w:val="bottom"/>
            <w:tcBorders>
              <w:right w:val="single" w:sz="8" w:color="auto"/>
            </w:tcBorders>
            <w:vMerge w:val="restart"/>
            <w:shd w:val="clear" w:color="auto" w:fill="F2F2F2"/>
          </w:tcPr>
          <w:p>
            <w:pPr>
              <w:jc w:val="center"/>
              <w:spacing w:after="0" w:line="142" w:lineRule="exact"/>
              <w:rPr>
                <w:sz w:val="20"/>
                <w:szCs w:val="20"/>
                <w:color w:val="auto"/>
              </w:rPr>
            </w:pPr>
            <w:r>
              <w:rPr>
                <w:rFonts w:ascii="Arial" w:cs="Arial" w:eastAsia="Arial" w:hAnsi="Arial"/>
                <w:sz w:val="14"/>
                <w:szCs w:val="14"/>
                <w:color w:val="auto"/>
                <w:w w:val="95"/>
              </w:rPr>
              <w:t>Relative Price-to-Tangible Book Ratio</w:t>
            </w:r>
          </w:p>
        </w:tc>
        <w:tc>
          <w:tcPr>
            <w:tcW w:w="680" w:type="dxa"/>
            <w:vAlign w:val="bottom"/>
            <w:tcBorders>
              <w:right w:val="single" w:sz="8" w:color="auto"/>
            </w:tcBorders>
            <w:vMerge w:val="restart"/>
            <w:shd w:val="clear" w:color="auto" w:fill="F2F2F2"/>
          </w:tcPr>
          <w:p>
            <w:pPr>
              <w:jc w:val="center"/>
              <w:spacing w:after="0" w:line="142" w:lineRule="exact"/>
              <w:rPr>
                <w:sz w:val="20"/>
                <w:szCs w:val="20"/>
                <w:color w:val="auto"/>
              </w:rPr>
            </w:pPr>
            <w:r>
              <w:rPr>
                <w:rFonts w:ascii="Arial" w:cs="Arial" w:eastAsia="Arial" w:hAnsi="Arial"/>
                <w:sz w:val="14"/>
                <w:szCs w:val="14"/>
                <w:color w:val="auto"/>
                <w:w w:val="97"/>
              </w:rPr>
              <w:t>&lt; (6.5%)</w:t>
            </w:r>
          </w:p>
        </w:tc>
        <w:tc>
          <w:tcPr>
            <w:tcW w:w="680" w:type="dxa"/>
            <w:vAlign w:val="bottom"/>
            <w:tcBorders>
              <w:right w:val="single" w:sz="8" w:color="auto"/>
            </w:tcBorders>
            <w:vMerge w:val="restart"/>
            <w:shd w:val="clear" w:color="auto" w:fill="F2F2F2"/>
          </w:tcPr>
          <w:p>
            <w:pPr>
              <w:jc w:val="center"/>
              <w:spacing w:after="0" w:line="142" w:lineRule="exact"/>
              <w:rPr>
                <w:sz w:val="20"/>
                <w:szCs w:val="20"/>
                <w:color w:val="auto"/>
              </w:rPr>
            </w:pPr>
            <w:r>
              <w:rPr>
                <w:rFonts w:ascii="Arial" w:cs="Arial" w:eastAsia="Arial" w:hAnsi="Arial"/>
                <w:sz w:val="14"/>
                <w:szCs w:val="14"/>
                <w:color w:val="auto"/>
                <w:w w:val="92"/>
              </w:rPr>
              <w:t>(6.5%)</w:t>
            </w:r>
          </w:p>
        </w:tc>
        <w:tc>
          <w:tcPr>
            <w:tcW w:w="500" w:type="dxa"/>
            <w:vAlign w:val="bottom"/>
            <w:tcBorders>
              <w:right w:val="single" w:sz="8" w:color="auto"/>
            </w:tcBorders>
            <w:vMerge w:val="restart"/>
            <w:shd w:val="clear" w:color="auto" w:fill="F2F2F2"/>
          </w:tcPr>
          <w:p>
            <w:pPr>
              <w:jc w:val="center"/>
              <w:spacing w:after="0" w:line="142" w:lineRule="exact"/>
              <w:rPr>
                <w:sz w:val="20"/>
                <w:szCs w:val="20"/>
                <w:color w:val="auto"/>
              </w:rPr>
            </w:pPr>
            <w:r>
              <w:rPr>
                <w:rFonts w:ascii="Arial" w:cs="Arial" w:eastAsia="Arial" w:hAnsi="Arial"/>
                <w:sz w:val="14"/>
                <w:szCs w:val="14"/>
                <w:color w:val="auto"/>
                <w:w w:val="93"/>
              </w:rPr>
              <w:t>3.5%</w:t>
            </w:r>
          </w:p>
        </w:tc>
        <w:tc>
          <w:tcPr>
            <w:tcW w:w="920" w:type="dxa"/>
            <w:vAlign w:val="bottom"/>
            <w:tcBorders>
              <w:right w:val="single" w:sz="8" w:color="304963"/>
            </w:tcBorders>
            <w:vMerge w:val="restart"/>
            <w:shd w:val="clear" w:color="auto" w:fill="F2F2F2"/>
          </w:tcPr>
          <w:p>
            <w:pPr>
              <w:jc w:val="center"/>
              <w:spacing w:after="0" w:line="142" w:lineRule="exact"/>
              <w:rPr>
                <w:sz w:val="20"/>
                <w:szCs w:val="20"/>
                <w:color w:val="auto"/>
              </w:rPr>
            </w:pPr>
            <w:r>
              <w:rPr>
                <w:rFonts w:ascii="Arial" w:cs="Arial" w:eastAsia="Arial" w:hAnsi="Arial"/>
                <w:sz w:val="14"/>
                <w:szCs w:val="14"/>
                <w:color w:val="auto"/>
                <w:w w:val="91"/>
              </w:rPr>
              <w:t>³ 11.0%</w:t>
            </w:r>
          </w:p>
        </w:tc>
        <w:tc>
          <w:tcPr>
            <w:tcW w:w="0" w:type="dxa"/>
            <w:vAlign w:val="bottom"/>
          </w:tcPr>
          <w:p>
            <w:pPr>
              <w:spacing w:after="0"/>
              <w:rPr>
                <w:sz w:val="1"/>
                <w:szCs w:val="1"/>
                <w:color w:val="auto"/>
              </w:rPr>
            </w:pPr>
          </w:p>
        </w:tc>
      </w:tr>
      <w:tr>
        <w:trPr>
          <w:trHeight w:val="80"/>
        </w:trPr>
        <w:tc>
          <w:tcPr>
            <w:tcW w:w="660" w:type="dxa"/>
            <w:vAlign w:val="bottom"/>
            <w:tcBorders>
              <w:left w:val="single" w:sz="8" w:color="auto"/>
              <w:bottom w:val="single" w:sz="8" w:color="auto"/>
              <w:right w:val="single" w:sz="8" w:color="auto"/>
            </w:tcBorders>
            <w:vMerge w:val="continue"/>
            <w:shd w:val="clear" w:color="auto" w:fill="304963"/>
          </w:tcPr>
          <w:p>
            <w:pPr>
              <w:spacing w:after="0"/>
              <w:rPr>
                <w:sz w:val="6"/>
                <w:szCs w:val="6"/>
                <w:color w:val="auto"/>
              </w:rPr>
            </w:pPr>
          </w:p>
        </w:tc>
        <w:tc>
          <w:tcPr>
            <w:tcW w:w="1760" w:type="dxa"/>
            <w:vAlign w:val="bottom"/>
            <w:tcBorders>
              <w:bottom w:val="single" w:sz="8" w:color="auto"/>
              <w:right w:val="single" w:sz="8" w:color="auto"/>
            </w:tcBorders>
            <w:shd w:val="clear" w:color="auto" w:fill="F2F2F2"/>
          </w:tcPr>
          <w:p>
            <w:pPr>
              <w:spacing w:after="0"/>
              <w:rPr>
                <w:sz w:val="6"/>
                <w:szCs w:val="6"/>
                <w:color w:val="auto"/>
              </w:rPr>
            </w:pPr>
          </w:p>
        </w:tc>
        <w:tc>
          <w:tcPr>
            <w:tcW w:w="80" w:type="dxa"/>
            <w:vAlign w:val="bottom"/>
            <w:tcBorders>
              <w:bottom w:val="single" w:sz="8" w:color="auto"/>
            </w:tcBorders>
            <w:shd w:val="clear" w:color="auto" w:fill="F2F2F2"/>
          </w:tcPr>
          <w:p>
            <w:pPr>
              <w:spacing w:after="0"/>
              <w:rPr>
                <w:sz w:val="6"/>
                <w:szCs w:val="6"/>
                <w:color w:val="auto"/>
              </w:rPr>
            </w:pPr>
          </w:p>
        </w:tc>
        <w:tc>
          <w:tcPr>
            <w:tcW w:w="5760" w:type="dxa"/>
            <w:vAlign w:val="bottom"/>
            <w:tcBorders>
              <w:bottom w:val="single" w:sz="8" w:color="auto"/>
              <w:right w:val="single" w:sz="8" w:color="auto"/>
            </w:tcBorders>
            <w:vMerge w:val="continue"/>
            <w:shd w:val="clear" w:color="auto" w:fill="F2F2F2"/>
          </w:tcPr>
          <w:p>
            <w:pPr>
              <w:spacing w:after="0"/>
              <w:rPr>
                <w:sz w:val="6"/>
                <w:szCs w:val="6"/>
                <w:color w:val="auto"/>
              </w:rPr>
            </w:pPr>
          </w:p>
        </w:tc>
        <w:tc>
          <w:tcPr>
            <w:tcW w:w="680" w:type="dxa"/>
            <w:vAlign w:val="bottom"/>
            <w:tcBorders>
              <w:bottom w:val="single" w:sz="8" w:color="auto"/>
              <w:right w:val="single" w:sz="8" w:color="auto"/>
            </w:tcBorders>
            <w:vMerge w:val="continue"/>
            <w:shd w:val="clear" w:color="auto" w:fill="F2F2F2"/>
          </w:tcPr>
          <w:p>
            <w:pPr>
              <w:spacing w:after="0"/>
              <w:rPr>
                <w:sz w:val="6"/>
                <w:szCs w:val="6"/>
                <w:color w:val="auto"/>
              </w:rPr>
            </w:pPr>
          </w:p>
        </w:tc>
        <w:tc>
          <w:tcPr>
            <w:tcW w:w="680" w:type="dxa"/>
            <w:vAlign w:val="bottom"/>
            <w:tcBorders>
              <w:bottom w:val="single" w:sz="8" w:color="auto"/>
              <w:right w:val="single" w:sz="8" w:color="auto"/>
            </w:tcBorders>
            <w:vMerge w:val="continue"/>
            <w:shd w:val="clear" w:color="auto" w:fill="F2F2F2"/>
          </w:tcPr>
          <w:p>
            <w:pPr>
              <w:spacing w:after="0"/>
              <w:rPr>
                <w:sz w:val="6"/>
                <w:szCs w:val="6"/>
                <w:color w:val="auto"/>
              </w:rPr>
            </w:pPr>
          </w:p>
        </w:tc>
        <w:tc>
          <w:tcPr>
            <w:tcW w:w="500" w:type="dxa"/>
            <w:vAlign w:val="bottom"/>
            <w:tcBorders>
              <w:bottom w:val="single" w:sz="8" w:color="auto"/>
              <w:right w:val="single" w:sz="8" w:color="auto"/>
            </w:tcBorders>
            <w:vMerge w:val="continue"/>
            <w:shd w:val="clear" w:color="auto" w:fill="F2F2F2"/>
          </w:tcPr>
          <w:p>
            <w:pPr>
              <w:spacing w:after="0"/>
              <w:rPr>
                <w:sz w:val="6"/>
                <w:szCs w:val="6"/>
                <w:color w:val="auto"/>
              </w:rPr>
            </w:pPr>
          </w:p>
        </w:tc>
        <w:tc>
          <w:tcPr>
            <w:tcW w:w="920" w:type="dxa"/>
            <w:vAlign w:val="bottom"/>
            <w:tcBorders>
              <w:bottom w:val="single" w:sz="8" w:color="auto"/>
              <w:right w:val="single" w:sz="8" w:color="304963"/>
            </w:tcBorders>
            <w:vMerge w:val="continue"/>
            <w:shd w:val="clear" w:color="auto" w:fill="F2F2F2"/>
          </w:tcPr>
          <w:p>
            <w:pPr>
              <w:spacing w:after="0"/>
              <w:rPr>
                <w:sz w:val="6"/>
                <w:szCs w:val="6"/>
                <w:color w:val="auto"/>
              </w:rPr>
            </w:pPr>
          </w:p>
        </w:tc>
        <w:tc>
          <w:tcPr>
            <w:tcW w:w="0" w:type="dxa"/>
            <w:vAlign w:val="bottom"/>
          </w:tcPr>
          <w:p>
            <w:pPr>
              <w:spacing w:after="0"/>
              <w:rPr>
                <w:sz w:val="1"/>
                <w:szCs w:val="1"/>
                <w:color w:val="auto"/>
              </w:rPr>
            </w:pPr>
          </w:p>
        </w:tc>
      </w:tr>
      <w:tr>
        <w:trPr>
          <w:trHeight w:val="142"/>
        </w:trPr>
        <w:tc>
          <w:tcPr>
            <w:tcW w:w="2420" w:type="dxa"/>
            <w:vAlign w:val="bottom"/>
            <w:tcBorders>
              <w:left w:val="single" w:sz="8" w:color="789E91"/>
              <w:bottom w:val="single" w:sz="8" w:color="407CCA"/>
              <w:right w:val="single" w:sz="8" w:color="789E91"/>
            </w:tcBorders>
            <w:gridSpan w:val="2"/>
            <w:shd w:val="clear" w:color="auto" w:fill="789E91"/>
          </w:tcPr>
          <w:p>
            <w:pPr>
              <w:spacing w:after="0" w:line="142" w:lineRule="exact"/>
              <w:rPr>
                <w:sz w:val="20"/>
                <w:szCs w:val="20"/>
                <w:color w:val="auto"/>
              </w:rPr>
            </w:pPr>
            <w:r>
              <w:rPr>
                <w:rFonts w:ascii="Arial" w:cs="Arial" w:eastAsia="Arial" w:hAnsi="Arial"/>
                <w:sz w:val="14"/>
                <w:szCs w:val="14"/>
                <w:color w:val="FFFFFF"/>
                <w:w w:val="96"/>
              </w:rPr>
              <w:t>Payout Continuum (% of Metric Weight)</w:t>
            </w:r>
          </w:p>
        </w:tc>
        <w:tc>
          <w:tcPr>
            <w:tcW w:w="80" w:type="dxa"/>
            <w:vAlign w:val="bottom"/>
            <w:tcBorders>
              <w:bottom w:val="single" w:sz="8" w:color="407CCA"/>
            </w:tcBorders>
            <w:shd w:val="clear" w:color="auto" w:fill="789E91"/>
          </w:tcPr>
          <w:p>
            <w:pPr>
              <w:spacing w:after="0"/>
              <w:rPr>
                <w:sz w:val="12"/>
                <w:szCs w:val="12"/>
                <w:color w:val="auto"/>
              </w:rPr>
            </w:pPr>
          </w:p>
        </w:tc>
        <w:tc>
          <w:tcPr>
            <w:tcW w:w="5760" w:type="dxa"/>
            <w:vAlign w:val="bottom"/>
            <w:tcBorders>
              <w:bottom w:val="single" w:sz="8" w:color="407CCA"/>
              <w:right w:val="single" w:sz="8" w:color="auto"/>
            </w:tcBorders>
            <w:shd w:val="clear" w:color="auto" w:fill="789E91"/>
          </w:tcPr>
          <w:p>
            <w:pPr>
              <w:spacing w:after="0"/>
              <w:rPr>
                <w:sz w:val="12"/>
                <w:szCs w:val="12"/>
                <w:color w:val="auto"/>
              </w:rPr>
            </w:pPr>
          </w:p>
        </w:tc>
        <w:tc>
          <w:tcPr>
            <w:tcW w:w="680" w:type="dxa"/>
            <w:vAlign w:val="bottom"/>
            <w:tcBorders>
              <w:bottom w:val="single" w:sz="8" w:color="407CCA"/>
              <w:right w:val="single" w:sz="8" w:color="auto"/>
            </w:tcBorders>
            <w:shd w:val="clear" w:color="auto" w:fill="789E91"/>
          </w:tcPr>
          <w:p>
            <w:pPr>
              <w:jc w:val="center"/>
              <w:spacing w:after="0" w:line="142" w:lineRule="exact"/>
              <w:rPr>
                <w:sz w:val="20"/>
                <w:szCs w:val="20"/>
                <w:color w:val="auto"/>
              </w:rPr>
            </w:pPr>
            <w:r>
              <w:rPr>
                <w:rFonts w:ascii="Arial" w:cs="Arial" w:eastAsia="Arial" w:hAnsi="Arial"/>
                <w:sz w:val="14"/>
                <w:szCs w:val="14"/>
                <w:b w:val="1"/>
                <w:bCs w:val="1"/>
                <w:color w:val="FFFFFF"/>
              </w:rPr>
              <w:t>0%</w:t>
            </w:r>
          </w:p>
        </w:tc>
        <w:tc>
          <w:tcPr>
            <w:tcW w:w="680" w:type="dxa"/>
            <w:vAlign w:val="bottom"/>
            <w:tcBorders>
              <w:bottom w:val="single" w:sz="8" w:color="407CCA"/>
              <w:right w:val="single" w:sz="8" w:color="auto"/>
            </w:tcBorders>
            <w:shd w:val="clear" w:color="auto" w:fill="789E91"/>
          </w:tcPr>
          <w:p>
            <w:pPr>
              <w:jc w:val="center"/>
              <w:spacing w:after="0" w:line="142" w:lineRule="exact"/>
              <w:rPr>
                <w:sz w:val="20"/>
                <w:szCs w:val="20"/>
                <w:color w:val="auto"/>
              </w:rPr>
            </w:pPr>
            <w:r>
              <w:rPr>
                <w:rFonts w:ascii="Arial" w:cs="Arial" w:eastAsia="Arial" w:hAnsi="Arial"/>
                <w:sz w:val="14"/>
                <w:szCs w:val="14"/>
                <w:b w:val="1"/>
                <w:bCs w:val="1"/>
                <w:color w:val="FFFFFF"/>
              </w:rPr>
              <w:t>50%</w:t>
            </w:r>
          </w:p>
        </w:tc>
        <w:tc>
          <w:tcPr>
            <w:tcW w:w="500" w:type="dxa"/>
            <w:vAlign w:val="bottom"/>
            <w:tcBorders>
              <w:bottom w:val="single" w:sz="8" w:color="407CCA"/>
              <w:right w:val="single" w:sz="8" w:color="auto"/>
            </w:tcBorders>
            <w:shd w:val="clear" w:color="auto" w:fill="789E91"/>
          </w:tcPr>
          <w:p>
            <w:pPr>
              <w:jc w:val="center"/>
              <w:spacing w:after="0" w:line="142" w:lineRule="exact"/>
              <w:rPr>
                <w:sz w:val="20"/>
                <w:szCs w:val="20"/>
                <w:color w:val="auto"/>
              </w:rPr>
            </w:pPr>
            <w:r>
              <w:rPr>
                <w:rFonts w:ascii="Arial" w:cs="Arial" w:eastAsia="Arial" w:hAnsi="Arial"/>
                <w:sz w:val="14"/>
                <w:szCs w:val="14"/>
                <w:b w:val="1"/>
                <w:bCs w:val="1"/>
                <w:color w:val="FFFFFF"/>
              </w:rPr>
              <w:t>100%</w:t>
            </w:r>
          </w:p>
        </w:tc>
        <w:tc>
          <w:tcPr>
            <w:tcW w:w="920" w:type="dxa"/>
            <w:vAlign w:val="bottom"/>
            <w:tcBorders>
              <w:bottom w:val="single" w:sz="8" w:color="407CCA"/>
              <w:right w:val="single" w:sz="8" w:color="304963"/>
            </w:tcBorders>
            <w:shd w:val="clear" w:color="auto" w:fill="789E91"/>
          </w:tcPr>
          <w:p>
            <w:pPr>
              <w:jc w:val="center"/>
              <w:spacing w:after="0" w:line="142" w:lineRule="exact"/>
              <w:rPr>
                <w:sz w:val="20"/>
                <w:szCs w:val="20"/>
                <w:color w:val="auto"/>
              </w:rPr>
            </w:pPr>
            <w:r>
              <w:rPr>
                <w:rFonts w:ascii="Arial" w:cs="Arial" w:eastAsia="Arial" w:hAnsi="Arial"/>
                <w:sz w:val="14"/>
                <w:szCs w:val="14"/>
                <w:b w:val="1"/>
                <w:bCs w:val="1"/>
                <w:color w:val="FFFFFF"/>
              </w:rPr>
              <w:t>150%</w:t>
            </w:r>
          </w:p>
        </w:tc>
        <w:tc>
          <w:tcPr>
            <w:tcW w:w="0" w:type="dxa"/>
            <w:vAlign w:val="bottom"/>
          </w:tcPr>
          <w:p>
            <w:pPr>
              <w:spacing w:after="0"/>
              <w:rPr>
                <w:sz w:val="1"/>
                <w:szCs w:val="1"/>
                <w:color w:val="auto"/>
              </w:rPr>
            </w:pPr>
          </w:p>
        </w:tc>
      </w:tr>
    </w:tbl>
    <w:p>
      <w:pPr>
        <w:spacing w:after="0" w:line="202" w:lineRule="exact"/>
        <w:rPr>
          <w:sz w:val="20"/>
          <w:szCs w:val="20"/>
          <w:color w:val="auto"/>
        </w:rPr>
      </w:pPr>
    </w:p>
    <w:p>
      <w:pPr>
        <w:ind w:left="120" w:right="80" w:firstLine="881"/>
        <w:spacing w:after="0" w:line="263" w:lineRule="auto"/>
        <w:rPr>
          <w:sz w:val="20"/>
          <w:szCs w:val="20"/>
          <w:color w:val="auto"/>
        </w:rPr>
      </w:pPr>
      <w:r>
        <w:rPr>
          <w:rFonts w:ascii="Arial" w:cs="Arial" w:eastAsia="Arial" w:hAnsi="Arial"/>
          <w:sz w:val="18"/>
          <w:szCs w:val="18"/>
          <w:color w:val="auto"/>
        </w:rPr>
        <w:t>Taking into account feedback received from investors, the Compensation Committee also determined that it remained appropriate to consider non-financial strategic and operational objectives as 25% of the overall Corporate Scorecard, and these objectives remained aimed at our value proposition to stockholders as they were in 2019.</w:t>
      </w:r>
    </w:p>
    <w:p>
      <w:pPr>
        <w:spacing w:after="0" w:line="180"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Equity Incentive Compensation</w:t>
      </w:r>
    </w:p>
    <w:p>
      <w:pPr>
        <w:spacing w:after="0" w:line="121" w:lineRule="exact"/>
        <w:rPr>
          <w:sz w:val="20"/>
          <w:szCs w:val="20"/>
          <w:color w:val="auto"/>
        </w:rPr>
      </w:pPr>
    </w:p>
    <w:p>
      <w:pPr>
        <w:ind w:left="120" w:right="120" w:firstLine="881"/>
        <w:spacing w:after="0" w:line="257" w:lineRule="auto"/>
        <w:rPr>
          <w:sz w:val="20"/>
          <w:szCs w:val="20"/>
          <w:color w:val="auto"/>
        </w:rPr>
      </w:pPr>
      <w:r>
        <w:rPr>
          <w:rFonts w:ascii="Arial" w:cs="Arial" w:eastAsia="Arial" w:hAnsi="Arial"/>
          <w:sz w:val="18"/>
          <w:szCs w:val="18"/>
          <w:color w:val="auto"/>
        </w:rPr>
        <w:t>The Compensation Committee believes that equity incentive compensation is an important component of our NEO compensation package and is critical in attracting, motivating, and retaining outstanding employees. Equity incentive compensation is intended to closely align our NEOs’ and other employees’ interests with our long-term success and promote long-term employee retention. Our long-term incentive program consists of a combination of performance-based RSUs and time-vesting RSUs. Effective in 2019, all of our NEOs receive at least 50% of their long-term incentive awards in the form of performance-based awards.</w:t>
      </w:r>
    </w:p>
    <w:p>
      <w:pPr>
        <w:spacing w:after="0" w:line="188" w:lineRule="exact"/>
        <w:rPr>
          <w:sz w:val="20"/>
          <w:szCs w:val="20"/>
          <w:color w:val="auto"/>
        </w:rPr>
      </w:pPr>
    </w:p>
    <w:p>
      <w:pPr>
        <w:ind w:left="120" w:right="40" w:firstLine="881"/>
        <w:spacing w:after="0" w:line="271" w:lineRule="auto"/>
        <w:rPr>
          <w:sz w:val="20"/>
          <w:szCs w:val="20"/>
          <w:color w:val="auto"/>
        </w:rPr>
      </w:pPr>
      <w:r>
        <w:rPr>
          <w:rFonts w:ascii="Arial" w:cs="Arial" w:eastAsia="Arial" w:hAnsi="Arial"/>
          <w:sz w:val="17"/>
          <w:szCs w:val="17"/>
          <w:color w:val="auto"/>
        </w:rPr>
        <w:t>Performance-based RSUs are designed to reward creation of long-term economic returns for our stockholders both on an absolute and relative basis. To establish challenging economic thresholds and motivate long-term performance, the awards vest at the end of a three-year performance period based 50% on our absolute economic return and 50% on our economic return relative to the economic returns of an unweighted average of the Agency REIT Peer Group. In establishing vesting criteria for these awards, the Compensation Committee considers historical returns for us and our peers and our forecast. Absolute and relative economic returns are calculated on a cumulative basis over the three-year performance period. Achievement of these goals will be determined in the same manner, including the same peer group, as described above with respect to the short-term incentive awards for such year. For performance between the threshold, target, and outperformance measures, the number of shares vested will be determined through linear interpolation.</w:t>
      </w:r>
    </w:p>
    <w:p>
      <w:pPr>
        <w:spacing w:after="0" w:line="106"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50</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40"/>
          </w:cols>
          <w:pgMar w:left="320" w:top="459" w:right="439" w:bottom="1440" w:gutter="0" w:footer="0" w:header="0"/>
        </w:sectPr>
      </w:pPr>
    </w:p>
    <w:bookmarkStart w:id="63" w:name="page64"/>
    <w:bookmarkEnd w:id="6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0">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1">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2019 Long-Term Incentive Awards</w:t>
      </w:r>
    </w:p>
    <w:p>
      <w:pPr>
        <w:spacing w:after="0" w:line="117" w:lineRule="exact"/>
        <w:rPr>
          <w:sz w:val="20"/>
          <w:szCs w:val="20"/>
          <w:color w:val="auto"/>
        </w:rPr>
      </w:pPr>
    </w:p>
    <w:p>
      <w:pPr>
        <w:ind w:left="120" w:right="860" w:firstLine="881"/>
        <w:spacing w:after="0" w:line="277" w:lineRule="auto"/>
        <w:rPr>
          <w:sz w:val="20"/>
          <w:szCs w:val="20"/>
          <w:color w:val="auto"/>
        </w:rPr>
      </w:pPr>
      <w:r>
        <w:rPr>
          <w:rFonts w:ascii="Arial" w:cs="Arial" w:eastAsia="Arial" w:hAnsi="Arial"/>
          <w:sz w:val="18"/>
          <w:szCs w:val="18"/>
          <w:color w:val="auto"/>
        </w:rPr>
        <w:t>In response to stockholder feedback, the Compensation Committee evaluated the appropriateness of the pay mix of its NEOs and implemented the following changes to incentive compensation effective for 2019 long-term incentive awards:</w:t>
      </w:r>
    </w:p>
    <w:p>
      <w:pPr>
        <w:spacing w:after="0" w:line="76" w:lineRule="exact"/>
        <w:rPr>
          <w:sz w:val="20"/>
          <w:szCs w:val="20"/>
          <w:color w:val="auto"/>
        </w:rPr>
      </w:pPr>
    </w:p>
    <w:p>
      <w:pPr>
        <w:ind w:left="980" w:right="80" w:hanging="432"/>
        <w:spacing w:after="0" w:line="258" w:lineRule="auto"/>
        <w:tabs>
          <w:tab w:leader="none" w:pos="980" w:val="left"/>
        </w:tabs>
        <w:numPr>
          <w:ilvl w:val="0"/>
          <w:numId w:val="36"/>
        </w:numPr>
        <w:rPr>
          <w:rFonts w:ascii="Arial" w:cs="Arial" w:eastAsia="Arial" w:hAnsi="Arial"/>
          <w:sz w:val="18"/>
          <w:szCs w:val="18"/>
          <w:color w:val="auto"/>
        </w:rPr>
      </w:pPr>
      <w:r>
        <w:rPr>
          <w:rFonts w:ascii="Arial" w:cs="Arial" w:eastAsia="Arial" w:hAnsi="Arial"/>
          <w:sz w:val="18"/>
          <w:szCs w:val="18"/>
          <w:color w:val="auto"/>
        </w:rPr>
        <w:t>Effective February 1, 2019, Mr. Kain’s compensation mix was revised to increase the weighting of the LTI component to 56% of total direct compensation, and within the LTI component, 67% of target grant value is performance-based.</w:t>
      </w:r>
    </w:p>
    <w:p>
      <w:pPr>
        <w:spacing w:after="0" w:line="1" w:lineRule="exact"/>
        <w:rPr>
          <w:rFonts w:ascii="Arial" w:cs="Arial" w:eastAsia="Arial" w:hAnsi="Arial"/>
          <w:sz w:val="18"/>
          <w:szCs w:val="18"/>
          <w:color w:val="auto"/>
        </w:rPr>
      </w:pPr>
    </w:p>
    <w:p>
      <w:pPr>
        <w:ind w:left="980" w:right="40" w:hanging="432"/>
        <w:spacing w:after="0" w:line="253" w:lineRule="auto"/>
        <w:tabs>
          <w:tab w:leader="none" w:pos="980" w:val="left"/>
        </w:tabs>
        <w:numPr>
          <w:ilvl w:val="0"/>
          <w:numId w:val="36"/>
        </w:numPr>
        <w:rPr>
          <w:rFonts w:ascii="Arial" w:cs="Arial" w:eastAsia="Arial" w:hAnsi="Arial"/>
          <w:sz w:val="18"/>
          <w:szCs w:val="18"/>
          <w:color w:val="auto"/>
        </w:rPr>
      </w:pPr>
      <w:r>
        <w:rPr>
          <w:rFonts w:ascii="Arial" w:cs="Arial" w:eastAsia="Arial" w:hAnsi="Arial"/>
          <w:sz w:val="18"/>
          <w:szCs w:val="18"/>
          <w:color w:val="auto"/>
        </w:rPr>
        <w:t>The Company took steps in 2019 to ensure that at least 50% of the long-term incentives granted to its NEOs consisted of performance-based awards. Specifically, the Company entered into new employment arrangements with Ms. Bell and Mr. Pas to increase their target level of long-term incentive compensation overall and to clarify that 50% of their target long-term incentive compensation will be performance-based.</w:t>
      </w:r>
    </w:p>
    <w:p>
      <w:pPr>
        <w:spacing w:after="0" w:line="193" w:lineRule="exact"/>
        <w:rPr>
          <w:sz w:val="20"/>
          <w:szCs w:val="20"/>
          <w:color w:val="auto"/>
        </w:rPr>
      </w:pPr>
    </w:p>
    <w:p>
      <w:pPr>
        <w:ind w:left="120" w:right="400" w:firstLine="881"/>
        <w:spacing w:after="0" w:line="277" w:lineRule="auto"/>
        <w:rPr>
          <w:sz w:val="20"/>
          <w:szCs w:val="20"/>
          <w:color w:val="auto"/>
        </w:rPr>
      </w:pPr>
      <w:r>
        <w:rPr>
          <w:rFonts w:ascii="Arial" w:cs="Arial" w:eastAsia="Arial" w:hAnsi="Arial"/>
          <w:sz w:val="18"/>
          <w:szCs w:val="18"/>
          <w:color w:val="auto"/>
        </w:rPr>
        <w:t>The 2019 long-term incentive awards made by the Compensation Committee were at each NEO’s target levels as specified in his or her respective employment agreement and are reflected in the following table: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134620</wp:posOffset>
            </wp:positionV>
            <wp:extent cx="6995160" cy="825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2">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00" w:lineRule="exact"/>
        <w:rPr>
          <w:sz w:val="20"/>
          <w:szCs w:val="20"/>
          <w:color w:val="auto"/>
        </w:rPr>
      </w:pPr>
    </w:p>
    <w:p>
      <w:pPr>
        <w:jc w:val="center"/>
        <w:ind w:right="-39"/>
        <w:spacing w:after="0"/>
        <w:rPr>
          <w:sz w:val="20"/>
          <w:szCs w:val="20"/>
          <w:color w:val="auto"/>
        </w:rPr>
      </w:pPr>
      <w:r>
        <w:rPr>
          <w:rFonts w:ascii="Arial" w:cs="Arial" w:eastAsia="Arial" w:hAnsi="Arial"/>
          <w:sz w:val="13"/>
          <w:szCs w:val="13"/>
          <w:b w:val="1"/>
          <w:bCs w:val="1"/>
          <w:color w:val="auto"/>
        </w:rPr>
        <w:t>Mix of Long-Term Incentive Awards</w:t>
      </w:r>
    </w:p>
    <w:p>
      <w:pPr>
        <w:spacing w:after="0" w:line="4" w:lineRule="exact"/>
        <w:rPr>
          <w:sz w:val="20"/>
          <w:szCs w:val="20"/>
          <w:color w:val="auto"/>
        </w:rPr>
      </w:pPr>
    </w:p>
    <w:tbl>
      <w:tblPr>
        <w:tblLayout w:type="fixed"/>
        <w:tblInd w:w="120" w:type="dxa"/>
        <w:tblCellMar>
          <w:top w:w="0" w:type="dxa"/>
          <w:left w:w="0" w:type="dxa"/>
          <w:bottom w:w="0" w:type="dxa"/>
          <w:right w:w="0" w:type="dxa"/>
        </w:tblCellMar>
      </w:tblPr>
      <w:tr>
        <w:trPr>
          <w:trHeight w:val="124"/>
        </w:trPr>
        <w:tc>
          <w:tcPr>
            <w:tcW w:w="3860" w:type="dxa"/>
            <w:vAlign w:val="bottom"/>
            <w:tcBorders>
              <w:top w:val="single" w:sz="8" w:color="407CCA"/>
            </w:tcBorders>
          </w:tcPr>
          <w:p>
            <w:pPr>
              <w:spacing w:after="0"/>
              <w:rPr>
                <w:sz w:val="10"/>
                <w:szCs w:val="10"/>
                <w:color w:val="auto"/>
              </w:rPr>
            </w:pPr>
          </w:p>
        </w:tc>
        <w:tc>
          <w:tcPr>
            <w:tcW w:w="4700" w:type="dxa"/>
            <w:vAlign w:val="bottom"/>
            <w:tcBorders>
              <w:top w:val="single" w:sz="8" w:color="407CCA"/>
            </w:tcBorders>
          </w:tcPr>
          <w:p>
            <w:pPr>
              <w:jc w:val="center"/>
              <w:ind w:left="3480"/>
              <w:spacing w:after="0" w:line="124" w:lineRule="exact"/>
              <w:rPr>
                <w:sz w:val="20"/>
                <w:szCs w:val="20"/>
                <w:color w:val="auto"/>
              </w:rPr>
            </w:pPr>
            <w:r>
              <w:rPr>
                <w:rFonts w:ascii="Arial" w:cs="Arial" w:eastAsia="Arial" w:hAnsi="Arial"/>
                <w:sz w:val="13"/>
                <w:szCs w:val="13"/>
                <w:b w:val="1"/>
                <w:bCs w:val="1"/>
                <w:color w:val="auto"/>
                <w:w w:val="99"/>
              </w:rPr>
              <w:t>AGNC</w:t>
            </w:r>
          </w:p>
        </w:tc>
        <w:tc>
          <w:tcPr>
            <w:tcW w:w="1440" w:type="dxa"/>
            <w:vAlign w:val="bottom"/>
            <w:tcBorders>
              <w:top w:val="single" w:sz="8" w:color="407CCA"/>
            </w:tcBorders>
          </w:tcPr>
          <w:p>
            <w:pPr>
              <w:jc w:val="center"/>
              <w:spacing w:after="0" w:line="124" w:lineRule="exact"/>
              <w:rPr>
                <w:sz w:val="20"/>
                <w:szCs w:val="20"/>
                <w:color w:val="auto"/>
              </w:rPr>
            </w:pPr>
            <w:r>
              <w:rPr>
                <w:rFonts w:ascii="Arial" w:cs="Arial" w:eastAsia="Arial" w:hAnsi="Arial"/>
                <w:sz w:val="13"/>
                <w:szCs w:val="13"/>
                <w:b w:val="1"/>
                <w:bCs w:val="1"/>
                <w:color w:val="auto"/>
                <w:w w:val="93"/>
              </w:rPr>
              <w:t>AGNC</w:t>
            </w:r>
          </w:p>
        </w:tc>
        <w:tc>
          <w:tcPr>
            <w:tcW w:w="1020" w:type="dxa"/>
            <w:vAlign w:val="bottom"/>
            <w:tcBorders>
              <w:top w:val="single" w:sz="8" w:color="407CCA"/>
            </w:tcBorders>
          </w:tcPr>
          <w:p>
            <w:pPr>
              <w:spacing w:after="0"/>
              <w:rPr>
                <w:sz w:val="10"/>
                <w:szCs w:val="10"/>
                <w:color w:val="auto"/>
              </w:rPr>
            </w:pPr>
          </w:p>
        </w:tc>
        <w:tc>
          <w:tcPr>
            <w:tcW w:w="0" w:type="dxa"/>
            <w:vAlign w:val="bottom"/>
          </w:tcPr>
          <w:p>
            <w:pPr>
              <w:spacing w:after="0"/>
              <w:rPr>
                <w:sz w:val="1"/>
                <w:szCs w:val="1"/>
                <w:color w:val="auto"/>
              </w:rPr>
            </w:pPr>
          </w:p>
        </w:tc>
      </w:tr>
      <w:tr>
        <w:trPr>
          <w:trHeight w:val="135"/>
        </w:trPr>
        <w:tc>
          <w:tcPr>
            <w:tcW w:w="3860" w:type="dxa"/>
            <w:vAlign w:val="bottom"/>
            <w:vMerge w:val="restart"/>
          </w:tcPr>
          <w:p>
            <w:pPr>
              <w:ind w:left="80"/>
              <w:spacing w:after="0"/>
              <w:rPr>
                <w:sz w:val="20"/>
                <w:szCs w:val="20"/>
                <w:color w:val="auto"/>
              </w:rPr>
            </w:pPr>
            <w:r>
              <w:rPr>
                <w:rFonts w:ascii="Arial" w:cs="Arial" w:eastAsia="Arial" w:hAnsi="Arial"/>
                <w:sz w:val="18"/>
                <w:szCs w:val="18"/>
                <w:b w:val="1"/>
                <w:bCs w:val="1"/>
                <w:color w:val="auto"/>
              </w:rPr>
              <w:t>NEO</w:t>
            </w:r>
          </w:p>
        </w:tc>
        <w:tc>
          <w:tcPr>
            <w:tcW w:w="4700" w:type="dxa"/>
            <w:vAlign w:val="bottom"/>
          </w:tcPr>
          <w:p>
            <w:pPr>
              <w:jc w:val="center"/>
              <w:ind w:left="3500"/>
              <w:spacing w:after="0" w:line="135" w:lineRule="exact"/>
              <w:rPr>
                <w:sz w:val="20"/>
                <w:szCs w:val="20"/>
                <w:color w:val="auto"/>
              </w:rPr>
            </w:pPr>
            <w:r>
              <w:rPr>
                <w:rFonts w:ascii="Arial" w:cs="Arial" w:eastAsia="Arial" w:hAnsi="Arial"/>
                <w:sz w:val="13"/>
                <w:szCs w:val="13"/>
                <w:b w:val="1"/>
                <w:bCs w:val="1"/>
                <w:color w:val="auto"/>
                <w:w w:val="87"/>
              </w:rPr>
              <w:t>Time-Vested</w:t>
            </w:r>
          </w:p>
        </w:tc>
        <w:tc>
          <w:tcPr>
            <w:tcW w:w="144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85"/>
              </w:rPr>
              <w:t>Performance-Vested</w:t>
            </w:r>
          </w:p>
        </w:tc>
        <w:tc>
          <w:tcPr>
            <w:tcW w:w="1020" w:type="dxa"/>
            <w:vAlign w:val="bottom"/>
          </w:tcPr>
          <w:p>
            <w:pPr>
              <w:jc w:val="right"/>
              <w:ind w:right="98"/>
              <w:spacing w:after="0" w:line="135" w:lineRule="exact"/>
              <w:rPr>
                <w:sz w:val="20"/>
                <w:szCs w:val="20"/>
                <w:color w:val="auto"/>
              </w:rPr>
            </w:pPr>
            <w:r>
              <w:rPr>
                <w:rFonts w:ascii="Arial" w:cs="Arial" w:eastAsia="Arial" w:hAnsi="Arial"/>
                <w:sz w:val="13"/>
                <w:szCs w:val="13"/>
                <w:b w:val="1"/>
                <w:bCs w:val="1"/>
                <w:color w:val="auto"/>
              </w:rPr>
              <w:t>Total Value</w:t>
            </w:r>
          </w:p>
        </w:tc>
        <w:tc>
          <w:tcPr>
            <w:tcW w:w="0" w:type="dxa"/>
            <w:vAlign w:val="bottom"/>
          </w:tcPr>
          <w:p>
            <w:pPr>
              <w:spacing w:after="0"/>
              <w:rPr>
                <w:sz w:val="1"/>
                <w:szCs w:val="1"/>
                <w:color w:val="auto"/>
              </w:rPr>
            </w:pPr>
          </w:p>
        </w:tc>
      </w:tr>
      <w:tr>
        <w:trPr>
          <w:trHeight w:val="153"/>
        </w:trPr>
        <w:tc>
          <w:tcPr>
            <w:tcW w:w="3860" w:type="dxa"/>
            <w:vAlign w:val="bottom"/>
            <w:tcBorders>
              <w:bottom w:val="single" w:sz="8" w:color="407CCA"/>
            </w:tcBorders>
            <w:vMerge w:val="continue"/>
          </w:tcPr>
          <w:p>
            <w:pPr>
              <w:spacing w:after="0"/>
              <w:rPr>
                <w:sz w:val="13"/>
                <w:szCs w:val="13"/>
                <w:color w:val="auto"/>
              </w:rPr>
            </w:pPr>
          </w:p>
        </w:tc>
        <w:tc>
          <w:tcPr>
            <w:tcW w:w="4700" w:type="dxa"/>
            <w:vAlign w:val="bottom"/>
            <w:tcBorders>
              <w:bottom w:val="single" w:sz="8" w:color="407CCA"/>
            </w:tcBorders>
          </w:tcPr>
          <w:p>
            <w:pPr>
              <w:jc w:val="center"/>
              <w:ind w:left="3500"/>
              <w:spacing w:after="0"/>
              <w:rPr>
                <w:sz w:val="20"/>
                <w:szCs w:val="20"/>
                <w:color w:val="auto"/>
              </w:rPr>
            </w:pPr>
            <w:r>
              <w:rPr>
                <w:rFonts w:ascii="Arial" w:cs="Arial" w:eastAsia="Arial" w:hAnsi="Arial"/>
                <w:sz w:val="13"/>
                <w:szCs w:val="13"/>
                <w:b w:val="1"/>
                <w:bCs w:val="1"/>
                <w:color w:val="auto"/>
                <w:w w:val="90"/>
              </w:rPr>
              <w:t>RSUs</w:t>
            </w:r>
            <w:r>
              <w:rPr>
                <w:rFonts w:ascii="Arial" w:cs="Arial" w:eastAsia="Arial" w:hAnsi="Arial"/>
                <w:sz w:val="10"/>
                <w:szCs w:val="10"/>
                <w:b w:val="1"/>
                <w:bCs w:val="1"/>
                <w:color w:val="auto"/>
                <w:w w:val="90"/>
              </w:rPr>
              <w:t>(1)</w:t>
            </w:r>
            <w:r>
              <w:rPr>
                <w:rFonts w:ascii="Arial" w:cs="Arial" w:eastAsia="Arial" w:hAnsi="Arial"/>
                <w:sz w:val="13"/>
                <w:szCs w:val="13"/>
                <w:b w:val="1"/>
                <w:bCs w:val="1"/>
                <w:color w:val="auto"/>
                <w:w w:val="90"/>
              </w:rPr>
              <w:t xml:space="preserve"> ($)</w:t>
            </w:r>
          </w:p>
        </w:tc>
        <w:tc>
          <w:tcPr>
            <w:tcW w:w="1440" w:type="dxa"/>
            <w:vAlign w:val="bottom"/>
            <w:tcBorders>
              <w:bottom w:val="single" w:sz="8" w:color="407CCA"/>
            </w:tcBorders>
          </w:tcPr>
          <w:p>
            <w:pPr>
              <w:jc w:val="center"/>
              <w:spacing w:after="0"/>
              <w:rPr>
                <w:sz w:val="20"/>
                <w:szCs w:val="20"/>
                <w:color w:val="auto"/>
              </w:rPr>
            </w:pPr>
            <w:r>
              <w:rPr>
                <w:rFonts w:ascii="Arial" w:cs="Arial" w:eastAsia="Arial" w:hAnsi="Arial"/>
                <w:sz w:val="13"/>
                <w:szCs w:val="13"/>
                <w:b w:val="1"/>
                <w:bCs w:val="1"/>
                <w:color w:val="auto"/>
                <w:w w:val="90"/>
              </w:rPr>
              <w:t>RSUs</w:t>
            </w:r>
            <w:r>
              <w:rPr>
                <w:rFonts w:ascii="Arial" w:cs="Arial" w:eastAsia="Arial" w:hAnsi="Arial"/>
                <w:sz w:val="10"/>
                <w:szCs w:val="10"/>
                <w:b w:val="1"/>
                <w:bCs w:val="1"/>
                <w:color w:val="auto"/>
                <w:w w:val="90"/>
              </w:rPr>
              <w:t>(2)</w:t>
            </w:r>
            <w:r>
              <w:rPr>
                <w:rFonts w:ascii="Arial" w:cs="Arial" w:eastAsia="Arial" w:hAnsi="Arial"/>
                <w:sz w:val="13"/>
                <w:szCs w:val="13"/>
                <w:b w:val="1"/>
                <w:bCs w:val="1"/>
                <w:color w:val="auto"/>
                <w:w w:val="90"/>
              </w:rPr>
              <w:t xml:space="preserve"> ($)</w:t>
            </w:r>
          </w:p>
        </w:tc>
        <w:tc>
          <w:tcPr>
            <w:tcW w:w="1020" w:type="dxa"/>
            <w:vAlign w:val="bottom"/>
            <w:tcBorders>
              <w:bottom w:val="single" w:sz="8" w:color="407CCA"/>
            </w:tcBorders>
          </w:tcPr>
          <w:p>
            <w:pPr>
              <w:jc w:val="right"/>
              <w:ind w:right="58"/>
              <w:spacing w:after="0"/>
              <w:rPr>
                <w:sz w:val="20"/>
                <w:szCs w:val="20"/>
                <w:color w:val="auto"/>
              </w:rPr>
            </w:pPr>
            <w:r>
              <w:rPr>
                <w:rFonts w:ascii="Arial" w:cs="Arial" w:eastAsia="Arial" w:hAnsi="Arial"/>
                <w:sz w:val="13"/>
                <w:szCs w:val="13"/>
                <w:b w:val="1"/>
                <w:bCs w:val="1"/>
                <w:color w:val="auto"/>
              </w:rPr>
              <w:t>of Awards ($)</w:t>
            </w:r>
          </w:p>
        </w:tc>
        <w:tc>
          <w:tcPr>
            <w:tcW w:w="0" w:type="dxa"/>
            <w:vAlign w:val="bottom"/>
          </w:tcPr>
          <w:p>
            <w:pPr>
              <w:spacing w:after="0"/>
              <w:rPr>
                <w:sz w:val="1"/>
                <w:szCs w:val="1"/>
                <w:color w:val="auto"/>
              </w:rPr>
            </w:pPr>
          </w:p>
        </w:tc>
      </w:tr>
      <w:tr>
        <w:trPr>
          <w:trHeight w:val="209"/>
        </w:trPr>
        <w:tc>
          <w:tcPr>
            <w:tcW w:w="386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Gary D. Kain</w:t>
            </w:r>
          </w:p>
        </w:tc>
        <w:tc>
          <w:tcPr>
            <w:tcW w:w="4700" w:type="dxa"/>
            <w:vAlign w:val="bottom"/>
            <w:shd w:val="clear" w:color="auto" w:fill="CCEEFF"/>
          </w:tcPr>
          <w:p>
            <w:pPr>
              <w:jc w:val="right"/>
              <w:ind w:right="80"/>
              <w:spacing w:after="0"/>
              <w:rPr>
                <w:sz w:val="20"/>
                <w:szCs w:val="20"/>
                <w:color w:val="auto"/>
              </w:rPr>
            </w:pPr>
            <w:r>
              <w:rPr>
                <w:rFonts w:ascii="Arial" w:cs="Arial" w:eastAsia="Arial" w:hAnsi="Arial"/>
                <w:sz w:val="18"/>
                <w:szCs w:val="18"/>
                <w:color w:val="auto"/>
              </w:rPr>
              <w:t>2,700,000</w:t>
            </w:r>
          </w:p>
        </w:tc>
        <w:tc>
          <w:tcPr>
            <w:tcW w:w="1440" w:type="dxa"/>
            <w:vAlign w:val="bottom"/>
            <w:shd w:val="clear" w:color="auto" w:fill="CCEEFF"/>
          </w:tcPr>
          <w:p>
            <w:pPr>
              <w:jc w:val="right"/>
              <w:ind w:right="80"/>
              <w:spacing w:after="0"/>
              <w:rPr>
                <w:sz w:val="20"/>
                <w:szCs w:val="20"/>
                <w:color w:val="auto"/>
              </w:rPr>
            </w:pPr>
            <w:r>
              <w:rPr>
                <w:rFonts w:ascii="Arial" w:cs="Arial" w:eastAsia="Arial" w:hAnsi="Arial"/>
                <w:sz w:val="18"/>
                <w:szCs w:val="18"/>
                <w:color w:val="auto"/>
              </w:rPr>
              <w:t>5,400,000</w:t>
            </w:r>
          </w:p>
        </w:tc>
        <w:tc>
          <w:tcPr>
            <w:tcW w:w="10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8,100,000</w:t>
            </w:r>
          </w:p>
        </w:tc>
        <w:tc>
          <w:tcPr>
            <w:tcW w:w="0" w:type="dxa"/>
            <w:vAlign w:val="bottom"/>
          </w:tcPr>
          <w:p>
            <w:pPr>
              <w:spacing w:after="0"/>
              <w:rPr>
                <w:sz w:val="1"/>
                <w:szCs w:val="1"/>
                <w:color w:val="auto"/>
              </w:rPr>
            </w:pPr>
          </w:p>
        </w:tc>
      </w:tr>
      <w:tr>
        <w:trPr>
          <w:trHeight w:val="216"/>
        </w:trPr>
        <w:tc>
          <w:tcPr>
            <w:tcW w:w="3860" w:type="dxa"/>
            <w:vAlign w:val="bottom"/>
          </w:tcPr>
          <w:p>
            <w:pPr>
              <w:ind w:left="80"/>
              <w:spacing w:after="0"/>
              <w:rPr>
                <w:sz w:val="20"/>
                <w:szCs w:val="20"/>
                <w:color w:val="auto"/>
              </w:rPr>
            </w:pPr>
            <w:r>
              <w:rPr>
                <w:rFonts w:ascii="Arial" w:cs="Arial" w:eastAsia="Arial" w:hAnsi="Arial"/>
                <w:sz w:val="18"/>
                <w:szCs w:val="18"/>
                <w:b w:val="1"/>
                <w:bCs w:val="1"/>
                <w:color w:val="auto"/>
              </w:rPr>
              <w:t>Peter J. Federico</w:t>
            </w:r>
          </w:p>
        </w:tc>
        <w:tc>
          <w:tcPr>
            <w:tcW w:w="4700" w:type="dxa"/>
            <w:vAlign w:val="bottom"/>
          </w:tcPr>
          <w:p>
            <w:pPr>
              <w:jc w:val="right"/>
              <w:ind w:right="80"/>
              <w:spacing w:after="0"/>
              <w:rPr>
                <w:sz w:val="20"/>
                <w:szCs w:val="20"/>
                <w:color w:val="auto"/>
              </w:rPr>
            </w:pPr>
            <w:r>
              <w:rPr>
                <w:rFonts w:ascii="Arial" w:cs="Arial" w:eastAsia="Arial" w:hAnsi="Arial"/>
                <w:sz w:val="18"/>
                <w:szCs w:val="18"/>
                <w:color w:val="auto"/>
              </w:rPr>
              <w:t>900,000</w:t>
            </w:r>
          </w:p>
        </w:tc>
        <w:tc>
          <w:tcPr>
            <w:tcW w:w="1440" w:type="dxa"/>
            <w:vAlign w:val="bottom"/>
          </w:tcPr>
          <w:p>
            <w:pPr>
              <w:jc w:val="right"/>
              <w:ind w:right="80"/>
              <w:spacing w:after="0"/>
              <w:rPr>
                <w:sz w:val="20"/>
                <w:szCs w:val="20"/>
                <w:color w:val="auto"/>
              </w:rPr>
            </w:pPr>
            <w:r>
              <w:rPr>
                <w:rFonts w:ascii="Arial" w:cs="Arial" w:eastAsia="Arial" w:hAnsi="Arial"/>
                <w:sz w:val="18"/>
                <w:szCs w:val="18"/>
                <w:color w:val="auto"/>
              </w:rPr>
              <w:t>900,000</w:t>
            </w:r>
          </w:p>
        </w:tc>
        <w:tc>
          <w:tcPr>
            <w:tcW w:w="1020" w:type="dxa"/>
            <w:vAlign w:val="bottom"/>
          </w:tcPr>
          <w:p>
            <w:pPr>
              <w:jc w:val="right"/>
              <w:spacing w:after="0"/>
              <w:rPr>
                <w:sz w:val="20"/>
                <w:szCs w:val="20"/>
                <w:color w:val="auto"/>
              </w:rPr>
            </w:pPr>
            <w:r>
              <w:rPr>
                <w:rFonts w:ascii="Arial" w:cs="Arial" w:eastAsia="Arial" w:hAnsi="Arial"/>
                <w:sz w:val="18"/>
                <w:szCs w:val="18"/>
                <w:color w:val="auto"/>
              </w:rPr>
              <w:t>1,800,000</w:t>
            </w:r>
          </w:p>
        </w:tc>
        <w:tc>
          <w:tcPr>
            <w:tcW w:w="0" w:type="dxa"/>
            <w:vAlign w:val="bottom"/>
          </w:tcPr>
          <w:p>
            <w:pPr>
              <w:spacing w:after="0"/>
              <w:rPr>
                <w:sz w:val="1"/>
                <w:szCs w:val="1"/>
                <w:color w:val="auto"/>
              </w:rPr>
            </w:pPr>
          </w:p>
        </w:tc>
      </w:tr>
      <w:tr>
        <w:trPr>
          <w:trHeight w:val="216"/>
        </w:trPr>
        <w:tc>
          <w:tcPr>
            <w:tcW w:w="386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Christopher J. Kuehl</w:t>
            </w:r>
          </w:p>
        </w:tc>
        <w:tc>
          <w:tcPr>
            <w:tcW w:w="4700" w:type="dxa"/>
            <w:vAlign w:val="bottom"/>
            <w:shd w:val="clear" w:color="auto" w:fill="CCEEFF"/>
          </w:tcPr>
          <w:p>
            <w:pPr>
              <w:jc w:val="right"/>
              <w:ind w:right="80"/>
              <w:spacing w:after="0"/>
              <w:rPr>
                <w:sz w:val="20"/>
                <w:szCs w:val="20"/>
                <w:color w:val="auto"/>
              </w:rPr>
            </w:pPr>
            <w:r>
              <w:rPr>
                <w:rFonts w:ascii="Arial" w:cs="Arial" w:eastAsia="Arial" w:hAnsi="Arial"/>
                <w:sz w:val="18"/>
                <w:szCs w:val="18"/>
                <w:color w:val="auto"/>
              </w:rPr>
              <w:t>700,000</w:t>
            </w:r>
          </w:p>
        </w:tc>
        <w:tc>
          <w:tcPr>
            <w:tcW w:w="1440" w:type="dxa"/>
            <w:vAlign w:val="bottom"/>
            <w:shd w:val="clear" w:color="auto" w:fill="CCEEFF"/>
          </w:tcPr>
          <w:p>
            <w:pPr>
              <w:jc w:val="right"/>
              <w:ind w:right="80"/>
              <w:spacing w:after="0"/>
              <w:rPr>
                <w:sz w:val="20"/>
                <w:szCs w:val="20"/>
                <w:color w:val="auto"/>
              </w:rPr>
            </w:pPr>
            <w:r>
              <w:rPr>
                <w:rFonts w:ascii="Arial" w:cs="Arial" w:eastAsia="Arial" w:hAnsi="Arial"/>
                <w:sz w:val="18"/>
                <w:szCs w:val="18"/>
                <w:color w:val="auto"/>
              </w:rPr>
              <w:t>700,000</w:t>
            </w:r>
          </w:p>
        </w:tc>
        <w:tc>
          <w:tcPr>
            <w:tcW w:w="10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1,400,000</w:t>
            </w:r>
          </w:p>
        </w:tc>
        <w:tc>
          <w:tcPr>
            <w:tcW w:w="0" w:type="dxa"/>
            <w:vAlign w:val="bottom"/>
          </w:tcPr>
          <w:p>
            <w:pPr>
              <w:spacing w:after="0"/>
              <w:rPr>
                <w:sz w:val="1"/>
                <w:szCs w:val="1"/>
                <w:color w:val="auto"/>
              </w:rPr>
            </w:pPr>
          </w:p>
        </w:tc>
      </w:tr>
      <w:tr>
        <w:trPr>
          <w:trHeight w:val="216"/>
        </w:trPr>
        <w:tc>
          <w:tcPr>
            <w:tcW w:w="3860" w:type="dxa"/>
            <w:vAlign w:val="bottom"/>
          </w:tcPr>
          <w:p>
            <w:pPr>
              <w:ind w:left="80"/>
              <w:spacing w:after="0"/>
              <w:rPr>
                <w:sz w:val="20"/>
                <w:szCs w:val="20"/>
                <w:color w:val="auto"/>
              </w:rPr>
            </w:pPr>
            <w:r>
              <w:rPr>
                <w:rFonts w:ascii="Arial" w:cs="Arial" w:eastAsia="Arial" w:hAnsi="Arial"/>
                <w:sz w:val="18"/>
                <w:szCs w:val="18"/>
                <w:b w:val="1"/>
                <w:bCs w:val="1"/>
                <w:color w:val="auto"/>
              </w:rPr>
              <w:t>Bernice E. Bell</w:t>
            </w:r>
          </w:p>
        </w:tc>
        <w:tc>
          <w:tcPr>
            <w:tcW w:w="4700" w:type="dxa"/>
            <w:vAlign w:val="bottom"/>
          </w:tcPr>
          <w:p>
            <w:pPr>
              <w:jc w:val="right"/>
              <w:ind w:right="80"/>
              <w:spacing w:after="0"/>
              <w:rPr>
                <w:sz w:val="20"/>
                <w:szCs w:val="20"/>
                <w:color w:val="auto"/>
              </w:rPr>
            </w:pPr>
            <w:r>
              <w:rPr>
                <w:rFonts w:ascii="Arial" w:cs="Arial" w:eastAsia="Arial" w:hAnsi="Arial"/>
                <w:sz w:val="18"/>
                <w:szCs w:val="18"/>
                <w:color w:val="auto"/>
              </w:rPr>
              <w:t>375,000</w:t>
            </w:r>
          </w:p>
        </w:tc>
        <w:tc>
          <w:tcPr>
            <w:tcW w:w="1440" w:type="dxa"/>
            <w:vAlign w:val="bottom"/>
          </w:tcPr>
          <w:p>
            <w:pPr>
              <w:jc w:val="right"/>
              <w:ind w:right="80"/>
              <w:spacing w:after="0"/>
              <w:rPr>
                <w:sz w:val="20"/>
                <w:szCs w:val="20"/>
                <w:color w:val="auto"/>
              </w:rPr>
            </w:pPr>
            <w:r>
              <w:rPr>
                <w:rFonts w:ascii="Arial" w:cs="Arial" w:eastAsia="Arial" w:hAnsi="Arial"/>
                <w:sz w:val="18"/>
                <w:szCs w:val="18"/>
                <w:color w:val="auto"/>
              </w:rPr>
              <w:t>375,000</w:t>
            </w:r>
          </w:p>
        </w:tc>
        <w:tc>
          <w:tcPr>
            <w:tcW w:w="1020" w:type="dxa"/>
            <w:vAlign w:val="bottom"/>
          </w:tcPr>
          <w:p>
            <w:pPr>
              <w:jc w:val="right"/>
              <w:spacing w:after="0"/>
              <w:rPr>
                <w:sz w:val="20"/>
                <w:szCs w:val="20"/>
                <w:color w:val="auto"/>
              </w:rPr>
            </w:pPr>
            <w:r>
              <w:rPr>
                <w:rFonts w:ascii="Arial" w:cs="Arial" w:eastAsia="Arial" w:hAnsi="Arial"/>
                <w:sz w:val="18"/>
                <w:szCs w:val="18"/>
                <w:color w:val="auto"/>
              </w:rPr>
              <w:t>750,000</w:t>
            </w:r>
          </w:p>
        </w:tc>
        <w:tc>
          <w:tcPr>
            <w:tcW w:w="0" w:type="dxa"/>
            <w:vAlign w:val="bottom"/>
          </w:tcPr>
          <w:p>
            <w:pPr>
              <w:spacing w:after="0"/>
              <w:rPr>
                <w:sz w:val="1"/>
                <w:szCs w:val="1"/>
                <w:color w:val="auto"/>
              </w:rPr>
            </w:pPr>
          </w:p>
        </w:tc>
      </w:tr>
      <w:tr>
        <w:trPr>
          <w:trHeight w:val="216"/>
        </w:trPr>
        <w:tc>
          <w:tcPr>
            <w:tcW w:w="3860" w:type="dxa"/>
            <w:vAlign w:val="bottom"/>
            <w:tcBorders>
              <w:bottom w:val="single" w:sz="8" w:color="407CCA"/>
            </w:tcBorders>
            <w:shd w:val="clear" w:color="auto" w:fill="CCEEFF"/>
          </w:tcPr>
          <w:p>
            <w:pPr>
              <w:ind w:left="80"/>
              <w:spacing w:after="0"/>
              <w:rPr>
                <w:sz w:val="20"/>
                <w:szCs w:val="20"/>
                <w:color w:val="auto"/>
              </w:rPr>
            </w:pPr>
            <w:r>
              <w:rPr>
                <w:rFonts w:ascii="Arial" w:cs="Arial" w:eastAsia="Arial" w:hAnsi="Arial"/>
                <w:sz w:val="18"/>
                <w:szCs w:val="18"/>
                <w:b w:val="1"/>
                <w:bCs w:val="1"/>
                <w:color w:val="auto"/>
              </w:rPr>
              <w:t>Aaron J. Pas</w:t>
            </w:r>
          </w:p>
        </w:tc>
        <w:tc>
          <w:tcPr>
            <w:tcW w:w="4700" w:type="dxa"/>
            <w:vAlign w:val="bottom"/>
            <w:tcBorders>
              <w:bottom w:val="single" w:sz="8" w:color="407CCA"/>
            </w:tcBorders>
            <w:shd w:val="clear" w:color="auto" w:fill="CCEEFF"/>
          </w:tcPr>
          <w:p>
            <w:pPr>
              <w:jc w:val="right"/>
              <w:ind w:right="80"/>
              <w:spacing w:after="0"/>
              <w:rPr>
                <w:sz w:val="20"/>
                <w:szCs w:val="20"/>
                <w:color w:val="auto"/>
              </w:rPr>
            </w:pPr>
            <w:r>
              <w:rPr>
                <w:rFonts w:ascii="Arial" w:cs="Arial" w:eastAsia="Arial" w:hAnsi="Arial"/>
                <w:sz w:val="18"/>
                <w:szCs w:val="18"/>
                <w:color w:val="auto"/>
              </w:rPr>
              <w:t>375,000</w:t>
            </w:r>
          </w:p>
        </w:tc>
        <w:tc>
          <w:tcPr>
            <w:tcW w:w="1440" w:type="dxa"/>
            <w:vAlign w:val="bottom"/>
            <w:tcBorders>
              <w:bottom w:val="single" w:sz="8" w:color="407CCA"/>
            </w:tcBorders>
            <w:shd w:val="clear" w:color="auto" w:fill="CCEEFF"/>
          </w:tcPr>
          <w:p>
            <w:pPr>
              <w:jc w:val="right"/>
              <w:ind w:right="80"/>
              <w:spacing w:after="0"/>
              <w:rPr>
                <w:sz w:val="20"/>
                <w:szCs w:val="20"/>
                <w:color w:val="auto"/>
              </w:rPr>
            </w:pPr>
            <w:r>
              <w:rPr>
                <w:rFonts w:ascii="Arial" w:cs="Arial" w:eastAsia="Arial" w:hAnsi="Arial"/>
                <w:sz w:val="18"/>
                <w:szCs w:val="18"/>
                <w:color w:val="auto"/>
              </w:rPr>
              <w:t>375,000</w:t>
            </w:r>
          </w:p>
        </w:tc>
        <w:tc>
          <w:tcPr>
            <w:tcW w:w="1020" w:type="dxa"/>
            <w:vAlign w:val="bottom"/>
            <w:tcBorders>
              <w:bottom w:val="single" w:sz="8" w:color="407CCA"/>
            </w:tcBorders>
            <w:shd w:val="clear" w:color="auto" w:fill="CCEEFF"/>
          </w:tcPr>
          <w:p>
            <w:pPr>
              <w:jc w:val="right"/>
              <w:spacing w:after="0"/>
              <w:rPr>
                <w:sz w:val="20"/>
                <w:szCs w:val="20"/>
                <w:color w:val="auto"/>
              </w:rPr>
            </w:pPr>
            <w:r>
              <w:rPr>
                <w:rFonts w:ascii="Arial" w:cs="Arial" w:eastAsia="Arial" w:hAnsi="Arial"/>
                <w:sz w:val="18"/>
                <w:szCs w:val="18"/>
                <w:color w:val="auto"/>
              </w:rPr>
              <w:t>750,000</w:t>
            </w:r>
          </w:p>
        </w:tc>
        <w:tc>
          <w:tcPr>
            <w:tcW w:w="0" w:type="dxa"/>
            <w:vAlign w:val="bottom"/>
          </w:tcPr>
          <w:p>
            <w:pPr>
              <w:spacing w:after="0"/>
              <w:rPr>
                <w:sz w:val="1"/>
                <w:szCs w:val="1"/>
                <w:color w:val="auto"/>
              </w:rPr>
            </w:pPr>
          </w:p>
        </w:tc>
      </w:tr>
      <w:tr>
        <w:trPr>
          <w:trHeight w:val="128"/>
        </w:trPr>
        <w:tc>
          <w:tcPr>
            <w:tcW w:w="3860" w:type="dxa"/>
            <w:vAlign w:val="bottom"/>
            <w:tcBorders>
              <w:bottom w:val="single" w:sz="8" w:color="auto"/>
            </w:tcBorders>
          </w:tcPr>
          <w:p>
            <w:pPr>
              <w:spacing w:after="0"/>
              <w:rPr>
                <w:sz w:val="11"/>
                <w:szCs w:val="11"/>
                <w:color w:val="auto"/>
              </w:rPr>
            </w:pPr>
          </w:p>
        </w:tc>
        <w:tc>
          <w:tcPr>
            <w:tcW w:w="4700" w:type="dxa"/>
            <w:vAlign w:val="bottom"/>
          </w:tcPr>
          <w:p>
            <w:pPr>
              <w:spacing w:after="0"/>
              <w:rPr>
                <w:sz w:val="11"/>
                <w:szCs w:val="11"/>
                <w:color w:val="auto"/>
              </w:rPr>
            </w:pPr>
          </w:p>
        </w:tc>
        <w:tc>
          <w:tcPr>
            <w:tcW w:w="1440" w:type="dxa"/>
            <w:vAlign w:val="bottom"/>
          </w:tcPr>
          <w:p>
            <w:pPr>
              <w:spacing w:after="0"/>
              <w:rPr>
                <w:sz w:val="11"/>
                <w:szCs w:val="11"/>
                <w:color w:val="auto"/>
              </w:rPr>
            </w:pPr>
          </w:p>
        </w:tc>
        <w:tc>
          <w:tcPr>
            <w:tcW w:w="1020" w:type="dxa"/>
            <w:vAlign w:val="bottom"/>
          </w:tcPr>
          <w:p>
            <w:pPr>
              <w:spacing w:after="0"/>
              <w:rPr>
                <w:sz w:val="11"/>
                <w:szCs w:val="11"/>
                <w:color w:val="auto"/>
              </w:rPr>
            </w:pPr>
          </w:p>
        </w:tc>
        <w:tc>
          <w:tcPr>
            <w:tcW w:w="0" w:type="dxa"/>
            <w:vAlign w:val="bottom"/>
          </w:tcPr>
          <w:p>
            <w:pPr>
              <w:spacing w:after="0"/>
              <w:rPr>
                <w:sz w:val="1"/>
                <w:szCs w:val="1"/>
                <w:color w:val="auto"/>
              </w:rPr>
            </w:pPr>
          </w:p>
        </w:tc>
      </w:tr>
    </w:tbl>
    <w:p>
      <w:pPr>
        <w:spacing w:after="0" w:line="143" w:lineRule="exact"/>
        <w:rPr>
          <w:sz w:val="20"/>
          <w:szCs w:val="20"/>
          <w:color w:val="auto"/>
        </w:rPr>
      </w:pPr>
    </w:p>
    <w:p>
      <w:pPr>
        <w:ind w:left="340" w:hanging="224"/>
        <w:spacing w:after="0"/>
        <w:tabs>
          <w:tab w:leader="none" w:pos="340" w:val="left"/>
        </w:tabs>
        <w:numPr>
          <w:ilvl w:val="0"/>
          <w:numId w:val="37"/>
        </w:numPr>
        <w:rPr>
          <w:rFonts w:ascii="Arial" w:cs="Arial" w:eastAsia="Arial" w:hAnsi="Arial"/>
          <w:sz w:val="12"/>
          <w:szCs w:val="12"/>
          <w:color w:val="auto"/>
        </w:rPr>
      </w:pPr>
      <w:r>
        <w:rPr>
          <w:rFonts w:ascii="Arial" w:cs="Arial" w:eastAsia="Arial" w:hAnsi="Arial"/>
          <w:sz w:val="14"/>
          <w:szCs w:val="14"/>
          <w:color w:val="auto"/>
        </w:rPr>
        <w:t>Awards vest ratably over a three-year period, and distributions may be deferred for up to 10 years.</w:t>
      </w:r>
    </w:p>
    <w:p>
      <w:pPr>
        <w:ind w:left="340" w:right="80" w:hanging="224"/>
        <w:spacing w:after="0" w:line="271" w:lineRule="auto"/>
        <w:tabs>
          <w:tab w:leader="none" w:pos="340" w:val="left"/>
        </w:tabs>
        <w:numPr>
          <w:ilvl w:val="0"/>
          <w:numId w:val="37"/>
        </w:numPr>
        <w:rPr>
          <w:rFonts w:ascii="Arial" w:cs="Arial" w:eastAsia="Arial" w:hAnsi="Arial"/>
          <w:sz w:val="11"/>
          <w:szCs w:val="11"/>
          <w:color w:val="auto"/>
        </w:rPr>
      </w:pPr>
      <w:r>
        <w:rPr>
          <w:rFonts w:ascii="Arial" w:cs="Arial" w:eastAsia="Arial" w:hAnsi="Arial"/>
          <w:sz w:val="13"/>
          <w:szCs w:val="13"/>
          <w:color w:val="auto"/>
        </w:rPr>
        <w:t>Represents target grant-date fair value and assumes performance achievement at 100% of target. Performance payouts may range from 0% to 200% of target based on actual performance. Awards are subject to 3-year cliff vesting and distributions may be deferred for up to 10 years. See “Incentive Compensation” in “Compensation Discussion and Analysis.”</w:t>
      </w:r>
    </w:p>
    <w:p>
      <w:pPr>
        <w:spacing w:after="0" w:line="168" w:lineRule="exact"/>
        <w:rPr>
          <w:sz w:val="20"/>
          <w:szCs w:val="20"/>
          <w:color w:val="auto"/>
        </w:rPr>
      </w:pPr>
    </w:p>
    <w:p>
      <w:pPr>
        <w:ind w:left="120" w:right="200" w:firstLine="881"/>
        <w:spacing w:after="0" w:line="286" w:lineRule="auto"/>
        <w:rPr>
          <w:sz w:val="20"/>
          <w:szCs w:val="20"/>
          <w:color w:val="auto"/>
        </w:rPr>
      </w:pPr>
      <w:r>
        <w:rPr>
          <w:rFonts w:ascii="Arial" w:cs="Arial" w:eastAsia="Arial" w:hAnsi="Arial"/>
          <w:sz w:val="17"/>
          <w:szCs w:val="17"/>
          <w:color w:val="auto"/>
        </w:rPr>
        <w:t>The grant-date fair value of these awards is included in the Summary Compensation Table and Grants of Plan-Based Awards Table below. The ultimate value of the AGNC RSUs will depend on AGNC’s total stockholder return over the vesting period, and in the case of the performance-vested RSUs, AGNC’s absolute and relative economic return over the three-year performance period.</w:t>
      </w:r>
    </w:p>
    <w:p>
      <w:pPr>
        <w:spacing w:after="0" w:line="165" w:lineRule="exact"/>
        <w:rPr>
          <w:sz w:val="20"/>
          <w:szCs w:val="20"/>
          <w:color w:val="auto"/>
        </w:rPr>
      </w:pPr>
    </w:p>
    <w:p>
      <w:pPr>
        <w:ind w:left="120" w:right="40" w:firstLine="881"/>
        <w:spacing w:after="0" w:line="277" w:lineRule="auto"/>
        <w:rPr>
          <w:sz w:val="20"/>
          <w:szCs w:val="20"/>
          <w:color w:val="auto"/>
        </w:rPr>
      </w:pPr>
      <w:r>
        <w:rPr>
          <w:rFonts w:ascii="Arial" w:cs="Arial" w:eastAsia="Arial" w:hAnsi="Arial"/>
          <w:sz w:val="18"/>
          <w:szCs w:val="18"/>
          <w:color w:val="auto"/>
        </w:rPr>
        <w:t>The table below sets forth the below threshold, threshold, target, and outperformance levels established by the Compensation Committee for performance-based RSU awards made in 2019.</w:t>
      </w:r>
    </w:p>
    <w:p>
      <w:pPr>
        <w:spacing w:after="0" w:line="212" w:lineRule="exact"/>
        <w:rPr>
          <w:sz w:val="20"/>
          <w:szCs w:val="20"/>
          <w:color w:val="auto"/>
        </w:rPr>
      </w:pPr>
    </w:p>
    <w:tbl>
      <w:tblPr>
        <w:tblLayout w:type="fixed"/>
        <w:tblInd w:w="120" w:type="dxa"/>
        <w:tblCellMar>
          <w:top w:w="0" w:type="dxa"/>
          <w:left w:w="0" w:type="dxa"/>
          <w:bottom w:w="0" w:type="dxa"/>
          <w:right w:w="0" w:type="dxa"/>
        </w:tblCellMar>
      </w:tblPr>
      <w:tr>
        <w:trPr>
          <w:trHeight w:val="175"/>
        </w:trPr>
        <w:tc>
          <w:tcPr>
            <w:tcW w:w="538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88"/>
              </w:rPr>
              <w:t>Performance</w:t>
            </w:r>
          </w:p>
        </w:tc>
        <w:tc>
          <w:tcPr>
            <w:tcW w:w="1200" w:type="dxa"/>
            <w:vAlign w:val="bottom"/>
            <w:shd w:val="clear" w:color="auto" w:fill="407CCA"/>
          </w:tcPr>
          <w:p>
            <w:pPr>
              <w:ind w:left="520"/>
              <w:spacing w:after="0"/>
              <w:rPr>
                <w:sz w:val="20"/>
                <w:szCs w:val="20"/>
                <w:color w:val="auto"/>
              </w:rPr>
            </w:pPr>
            <w:r>
              <w:rPr>
                <w:rFonts w:ascii="Arial" w:cs="Arial" w:eastAsia="Arial" w:hAnsi="Arial"/>
                <w:sz w:val="13"/>
                <w:szCs w:val="13"/>
                <w:b w:val="1"/>
                <w:bCs w:val="1"/>
                <w:color w:val="auto"/>
              </w:rPr>
              <w:t>Metric</w:t>
            </w:r>
          </w:p>
        </w:tc>
        <w:tc>
          <w:tcPr>
            <w:tcW w:w="122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83"/>
              </w:rPr>
              <w:t>Below</w:t>
            </w:r>
          </w:p>
        </w:tc>
        <w:tc>
          <w:tcPr>
            <w:tcW w:w="1080" w:type="dxa"/>
            <w:vAlign w:val="bottom"/>
            <w:shd w:val="clear" w:color="auto" w:fill="407CCA"/>
          </w:tcPr>
          <w:p>
            <w:pPr>
              <w:spacing w:after="0"/>
              <w:rPr>
                <w:sz w:val="15"/>
                <w:szCs w:val="15"/>
                <w:color w:val="auto"/>
              </w:rPr>
            </w:pPr>
          </w:p>
        </w:tc>
        <w:tc>
          <w:tcPr>
            <w:tcW w:w="960" w:type="dxa"/>
            <w:vAlign w:val="bottom"/>
            <w:shd w:val="clear" w:color="auto" w:fill="407CCA"/>
          </w:tcPr>
          <w:p>
            <w:pPr>
              <w:spacing w:after="0"/>
              <w:rPr>
                <w:sz w:val="15"/>
                <w:szCs w:val="15"/>
                <w:color w:val="auto"/>
              </w:rPr>
            </w:pPr>
          </w:p>
        </w:tc>
        <w:tc>
          <w:tcPr>
            <w:tcW w:w="1180" w:type="dxa"/>
            <w:vAlign w:val="bottom"/>
            <w:shd w:val="clear" w:color="auto" w:fill="407CCA"/>
          </w:tcPr>
          <w:p>
            <w:pPr>
              <w:spacing w:after="0"/>
              <w:rPr>
                <w:sz w:val="15"/>
                <w:szCs w:val="15"/>
                <w:color w:val="auto"/>
              </w:rPr>
            </w:pPr>
          </w:p>
        </w:tc>
      </w:tr>
      <w:tr>
        <w:trPr>
          <w:trHeight w:val="175"/>
        </w:trPr>
        <w:tc>
          <w:tcPr>
            <w:tcW w:w="538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90"/>
              </w:rPr>
              <w:t>Variable</w:t>
            </w:r>
          </w:p>
        </w:tc>
        <w:tc>
          <w:tcPr>
            <w:tcW w:w="1200" w:type="dxa"/>
            <w:vAlign w:val="bottom"/>
            <w:shd w:val="clear" w:color="auto" w:fill="407CCA"/>
          </w:tcPr>
          <w:p>
            <w:pPr>
              <w:ind w:left="520"/>
              <w:spacing w:after="0"/>
              <w:rPr>
                <w:sz w:val="20"/>
                <w:szCs w:val="20"/>
                <w:color w:val="auto"/>
              </w:rPr>
            </w:pPr>
            <w:r>
              <w:rPr>
                <w:rFonts w:ascii="Arial" w:cs="Arial" w:eastAsia="Arial" w:hAnsi="Arial"/>
                <w:sz w:val="13"/>
                <w:szCs w:val="13"/>
                <w:b w:val="1"/>
                <w:bCs w:val="1"/>
                <w:color w:val="auto"/>
              </w:rPr>
              <w:t>Weight</w:t>
            </w:r>
          </w:p>
        </w:tc>
        <w:tc>
          <w:tcPr>
            <w:tcW w:w="122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89"/>
              </w:rPr>
              <w:t>Threshold</w:t>
            </w:r>
          </w:p>
        </w:tc>
        <w:tc>
          <w:tcPr>
            <w:tcW w:w="1080" w:type="dxa"/>
            <w:vAlign w:val="bottom"/>
            <w:shd w:val="clear" w:color="auto" w:fill="407CCA"/>
          </w:tcPr>
          <w:p>
            <w:pPr>
              <w:ind w:left="280"/>
              <w:spacing w:after="0"/>
              <w:rPr>
                <w:sz w:val="20"/>
                <w:szCs w:val="20"/>
                <w:color w:val="auto"/>
              </w:rPr>
            </w:pPr>
            <w:r>
              <w:rPr>
                <w:rFonts w:ascii="Arial" w:cs="Arial" w:eastAsia="Arial" w:hAnsi="Arial"/>
                <w:sz w:val="13"/>
                <w:szCs w:val="13"/>
                <w:b w:val="1"/>
                <w:bCs w:val="1"/>
                <w:color w:val="auto"/>
              </w:rPr>
              <w:t>Threshold</w:t>
            </w:r>
          </w:p>
        </w:tc>
        <w:tc>
          <w:tcPr>
            <w:tcW w:w="960" w:type="dxa"/>
            <w:vAlign w:val="bottom"/>
            <w:shd w:val="clear" w:color="auto" w:fill="407CCA"/>
          </w:tcPr>
          <w:p>
            <w:pPr>
              <w:ind w:left="340"/>
              <w:spacing w:after="0"/>
              <w:rPr>
                <w:sz w:val="20"/>
                <w:szCs w:val="20"/>
                <w:color w:val="auto"/>
              </w:rPr>
            </w:pPr>
            <w:r>
              <w:rPr>
                <w:rFonts w:ascii="Arial" w:cs="Arial" w:eastAsia="Arial" w:hAnsi="Arial"/>
                <w:sz w:val="13"/>
                <w:szCs w:val="13"/>
                <w:b w:val="1"/>
                <w:bCs w:val="1"/>
                <w:color w:val="auto"/>
              </w:rPr>
              <w:t>Target</w:t>
            </w:r>
          </w:p>
        </w:tc>
        <w:tc>
          <w:tcPr>
            <w:tcW w:w="1180" w:type="dxa"/>
            <w:vAlign w:val="bottom"/>
            <w:shd w:val="clear" w:color="auto" w:fill="407CCA"/>
          </w:tcPr>
          <w:p>
            <w:pPr>
              <w:ind w:left="180"/>
              <w:spacing w:after="0"/>
              <w:rPr>
                <w:sz w:val="20"/>
                <w:szCs w:val="20"/>
                <w:color w:val="auto"/>
              </w:rPr>
            </w:pPr>
            <w:r>
              <w:rPr>
                <w:rFonts w:ascii="Arial" w:cs="Arial" w:eastAsia="Arial" w:hAnsi="Arial"/>
                <w:sz w:val="13"/>
                <w:szCs w:val="13"/>
                <w:b w:val="1"/>
                <w:bCs w:val="1"/>
                <w:color w:val="auto"/>
                <w:w w:val="96"/>
              </w:rPr>
              <w:t>Outperformance</w:t>
            </w:r>
          </w:p>
        </w:tc>
      </w:tr>
      <w:tr>
        <w:trPr>
          <w:trHeight w:val="216"/>
        </w:trPr>
        <w:tc>
          <w:tcPr>
            <w:tcW w:w="538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0"/>
              </w:rPr>
              <w:t>Three Year Absolute Economic Return</w:t>
            </w:r>
          </w:p>
        </w:tc>
        <w:tc>
          <w:tcPr>
            <w:tcW w:w="1200" w:type="dxa"/>
            <w:vAlign w:val="bottom"/>
            <w:shd w:val="clear" w:color="auto" w:fill="F2F2F2"/>
          </w:tcPr>
          <w:p>
            <w:pPr>
              <w:jc w:val="center"/>
              <w:ind w:left="121"/>
              <w:spacing w:after="0"/>
              <w:rPr>
                <w:sz w:val="20"/>
                <w:szCs w:val="20"/>
                <w:color w:val="auto"/>
              </w:rPr>
            </w:pPr>
            <w:r>
              <w:rPr>
                <w:rFonts w:ascii="Arial" w:cs="Arial" w:eastAsia="Arial" w:hAnsi="Arial"/>
                <w:sz w:val="18"/>
                <w:szCs w:val="18"/>
                <w:b w:val="1"/>
                <w:bCs w:val="1"/>
                <w:color w:val="auto"/>
                <w:w w:val="99"/>
              </w:rPr>
              <w:t>50%</w:t>
            </w:r>
          </w:p>
        </w:tc>
        <w:tc>
          <w:tcPr>
            <w:tcW w:w="122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8"/>
              </w:rPr>
              <w:t>&lt; 0.0%</w:t>
            </w:r>
          </w:p>
        </w:tc>
        <w:tc>
          <w:tcPr>
            <w:tcW w:w="108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7"/>
              </w:rPr>
              <w:t>0.0%</w:t>
            </w:r>
          </w:p>
        </w:tc>
        <w:tc>
          <w:tcPr>
            <w:tcW w:w="960" w:type="dxa"/>
            <w:vAlign w:val="bottom"/>
            <w:shd w:val="clear" w:color="auto" w:fill="F2F2F2"/>
          </w:tcPr>
          <w:p>
            <w:pPr>
              <w:jc w:val="center"/>
              <w:ind w:left="17"/>
              <w:spacing w:after="0"/>
              <w:rPr>
                <w:sz w:val="20"/>
                <w:szCs w:val="20"/>
                <w:color w:val="auto"/>
              </w:rPr>
            </w:pPr>
            <w:r>
              <w:rPr>
                <w:rFonts w:ascii="Arial" w:cs="Arial" w:eastAsia="Arial" w:hAnsi="Arial"/>
                <w:sz w:val="18"/>
                <w:szCs w:val="18"/>
                <w:b w:val="1"/>
                <w:bCs w:val="1"/>
                <w:color w:val="auto"/>
                <w:w w:val="97"/>
              </w:rPr>
              <w:t>30.0%</w:t>
            </w:r>
          </w:p>
        </w:tc>
        <w:tc>
          <w:tcPr>
            <w:tcW w:w="118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7"/>
              </w:rPr>
              <w:t>60.0%</w:t>
            </w:r>
          </w:p>
        </w:tc>
      </w:tr>
      <w:tr>
        <w:trPr>
          <w:trHeight w:val="216"/>
        </w:trPr>
        <w:tc>
          <w:tcPr>
            <w:tcW w:w="538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1"/>
              </w:rPr>
              <w:t>Three Year Relative Economic Return</w:t>
            </w:r>
          </w:p>
        </w:tc>
        <w:tc>
          <w:tcPr>
            <w:tcW w:w="1200" w:type="dxa"/>
            <w:vAlign w:val="bottom"/>
            <w:shd w:val="clear" w:color="auto" w:fill="F2F2F2"/>
          </w:tcPr>
          <w:p>
            <w:pPr>
              <w:jc w:val="center"/>
              <w:ind w:left="121"/>
              <w:spacing w:after="0"/>
              <w:rPr>
                <w:sz w:val="20"/>
                <w:szCs w:val="20"/>
                <w:color w:val="auto"/>
              </w:rPr>
            </w:pPr>
            <w:r>
              <w:rPr>
                <w:rFonts w:ascii="Arial" w:cs="Arial" w:eastAsia="Arial" w:hAnsi="Arial"/>
                <w:sz w:val="18"/>
                <w:szCs w:val="18"/>
                <w:b w:val="1"/>
                <w:bCs w:val="1"/>
                <w:color w:val="auto"/>
                <w:w w:val="99"/>
              </w:rPr>
              <w:t>50%</w:t>
            </w:r>
          </w:p>
        </w:tc>
        <w:tc>
          <w:tcPr>
            <w:tcW w:w="122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9"/>
              </w:rPr>
              <w:t>&lt; (7.5%)</w:t>
            </w:r>
          </w:p>
        </w:tc>
        <w:tc>
          <w:tcPr>
            <w:tcW w:w="108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8"/>
              </w:rPr>
              <w:t>(7.5%)</w:t>
            </w:r>
          </w:p>
        </w:tc>
        <w:tc>
          <w:tcPr>
            <w:tcW w:w="96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7"/>
              </w:rPr>
              <w:t>0.0%</w:t>
            </w:r>
          </w:p>
        </w:tc>
        <w:tc>
          <w:tcPr>
            <w:tcW w:w="118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7"/>
              </w:rPr>
              <w:t>7.5%</w:t>
            </w:r>
          </w:p>
        </w:tc>
      </w:tr>
      <w:tr>
        <w:trPr>
          <w:trHeight w:val="216"/>
        </w:trPr>
        <w:tc>
          <w:tcPr>
            <w:tcW w:w="5380" w:type="dxa"/>
            <w:vAlign w:val="bottom"/>
            <w:shd w:val="clear" w:color="auto" w:fill="789E91"/>
          </w:tcPr>
          <w:p>
            <w:pPr>
              <w:jc w:val="center"/>
              <w:spacing w:after="0"/>
              <w:rPr>
                <w:sz w:val="20"/>
                <w:szCs w:val="20"/>
                <w:color w:val="auto"/>
              </w:rPr>
            </w:pPr>
            <w:r>
              <w:rPr>
                <w:rFonts w:ascii="Arial" w:cs="Arial" w:eastAsia="Arial" w:hAnsi="Arial"/>
                <w:sz w:val="18"/>
                <w:szCs w:val="18"/>
                <w:b w:val="1"/>
                <w:bCs w:val="1"/>
                <w:color w:val="auto"/>
                <w:w w:val="90"/>
              </w:rPr>
              <w:t>Performance-Based Payout Factor</w:t>
            </w:r>
          </w:p>
        </w:tc>
        <w:tc>
          <w:tcPr>
            <w:tcW w:w="1200" w:type="dxa"/>
            <w:vAlign w:val="bottom"/>
            <w:shd w:val="clear" w:color="auto" w:fill="789E91"/>
          </w:tcPr>
          <w:p>
            <w:pPr>
              <w:jc w:val="center"/>
              <w:ind w:left="121"/>
              <w:spacing w:after="0"/>
              <w:rPr>
                <w:sz w:val="20"/>
                <w:szCs w:val="20"/>
                <w:color w:val="auto"/>
              </w:rPr>
            </w:pPr>
            <w:r>
              <w:rPr>
                <w:rFonts w:ascii="Arial" w:cs="Arial" w:eastAsia="Arial" w:hAnsi="Arial"/>
                <w:sz w:val="18"/>
                <w:szCs w:val="18"/>
                <w:b w:val="1"/>
                <w:bCs w:val="1"/>
                <w:color w:val="auto"/>
                <w:w w:val="95"/>
              </w:rPr>
              <w:t>100%</w:t>
            </w:r>
          </w:p>
        </w:tc>
        <w:tc>
          <w:tcPr>
            <w:tcW w:w="1220" w:type="dxa"/>
            <w:vAlign w:val="bottom"/>
            <w:shd w:val="clear" w:color="auto" w:fill="789E91"/>
          </w:tcPr>
          <w:p>
            <w:pPr>
              <w:jc w:val="center"/>
              <w:spacing w:after="0"/>
              <w:rPr>
                <w:sz w:val="20"/>
                <w:szCs w:val="20"/>
                <w:color w:val="auto"/>
              </w:rPr>
            </w:pPr>
            <w:r>
              <w:rPr>
                <w:rFonts w:ascii="Arial" w:cs="Arial" w:eastAsia="Arial" w:hAnsi="Arial"/>
                <w:sz w:val="18"/>
                <w:szCs w:val="18"/>
                <w:b w:val="1"/>
                <w:bCs w:val="1"/>
                <w:color w:val="auto"/>
              </w:rPr>
              <w:t>0%</w:t>
            </w:r>
          </w:p>
        </w:tc>
        <w:tc>
          <w:tcPr>
            <w:tcW w:w="1080" w:type="dxa"/>
            <w:vAlign w:val="bottom"/>
            <w:shd w:val="clear" w:color="auto" w:fill="789E91"/>
          </w:tcPr>
          <w:p>
            <w:pPr>
              <w:jc w:val="center"/>
              <w:spacing w:after="0"/>
              <w:rPr>
                <w:sz w:val="20"/>
                <w:szCs w:val="20"/>
                <w:color w:val="auto"/>
              </w:rPr>
            </w:pPr>
            <w:r>
              <w:rPr>
                <w:rFonts w:ascii="Arial" w:cs="Arial" w:eastAsia="Arial" w:hAnsi="Arial"/>
                <w:sz w:val="18"/>
                <w:szCs w:val="18"/>
                <w:b w:val="1"/>
                <w:bCs w:val="1"/>
                <w:color w:val="auto"/>
                <w:w w:val="99"/>
              </w:rPr>
              <w:t>0%</w:t>
            </w:r>
          </w:p>
        </w:tc>
        <w:tc>
          <w:tcPr>
            <w:tcW w:w="960" w:type="dxa"/>
            <w:vAlign w:val="bottom"/>
            <w:shd w:val="clear" w:color="auto" w:fill="789E91"/>
          </w:tcPr>
          <w:p>
            <w:pPr>
              <w:jc w:val="center"/>
              <w:ind w:left="17"/>
              <w:spacing w:after="0"/>
              <w:rPr>
                <w:sz w:val="20"/>
                <w:szCs w:val="20"/>
                <w:color w:val="auto"/>
              </w:rPr>
            </w:pPr>
            <w:r>
              <w:rPr>
                <w:rFonts w:ascii="Arial" w:cs="Arial" w:eastAsia="Arial" w:hAnsi="Arial"/>
                <w:sz w:val="18"/>
                <w:szCs w:val="18"/>
                <w:b w:val="1"/>
                <w:bCs w:val="1"/>
                <w:color w:val="auto"/>
                <w:w w:val="99"/>
              </w:rPr>
              <w:t>100%</w:t>
            </w:r>
          </w:p>
        </w:tc>
        <w:tc>
          <w:tcPr>
            <w:tcW w:w="1180" w:type="dxa"/>
            <w:vAlign w:val="bottom"/>
            <w:shd w:val="clear" w:color="auto" w:fill="789E91"/>
          </w:tcPr>
          <w:p>
            <w:pPr>
              <w:jc w:val="center"/>
              <w:spacing w:after="0"/>
              <w:rPr>
                <w:sz w:val="20"/>
                <w:szCs w:val="20"/>
                <w:color w:val="auto"/>
              </w:rPr>
            </w:pPr>
            <w:r>
              <w:rPr>
                <w:rFonts w:ascii="Arial" w:cs="Arial" w:eastAsia="Arial" w:hAnsi="Arial"/>
                <w:sz w:val="18"/>
                <w:szCs w:val="18"/>
                <w:b w:val="1"/>
                <w:bCs w:val="1"/>
                <w:color w:val="auto"/>
                <w:w w:val="99"/>
              </w:rPr>
              <w:t>200%</w:t>
            </w:r>
          </w:p>
        </w:tc>
      </w:tr>
    </w:tbl>
    <w:p>
      <w:pPr>
        <w:spacing w:after="0" w:line="130" w:lineRule="exact"/>
        <w:rPr>
          <w:sz w:val="20"/>
          <w:szCs w:val="20"/>
          <w:color w:val="auto"/>
        </w:rPr>
      </w:pPr>
    </w:p>
    <w:p>
      <w:pPr>
        <w:ind w:left="7960"/>
        <w:spacing w:after="0"/>
        <w:tabs>
          <w:tab w:leader="none" w:pos="109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51</w:t>
      </w:r>
    </w:p>
    <w:p>
      <w:pPr>
        <w:sectPr>
          <w:pgSz w:w="11900" w:h="16838" w:orient="portrait"/>
          <w:cols w:equalWidth="0" w:num="1">
            <w:col w:w="11140"/>
          </w:cols>
          <w:pgMar w:left="320" w:top="459" w:right="439" w:bottom="1440" w:gutter="0" w:footer="0" w:header="0"/>
        </w:sectPr>
      </w:pPr>
    </w:p>
    <w:bookmarkStart w:id="64" w:name="page65"/>
    <w:bookmarkEnd w:id="6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3">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4">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2020 Long-Term Incentive Awards</w:t>
      </w:r>
    </w:p>
    <w:p>
      <w:pPr>
        <w:spacing w:after="0" w:line="117" w:lineRule="exact"/>
        <w:rPr>
          <w:sz w:val="20"/>
          <w:szCs w:val="20"/>
          <w:color w:val="auto"/>
        </w:rPr>
      </w:pPr>
    </w:p>
    <w:p>
      <w:pPr>
        <w:ind w:left="120" w:right="40" w:firstLine="881"/>
        <w:spacing w:after="0" w:line="273" w:lineRule="auto"/>
        <w:rPr>
          <w:sz w:val="20"/>
          <w:szCs w:val="20"/>
          <w:color w:val="auto"/>
        </w:rPr>
      </w:pPr>
      <w:r>
        <w:rPr>
          <w:rFonts w:ascii="Arial" w:cs="Arial" w:eastAsia="Arial" w:hAnsi="Arial"/>
          <w:sz w:val="17"/>
          <w:szCs w:val="17"/>
          <w:color w:val="auto"/>
        </w:rPr>
        <w:t>In January 2020 as part of its ongoing review of our compensation program and the aggregate compensation paid to each of our NEOs, the Compensation Committee determined it was appropriate to increase the target long-term incentive awards for our NEOs (other than Mr. Kain) and to increase the allocation of performance-based incentive awards relative to time-based awards for our President and Chief Operating Officer and our Executive Vice President for Agency Portfolio Investments. In making this determination, the Committee consulted with FW Cook and considered a number of factors, including the feedback we heard during our Fall 2019 stockholder engagement, the compensation practices at comparable companies, and our ongoing commitment to link NEO compensation to our long-term performance.</w:t>
      </w:r>
    </w:p>
    <w:p>
      <w:pPr>
        <w:spacing w:after="0" w:line="83" w:lineRule="exact"/>
        <w:rPr>
          <w:sz w:val="20"/>
          <w:szCs w:val="20"/>
          <w:color w:val="auto"/>
        </w:rPr>
      </w:pPr>
    </w:p>
    <w:p>
      <w:pPr>
        <w:jc w:val="both"/>
        <w:ind w:left="980" w:right="200" w:hanging="432"/>
        <w:spacing w:after="0" w:line="254" w:lineRule="auto"/>
        <w:tabs>
          <w:tab w:leader="none" w:pos="980" w:val="left"/>
        </w:tabs>
        <w:numPr>
          <w:ilvl w:val="0"/>
          <w:numId w:val="38"/>
        </w:numPr>
        <w:rPr>
          <w:rFonts w:ascii="Arial" w:cs="Arial" w:eastAsia="Arial" w:hAnsi="Arial"/>
          <w:sz w:val="18"/>
          <w:szCs w:val="18"/>
          <w:color w:val="auto"/>
        </w:rPr>
      </w:pPr>
      <w:r>
        <w:rPr>
          <w:rFonts w:ascii="Arial" w:cs="Arial" w:eastAsia="Arial" w:hAnsi="Arial"/>
          <w:sz w:val="18"/>
          <w:szCs w:val="18"/>
          <w:color w:val="auto"/>
        </w:rPr>
        <w:t>Messrs. Federico and Kuehl received an increase in their target long-term incentives from $1.8 million to $2.3 million and $1.4 million to $1.65 million, respectively. In addition, the allocation of their target LTI awards going forward are to be 67% performance-based and 33% time-based (as compared to a 50/50 weighting in prior year awards). This increase in target LTI is the first increase in target compensation for each of Messrs. Federico and Kuehl since 2016.</w:t>
      </w:r>
    </w:p>
    <w:p>
      <w:pPr>
        <w:spacing w:after="0" w:line="2" w:lineRule="exact"/>
        <w:rPr>
          <w:rFonts w:ascii="Arial" w:cs="Arial" w:eastAsia="Arial" w:hAnsi="Arial"/>
          <w:sz w:val="18"/>
          <w:szCs w:val="18"/>
          <w:color w:val="auto"/>
        </w:rPr>
      </w:pPr>
    </w:p>
    <w:p>
      <w:pPr>
        <w:ind w:left="980" w:right="320" w:hanging="432"/>
        <w:spacing w:after="0" w:line="250" w:lineRule="auto"/>
        <w:tabs>
          <w:tab w:leader="none" w:pos="980" w:val="left"/>
        </w:tabs>
        <w:numPr>
          <w:ilvl w:val="0"/>
          <w:numId w:val="38"/>
        </w:numPr>
        <w:rPr>
          <w:rFonts w:ascii="Arial" w:cs="Arial" w:eastAsia="Arial" w:hAnsi="Arial"/>
          <w:sz w:val="18"/>
          <w:szCs w:val="18"/>
          <w:color w:val="auto"/>
        </w:rPr>
      </w:pPr>
      <w:r>
        <w:rPr>
          <w:rFonts w:ascii="Arial" w:cs="Arial" w:eastAsia="Arial" w:hAnsi="Arial"/>
          <w:sz w:val="18"/>
          <w:szCs w:val="18"/>
          <w:color w:val="auto"/>
        </w:rPr>
        <w:t>Ms. Bell’s long-term incentive target was increased from $750,000 to $875,000, with the allocation among time-based and performance-based remaining unchanged at an equal weighting.</w:t>
      </w:r>
    </w:p>
    <w:p>
      <w:pPr>
        <w:ind w:left="980" w:right="400" w:hanging="432"/>
        <w:spacing w:after="0" w:line="260" w:lineRule="auto"/>
        <w:tabs>
          <w:tab w:leader="none" w:pos="980" w:val="left"/>
        </w:tabs>
        <w:numPr>
          <w:ilvl w:val="0"/>
          <w:numId w:val="38"/>
        </w:numPr>
        <w:rPr>
          <w:rFonts w:ascii="Arial" w:cs="Arial" w:eastAsia="Arial" w:hAnsi="Arial"/>
          <w:sz w:val="18"/>
          <w:szCs w:val="18"/>
          <w:color w:val="auto"/>
        </w:rPr>
      </w:pPr>
      <w:r>
        <w:rPr>
          <w:rFonts w:ascii="Arial" w:cs="Arial" w:eastAsia="Arial" w:hAnsi="Arial"/>
          <w:sz w:val="18"/>
          <w:szCs w:val="18"/>
          <w:color w:val="auto"/>
        </w:rPr>
        <w:t>Mr. Pas’s long-term incentive target was increased from $750,000 to $807,500, with the allocation among time-based and performance-based remaining unchanged at an equal weighting.</w:t>
      </w:r>
    </w:p>
    <w:p>
      <w:pPr>
        <w:spacing w:after="0" w:line="185" w:lineRule="exact"/>
        <w:rPr>
          <w:sz w:val="20"/>
          <w:szCs w:val="20"/>
          <w:color w:val="auto"/>
        </w:rPr>
      </w:pPr>
    </w:p>
    <w:p>
      <w:pPr>
        <w:ind w:left="120" w:right="460" w:firstLine="881"/>
        <w:spacing w:after="0" w:line="277" w:lineRule="auto"/>
        <w:rPr>
          <w:sz w:val="20"/>
          <w:szCs w:val="20"/>
          <w:color w:val="auto"/>
        </w:rPr>
      </w:pPr>
      <w:r>
        <w:rPr>
          <w:rFonts w:ascii="Arial" w:cs="Arial" w:eastAsia="Arial" w:hAnsi="Arial"/>
          <w:sz w:val="18"/>
          <w:szCs w:val="18"/>
          <w:color w:val="auto"/>
        </w:rPr>
        <w:t>With these changes, more than 87% of total direct target compensation for our NEOs will consist of short- and long-term incentives of which 80% is linked directly to our performance.</w:t>
      </w:r>
    </w:p>
    <w:p>
      <w:pPr>
        <w:spacing w:after="0" w:line="170" w:lineRule="exact"/>
        <w:rPr>
          <w:sz w:val="20"/>
          <w:szCs w:val="20"/>
          <w:color w:val="auto"/>
        </w:rPr>
      </w:pPr>
    </w:p>
    <w:p>
      <w:pPr>
        <w:ind w:left="120" w:right="40" w:firstLine="881"/>
        <w:spacing w:after="0" w:line="279" w:lineRule="auto"/>
        <w:rPr>
          <w:sz w:val="20"/>
          <w:szCs w:val="20"/>
          <w:color w:val="auto"/>
        </w:rPr>
      </w:pPr>
      <w:r>
        <w:rPr>
          <w:rFonts w:ascii="Arial" w:cs="Arial" w:eastAsia="Arial" w:hAnsi="Arial"/>
          <w:sz w:val="17"/>
          <w:szCs w:val="17"/>
          <w:color w:val="auto"/>
        </w:rPr>
        <w:t>The Compensation Committee also reviewed the performance measures used for the performance-based RSUs and determined it was appropriate to make the relative economic return measure more challenging by increasing each of the threshold, target, and outperformance award levels by 3.0% for 2020 awards to be reflective of the changes made to the metric for annual bonus awards. The performance award levels adopted by the Compensation Committee for performance-based RSU awards made in 2020 are set forth in the table below.</w:t>
      </w:r>
    </w:p>
    <w:p>
      <w:pPr>
        <w:spacing w:after="0" w:line="212" w:lineRule="exact"/>
        <w:rPr>
          <w:sz w:val="20"/>
          <w:szCs w:val="20"/>
          <w:color w:val="auto"/>
        </w:rPr>
      </w:pPr>
    </w:p>
    <w:tbl>
      <w:tblPr>
        <w:tblLayout w:type="fixed"/>
        <w:tblInd w:w="120" w:type="dxa"/>
        <w:tblCellMar>
          <w:top w:w="0" w:type="dxa"/>
          <w:left w:w="0" w:type="dxa"/>
          <w:bottom w:w="0" w:type="dxa"/>
          <w:right w:w="0" w:type="dxa"/>
        </w:tblCellMar>
      </w:tblPr>
      <w:tr>
        <w:trPr>
          <w:trHeight w:val="175"/>
        </w:trPr>
        <w:tc>
          <w:tcPr>
            <w:tcW w:w="516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88"/>
              </w:rPr>
              <w:t>Performance</w:t>
            </w:r>
          </w:p>
        </w:tc>
        <w:tc>
          <w:tcPr>
            <w:tcW w:w="1160" w:type="dxa"/>
            <w:vAlign w:val="bottom"/>
            <w:shd w:val="clear" w:color="auto" w:fill="407CCA"/>
          </w:tcPr>
          <w:p>
            <w:pPr>
              <w:ind w:left="500"/>
              <w:spacing w:after="0"/>
              <w:rPr>
                <w:sz w:val="20"/>
                <w:szCs w:val="20"/>
                <w:color w:val="auto"/>
              </w:rPr>
            </w:pPr>
            <w:r>
              <w:rPr>
                <w:rFonts w:ascii="Arial" w:cs="Arial" w:eastAsia="Arial" w:hAnsi="Arial"/>
                <w:sz w:val="13"/>
                <w:szCs w:val="13"/>
                <w:b w:val="1"/>
                <w:bCs w:val="1"/>
                <w:color w:val="auto"/>
              </w:rPr>
              <w:t>Metric</w:t>
            </w:r>
          </w:p>
        </w:tc>
        <w:tc>
          <w:tcPr>
            <w:tcW w:w="116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83"/>
              </w:rPr>
              <w:t>Below</w:t>
            </w:r>
          </w:p>
        </w:tc>
        <w:tc>
          <w:tcPr>
            <w:tcW w:w="1040" w:type="dxa"/>
            <w:vAlign w:val="bottom"/>
            <w:shd w:val="clear" w:color="auto" w:fill="407CCA"/>
          </w:tcPr>
          <w:p>
            <w:pPr>
              <w:spacing w:after="0"/>
              <w:rPr>
                <w:sz w:val="15"/>
                <w:szCs w:val="15"/>
                <w:color w:val="auto"/>
              </w:rPr>
            </w:pPr>
          </w:p>
        </w:tc>
        <w:tc>
          <w:tcPr>
            <w:tcW w:w="1380" w:type="dxa"/>
            <w:vAlign w:val="bottom"/>
            <w:shd w:val="clear" w:color="auto" w:fill="407CCA"/>
          </w:tcPr>
          <w:p>
            <w:pPr>
              <w:jc w:val="center"/>
              <w:ind w:left="1"/>
              <w:spacing w:after="0"/>
              <w:rPr>
                <w:sz w:val="20"/>
                <w:szCs w:val="20"/>
                <w:color w:val="auto"/>
              </w:rPr>
            </w:pPr>
            <w:r>
              <w:rPr>
                <w:rFonts w:ascii="Arial" w:cs="Arial" w:eastAsia="Arial" w:hAnsi="Arial"/>
                <w:sz w:val="13"/>
                <w:szCs w:val="13"/>
                <w:b w:val="1"/>
                <w:bCs w:val="1"/>
                <w:color w:val="auto"/>
                <w:w w:val="85"/>
              </w:rPr>
              <w:t>Base Performance</w:t>
            </w:r>
          </w:p>
        </w:tc>
        <w:tc>
          <w:tcPr>
            <w:tcW w:w="1120" w:type="dxa"/>
            <w:vAlign w:val="bottom"/>
            <w:shd w:val="clear" w:color="auto" w:fill="407CCA"/>
          </w:tcPr>
          <w:p>
            <w:pPr>
              <w:spacing w:after="0"/>
              <w:rPr>
                <w:sz w:val="15"/>
                <w:szCs w:val="15"/>
                <w:color w:val="auto"/>
              </w:rPr>
            </w:pPr>
          </w:p>
        </w:tc>
      </w:tr>
      <w:tr>
        <w:trPr>
          <w:trHeight w:val="175"/>
        </w:trPr>
        <w:tc>
          <w:tcPr>
            <w:tcW w:w="516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86"/>
              </w:rPr>
              <w:t>Variable</w:t>
            </w:r>
          </w:p>
        </w:tc>
        <w:tc>
          <w:tcPr>
            <w:tcW w:w="1160" w:type="dxa"/>
            <w:vAlign w:val="bottom"/>
            <w:shd w:val="clear" w:color="auto" w:fill="407CCA"/>
          </w:tcPr>
          <w:p>
            <w:pPr>
              <w:ind w:left="500"/>
              <w:spacing w:after="0"/>
              <w:rPr>
                <w:sz w:val="20"/>
                <w:szCs w:val="20"/>
                <w:color w:val="auto"/>
              </w:rPr>
            </w:pPr>
            <w:r>
              <w:rPr>
                <w:rFonts w:ascii="Arial" w:cs="Arial" w:eastAsia="Arial" w:hAnsi="Arial"/>
                <w:sz w:val="13"/>
                <w:szCs w:val="13"/>
                <w:b w:val="1"/>
                <w:bCs w:val="1"/>
                <w:color w:val="auto"/>
              </w:rPr>
              <w:t>Weight</w:t>
            </w:r>
          </w:p>
        </w:tc>
        <w:tc>
          <w:tcPr>
            <w:tcW w:w="116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85"/>
              </w:rPr>
              <w:t>Threshold</w:t>
            </w:r>
          </w:p>
        </w:tc>
        <w:tc>
          <w:tcPr>
            <w:tcW w:w="1040" w:type="dxa"/>
            <w:vAlign w:val="bottom"/>
            <w:shd w:val="clear" w:color="auto" w:fill="407CCA"/>
          </w:tcPr>
          <w:p>
            <w:pPr>
              <w:ind w:left="240"/>
              <w:spacing w:after="0"/>
              <w:rPr>
                <w:sz w:val="20"/>
                <w:szCs w:val="20"/>
                <w:color w:val="auto"/>
              </w:rPr>
            </w:pPr>
            <w:r>
              <w:rPr>
                <w:rFonts w:ascii="Arial" w:cs="Arial" w:eastAsia="Arial" w:hAnsi="Arial"/>
                <w:sz w:val="13"/>
                <w:szCs w:val="13"/>
                <w:b w:val="1"/>
                <w:bCs w:val="1"/>
                <w:color w:val="auto"/>
              </w:rPr>
              <w:t>Threshold</w:t>
            </w:r>
          </w:p>
        </w:tc>
        <w:tc>
          <w:tcPr>
            <w:tcW w:w="1380" w:type="dxa"/>
            <w:vAlign w:val="bottom"/>
            <w:shd w:val="clear" w:color="auto" w:fill="407CCA"/>
          </w:tcPr>
          <w:p>
            <w:pPr>
              <w:jc w:val="center"/>
              <w:ind w:left="21"/>
              <w:spacing w:after="0"/>
              <w:rPr>
                <w:sz w:val="20"/>
                <w:szCs w:val="20"/>
                <w:color w:val="auto"/>
              </w:rPr>
            </w:pPr>
            <w:r>
              <w:rPr>
                <w:rFonts w:ascii="Arial" w:cs="Arial" w:eastAsia="Arial" w:hAnsi="Arial"/>
                <w:sz w:val="13"/>
                <w:szCs w:val="13"/>
                <w:b w:val="1"/>
                <w:bCs w:val="1"/>
                <w:color w:val="auto"/>
                <w:w w:val="90"/>
              </w:rPr>
              <w:t>Target</w:t>
            </w:r>
          </w:p>
        </w:tc>
        <w:tc>
          <w:tcPr>
            <w:tcW w:w="1120" w:type="dxa"/>
            <w:vAlign w:val="bottom"/>
            <w:shd w:val="clear" w:color="auto" w:fill="407CCA"/>
          </w:tcPr>
          <w:p>
            <w:pPr>
              <w:ind w:left="160"/>
              <w:spacing w:after="0"/>
              <w:rPr>
                <w:sz w:val="20"/>
                <w:szCs w:val="20"/>
                <w:color w:val="auto"/>
              </w:rPr>
            </w:pPr>
            <w:r>
              <w:rPr>
                <w:rFonts w:ascii="Arial" w:cs="Arial" w:eastAsia="Arial" w:hAnsi="Arial"/>
                <w:sz w:val="13"/>
                <w:szCs w:val="13"/>
                <w:b w:val="1"/>
                <w:bCs w:val="1"/>
                <w:color w:val="auto"/>
                <w:w w:val="92"/>
              </w:rPr>
              <w:t>Outperformance</w:t>
            </w:r>
          </w:p>
        </w:tc>
      </w:tr>
      <w:tr>
        <w:trPr>
          <w:trHeight w:val="216"/>
        </w:trPr>
        <w:tc>
          <w:tcPr>
            <w:tcW w:w="516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0"/>
              </w:rPr>
              <w:t>Absolute Three-Year Economic Return</w:t>
            </w:r>
          </w:p>
        </w:tc>
        <w:tc>
          <w:tcPr>
            <w:tcW w:w="1160" w:type="dxa"/>
            <w:vAlign w:val="bottom"/>
            <w:shd w:val="clear" w:color="auto" w:fill="F2F2F2"/>
          </w:tcPr>
          <w:p>
            <w:pPr>
              <w:jc w:val="center"/>
              <w:ind w:left="121"/>
              <w:spacing w:after="0"/>
              <w:rPr>
                <w:sz w:val="20"/>
                <w:szCs w:val="20"/>
                <w:color w:val="auto"/>
              </w:rPr>
            </w:pPr>
            <w:r>
              <w:rPr>
                <w:rFonts w:ascii="Arial" w:cs="Arial" w:eastAsia="Arial" w:hAnsi="Arial"/>
                <w:sz w:val="18"/>
                <w:szCs w:val="18"/>
                <w:b w:val="1"/>
                <w:bCs w:val="1"/>
                <w:color w:val="auto"/>
                <w:w w:val="99"/>
              </w:rPr>
              <w:t>50%</w:t>
            </w:r>
          </w:p>
        </w:tc>
        <w:tc>
          <w:tcPr>
            <w:tcW w:w="116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8"/>
              </w:rPr>
              <w:t>&lt; 0.0%</w:t>
            </w:r>
          </w:p>
        </w:tc>
        <w:tc>
          <w:tcPr>
            <w:tcW w:w="104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rPr>
              <w:t>0.0%</w:t>
            </w:r>
          </w:p>
        </w:tc>
        <w:tc>
          <w:tcPr>
            <w:tcW w:w="1380" w:type="dxa"/>
            <w:vAlign w:val="bottom"/>
            <w:shd w:val="clear" w:color="auto" w:fill="F2F2F2"/>
          </w:tcPr>
          <w:p>
            <w:pPr>
              <w:jc w:val="center"/>
              <w:ind w:left="1"/>
              <w:spacing w:after="0"/>
              <w:rPr>
                <w:sz w:val="20"/>
                <w:szCs w:val="20"/>
                <w:color w:val="auto"/>
              </w:rPr>
            </w:pPr>
            <w:r>
              <w:rPr>
                <w:rFonts w:ascii="Arial" w:cs="Arial" w:eastAsia="Arial" w:hAnsi="Arial"/>
                <w:sz w:val="18"/>
                <w:szCs w:val="18"/>
                <w:b w:val="1"/>
                <w:bCs w:val="1"/>
                <w:color w:val="auto"/>
                <w:w w:val="97"/>
              </w:rPr>
              <w:t>30.0%</w:t>
            </w:r>
          </w:p>
        </w:tc>
        <w:tc>
          <w:tcPr>
            <w:tcW w:w="1120" w:type="dxa"/>
            <w:vAlign w:val="bottom"/>
            <w:shd w:val="clear" w:color="auto" w:fill="F2F2F2"/>
          </w:tcPr>
          <w:p>
            <w:pPr>
              <w:jc w:val="center"/>
              <w:ind w:left="17"/>
              <w:spacing w:after="0"/>
              <w:rPr>
                <w:sz w:val="20"/>
                <w:szCs w:val="20"/>
                <w:color w:val="auto"/>
              </w:rPr>
            </w:pPr>
            <w:r>
              <w:rPr>
                <w:rFonts w:ascii="Arial" w:cs="Arial" w:eastAsia="Arial" w:hAnsi="Arial"/>
                <w:sz w:val="18"/>
                <w:szCs w:val="18"/>
                <w:color w:val="auto"/>
                <w:w w:val="93"/>
              </w:rPr>
              <w:t xml:space="preserve">³ </w:t>
            </w:r>
            <w:r>
              <w:rPr>
                <w:rFonts w:ascii="Arial" w:cs="Arial" w:eastAsia="Arial" w:hAnsi="Arial"/>
                <w:sz w:val="18"/>
                <w:szCs w:val="18"/>
                <w:b w:val="1"/>
                <w:bCs w:val="1"/>
                <w:color w:val="auto"/>
                <w:w w:val="93"/>
              </w:rPr>
              <w:t>60.0%</w:t>
            </w:r>
          </w:p>
        </w:tc>
      </w:tr>
      <w:tr>
        <w:trPr>
          <w:trHeight w:val="216"/>
        </w:trPr>
        <w:tc>
          <w:tcPr>
            <w:tcW w:w="516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1"/>
              </w:rPr>
              <w:t>Relative Three-Year Economic Return</w:t>
            </w:r>
          </w:p>
        </w:tc>
        <w:tc>
          <w:tcPr>
            <w:tcW w:w="1160" w:type="dxa"/>
            <w:vAlign w:val="bottom"/>
            <w:shd w:val="clear" w:color="auto" w:fill="F2F2F2"/>
          </w:tcPr>
          <w:p>
            <w:pPr>
              <w:jc w:val="center"/>
              <w:ind w:left="121"/>
              <w:spacing w:after="0"/>
              <w:rPr>
                <w:sz w:val="20"/>
                <w:szCs w:val="20"/>
                <w:color w:val="auto"/>
              </w:rPr>
            </w:pPr>
            <w:r>
              <w:rPr>
                <w:rFonts w:ascii="Arial" w:cs="Arial" w:eastAsia="Arial" w:hAnsi="Arial"/>
                <w:sz w:val="18"/>
                <w:szCs w:val="18"/>
                <w:b w:val="1"/>
                <w:bCs w:val="1"/>
                <w:color w:val="auto"/>
                <w:w w:val="99"/>
              </w:rPr>
              <w:t>50%</w:t>
            </w:r>
          </w:p>
        </w:tc>
        <w:tc>
          <w:tcPr>
            <w:tcW w:w="116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9"/>
              </w:rPr>
              <w:t>&lt; (4.5%)</w:t>
            </w:r>
          </w:p>
        </w:tc>
        <w:tc>
          <w:tcPr>
            <w:tcW w:w="104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rPr>
              <w:t>(4.5%)</w:t>
            </w:r>
          </w:p>
        </w:tc>
        <w:tc>
          <w:tcPr>
            <w:tcW w:w="1380" w:type="dxa"/>
            <w:vAlign w:val="bottom"/>
            <w:shd w:val="clear" w:color="auto" w:fill="F2F2F2"/>
          </w:tcPr>
          <w:p>
            <w:pPr>
              <w:jc w:val="center"/>
              <w:ind w:left="21"/>
              <w:spacing w:after="0"/>
              <w:rPr>
                <w:sz w:val="20"/>
                <w:szCs w:val="20"/>
                <w:color w:val="auto"/>
              </w:rPr>
            </w:pPr>
            <w:r>
              <w:rPr>
                <w:rFonts w:ascii="Arial" w:cs="Arial" w:eastAsia="Arial" w:hAnsi="Arial"/>
                <w:sz w:val="18"/>
                <w:szCs w:val="18"/>
                <w:b w:val="1"/>
                <w:bCs w:val="1"/>
                <w:color w:val="auto"/>
                <w:w w:val="97"/>
              </w:rPr>
              <w:t>3.0%</w:t>
            </w:r>
          </w:p>
        </w:tc>
        <w:tc>
          <w:tcPr>
            <w:tcW w:w="1120" w:type="dxa"/>
            <w:vAlign w:val="bottom"/>
            <w:shd w:val="clear" w:color="auto" w:fill="F2F2F2"/>
          </w:tcPr>
          <w:p>
            <w:pPr>
              <w:jc w:val="center"/>
              <w:ind w:left="17"/>
              <w:spacing w:after="0"/>
              <w:rPr>
                <w:sz w:val="20"/>
                <w:szCs w:val="20"/>
                <w:color w:val="auto"/>
              </w:rPr>
            </w:pPr>
            <w:r>
              <w:rPr>
                <w:rFonts w:ascii="Arial" w:cs="Arial" w:eastAsia="Arial" w:hAnsi="Arial"/>
                <w:sz w:val="18"/>
                <w:szCs w:val="18"/>
                <w:color w:val="auto"/>
                <w:w w:val="93"/>
              </w:rPr>
              <w:t xml:space="preserve">³ </w:t>
            </w:r>
            <w:r>
              <w:rPr>
                <w:rFonts w:ascii="Arial" w:cs="Arial" w:eastAsia="Arial" w:hAnsi="Arial"/>
                <w:sz w:val="18"/>
                <w:szCs w:val="18"/>
                <w:b w:val="1"/>
                <w:bCs w:val="1"/>
                <w:color w:val="auto"/>
                <w:w w:val="93"/>
              </w:rPr>
              <w:t>10.5%</w:t>
            </w:r>
          </w:p>
        </w:tc>
      </w:tr>
      <w:tr>
        <w:trPr>
          <w:trHeight w:val="216"/>
        </w:trPr>
        <w:tc>
          <w:tcPr>
            <w:tcW w:w="5160" w:type="dxa"/>
            <w:vAlign w:val="bottom"/>
            <w:shd w:val="clear" w:color="auto" w:fill="789E91"/>
          </w:tcPr>
          <w:p>
            <w:pPr>
              <w:jc w:val="center"/>
              <w:spacing w:after="0"/>
              <w:rPr>
                <w:sz w:val="20"/>
                <w:szCs w:val="20"/>
                <w:color w:val="auto"/>
              </w:rPr>
            </w:pPr>
            <w:r>
              <w:rPr>
                <w:rFonts w:ascii="Arial" w:cs="Arial" w:eastAsia="Arial" w:hAnsi="Arial"/>
                <w:sz w:val="18"/>
                <w:szCs w:val="18"/>
                <w:b w:val="1"/>
                <w:bCs w:val="1"/>
                <w:color w:val="auto"/>
                <w:w w:val="90"/>
              </w:rPr>
              <w:t>Performance-Based Payout Factor</w:t>
            </w:r>
          </w:p>
        </w:tc>
        <w:tc>
          <w:tcPr>
            <w:tcW w:w="1160" w:type="dxa"/>
            <w:vAlign w:val="bottom"/>
            <w:shd w:val="clear" w:color="auto" w:fill="789E91"/>
          </w:tcPr>
          <w:p>
            <w:pPr>
              <w:jc w:val="center"/>
              <w:ind w:left="141"/>
              <w:spacing w:after="0"/>
              <w:rPr>
                <w:sz w:val="20"/>
                <w:szCs w:val="20"/>
                <w:color w:val="auto"/>
              </w:rPr>
            </w:pPr>
            <w:r>
              <w:rPr>
                <w:rFonts w:ascii="Arial" w:cs="Arial" w:eastAsia="Arial" w:hAnsi="Arial"/>
                <w:sz w:val="18"/>
                <w:szCs w:val="18"/>
                <w:b w:val="1"/>
                <w:bCs w:val="1"/>
                <w:color w:val="auto"/>
                <w:w w:val="99"/>
              </w:rPr>
              <w:t>100%</w:t>
            </w:r>
          </w:p>
        </w:tc>
        <w:tc>
          <w:tcPr>
            <w:tcW w:w="1160" w:type="dxa"/>
            <w:vAlign w:val="bottom"/>
            <w:shd w:val="clear" w:color="auto" w:fill="789E91"/>
          </w:tcPr>
          <w:p>
            <w:pPr>
              <w:jc w:val="center"/>
              <w:spacing w:after="0"/>
              <w:rPr>
                <w:sz w:val="20"/>
                <w:szCs w:val="20"/>
                <w:color w:val="auto"/>
              </w:rPr>
            </w:pPr>
            <w:r>
              <w:rPr>
                <w:rFonts w:ascii="Arial" w:cs="Arial" w:eastAsia="Arial" w:hAnsi="Arial"/>
                <w:sz w:val="18"/>
                <w:szCs w:val="18"/>
                <w:b w:val="1"/>
                <w:bCs w:val="1"/>
                <w:color w:val="auto"/>
                <w:w w:val="99"/>
              </w:rPr>
              <w:t>0%</w:t>
            </w:r>
          </w:p>
        </w:tc>
        <w:tc>
          <w:tcPr>
            <w:tcW w:w="1040" w:type="dxa"/>
            <w:vAlign w:val="bottom"/>
            <w:shd w:val="clear" w:color="auto" w:fill="789E91"/>
          </w:tcPr>
          <w:p>
            <w:pPr>
              <w:jc w:val="center"/>
              <w:spacing w:after="0"/>
              <w:rPr>
                <w:sz w:val="20"/>
                <w:szCs w:val="20"/>
                <w:color w:val="auto"/>
              </w:rPr>
            </w:pPr>
            <w:r>
              <w:rPr>
                <w:rFonts w:ascii="Arial" w:cs="Arial" w:eastAsia="Arial" w:hAnsi="Arial"/>
                <w:sz w:val="18"/>
                <w:szCs w:val="18"/>
                <w:b w:val="1"/>
                <w:bCs w:val="1"/>
                <w:color w:val="auto"/>
                <w:w w:val="99"/>
              </w:rPr>
              <w:t>0%</w:t>
            </w:r>
          </w:p>
        </w:tc>
        <w:tc>
          <w:tcPr>
            <w:tcW w:w="1380" w:type="dxa"/>
            <w:vAlign w:val="bottom"/>
            <w:shd w:val="clear" w:color="auto" w:fill="789E91"/>
          </w:tcPr>
          <w:p>
            <w:pPr>
              <w:jc w:val="center"/>
              <w:ind w:left="21"/>
              <w:spacing w:after="0"/>
              <w:rPr>
                <w:sz w:val="20"/>
                <w:szCs w:val="20"/>
                <w:color w:val="auto"/>
              </w:rPr>
            </w:pPr>
            <w:r>
              <w:rPr>
                <w:rFonts w:ascii="Arial" w:cs="Arial" w:eastAsia="Arial" w:hAnsi="Arial"/>
                <w:sz w:val="18"/>
                <w:szCs w:val="18"/>
                <w:b w:val="1"/>
                <w:bCs w:val="1"/>
                <w:color w:val="auto"/>
                <w:w w:val="95"/>
              </w:rPr>
              <w:t>100%</w:t>
            </w:r>
          </w:p>
        </w:tc>
        <w:tc>
          <w:tcPr>
            <w:tcW w:w="1120" w:type="dxa"/>
            <w:vAlign w:val="bottom"/>
            <w:shd w:val="clear" w:color="auto" w:fill="789E91"/>
          </w:tcPr>
          <w:p>
            <w:pPr>
              <w:jc w:val="center"/>
              <w:ind w:left="17"/>
              <w:spacing w:after="0"/>
              <w:rPr>
                <w:sz w:val="20"/>
                <w:szCs w:val="20"/>
                <w:color w:val="auto"/>
              </w:rPr>
            </w:pPr>
            <w:r>
              <w:rPr>
                <w:rFonts w:ascii="Arial" w:cs="Arial" w:eastAsia="Arial" w:hAnsi="Arial"/>
                <w:sz w:val="18"/>
                <w:szCs w:val="18"/>
                <w:b w:val="1"/>
                <w:bCs w:val="1"/>
                <w:color w:val="auto"/>
                <w:w w:val="99"/>
              </w:rPr>
              <w:t>200%</w:t>
            </w:r>
          </w:p>
        </w:tc>
      </w:tr>
    </w:tbl>
    <w:p>
      <w:pPr>
        <w:spacing w:after="0" w:line="202"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2017 Performance-Based Restricted Stock Unit Awards</w:t>
      </w:r>
    </w:p>
    <w:p>
      <w:pPr>
        <w:spacing w:after="0" w:line="117" w:lineRule="exact"/>
        <w:rPr>
          <w:sz w:val="20"/>
          <w:szCs w:val="20"/>
          <w:color w:val="auto"/>
        </w:rPr>
      </w:pPr>
    </w:p>
    <w:p>
      <w:pPr>
        <w:ind w:left="1000"/>
        <w:spacing w:after="0"/>
        <w:rPr>
          <w:sz w:val="20"/>
          <w:szCs w:val="20"/>
          <w:color w:val="auto"/>
        </w:rPr>
      </w:pPr>
      <w:r>
        <w:rPr>
          <w:rFonts w:ascii="Arial" w:cs="Arial" w:eastAsia="Arial" w:hAnsi="Arial"/>
          <w:sz w:val="17"/>
          <w:szCs w:val="17"/>
          <w:color w:val="auto"/>
        </w:rPr>
        <w:t>The three-year performance period for the performance-based RSU awards made to our NEOs in March 2017 was completed on</w:t>
      </w:r>
    </w:p>
    <w:p>
      <w:pPr>
        <w:spacing w:after="0" w:line="35" w:lineRule="exact"/>
        <w:rPr>
          <w:sz w:val="20"/>
          <w:szCs w:val="20"/>
          <w:color w:val="auto"/>
        </w:rPr>
      </w:pPr>
    </w:p>
    <w:p>
      <w:pPr>
        <w:ind w:left="120"/>
        <w:spacing w:after="0"/>
        <w:rPr>
          <w:sz w:val="20"/>
          <w:szCs w:val="20"/>
          <w:color w:val="auto"/>
        </w:rPr>
      </w:pPr>
      <w:r>
        <w:rPr>
          <w:rFonts w:ascii="Arial" w:cs="Arial" w:eastAsia="Arial" w:hAnsi="Arial"/>
          <w:sz w:val="16"/>
          <w:szCs w:val="16"/>
          <w:color w:val="auto"/>
        </w:rPr>
        <w:t>December 31, 2019. The performance calculations included absolute economic return measured from December 31, 2016 through December 31, 2019</w:t>
      </w:r>
    </w:p>
    <w:p>
      <w:pPr>
        <w:spacing w:after="0" w:line="32" w:lineRule="exact"/>
        <w:rPr>
          <w:sz w:val="20"/>
          <w:szCs w:val="20"/>
          <w:color w:val="auto"/>
        </w:rPr>
      </w:pPr>
    </w:p>
    <w:p>
      <w:pPr>
        <w:ind w:left="120"/>
        <w:spacing w:after="0"/>
        <w:rPr>
          <w:sz w:val="20"/>
          <w:szCs w:val="20"/>
          <w:color w:val="auto"/>
        </w:rPr>
      </w:pPr>
      <w:r>
        <w:rPr>
          <w:rFonts w:ascii="Arial" w:cs="Arial" w:eastAsia="Arial" w:hAnsi="Arial"/>
          <w:sz w:val="17"/>
          <w:szCs w:val="17"/>
          <w:color w:val="auto"/>
        </w:rPr>
        <w:t>and relative economic return as compared to an Agency mortgage REIT peer group determined at the time of the grant and measured from</w:t>
      </w:r>
    </w:p>
    <w:p>
      <w:pPr>
        <w:spacing w:after="0" w:line="21" w:lineRule="exact"/>
        <w:rPr>
          <w:sz w:val="20"/>
          <w:szCs w:val="20"/>
          <w:color w:val="auto"/>
        </w:rPr>
      </w:pPr>
    </w:p>
    <w:p>
      <w:pPr>
        <w:ind w:left="120"/>
        <w:spacing w:after="0"/>
        <w:rPr>
          <w:sz w:val="20"/>
          <w:szCs w:val="20"/>
          <w:color w:val="auto"/>
        </w:rPr>
      </w:pPr>
      <w:r>
        <w:rPr>
          <w:rFonts w:ascii="Arial" w:cs="Arial" w:eastAsia="Arial" w:hAnsi="Arial"/>
          <w:sz w:val="16"/>
          <w:szCs w:val="16"/>
          <w:color w:val="auto"/>
        </w:rPr>
        <w:t>September 30, 2016 through September 30, 2019. AGNC generated an absolute economic return of +23.0% and relative economic return of +11.1% for</w:t>
      </w:r>
    </w:p>
    <w:p>
      <w:pPr>
        <w:spacing w:after="0" w:line="32" w:lineRule="exact"/>
        <w:rPr>
          <w:sz w:val="20"/>
          <w:szCs w:val="20"/>
          <w:color w:val="auto"/>
        </w:rPr>
      </w:pPr>
    </w:p>
    <w:p>
      <w:pPr>
        <w:ind w:left="120"/>
        <w:spacing w:after="0"/>
        <w:rPr>
          <w:sz w:val="20"/>
          <w:szCs w:val="20"/>
          <w:color w:val="auto"/>
        </w:rPr>
      </w:pPr>
      <w:r>
        <w:rPr>
          <w:rFonts w:ascii="Arial" w:cs="Arial" w:eastAsia="Arial" w:hAnsi="Arial"/>
          <w:sz w:val="16"/>
          <w:szCs w:val="16"/>
          <w:color w:val="auto"/>
        </w:rPr>
        <w:t>the respective measurement periods, resulting in a vesting factor of 138.3% of the target number of shares for the 2017 performance-based RSUs, as</w:t>
      </w:r>
    </w:p>
    <w:p>
      <w:pPr>
        <w:spacing w:after="0" w:line="32" w:lineRule="exact"/>
        <w:rPr>
          <w:sz w:val="20"/>
          <w:szCs w:val="20"/>
          <w:color w:val="auto"/>
        </w:rPr>
      </w:pPr>
    </w:p>
    <w:p>
      <w:pPr>
        <w:ind w:left="120"/>
        <w:spacing w:after="0"/>
        <w:rPr>
          <w:sz w:val="20"/>
          <w:szCs w:val="20"/>
          <w:color w:val="auto"/>
        </w:rPr>
      </w:pPr>
      <w:r>
        <w:rPr>
          <w:rFonts w:ascii="Arial" w:cs="Arial" w:eastAsia="Arial" w:hAnsi="Arial"/>
          <w:sz w:val="16"/>
          <w:szCs w:val="16"/>
          <w:color w:val="auto"/>
        </w:rPr>
        <w:t>validated by the Compensation Committee. Unless deferred by the NEO, distribution of shares in settlement of these awards will occur on March 15,</w:t>
      </w:r>
    </w:p>
    <w:p>
      <w:pPr>
        <w:spacing w:after="0" w:line="32" w:lineRule="exact"/>
        <w:rPr>
          <w:sz w:val="20"/>
          <w:szCs w:val="20"/>
          <w:color w:val="auto"/>
        </w:rPr>
      </w:pPr>
    </w:p>
    <w:p>
      <w:pPr>
        <w:ind w:left="120"/>
        <w:spacing w:after="0"/>
        <w:rPr>
          <w:sz w:val="20"/>
          <w:szCs w:val="20"/>
          <w:color w:val="auto"/>
        </w:rPr>
      </w:pPr>
      <w:r>
        <w:rPr>
          <w:rFonts w:ascii="Arial" w:cs="Arial" w:eastAsia="Arial" w:hAnsi="Arial"/>
          <w:sz w:val="18"/>
          <w:szCs w:val="18"/>
          <w:color w:val="auto"/>
        </w:rPr>
        <w:t>2020, provided that the recipient remains employed by the Company on that date. The diagram below includes the performance</w:t>
      </w:r>
    </w:p>
    <w:p>
      <w:pPr>
        <w:spacing w:after="0" w:line="139"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52</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40"/>
          </w:cols>
          <w:pgMar w:left="320" w:top="459" w:right="439" w:bottom="1440" w:gutter="0" w:footer="0" w:header="0"/>
        </w:sectPr>
      </w:pPr>
    </w:p>
    <w:bookmarkStart w:id="65" w:name="page66"/>
    <w:bookmarkEnd w:id="6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5">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9180"/>
        <w:spacing w:after="0"/>
        <w:rPr>
          <w:sz w:val="20"/>
          <w:szCs w:val="20"/>
          <w:color w:val="auto"/>
        </w:rPr>
      </w:pPr>
      <w:r>
        <w:rPr>
          <w:rFonts w:ascii="Arial" w:cs="Arial" w:eastAsia="Arial" w:hAnsi="Arial"/>
          <w:sz w:val="13"/>
          <w:szCs w:val="13"/>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28575</wp:posOffset>
            </wp:positionV>
            <wp:extent cx="6995160" cy="825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6">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99" w:lineRule="exact"/>
        <w:rPr>
          <w:sz w:val="20"/>
          <w:szCs w:val="20"/>
          <w:color w:val="auto"/>
        </w:rPr>
      </w:pPr>
    </w:p>
    <w:p>
      <w:pPr>
        <w:ind w:left="120" w:right="180"/>
        <w:spacing w:after="0" w:line="263" w:lineRule="auto"/>
        <w:rPr>
          <w:sz w:val="20"/>
          <w:szCs w:val="20"/>
          <w:color w:val="auto"/>
        </w:rPr>
      </w:pPr>
      <w:r>
        <w:rPr>
          <w:rFonts w:ascii="Arial" w:cs="Arial" w:eastAsia="Arial" w:hAnsi="Arial"/>
          <w:sz w:val="18"/>
          <w:szCs w:val="18"/>
          <w:color w:val="auto"/>
        </w:rPr>
        <w:t>targets and details the performance calculations for these awards. Additional details regarding these RSUs are provided in the Outstanding Equity Awards table on page 63 of this proxy statement. These measures were established in 2017 based on then anticipated ranges of performance deemed to be appropriately challenging based on the Committee’s analyses, including back-testing.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982345</wp:posOffset>
            </wp:positionH>
            <wp:positionV relativeFrom="paragraph">
              <wp:posOffset>142875</wp:posOffset>
            </wp:positionV>
            <wp:extent cx="5186045" cy="214312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7">
                      <a:extLst>
                        <a:ext uri="{28A0092B-C50C-407E-A947-70E740481C1C}"/>
                      </a:extLst>
                    </a:blip>
                    <a:srcRect/>
                    <a:stretch>
                      <a:fillRect/>
                    </a:stretch>
                  </pic:blipFill>
                  <pic:spPr bwMode="auto">
                    <a:xfrm>
                      <a:off x="0" y="0"/>
                      <a:ext cx="5186045" cy="21431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2"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Savings and Health and Welfare Benefits</w:t>
      </w:r>
    </w:p>
    <w:p>
      <w:pPr>
        <w:spacing w:after="0" w:line="117" w:lineRule="exact"/>
        <w:rPr>
          <w:sz w:val="20"/>
          <w:szCs w:val="20"/>
          <w:color w:val="auto"/>
        </w:rPr>
      </w:pPr>
    </w:p>
    <w:p>
      <w:pPr>
        <w:ind w:left="120" w:right="60" w:firstLine="881"/>
        <w:spacing w:after="0" w:line="257" w:lineRule="auto"/>
        <w:rPr>
          <w:sz w:val="20"/>
          <w:szCs w:val="20"/>
          <w:color w:val="auto"/>
        </w:rPr>
      </w:pPr>
      <w:r>
        <w:rPr>
          <w:rFonts w:ascii="Arial" w:cs="Arial" w:eastAsia="Arial" w:hAnsi="Arial"/>
          <w:sz w:val="18"/>
          <w:szCs w:val="18"/>
          <w:color w:val="auto"/>
        </w:rPr>
        <w:t>Our executive officers participate in a broad-based 401(k) retirement savings plan generally applicable to all our employees, which includes an opportunity to receive employer matching contributions. We do not currently provide for pension plans, supplemental retirement plans, or deferred compensation plans (other than the ability to elect to defer payments of long-term incentive awards) for our executive officers. In addition, all of our executive officers also participate in medical, dental, vision, disability, life and long-term care insurance, and qualified transportation benefits that are provided generally to our employees.</w:t>
      </w:r>
    </w:p>
    <w:p>
      <w:pPr>
        <w:spacing w:after="0" w:line="188"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Perquisites and Other Personal Benefits</w:t>
      </w:r>
    </w:p>
    <w:p>
      <w:pPr>
        <w:spacing w:after="0" w:line="117" w:lineRule="exact"/>
        <w:rPr>
          <w:sz w:val="20"/>
          <w:szCs w:val="20"/>
          <w:color w:val="auto"/>
        </w:rPr>
      </w:pPr>
    </w:p>
    <w:p>
      <w:pPr>
        <w:ind w:left="120" w:right="160" w:firstLine="881"/>
        <w:spacing w:after="0" w:line="277" w:lineRule="auto"/>
        <w:rPr>
          <w:sz w:val="20"/>
          <w:szCs w:val="20"/>
          <w:color w:val="auto"/>
        </w:rPr>
      </w:pPr>
      <w:r>
        <w:rPr>
          <w:rFonts w:ascii="Arial" w:cs="Arial" w:eastAsia="Arial" w:hAnsi="Arial"/>
          <w:sz w:val="18"/>
          <w:szCs w:val="18"/>
          <w:color w:val="auto"/>
        </w:rPr>
        <w:t>We do not believe our executive officers should receive special perquisites and benefits and do not currently provide our executive officers with any perquisites or other personal benefits that are not available on a non-discriminatory basis to all employees.</w:t>
      </w:r>
    </w:p>
    <w:p>
      <w:pPr>
        <w:spacing w:after="0" w:line="274"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Compensation Decision Process</w:t>
      </w:r>
    </w:p>
    <w:p>
      <w:pPr>
        <w:spacing w:after="0" w:line="121"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Compensation Comparator Group</w:t>
      </w:r>
    </w:p>
    <w:p>
      <w:pPr>
        <w:spacing w:after="0" w:line="117" w:lineRule="exact"/>
        <w:rPr>
          <w:sz w:val="20"/>
          <w:szCs w:val="20"/>
          <w:color w:val="auto"/>
        </w:rPr>
      </w:pPr>
    </w:p>
    <w:p>
      <w:pPr>
        <w:ind w:left="120" w:right="160" w:firstLine="881"/>
        <w:spacing w:after="0" w:line="263" w:lineRule="auto"/>
        <w:rPr>
          <w:sz w:val="20"/>
          <w:szCs w:val="20"/>
          <w:color w:val="auto"/>
        </w:rPr>
      </w:pPr>
      <w:r>
        <w:rPr>
          <w:rFonts w:ascii="Arial" w:cs="Arial" w:eastAsia="Arial" w:hAnsi="Arial"/>
          <w:sz w:val="18"/>
          <w:szCs w:val="18"/>
          <w:color w:val="auto"/>
        </w:rPr>
        <w:t>AGNC’s internal management structure, size and scale relative to residential mortgage REITs, and our Agency mortgage-backed securities investment focus are significant differentiators relative to other potential comparative public companies and have made identifying a peer group for AGNC challenging.</w:t>
      </w:r>
    </w:p>
    <w:p>
      <w:pPr>
        <w:spacing w:after="0" w:line="89" w:lineRule="exact"/>
        <w:rPr>
          <w:sz w:val="20"/>
          <w:szCs w:val="20"/>
          <w:color w:val="auto"/>
        </w:rPr>
      </w:pPr>
    </w:p>
    <w:p>
      <w:pPr>
        <w:ind w:left="980" w:right="220" w:hanging="432"/>
        <w:spacing w:after="0" w:line="279" w:lineRule="auto"/>
        <w:tabs>
          <w:tab w:leader="none" w:pos="980" w:val="left"/>
        </w:tabs>
        <w:numPr>
          <w:ilvl w:val="0"/>
          <w:numId w:val="39"/>
        </w:numPr>
        <w:rPr>
          <w:rFonts w:ascii="Arial" w:cs="Arial" w:eastAsia="Arial" w:hAnsi="Arial"/>
          <w:sz w:val="17"/>
          <w:szCs w:val="17"/>
          <w:color w:val="auto"/>
        </w:rPr>
      </w:pPr>
      <w:r>
        <w:rPr>
          <w:rFonts w:ascii="Arial" w:cs="Arial" w:eastAsia="Arial" w:hAnsi="Arial"/>
          <w:sz w:val="17"/>
          <w:szCs w:val="17"/>
          <w:color w:val="auto"/>
        </w:rPr>
        <w:t>Of the 20 REITs in the Resi mREIT Universe, only seven are internally-managed. This means that compensation data is available and that the REIT is directly responsible for determining executive compensation at only seven of the 20. The other 13 REITs in this index are externally-managed, pay a third-party a management fee as a set percentage of equity in lieu of compensating employees directly, and provide only limited information, if any, regarding compensation paid to individual NEOs.</w:t>
      </w:r>
    </w:p>
    <w:p>
      <w:pPr>
        <w:spacing w:after="0" w:line="99" w:lineRule="exact"/>
        <w:rPr>
          <w:sz w:val="20"/>
          <w:szCs w:val="20"/>
          <w:color w:val="auto"/>
        </w:rPr>
      </w:pPr>
    </w:p>
    <w:p>
      <w:pPr>
        <w:ind w:left="7960"/>
        <w:spacing w:after="0"/>
        <w:tabs>
          <w:tab w:leader="none" w:pos="109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53</w:t>
      </w:r>
    </w:p>
    <w:p>
      <w:pPr>
        <w:sectPr>
          <w:pgSz w:w="11900" w:h="16838" w:orient="portrait"/>
          <w:cols w:equalWidth="0" w:num="1">
            <w:col w:w="11140"/>
          </w:cols>
          <w:pgMar w:left="320" w:top="459" w:right="439" w:bottom="1440" w:gutter="0" w:footer="0" w:header="0"/>
        </w:sectPr>
      </w:pPr>
    </w:p>
    <w:bookmarkStart w:id="66" w:name="page67"/>
    <w:bookmarkEnd w:id="6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8">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9">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980" w:right="280" w:hanging="432"/>
        <w:spacing w:after="0" w:line="254" w:lineRule="auto"/>
        <w:tabs>
          <w:tab w:leader="none" w:pos="980" w:val="left"/>
        </w:tabs>
        <w:numPr>
          <w:ilvl w:val="0"/>
          <w:numId w:val="40"/>
        </w:numPr>
        <w:rPr>
          <w:rFonts w:ascii="Arial" w:cs="Arial" w:eastAsia="Arial" w:hAnsi="Arial"/>
          <w:sz w:val="18"/>
          <w:szCs w:val="18"/>
          <w:color w:val="auto"/>
        </w:rPr>
      </w:pPr>
      <w:r>
        <w:rPr>
          <w:rFonts w:ascii="Arial" w:cs="Arial" w:eastAsia="Arial" w:hAnsi="Arial"/>
          <w:sz w:val="18"/>
          <w:szCs w:val="18"/>
          <w:color w:val="auto"/>
        </w:rPr>
        <w:t>Within the Resi mREIT Universe, AGNC is the largest internally-managed residential mortgage REIT and the second largest residential mortgage REIT by most meaningful financial measures including market capitalization, total assets, and total equity. AGNC is more than two and a half times larger than the next largest internally-managed residential mortgage REIT, based on total market capitalization as of December 31, 2019.</w:t>
      </w:r>
    </w:p>
    <w:p>
      <w:pPr>
        <w:spacing w:after="0" w:line="2" w:lineRule="exact"/>
        <w:rPr>
          <w:rFonts w:ascii="Arial" w:cs="Arial" w:eastAsia="Arial" w:hAnsi="Arial"/>
          <w:sz w:val="18"/>
          <w:szCs w:val="18"/>
          <w:color w:val="auto"/>
        </w:rPr>
      </w:pPr>
    </w:p>
    <w:p>
      <w:pPr>
        <w:ind w:left="980" w:right="460" w:hanging="432"/>
        <w:spacing w:after="0" w:line="260" w:lineRule="auto"/>
        <w:tabs>
          <w:tab w:leader="none" w:pos="980" w:val="left"/>
        </w:tabs>
        <w:numPr>
          <w:ilvl w:val="0"/>
          <w:numId w:val="40"/>
        </w:numPr>
        <w:rPr>
          <w:rFonts w:ascii="Arial" w:cs="Arial" w:eastAsia="Arial" w:hAnsi="Arial"/>
          <w:sz w:val="18"/>
          <w:szCs w:val="18"/>
          <w:color w:val="auto"/>
        </w:rPr>
      </w:pPr>
      <w:r>
        <w:rPr>
          <w:rFonts w:ascii="Arial" w:cs="Arial" w:eastAsia="Arial" w:hAnsi="Arial"/>
          <w:sz w:val="18"/>
          <w:szCs w:val="18"/>
          <w:color w:val="auto"/>
        </w:rPr>
        <w:t>Our CEO is our Chief Investment Officer and acts as our portfolio manager; as a result, the most comparable positions are hedge fund, trading desk, and portfolio managers whose pay is not public and is typically very high.</w:t>
      </w:r>
    </w:p>
    <w:p>
      <w:pPr>
        <w:spacing w:after="0" w:line="185" w:lineRule="exact"/>
        <w:rPr>
          <w:sz w:val="20"/>
          <w:szCs w:val="20"/>
          <w:color w:val="auto"/>
        </w:rPr>
      </w:pPr>
    </w:p>
    <w:p>
      <w:pPr>
        <w:ind w:left="120" w:right="60" w:firstLine="881"/>
        <w:spacing w:after="0" w:line="272" w:lineRule="auto"/>
        <w:rPr>
          <w:sz w:val="20"/>
          <w:szCs w:val="20"/>
          <w:color w:val="auto"/>
        </w:rPr>
      </w:pPr>
      <w:r>
        <w:rPr>
          <w:rFonts w:ascii="Arial" w:cs="Arial" w:eastAsia="Arial" w:hAnsi="Arial"/>
          <w:sz w:val="17"/>
          <w:szCs w:val="17"/>
          <w:color w:val="auto"/>
        </w:rPr>
        <w:t>As a result, the Compensation Committee has not adopted a policy to benchmark compensation levels against comparative companies, as we believe that our internal management structure combined with our size and scale relative to other mortgage REITs significantly differentiates us. However, the Compensation Committee, with the assistance of FW Cook, reviews compensation levels and practices at various financial services companies. In 2019, the Compensation Committee reviewed the compensation practices at 18 companies, including six internally-managed publicly-traded mortgage REITs and 12 publicly-traded asset management companies and non-bank financial services companies. The Compensation Committee determined the highly specialized and unique skill sets required of executives of these industries are most comparable to those required of AGNC’s NEOs, though none are an exact match for our Company.</w:t>
      </w:r>
    </w:p>
    <w:p>
      <w:pPr>
        <w:spacing w:after="0" w:line="199" w:lineRule="exact"/>
        <w:rPr>
          <w:sz w:val="20"/>
          <w:szCs w:val="20"/>
          <w:color w:val="auto"/>
        </w:rPr>
      </w:pPr>
    </w:p>
    <w:tbl>
      <w:tblPr>
        <w:tblLayout w:type="fixed"/>
        <w:tblInd w:w="120" w:type="dxa"/>
        <w:tblCellMar>
          <w:top w:w="0" w:type="dxa"/>
          <w:left w:w="0" w:type="dxa"/>
          <w:bottom w:w="0" w:type="dxa"/>
          <w:right w:w="0" w:type="dxa"/>
        </w:tblCellMar>
      </w:tblPr>
      <w:tr>
        <w:trPr>
          <w:trHeight w:val="229"/>
        </w:trPr>
        <w:tc>
          <w:tcPr>
            <w:tcW w:w="4060" w:type="dxa"/>
            <w:vAlign w:val="bottom"/>
            <w:tcBorders>
              <w:top w:val="single" w:sz="8" w:color="407CCA"/>
              <w:bottom w:val="single" w:sz="8" w:color="407CCA"/>
            </w:tcBorders>
          </w:tcPr>
          <w:p>
            <w:pPr>
              <w:ind w:left="80"/>
              <w:spacing w:after="0"/>
              <w:rPr>
                <w:sz w:val="20"/>
                <w:szCs w:val="20"/>
                <w:color w:val="auto"/>
              </w:rPr>
            </w:pPr>
            <w:r>
              <w:rPr>
                <w:rFonts w:ascii="Arial" w:cs="Arial" w:eastAsia="Arial" w:hAnsi="Arial"/>
                <w:sz w:val="18"/>
                <w:szCs w:val="18"/>
                <w:b w:val="1"/>
                <w:bCs w:val="1"/>
                <w:color w:val="auto"/>
              </w:rPr>
              <w:t>Mortgage REITs:</w:t>
            </w:r>
          </w:p>
        </w:tc>
        <w:tc>
          <w:tcPr>
            <w:tcW w:w="6960" w:type="dxa"/>
            <w:vAlign w:val="bottom"/>
            <w:tcBorders>
              <w:top w:val="single" w:sz="8" w:color="407CCA"/>
              <w:bottom w:val="single" w:sz="8" w:color="407CCA"/>
            </w:tcBorders>
          </w:tcPr>
          <w:p>
            <w:pPr>
              <w:ind w:left="900"/>
              <w:spacing w:after="0"/>
              <w:rPr>
                <w:sz w:val="20"/>
                <w:szCs w:val="20"/>
                <w:color w:val="auto"/>
              </w:rPr>
            </w:pPr>
            <w:r>
              <w:rPr>
                <w:rFonts w:ascii="Arial" w:cs="Arial" w:eastAsia="Arial" w:hAnsi="Arial"/>
                <w:sz w:val="18"/>
                <w:szCs w:val="18"/>
                <w:b w:val="1"/>
                <w:bCs w:val="1"/>
                <w:color w:val="auto"/>
              </w:rPr>
              <w:t>Asset Management and Financial Services Companies:</w:t>
            </w:r>
          </w:p>
        </w:tc>
      </w:tr>
      <w:tr>
        <w:trPr>
          <w:trHeight w:val="195"/>
        </w:trPr>
        <w:tc>
          <w:tcPr>
            <w:tcW w:w="4060" w:type="dxa"/>
            <w:vAlign w:val="bottom"/>
          </w:tcPr>
          <w:p>
            <w:pPr>
              <w:ind w:left="80"/>
              <w:spacing w:after="0" w:line="195" w:lineRule="exact"/>
              <w:rPr>
                <w:sz w:val="20"/>
                <w:szCs w:val="20"/>
                <w:color w:val="auto"/>
              </w:rPr>
            </w:pPr>
            <w:r>
              <w:rPr>
                <w:rFonts w:ascii="Arial" w:cs="Arial" w:eastAsia="Arial" w:hAnsi="Arial"/>
                <w:sz w:val="18"/>
                <w:szCs w:val="18"/>
                <w:color w:val="auto"/>
              </w:rPr>
              <w:t>Arbor Realty Trust, Inc.</w:t>
            </w:r>
          </w:p>
        </w:tc>
        <w:tc>
          <w:tcPr>
            <w:tcW w:w="6960" w:type="dxa"/>
            <w:vAlign w:val="bottom"/>
          </w:tcPr>
          <w:p>
            <w:pPr>
              <w:ind w:left="900"/>
              <w:spacing w:after="0" w:line="195" w:lineRule="exact"/>
              <w:rPr>
                <w:sz w:val="20"/>
                <w:szCs w:val="20"/>
                <w:color w:val="auto"/>
              </w:rPr>
            </w:pPr>
            <w:r>
              <w:rPr>
                <w:rFonts w:ascii="Arial" w:cs="Arial" w:eastAsia="Arial" w:hAnsi="Arial"/>
                <w:sz w:val="18"/>
                <w:szCs w:val="18"/>
                <w:color w:val="auto"/>
              </w:rPr>
              <w:t>Affiliated Managers Group, Inc.</w:t>
            </w:r>
          </w:p>
        </w:tc>
      </w:tr>
      <w:tr>
        <w:trPr>
          <w:trHeight w:val="216"/>
        </w:trPr>
        <w:tc>
          <w:tcPr>
            <w:tcW w:w="4060" w:type="dxa"/>
            <w:vAlign w:val="bottom"/>
          </w:tcPr>
          <w:p>
            <w:pPr>
              <w:ind w:left="80"/>
              <w:spacing w:after="0"/>
              <w:rPr>
                <w:sz w:val="20"/>
                <w:szCs w:val="20"/>
                <w:color w:val="auto"/>
              </w:rPr>
            </w:pPr>
            <w:r>
              <w:rPr>
                <w:rFonts w:ascii="Arial" w:cs="Arial" w:eastAsia="Arial" w:hAnsi="Arial"/>
                <w:sz w:val="18"/>
                <w:szCs w:val="18"/>
                <w:color w:val="auto"/>
              </w:rPr>
              <w:t>Chimera Investment Corporation</w:t>
            </w:r>
          </w:p>
        </w:tc>
        <w:tc>
          <w:tcPr>
            <w:tcW w:w="6960" w:type="dxa"/>
            <w:vAlign w:val="bottom"/>
          </w:tcPr>
          <w:p>
            <w:pPr>
              <w:ind w:left="900"/>
              <w:spacing w:after="0"/>
              <w:rPr>
                <w:sz w:val="20"/>
                <w:szCs w:val="20"/>
                <w:color w:val="auto"/>
              </w:rPr>
            </w:pPr>
            <w:r>
              <w:rPr>
                <w:rFonts w:ascii="Arial" w:cs="Arial" w:eastAsia="Arial" w:hAnsi="Arial"/>
                <w:sz w:val="18"/>
                <w:szCs w:val="18"/>
                <w:color w:val="auto"/>
              </w:rPr>
              <w:t>AllianceBernstein Holding L.P.</w:t>
            </w:r>
          </w:p>
        </w:tc>
      </w:tr>
      <w:tr>
        <w:trPr>
          <w:trHeight w:val="229"/>
        </w:trPr>
        <w:tc>
          <w:tcPr>
            <w:tcW w:w="4060" w:type="dxa"/>
            <w:vAlign w:val="bottom"/>
          </w:tcPr>
          <w:p>
            <w:pPr>
              <w:ind w:left="80"/>
              <w:spacing w:after="0"/>
              <w:rPr>
                <w:sz w:val="20"/>
                <w:szCs w:val="20"/>
                <w:color w:val="auto"/>
              </w:rPr>
            </w:pPr>
            <w:r>
              <w:rPr>
                <w:rFonts w:ascii="Arial" w:cs="Arial" w:eastAsia="Arial" w:hAnsi="Arial"/>
                <w:sz w:val="18"/>
                <w:szCs w:val="18"/>
                <w:color w:val="auto"/>
              </w:rPr>
              <w:t>Colony Capital, Inc.</w:t>
            </w:r>
          </w:p>
        </w:tc>
        <w:tc>
          <w:tcPr>
            <w:tcW w:w="6960" w:type="dxa"/>
            <w:vAlign w:val="bottom"/>
          </w:tcPr>
          <w:p>
            <w:pPr>
              <w:ind w:left="900"/>
              <w:spacing w:after="0"/>
              <w:rPr>
                <w:sz w:val="20"/>
                <w:szCs w:val="20"/>
                <w:color w:val="auto"/>
              </w:rPr>
            </w:pPr>
            <w:r>
              <w:rPr>
                <w:rFonts w:ascii="Arial" w:cs="Arial" w:eastAsia="Arial" w:hAnsi="Arial"/>
                <w:sz w:val="18"/>
                <w:szCs w:val="18"/>
                <w:color w:val="auto"/>
              </w:rPr>
              <w:t>Ameriprise Financial, Inc.</w:t>
            </w:r>
          </w:p>
        </w:tc>
      </w:tr>
      <w:tr>
        <w:trPr>
          <w:trHeight w:val="216"/>
        </w:trPr>
        <w:tc>
          <w:tcPr>
            <w:tcW w:w="4060" w:type="dxa"/>
            <w:vAlign w:val="bottom"/>
          </w:tcPr>
          <w:p>
            <w:pPr>
              <w:ind w:left="80"/>
              <w:spacing w:after="0"/>
              <w:rPr>
                <w:sz w:val="20"/>
                <w:szCs w:val="20"/>
                <w:color w:val="auto"/>
              </w:rPr>
            </w:pPr>
            <w:r>
              <w:rPr>
                <w:rFonts w:ascii="Arial" w:cs="Arial" w:eastAsia="Arial" w:hAnsi="Arial"/>
                <w:sz w:val="18"/>
                <w:szCs w:val="18"/>
                <w:color w:val="auto"/>
              </w:rPr>
              <w:t>Ladder Capital Corp.</w:t>
            </w:r>
          </w:p>
        </w:tc>
        <w:tc>
          <w:tcPr>
            <w:tcW w:w="6960" w:type="dxa"/>
            <w:vAlign w:val="bottom"/>
          </w:tcPr>
          <w:p>
            <w:pPr>
              <w:ind w:left="900"/>
              <w:spacing w:after="0"/>
              <w:rPr>
                <w:sz w:val="20"/>
                <w:szCs w:val="20"/>
                <w:color w:val="auto"/>
              </w:rPr>
            </w:pPr>
            <w:r>
              <w:rPr>
                <w:rFonts w:ascii="Arial" w:cs="Arial" w:eastAsia="Arial" w:hAnsi="Arial"/>
                <w:sz w:val="18"/>
                <w:szCs w:val="18"/>
                <w:color w:val="auto"/>
              </w:rPr>
              <w:t>Apollo Global Management LLC</w:t>
            </w:r>
          </w:p>
        </w:tc>
      </w:tr>
      <w:tr>
        <w:trPr>
          <w:trHeight w:val="216"/>
        </w:trPr>
        <w:tc>
          <w:tcPr>
            <w:tcW w:w="4060" w:type="dxa"/>
            <w:vAlign w:val="bottom"/>
          </w:tcPr>
          <w:p>
            <w:pPr>
              <w:ind w:left="80"/>
              <w:spacing w:after="0"/>
              <w:rPr>
                <w:sz w:val="20"/>
                <w:szCs w:val="20"/>
                <w:color w:val="auto"/>
              </w:rPr>
            </w:pPr>
            <w:r>
              <w:rPr>
                <w:rFonts w:ascii="Arial" w:cs="Arial" w:eastAsia="Arial" w:hAnsi="Arial"/>
                <w:sz w:val="18"/>
                <w:szCs w:val="18"/>
                <w:color w:val="auto"/>
              </w:rPr>
              <w:t>MFA Financial, Inc.</w:t>
            </w:r>
          </w:p>
        </w:tc>
        <w:tc>
          <w:tcPr>
            <w:tcW w:w="6960" w:type="dxa"/>
            <w:vAlign w:val="bottom"/>
          </w:tcPr>
          <w:p>
            <w:pPr>
              <w:ind w:left="900"/>
              <w:spacing w:after="0"/>
              <w:rPr>
                <w:sz w:val="20"/>
                <w:szCs w:val="20"/>
                <w:color w:val="auto"/>
              </w:rPr>
            </w:pPr>
            <w:r>
              <w:rPr>
                <w:rFonts w:ascii="Arial" w:cs="Arial" w:eastAsia="Arial" w:hAnsi="Arial"/>
                <w:sz w:val="18"/>
                <w:szCs w:val="18"/>
                <w:color w:val="auto"/>
              </w:rPr>
              <w:t>Ares Management LP</w:t>
            </w:r>
          </w:p>
        </w:tc>
      </w:tr>
      <w:tr>
        <w:trPr>
          <w:trHeight w:val="216"/>
        </w:trPr>
        <w:tc>
          <w:tcPr>
            <w:tcW w:w="4060" w:type="dxa"/>
            <w:vAlign w:val="bottom"/>
          </w:tcPr>
          <w:p>
            <w:pPr>
              <w:ind w:left="80"/>
              <w:spacing w:after="0"/>
              <w:rPr>
                <w:sz w:val="20"/>
                <w:szCs w:val="20"/>
                <w:color w:val="auto"/>
              </w:rPr>
            </w:pPr>
            <w:r>
              <w:rPr>
                <w:rFonts w:ascii="Arial" w:cs="Arial" w:eastAsia="Arial" w:hAnsi="Arial"/>
                <w:sz w:val="18"/>
                <w:szCs w:val="18"/>
                <w:color w:val="auto"/>
              </w:rPr>
              <w:t>Redwood Trust, Inc.</w:t>
            </w:r>
          </w:p>
        </w:tc>
        <w:tc>
          <w:tcPr>
            <w:tcW w:w="6960" w:type="dxa"/>
            <w:vAlign w:val="bottom"/>
          </w:tcPr>
          <w:p>
            <w:pPr>
              <w:ind w:left="900"/>
              <w:spacing w:after="0"/>
              <w:rPr>
                <w:sz w:val="20"/>
                <w:szCs w:val="20"/>
                <w:color w:val="auto"/>
              </w:rPr>
            </w:pPr>
            <w:r>
              <w:rPr>
                <w:rFonts w:ascii="Arial" w:cs="Arial" w:eastAsia="Arial" w:hAnsi="Arial"/>
                <w:sz w:val="18"/>
                <w:szCs w:val="18"/>
                <w:color w:val="auto"/>
              </w:rPr>
              <w:t>Eaton Vance Corp.</w:t>
            </w:r>
          </w:p>
        </w:tc>
      </w:tr>
      <w:tr>
        <w:trPr>
          <w:trHeight w:val="216"/>
        </w:trPr>
        <w:tc>
          <w:tcPr>
            <w:tcW w:w="4060" w:type="dxa"/>
            <w:vAlign w:val="bottom"/>
          </w:tcPr>
          <w:p>
            <w:pPr>
              <w:spacing w:after="0"/>
              <w:rPr>
                <w:sz w:val="18"/>
                <w:szCs w:val="18"/>
                <w:color w:val="auto"/>
              </w:rPr>
            </w:pPr>
          </w:p>
        </w:tc>
        <w:tc>
          <w:tcPr>
            <w:tcW w:w="6960" w:type="dxa"/>
            <w:vAlign w:val="bottom"/>
          </w:tcPr>
          <w:p>
            <w:pPr>
              <w:ind w:left="900"/>
              <w:spacing w:after="0"/>
              <w:rPr>
                <w:sz w:val="20"/>
                <w:szCs w:val="20"/>
                <w:color w:val="auto"/>
              </w:rPr>
            </w:pPr>
            <w:r>
              <w:rPr>
                <w:rFonts w:ascii="Arial" w:cs="Arial" w:eastAsia="Arial" w:hAnsi="Arial"/>
                <w:sz w:val="18"/>
                <w:szCs w:val="18"/>
                <w:color w:val="auto"/>
              </w:rPr>
              <w:t>Invesco Ltd.</w:t>
            </w:r>
          </w:p>
        </w:tc>
      </w:tr>
      <w:tr>
        <w:trPr>
          <w:trHeight w:val="216"/>
        </w:trPr>
        <w:tc>
          <w:tcPr>
            <w:tcW w:w="4060" w:type="dxa"/>
            <w:vAlign w:val="bottom"/>
          </w:tcPr>
          <w:p>
            <w:pPr>
              <w:spacing w:after="0"/>
              <w:rPr>
                <w:sz w:val="18"/>
                <w:szCs w:val="18"/>
                <w:color w:val="auto"/>
              </w:rPr>
            </w:pPr>
          </w:p>
        </w:tc>
        <w:tc>
          <w:tcPr>
            <w:tcW w:w="6960" w:type="dxa"/>
            <w:vAlign w:val="bottom"/>
          </w:tcPr>
          <w:p>
            <w:pPr>
              <w:ind w:left="900"/>
              <w:spacing w:after="0"/>
              <w:rPr>
                <w:sz w:val="20"/>
                <w:szCs w:val="20"/>
                <w:color w:val="auto"/>
              </w:rPr>
            </w:pPr>
            <w:r>
              <w:rPr>
                <w:rFonts w:ascii="Arial" w:cs="Arial" w:eastAsia="Arial" w:hAnsi="Arial"/>
                <w:sz w:val="18"/>
                <w:szCs w:val="18"/>
                <w:color w:val="auto"/>
              </w:rPr>
              <w:t>KKR &amp; Co. L.P.</w:t>
            </w:r>
          </w:p>
        </w:tc>
      </w:tr>
      <w:tr>
        <w:trPr>
          <w:trHeight w:val="216"/>
        </w:trPr>
        <w:tc>
          <w:tcPr>
            <w:tcW w:w="4060" w:type="dxa"/>
            <w:vAlign w:val="bottom"/>
          </w:tcPr>
          <w:p>
            <w:pPr>
              <w:spacing w:after="0"/>
              <w:rPr>
                <w:sz w:val="18"/>
                <w:szCs w:val="18"/>
                <w:color w:val="auto"/>
              </w:rPr>
            </w:pPr>
          </w:p>
        </w:tc>
        <w:tc>
          <w:tcPr>
            <w:tcW w:w="6960" w:type="dxa"/>
            <w:vAlign w:val="bottom"/>
          </w:tcPr>
          <w:p>
            <w:pPr>
              <w:ind w:left="900"/>
              <w:spacing w:after="0"/>
              <w:rPr>
                <w:sz w:val="20"/>
                <w:szCs w:val="20"/>
                <w:color w:val="auto"/>
              </w:rPr>
            </w:pPr>
            <w:r>
              <w:rPr>
                <w:rFonts w:ascii="Arial" w:cs="Arial" w:eastAsia="Arial" w:hAnsi="Arial"/>
                <w:sz w:val="18"/>
                <w:szCs w:val="18"/>
                <w:color w:val="auto"/>
              </w:rPr>
              <w:t>Legg Mason, Inc.</w:t>
            </w:r>
          </w:p>
        </w:tc>
      </w:tr>
      <w:tr>
        <w:trPr>
          <w:trHeight w:val="216"/>
        </w:trPr>
        <w:tc>
          <w:tcPr>
            <w:tcW w:w="4060" w:type="dxa"/>
            <w:vAlign w:val="bottom"/>
          </w:tcPr>
          <w:p>
            <w:pPr>
              <w:spacing w:after="0"/>
              <w:rPr>
                <w:sz w:val="18"/>
                <w:szCs w:val="18"/>
                <w:color w:val="auto"/>
              </w:rPr>
            </w:pPr>
          </w:p>
        </w:tc>
        <w:tc>
          <w:tcPr>
            <w:tcW w:w="6960" w:type="dxa"/>
            <w:vAlign w:val="bottom"/>
          </w:tcPr>
          <w:p>
            <w:pPr>
              <w:ind w:left="900"/>
              <w:spacing w:after="0"/>
              <w:rPr>
                <w:sz w:val="20"/>
                <w:szCs w:val="20"/>
                <w:color w:val="auto"/>
              </w:rPr>
            </w:pPr>
            <w:r>
              <w:rPr>
                <w:rFonts w:ascii="Arial" w:cs="Arial" w:eastAsia="Arial" w:hAnsi="Arial"/>
                <w:sz w:val="18"/>
                <w:szCs w:val="18"/>
                <w:color w:val="auto"/>
              </w:rPr>
              <w:t>Oaktree Capital Group LLC</w:t>
            </w:r>
          </w:p>
        </w:tc>
      </w:tr>
      <w:tr>
        <w:trPr>
          <w:trHeight w:val="216"/>
        </w:trPr>
        <w:tc>
          <w:tcPr>
            <w:tcW w:w="4060" w:type="dxa"/>
            <w:vAlign w:val="bottom"/>
          </w:tcPr>
          <w:p>
            <w:pPr>
              <w:spacing w:after="0"/>
              <w:rPr>
                <w:sz w:val="18"/>
                <w:szCs w:val="18"/>
                <w:color w:val="auto"/>
              </w:rPr>
            </w:pPr>
          </w:p>
        </w:tc>
        <w:tc>
          <w:tcPr>
            <w:tcW w:w="6960" w:type="dxa"/>
            <w:vAlign w:val="bottom"/>
          </w:tcPr>
          <w:p>
            <w:pPr>
              <w:ind w:left="900"/>
              <w:spacing w:after="0"/>
              <w:rPr>
                <w:sz w:val="20"/>
                <w:szCs w:val="20"/>
                <w:color w:val="auto"/>
              </w:rPr>
            </w:pPr>
            <w:r>
              <w:rPr>
                <w:rFonts w:ascii="Arial" w:cs="Arial" w:eastAsia="Arial" w:hAnsi="Arial"/>
                <w:sz w:val="18"/>
                <w:szCs w:val="18"/>
                <w:color w:val="auto"/>
              </w:rPr>
              <w:t>The Blackstone Group L.P.</w:t>
            </w:r>
          </w:p>
        </w:tc>
      </w:tr>
      <w:tr>
        <w:trPr>
          <w:trHeight w:val="230"/>
        </w:trPr>
        <w:tc>
          <w:tcPr>
            <w:tcW w:w="4060" w:type="dxa"/>
            <w:vAlign w:val="bottom"/>
          </w:tcPr>
          <w:p>
            <w:pPr>
              <w:spacing w:after="0"/>
              <w:rPr>
                <w:sz w:val="20"/>
                <w:szCs w:val="20"/>
                <w:color w:val="auto"/>
              </w:rPr>
            </w:pPr>
          </w:p>
        </w:tc>
        <w:tc>
          <w:tcPr>
            <w:tcW w:w="6960" w:type="dxa"/>
            <w:vAlign w:val="bottom"/>
          </w:tcPr>
          <w:p>
            <w:pPr>
              <w:ind w:left="900"/>
              <w:spacing w:after="0"/>
              <w:rPr>
                <w:sz w:val="20"/>
                <w:szCs w:val="20"/>
                <w:color w:val="auto"/>
              </w:rPr>
            </w:pPr>
            <w:r>
              <w:rPr>
                <w:rFonts w:ascii="Arial" w:cs="Arial" w:eastAsia="Arial" w:hAnsi="Arial"/>
                <w:sz w:val="18"/>
                <w:szCs w:val="18"/>
                <w:color w:val="auto"/>
              </w:rPr>
              <w:t>The Carlyle Group L.P.</w:t>
            </w:r>
          </w:p>
        </w:tc>
      </w:tr>
      <w:tr>
        <w:trPr>
          <w:trHeight w:val="162"/>
        </w:trPr>
        <w:tc>
          <w:tcPr>
            <w:tcW w:w="4060" w:type="dxa"/>
            <w:vAlign w:val="bottom"/>
            <w:tcBorders>
              <w:bottom w:val="single" w:sz="8" w:color="407CCA"/>
            </w:tcBorders>
          </w:tcPr>
          <w:p>
            <w:pPr>
              <w:spacing w:after="0"/>
              <w:rPr>
                <w:sz w:val="14"/>
                <w:szCs w:val="14"/>
                <w:color w:val="auto"/>
              </w:rPr>
            </w:pPr>
          </w:p>
        </w:tc>
        <w:tc>
          <w:tcPr>
            <w:tcW w:w="6960" w:type="dxa"/>
            <w:vAlign w:val="bottom"/>
            <w:tcBorders>
              <w:bottom w:val="single" w:sz="8" w:color="407CCA"/>
            </w:tcBorders>
          </w:tcPr>
          <w:p>
            <w:pPr>
              <w:spacing w:after="0"/>
              <w:rPr>
                <w:sz w:val="14"/>
                <w:szCs w:val="14"/>
                <w:color w:val="auto"/>
              </w:rPr>
            </w:pPr>
          </w:p>
        </w:tc>
      </w:tr>
      <w:tr>
        <w:trPr>
          <w:trHeight w:val="305"/>
        </w:trPr>
        <w:tc>
          <w:tcPr>
            <w:tcW w:w="4060" w:type="dxa"/>
            <w:vAlign w:val="bottom"/>
          </w:tcPr>
          <w:p>
            <w:pPr>
              <w:spacing w:after="0"/>
              <w:rPr>
                <w:sz w:val="20"/>
                <w:szCs w:val="20"/>
                <w:color w:val="auto"/>
              </w:rPr>
            </w:pPr>
            <w:r>
              <w:rPr>
                <w:rFonts w:ascii="Arial" w:cs="Arial" w:eastAsia="Arial" w:hAnsi="Arial"/>
                <w:sz w:val="14"/>
                <w:szCs w:val="14"/>
                <w:color w:val="407CCA"/>
              </w:rPr>
              <w:t xml:space="preserve">54  AGNC INVESTMENT CORP. – </w:t>
            </w:r>
            <w:r>
              <w:rPr>
                <w:rFonts w:ascii="Arial" w:cs="Arial" w:eastAsia="Arial" w:hAnsi="Arial"/>
                <w:sz w:val="14"/>
                <w:szCs w:val="14"/>
                <w:i w:val="1"/>
                <w:iCs w:val="1"/>
                <w:color w:val="407CCA"/>
              </w:rPr>
              <w:t>Proxy Statement</w:t>
            </w:r>
          </w:p>
        </w:tc>
        <w:tc>
          <w:tcPr>
            <w:tcW w:w="6960" w:type="dxa"/>
            <w:vAlign w:val="bottom"/>
          </w:tcPr>
          <w:p>
            <w:pPr>
              <w:spacing w:after="0"/>
              <w:rPr>
                <w:sz w:val="24"/>
                <w:szCs w:val="24"/>
                <w:color w:val="auto"/>
              </w:rPr>
            </w:pPr>
          </w:p>
        </w:tc>
      </w:tr>
    </w:tbl>
    <w:p>
      <w:pPr>
        <w:sectPr>
          <w:pgSz w:w="11900" w:h="16838" w:orient="portrait"/>
          <w:cols w:equalWidth="0" w:num="1">
            <w:col w:w="11140"/>
          </w:cols>
          <w:pgMar w:left="320" w:top="459" w:right="439" w:bottom="1440" w:gutter="0" w:footer="0" w:header="0"/>
        </w:sectPr>
      </w:pPr>
    </w:p>
    <w:bookmarkStart w:id="67" w:name="page68"/>
    <w:bookmarkEnd w:id="6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0">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9180"/>
        <w:spacing w:after="0"/>
        <w:rPr>
          <w:sz w:val="20"/>
          <w:szCs w:val="20"/>
          <w:color w:val="auto"/>
        </w:rPr>
      </w:pPr>
      <w:r>
        <w:rPr>
          <w:rFonts w:ascii="Arial" w:cs="Arial" w:eastAsia="Arial" w:hAnsi="Arial"/>
          <w:sz w:val="13"/>
          <w:szCs w:val="13"/>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28575</wp:posOffset>
            </wp:positionV>
            <wp:extent cx="6995160" cy="825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1">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99"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Factors considered by the Compensation Committee in selecting companies for this analysis are outlined in the below table.</w:t>
      </w:r>
    </w:p>
    <w:p>
      <w:pPr>
        <w:spacing w:after="0" w:line="262" w:lineRule="exact"/>
        <w:rPr>
          <w:sz w:val="20"/>
          <w:szCs w:val="20"/>
          <w:color w:val="auto"/>
        </w:rPr>
      </w:pPr>
    </w:p>
    <w:p>
      <w:pPr>
        <w:ind w:left="120"/>
        <w:spacing w:after="0"/>
        <w:tabs>
          <w:tab w:leader="none" w:pos="4160" w:val="left"/>
          <w:tab w:leader="none" w:pos="7660" w:val="left"/>
        </w:tabs>
        <w:rPr>
          <w:sz w:val="20"/>
          <w:szCs w:val="20"/>
          <w:color w:val="auto"/>
        </w:rPr>
      </w:pPr>
      <w:r>
        <w:rPr>
          <w:rFonts w:ascii="Arial" w:cs="Arial" w:eastAsia="Arial" w:hAnsi="Arial"/>
          <w:sz w:val="18"/>
          <w:szCs w:val="18"/>
          <w:b w:val="1"/>
          <w:bCs w:val="1"/>
          <w:color w:val="auto"/>
        </w:rPr>
        <w:t>Comparator Sub-group</w:t>
      </w:r>
      <w:r>
        <w:rPr>
          <w:sz w:val="20"/>
          <w:szCs w:val="20"/>
          <w:color w:val="auto"/>
        </w:rPr>
        <w:tab/>
      </w:r>
      <w:r>
        <w:rPr>
          <w:rFonts w:ascii="Arial" w:cs="Arial" w:eastAsia="Arial" w:hAnsi="Arial"/>
          <w:sz w:val="18"/>
          <w:szCs w:val="18"/>
          <w:b w:val="1"/>
          <w:bCs w:val="1"/>
          <w:color w:val="auto"/>
        </w:rPr>
        <w:t>Context</w:t>
      </w:r>
      <w:r>
        <w:rPr>
          <w:sz w:val="20"/>
          <w:szCs w:val="20"/>
          <w:color w:val="auto"/>
        </w:rPr>
        <w:tab/>
      </w:r>
      <w:r>
        <w:rPr>
          <w:rFonts w:ascii="Arial" w:cs="Arial" w:eastAsia="Arial" w:hAnsi="Arial"/>
          <w:sz w:val="16"/>
          <w:szCs w:val="16"/>
          <w:b w:val="1"/>
          <w:bCs w:val="1"/>
          <w:color w:val="auto"/>
        </w:rPr>
        <w:t>Key Differences with AGNC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17145</wp:posOffset>
            </wp:positionV>
            <wp:extent cx="6995160" cy="825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2">
                      <a:extLst>
                        <a:ext uri="{28A0092B-C50C-407E-A947-70E740481C1C}"/>
                      </a:extLst>
                    </a:blip>
                    <a:srcRect/>
                    <a:stretch>
                      <a:fillRect/>
                    </a:stretch>
                  </pic:blipFill>
                  <pic:spPr bwMode="auto">
                    <a:xfrm>
                      <a:off x="0" y="0"/>
                      <a:ext cx="6995160" cy="8255"/>
                    </a:xfrm>
                    <a:prstGeom prst="rect">
                      <a:avLst/>
                    </a:prstGeom>
                    <a:noFill/>
                  </pic:spPr>
                </pic:pic>
              </a:graphicData>
            </a:graphic>
          </wp:anchor>
        </w:drawing>
        <w:drawing>
          <wp:anchor simplePos="0" relativeHeight="251657728" behindDoc="1" locked="0" layoutInCell="0" allowOverlap="1">
            <wp:simplePos x="0" y="0"/>
            <wp:positionH relativeFrom="column">
              <wp:posOffset>73660</wp:posOffset>
            </wp:positionH>
            <wp:positionV relativeFrom="paragraph">
              <wp:posOffset>-127635</wp:posOffset>
            </wp:positionV>
            <wp:extent cx="6995160" cy="825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3">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59" w:right="439" w:bottom="1440" w:gutter="0" w:footer="0" w:header="0"/>
        </w:sectPr>
      </w:pPr>
    </w:p>
    <w:p>
      <w:pPr>
        <w:spacing w:after="0" w:line="27" w:lineRule="exact"/>
        <w:rPr>
          <w:sz w:val="20"/>
          <w:szCs w:val="20"/>
          <w:color w:val="auto"/>
        </w:rPr>
      </w:pPr>
    </w:p>
    <w:p>
      <w:pPr>
        <w:ind w:left="120"/>
        <w:spacing w:after="0"/>
        <w:tabs>
          <w:tab w:leader="none" w:pos="2640" w:val="left"/>
        </w:tabs>
        <w:rPr>
          <w:sz w:val="20"/>
          <w:szCs w:val="20"/>
          <w:color w:val="auto"/>
        </w:rPr>
      </w:pPr>
      <w:r>
        <w:rPr>
          <w:rFonts w:ascii="Arial" w:cs="Arial" w:eastAsia="Arial" w:hAnsi="Arial"/>
          <w:sz w:val="18"/>
          <w:szCs w:val="18"/>
          <w:color w:val="auto"/>
        </w:rPr>
        <w:t>Internally-managed publicly-</w:t>
      </w:r>
      <w:r>
        <w:rPr>
          <w:sz w:val="20"/>
          <w:szCs w:val="20"/>
          <w:color w:val="auto"/>
        </w:rPr>
        <w:tab/>
      </w:r>
      <w:r>
        <w:rPr>
          <w:rFonts w:ascii="Arial" w:cs="Arial" w:eastAsia="Arial" w:hAnsi="Arial"/>
          <w:sz w:val="16"/>
          <w:szCs w:val="16"/>
          <w:color w:val="auto"/>
        </w:rPr>
        <w:t>Of 20 residential mortgage REITs, only seven are</w:t>
      </w:r>
    </w:p>
    <w:p>
      <w:pPr>
        <w:spacing w:after="0" w:line="23" w:lineRule="exact"/>
        <w:rPr>
          <w:sz w:val="20"/>
          <w:szCs w:val="20"/>
          <w:color w:val="auto"/>
        </w:rPr>
      </w:pPr>
    </w:p>
    <w:p>
      <w:pPr>
        <w:ind w:left="2660" w:right="40" w:hanging="2550"/>
        <w:spacing w:after="0" w:line="260" w:lineRule="auto"/>
        <w:tabs>
          <w:tab w:leader="none" w:pos="2640" w:val="left"/>
        </w:tabs>
        <w:rPr>
          <w:sz w:val="20"/>
          <w:szCs w:val="20"/>
          <w:color w:val="auto"/>
        </w:rPr>
      </w:pPr>
      <w:r>
        <w:rPr>
          <w:rFonts w:ascii="Arial" w:cs="Arial" w:eastAsia="Arial" w:hAnsi="Arial"/>
          <w:sz w:val="18"/>
          <w:szCs w:val="18"/>
          <w:color w:val="auto"/>
        </w:rPr>
        <w:t>traded mortgage REITs</w:t>
      </w:r>
      <w:r>
        <w:rPr>
          <w:sz w:val="20"/>
          <w:szCs w:val="20"/>
          <w:color w:val="auto"/>
        </w:rPr>
        <w:tab/>
      </w:r>
      <w:r>
        <w:rPr>
          <w:rFonts w:ascii="Arial" w:cs="Arial" w:eastAsia="Arial" w:hAnsi="Arial"/>
          <w:sz w:val="18"/>
          <w:szCs w:val="18"/>
          <w:color w:val="auto"/>
        </w:rPr>
        <w:t>internally-managed (providing for disclosure and comparability of compensation)</w:t>
      </w:r>
    </w:p>
    <w:p>
      <w:pPr>
        <w:spacing w:after="0" w:line="91" w:lineRule="exact"/>
        <w:rPr>
          <w:sz w:val="20"/>
          <w:szCs w:val="20"/>
          <w:color w:val="auto"/>
        </w:rPr>
      </w:pPr>
    </w:p>
    <w:p>
      <w:pPr>
        <w:ind w:left="2660" w:right="200"/>
        <w:spacing w:after="0" w:line="277" w:lineRule="auto"/>
        <w:rPr>
          <w:sz w:val="20"/>
          <w:szCs w:val="20"/>
          <w:color w:val="auto"/>
        </w:rPr>
      </w:pPr>
      <w:r>
        <w:rPr>
          <w:rFonts w:ascii="Arial" w:cs="Arial" w:eastAsia="Arial" w:hAnsi="Arial"/>
          <w:sz w:val="18"/>
          <w:szCs w:val="18"/>
          <w:color w:val="auto"/>
        </w:rPr>
        <w:t>AGNC is by far the largest internally-managed REIT</w:t>
      </w:r>
    </w:p>
    <w:p>
      <w:pPr>
        <w:spacing w:after="0" w:line="20" w:lineRule="exact"/>
        <w:rPr>
          <w:sz w:val="20"/>
          <w:szCs w:val="20"/>
          <w:color w:val="auto"/>
        </w:rPr>
      </w:pPr>
      <w:r>
        <w:rPr>
          <w:sz w:val="20"/>
          <w:szCs w:val="20"/>
          <w:color w:val="auto"/>
        </w:rPr>
        <w:br w:type="column"/>
      </w:r>
    </w:p>
    <w:p>
      <w:pPr>
        <w:spacing w:after="0" w:line="7" w:lineRule="exact"/>
        <w:rPr>
          <w:sz w:val="20"/>
          <w:szCs w:val="20"/>
          <w:color w:val="auto"/>
        </w:rPr>
      </w:pPr>
    </w:p>
    <w:p>
      <w:pPr>
        <w:ind w:left="173" w:right="100" w:hanging="173"/>
        <w:spacing w:after="0" w:line="254" w:lineRule="auto"/>
        <w:tabs>
          <w:tab w:leader="none" w:pos="154" w:val="left"/>
        </w:tabs>
        <w:numPr>
          <w:ilvl w:val="0"/>
          <w:numId w:val="41"/>
        </w:numPr>
        <w:rPr>
          <w:rFonts w:ascii="Arial" w:cs="Arial" w:eastAsia="Arial" w:hAnsi="Arial"/>
          <w:sz w:val="18"/>
          <w:szCs w:val="18"/>
          <w:color w:val="auto"/>
        </w:rPr>
      </w:pPr>
      <w:r>
        <w:rPr>
          <w:rFonts w:ascii="Arial" w:cs="Arial" w:eastAsia="Arial" w:hAnsi="Arial"/>
          <w:sz w:val="18"/>
          <w:szCs w:val="18"/>
          <w:color w:val="auto"/>
        </w:rPr>
        <w:t>The closest mortgage REITs in size and scale, Annaly Capital Management, Inc. and New Residential Investment Corp., are both externally-managed and do not fully disclose executive remuneration</w:t>
      </w:r>
    </w:p>
    <w:p>
      <w:pPr>
        <w:spacing w:after="0" w:line="1" w:lineRule="exact"/>
        <w:rPr>
          <w:rFonts w:ascii="Arial" w:cs="Arial" w:eastAsia="Arial" w:hAnsi="Arial"/>
          <w:sz w:val="18"/>
          <w:szCs w:val="18"/>
          <w:color w:val="auto"/>
        </w:rPr>
      </w:pPr>
    </w:p>
    <w:p>
      <w:pPr>
        <w:ind w:left="173" w:hanging="173"/>
        <w:spacing w:after="0" w:line="250" w:lineRule="auto"/>
        <w:tabs>
          <w:tab w:leader="none" w:pos="157" w:val="left"/>
        </w:tabs>
        <w:numPr>
          <w:ilvl w:val="0"/>
          <w:numId w:val="41"/>
        </w:numPr>
        <w:rPr>
          <w:rFonts w:ascii="Arial" w:cs="Arial" w:eastAsia="Arial" w:hAnsi="Arial"/>
          <w:sz w:val="18"/>
          <w:szCs w:val="18"/>
          <w:color w:val="auto"/>
        </w:rPr>
      </w:pPr>
      <w:r>
        <w:rPr>
          <w:rFonts w:ascii="Arial" w:cs="Arial" w:eastAsia="Arial" w:hAnsi="Arial"/>
          <w:sz w:val="18"/>
          <w:szCs w:val="18"/>
          <w:color w:val="auto"/>
        </w:rPr>
        <w:t>Executives of externally-managed REITs often own interests in the management company and thereby derive significant undisclosed annual financial benefit from the management fees paid. By comparison, AGNC NEOs’ annual pay is fully disclosed as compensation</w:t>
      </w:r>
    </w:p>
    <w:p>
      <w:pPr>
        <w:spacing w:after="0" w:line="1" w:lineRule="exact"/>
        <w:rPr>
          <w:rFonts w:ascii="Arial" w:cs="Arial" w:eastAsia="Arial" w:hAnsi="Arial"/>
          <w:sz w:val="18"/>
          <w:szCs w:val="18"/>
          <w:color w:val="auto"/>
        </w:rPr>
      </w:pPr>
    </w:p>
    <w:p>
      <w:pPr>
        <w:ind w:left="173" w:right="420" w:hanging="173"/>
        <w:spacing w:after="0" w:line="250" w:lineRule="auto"/>
        <w:tabs>
          <w:tab w:leader="none" w:pos="147" w:val="left"/>
        </w:tabs>
        <w:numPr>
          <w:ilvl w:val="0"/>
          <w:numId w:val="41"/>
        </w:numPr>
        <w:rPr>
          <w:rFonts w:ascii="Arial" w:cs="Arial" w:eastAsia="Arial" w:hAnsi="Arial"/>
          <w:sz w:val="18"/>
          <w:szCs w:val="18"/>
          <w:color w:val="auto"/>
        </w:rPr>
      </w:pPr>
      <w:r>
        <w:rPr>
          <w:rFonts w:ascii="Arial" w:cs="Arial" w:eastAsia="Arial" w:hAnsi="Arial"/>
          <w:sz w:val="18"/>
          <w:szCs w:val="18"/>
          <w:color w:val="auto"/>
        </w:rPr>
        <w:t>AGNC is over 2.5x larger than the next largest internally-managed residential mortgage REIT</w:t>
      </w:r>
    </w:p>
    <w:p>
      <w:pPr>
        <w:ind w:left="173" w:right="260" w:hanging="173"/>
        <w:spacing w:after="0" w:line="323" w:lineRule="auto"/>
        <w:tabs>
          <w:tab w:leader="none" w:pos="147" w:val="left"/>
        </w:tabs>
        <w:numPr>
          <w:ilvl w:val="0"/>
          <w:numId w:val="41"/>
        </w:numPr>
        <w:rPr>
          <w:rFonts w:ascii="Arial" w:cs="Arial" w:eastAsia="Arial" w:hAnsi="Arial"/>
          <w:sz w:val="16"/>
          <w:szCs w:val="16"/>
          <w:color w:val="auto"/>
        </w:rPr>
      </w:pPr>
      <w:r>
        <w:rPr>
          <w:rFonts w:ascii="Arial" w:cs="Arial" w:eastAsia="Arial" w:hAnsi="Arial"/>
          <w:sz w:val="16"/>
          <w:szCs w:val="16"/>
          <w:color w:val="auto"/>
        </w:rPr>
        <w:t>AGNC is the only internally-managed REIT of any material size that invests predominantly in Agency securities</w:t>
      </w:r>
    </w:p>
    <w:p>
      <w:pPr>
        <w:spacing w:after="0" w:line="44" w:lineRule="exact"/>
        <w:rPr>
          <w:sz w:val="20"/>
          <w:szCs w:val="20"/>
          <w:color w:val="auto"/>
        </w:rPr>
      </w:pPr>
    </w:p>
    <w:p>
      <w:pPr>
        <w:sectPr>
          <w:pgSz w:w="11900" w:h="16838" w:orient="portrait"/>
          <w:cols w:equalWidth="0" w:num="2">
            <w:col w:w="6240" w:space="167"/>
            <w:col w:w="4733"/>
          </w:cols>
          <w:pgMar w:left="320" w:top="459" w:right="439" w:bottom="1440" w:gutter="0" w:footer="0" w:header="0"/>
          <w:type w:val="continuous"/>
        </w:sectPr>
      </w:pPr>
    </w:p>
    <w:p>
      <w:pPr>
        <w:ind w:left="120"/>
        <w:spacing w:after="0" w:line="259" w:lineRule="auto"/>
        <w:rPr>
          <w:sz w:val="20"/>
          <w:szCs w:val="20"/>
          <w:color w:val="auto"/>
        </w:rPr>
      </w:pPr>
      <w:r>
        <w:rPr>
          <w:rFonts w:ascii="Arial" w:cs="Arial" w:eastAsia="Arial" w:hAnsi="Arial"/>
          <w:sz w:val="18"/>
          <w:szCs w:val="18"/>
          <w:color w:val="auto"/>
        </w:rPr>
        <w:t>Publicly-traded asset management companies and non-bank financial services companies</w:t>
      </w:r>
    </w:p>
    <w:p>
      <w:pPr>
        <w:spacing w:after="0" w:line="20" w:lineRule="exact"/>
        <w:rPr>
          <w:sz w:val="20"/>
          <w:szCs w:val="20"/>
          <w:color w:val="auto"/>
        </w:rPr>
      </w:pPr>
      <w:r>
        <w:rPr>
          <w:sz w:val="20"/>
          <w:szCs w:val="20"/>
          <w:color w:val="auto"/>
        </w:rPr>
        <w:br w:type="column"/>
      </w:r>
    </w:p>
    <w:p>
      <w:pPr>
        <w:spacing w:after="0" w:line="259" w:lineRule="auto"/>
        <w:rPr>
          <w:sz w:val="20"/>
          <w:szCs w:val="20"/>
          <w:color w:val="auto"/>
        </w:rPr>
      </w:pPr>
      <w:r>
        <w:rPr>
          <w:rFonts w:ascii="Arial" w:cs="Arial" w:eastAsia="Arial" w:hAnsi="Arial"/>
          <w:sz w:val="18"/>
          <w:szCs w:val="18"/>
          <w:color w:val="auto"/>
        </w:rPr>
        <w:t>Asset management firms generate income from management fees charged to clients, while AGNC generates income primarily from investments in mortgage securities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-1614805</wp:posOffset>
            </wp:positionH>
            <wp:positionV relativeFrom="paragraph">
              <wp:posOffset>-8890</wp:posOffset>
            </wp:positionV>
            <wp:extent cx="6995160" cy="825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4">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ind w:right="40"/>
        <w:spacing w:after="0" w:line="279" w:lineRule="auto"/>
        <w:rPr>
          <w:sz w:val="20"/>
          <w:szCs w:val="20"/>
          <w:color w:val="auto"/>
        </w:rPr>
      </w:pPr>
      <w:r>
        <w:rPr>
          <w:rFonts w:ascii="Arial" w:cs="Arial" w:eastAsia="Arial" w:hAnsi="Arial"/>
          <w:sz w:val="17"/>
          <w:szCs w:val="17"/>
          <w:color w:val="auto"/>
        </w:rPr>
        <w:t>Our performance (e.g. return on assets, invested capital, or equity) varies materially from asset management firms as a result of the vastly different asset base and significant leverage and hedging activities inherent in our business model</w:t>
      </w:r>
    </w:p>
    <w:p>
      <w:pPr>
        <w:spacing w:after="0" w:line="185" w:lineRule="exact"/>
        <w:rPr>
          <w:sz w:val="20"/>
          <w:szCs w:val="20"/>
          <w:color w:val="auto"/>
        </w:rPr>
      </w:pPr>
    </w:p>
    <w:p>
      <w:pPr>
        <w:sectPr>
          <w:pgSz w:w="11900" w:h="16838" w:orient="portrait"/>
          <w:cols w:equalWidth="0" w:num="3">
            <w:col w:w="2160" w:space="500"/>
            <w:col w:w="3620" w:space="120"/>
            <w:col w:w="4740"/>
          </w:cols>
          <w:pgMar w:left="320" w:top="459" w:right="439" w:bottom="1440" w:gutter="0" w:footer="0" w:header="0"/>
          <w:type w:val="continuous"/>
        </w:sectPr>
      </w:pPr>
    </w:p>
    <w:p>
      <w:pPr>
        <w:ind w:left="120" w:right="60" w:firstLine="881"/>
        <w:spacing w:after="0" w:line="263" w:lineRule="auto"/>
        <w:rPr>
          <w:sz w:val="20"/>
          <w:szCs w:val="20"/>
          <w:color w:val="auto"/>
        </w:rPr>
      </w:pPr>
      <w:r>
        <w:rPr>
          <w:rFonts w:ascii="Arial" w:cs="Arial" w:eastAsia="Arial" w:hAnsi="Arial"/>
          <w:sz w:val="18"/>
          <w:szCs w:val="18"/>
          <w:color w:val="auto"/>
        </w:rPr>
        <w:t>For purposes of evaluating our performance and operations under our 2019 Corporate Scorecard and 2019 performance-based long-term incentive awards, the Compensation Committee uses a subset of the Resi mREIT Universe, which we refer to herein as the “Agency REIT Peer Group.” These REITs are:</w:t>
      </w:r>
    </w:p>
    <w:p>
      <w:pPr>
        <w:spacing w:after="0" w:line="89" w:lineRule="exact"/>
        <w:rPr>
          <w:sz w:val="20"/>
          <w:szCs w:val="20"/>
          <w:color w:val="auto"/>
        </w:rPr>
      </w:pPr>
    </w:p>
    <w:p>
      <w:pPr>
        <w:ind w:left="980" w:hanging="432"/>
        <w:spacing w:after="0"/>
        <w:tabs>
          <w:tab w:leader="none" w:pos="980" w:val="left"/>
        </w:tabs>
        <w:numPr>
          <w:ilvl w:val="0"/>
          <w:numId w:val="42"/>
        </w:numPr>
        <w:rPr>
          <w:rFonts w:ascii="Arial" w:cs="Arial" w:eastAsia="Arial" w:hAnsi="Arial"/>
          <w:sz w:val="18"/>
          <w:szCs w:val="18"/>
          <w:color w:val="auto"/>
        </w:rPr>
      </w:pPr>
      <w:r>
        <w:rPr>
          <w:rFonts w:ascii="Arial" w:cs="Arial" w:eastAsia="Arial" w:hAnsi="Arial"/>
          <w:sz w:val="18"/>
          <w:szCs w:val="18"/>
          <w:color w:val="auto"/>
        </w:rPr>
        <w:t>Annaly Capital Management, Inc.</w:t>
      </w:r>
    </w:p>
    <w:p>
      <w:pPr>
        <w:spacing w:after="0" w:line="23" w:lineRule="exact"/>
        <w:rPr>
          <w:rFonts w:ascii="Arial" w:cs="Arial" w:eastAsia="Arial" w:hAnsi="Arial"/>
          <w:sz w:val="18"/>
          <w:szCs w:val="18"/>
          <w:color w:val="auto"/>
        </w:rPr>
      </w:pPr>
    </w:p>
    <w:p>
      <w:pPr>
        <w:ind w:left="980" w:hanging="432"/>
        <w:spacing w:after="0"/>
        <w:tabs>
          <w:tab w:leader="none" w:pos="980" w:val="left"/>
        </w:tabs>
        <w:numPr>
          <w:ilvl w:val="0"/>
          <w:numId w:val="42"/>
        </w:numPr>
        <w:rPr>
          <w:rFonts w:ascii="Arial" w:cs="Arial" w:eastAsia="Arial" w:hAnsi="Arial"/>
          <w:sz w:val="18"/>
          <w:szCs w:val="18"/>
          <w:color w:val="auto"/>
        </w:rPr>
      </w:pPr>
      <w:r>
        <w:rPr>
          <w:rFonts w:ascii="Arial" w:cs="Arial" w:eastAsia="Arial" w:hAnsi="Arial"/>
          <w:sz w:val="18"/>
          <w:szCs w:val="18"/>
          <w:color w:val="auto"/>
        </w:rPr>
        <w:t>Anworth Mortgage Asset Corporation</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42"/>
        </w:numPr>
        <w:rPr>
          <w:rFonts w:ascii="Arial" w:cs="Arial" w:eastAsia="Arial" w:hAnsi="Arial"/>
          <w:sz w:val="18"/>
          <w:szCs w:val="18"/>
          <w:color w:val="auto"/>
        </w:rPr>
      </w:pPr>
      <w:r>
        <w:rPr>
          <w:rFonts w:ascii="Arial" w:cs="Arial" w:eastAsia="Arial" w:hAnsi="Arial"/>
          <w:sz w:val="18"/>
          <w:szCs w:val="18"/>
          <w:color w:val="auto"/>
        </w:rPr>
        <w:t>ARMOUR Residential REIT, Inc</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42"/>
        </w:numPr>
        <w:rPr>
          <w:rFonts w:ascii="Arial" w:cs="Arial" w:eastAsia="Arial" w:hAnsi="Arial"/>
          <w:sz w:val="18"/>
          <w:szCs w:val="18"/>
          <w:color w:val="auto"/>
        </w:rPr>
      </w:pPr>
      <w:r>
        <w:rPr>
          <w:rFonts w:ascii="Arial" w:cs="Arial" w:eastAsia="Arial" w:hAnsi="Arial"/>
          <w:sz w:val="18"/>
          <w:szCs w:val="18"/>
          <w:color w:val="auto"/>
        </w:rPr>
        <w:t>Capstead Mortgage Corporation</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42"/>
        </w:numPr>
        <w:rPr>
          <w:rFonts w:ascii="Arial" w:cs="Arial" w:eastAsia="Arial" w:hAnsi="Arial"/>
          <w:sz w:val="18"/>
          <w:szCs w:val="18"/>
          <w:color w:val="auto"/>
        </w:rPr>
      </w:pPr>
      <w:r>
        <w:rPr>
          <w:rFonts w:ascii="Arial" w:cs="Arial" w:eastAsia="Arial" w:hAnsi="Arial"/>
          <w:sz w:val="18"/>
          <w:szCs w:val="18"/>
          <w:color w:val="auto"/>
        </w:rPr>
        <w:t>Dynex Capital, Inc.</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42"/>
        </w:numPr>
        <w:rPr>
          <w:rFonts w:ascii="Arial" w:cs="Arial" w:eastAsia="Arial" w:hAnsi="Arial"/>
          <w:sz w:val="18"/>
          <w:szCs w:val="18"/>
          <w:color w:val="auto"/>
        </w:rPr>
      </w:pPr>
      <w:r>
        <w:rPr>
          <w:rFonts w:ascii="Arial" w:cs="Arial" w:eastAsia="Arial" w:hAnsi="Arial"/>
          <w:sz w:val="18"/>
          <w:szCs w:val="18"/>
          <w:color w:val="auto"/>
        </w:rPr>
        <w:t>Invesco Mortgage Capital, Inc.</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42"/>
        </w:numPr>
        <w:rPr>
          <w:rFonts w:ascii="Arial" w:cs="Arial" w:eastAsia="Arial" w:hAnsi="Arial"/>
          <w:sz w:val="18"/>
          <w:szCs w:val="18"/>
          <w:color w:val="auto"/>
        </w:rPr>
      </w:pPr>
      <w:r>
        <w:rPr>
          <w:rFonts w:ascii="Arial" w:cs="Arial" w:eastAsia="Arial" w:hAnsi="Arial"/>
          <w:sz w:val="18"/>
          <w:szCs w:val="18"/>
          <w:color w:val="auto"/>
        </w:rPr>
        <w:t>Two Harbors Investment Corp.</w:t>
      </w:r>
    </w:p>
    <w:p>
      <w:pPr>
        <w:spacing w:after="0" w:line="211" w:lineRule="exact"/>
        <w:rPr>
          <w:sz w:val="20"/>
          <w:szCs w:val="20"/>
          <w:color w:val="auto"/>
        </w:rPr>
      </w:pPr>
    </w:p>
    <w:p>
      <w:pPr>
        <w:ind w:left="120" w:right="100" w:firstLine="881"/>
        <w:spacing w:after="0" w:line="279" w:lineRule="auto"/>
        <w:rPr>
          <w:sz w:val="20"/>
          <w:szCs w:val="20"/>
          <w:color w:val="auto"/>
        </w:rPr>
      </w:pPr>
      <w:r>
        <w:rPr>
          <w:rFonts w:ascii="Arial" w:cs="Arial" w:eastAsia="Arial" w:hAnsi="Arial"/>
          <w:sz w:val="17"/>
          <w:szCs w:val="17"/>
          <w:color w:val="auto"/>
        </w:rPr>
        <w:t>The Agency REIT Peer Group companies have portfolios and investment objectives that most closely resemble our own focus on Agency securities. Non-agency REITs in the Resi mREIT Universe have strategies that place a greater emphasis on credit-sensitive assets than our portfolio and those of our Agency REIT Peer Group. As such, these REITs would be expected to achieve divergent returns from our own Agency security-focused portfolio through various economic cycles and conditions. The Compensation Committee thus</w:t>
      </w:r>
    </w:p>
    <w:p>
      <w:pPr>
        <w:spacing w:after="0" w:line="99" w:lineRule="exact"/>
        <w:rPr>
          <w:sz w:val="20"/>
          <w:szCs w:val="20"/>
          <w:color w:val="auto"/>
        </w:rPr>
      </w:pPr>
    </w:p>
    <w:p>
      <w:pPr>
        <w:jc w:val="right"/>
        <w:spacing w:after="0"/>
        <w:tabs>
          <w:tab w:leader="none" w:pos="14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55</w:t>
      </w:r>
    </w:p>
    <w:p>
      <w:pPr>
        <w:sectPr>
          <w:pgSz w:w="11900" w:h="16838" w:orient="portrait"/>
          <w:cols w:equalWidth="0" w:num="1">
            <w:col w:w="11140"/>
          </w:cols>
          <w:pgMar w:left="320" w:top="459" w:right="439" w:bottom="1440" w:gutter="0" w:footer="0" w:header="0"/>
          <w:type w:val="continuous"/>
        </w:sectPr>
      </w:pPr>
    </w:p>
    <w:bookmarkStart w:id="68" w:name="page69"/>
    <w:bookmarkEnd w:id="6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5">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6">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120" w:right="240"/>
        <w:spacing w:after="0" w:line="301" w:lineRule="auto"/>
        <w:rPr>
          <w:sz w:val="20"/>
          <w:szCs w:val="20"/>
          <w:color w:val="auto"/>
        </w:rPr>
      </w:pPr>
      <w:r>
        <w:rPr>
          <w:rFonts w:ascii="Arial" w:cs="Arial" w:eastAsia="Arial" w:hAnsi="Arial"/>
          <w:sz w:val="16"/>
          <w:szCs w:val="16"/>
          <w:color w:val="auto"/>
        </w:rPr>
        <w:t>determined that our economic returns and trading price relative to book value are appropriately measured against a simple, unweighted average of the Agency REIT Peer Group for purposes of determining our relative performance. None of the seven REITs in the Agency REIT Peer Group were included in the group of companies whose executive compensation practices were reviewed by the Committee because these seven REITs are either significantly smaller than AGNC or externally-managed and therefore do not fully disclose compensation of their executives.</w:t>
      </w:r>
    </w:p>
    <w:p>
      <w:pPr>
        <w:spacing w:after="0" w:line="157" w:lineRule="exact"/>
        <w:rPr>
          <w:sz w:val="20"/>
          <w:szCs w:val="20"/>
          <w:color w:val="auto"/>
        </w:rPr>
      </w:pPr>
    </w:p>
    <w:p>
      <w:pPr>
        <w:ind w:left="120" w:firstLine="881"/>
        <w:spacing w:after="0" w:line="286" w:lineRule="auto"/>
        <w:rPr>
          <w:sz w:val="20"/>
          <w:szCs w:val="20"/>
          <w:color w:val="auto"/>
        </w:rPr>
      </w:pPr>
      <w:r>
        <w:rPr>
          <w:rFonts w:ascii="Arial" w:cs="Arial" w:eastAsia="Arial" w:hAnsi="Arial"/>
          <w:sz w:val="16"/>
          <w:szCs w:val="16"/>
          <w:color w:val="auto"/>
        </w:rPr>
        <w:t>The Compensation Committee continues to evaluate our peer group construction in response to changes in market conditions and the REIT sector and elected in 2019 to add three companies to the Agency REIT Peer Group, which is used by the Compensation Committee in measuring relative performance for purposes of short and long term performance-based compensation, as discussed above. In evaluating inclusion in the Agency REIT Peer Group to be used for relative performance measures, the Compensation Committee established guiding parameters, including a minimum of</w:t>
      </w:r>
    </w:p>
    <w:p>
      <w:pPr>
        <w:spacing w:after="0" w:line="1" w:lineRule="exact"/>
        <w:rPr>
          <w:sz w:val="20"/>
          <w:szCs w:val="20"/>
          <w:color w:val="auto"/>
        </w:rPr>
      </w:pPr>
    </w:p>
    <w:p>
      <w:pPr>
        <w:ind w:left="120" w:right="260"/>
        <w:spacing w:after="0" w:line="302" w:lineRule="auto"/>
        <w:rPr>
          <w:sz w:val="20"/>
          <w:szCs w:val="20"/>
          <w:color w:val="auto"/>
        </w:rPr>
      </w:pPr>
      <w:r>
        <w:rPr>
          <w:rFonts w:ascii="Arial" w:cs="Arial" w:eastAsia="Arial" w:hAnsi="Arial"/>
          <w:sz w:val="16"/>
          <w:szCs w:val="16"/>
          <w:color w:val="auto"/>
        </w:rPr>
        <w:t>$500 million in total stockholders’ equity and approximately 50% or greater of capital allocation to Agency residential mortgage-based securities. Despite shifting capital allocations among our peers, the Compensation Committee concluded that changes to the Agency REIT Peer Group were not necessary for 2020 after considering the importance of limiting the number of changes in order to provide meaningful ongoing comparative analyses.</w:t>
      </w:r>
    </w:p>
    <w:p>
      <w:pPr>
        <w:spacing w:after="0" w:line="263"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Role of Compensation and Corporate Governance Committee</w:t>
      </w:r>
    </w:p>
    <w:p>
      <w:pPr>
        <w:spacing w:after="0" w:line="117" w:lineRule="exact"/>
        <w:rPr>
          <w:sz w:val="20"/>
          <w:szCs w:val="20"/>
          <w:color w:val="auto"/>
        </w:rPr>
      </w:pPr>
    </w:p>
    <w:p>
      <w:pPr>
        <w:ind w:left="120" w:firstLine="881"/>
        <w:spacing w:after="0" w:line="273" w:lineRule="auto"/>
        <w:rPr>
          <w:sz w:val="20"/>
          <w:szCs w:val="20"/>
          <w:color w:val="auto"/>
        </w:rPr>
      </w:pPr>
      <w:r>
        <w:rPr>
          <w:rFonts w:ascii="Arial" w:cs="Arial" w:eastAsia="Arial" w:hAnsi="Arial"/>
          <w:sz w:val="17"/>
          <w:szCs w:val="17"/>
          <w:color w:val="auto"/>
        </w:rPr>
        <w:t>Our Compensation Committee, which is comprised solely of independent directors, is responsible for establishing and overseeing our philosophy regarding executive compensation and makes all decisions relating to the compensation of our NEOs. The Compensation Committee is also responsible for ensuring that the total compensation offered to our executive officers is fair and competitive and motivates high performance. The terms of any employment agreements with our NEOs and actions on compensation under the employment agreements are also under the primary direction of the Compensation Committee. Decisions related to CEO compensation are reviewed and approved by the Company’s independent directors based on the Compensation Committee’s evaluation of goals and objectives.</w:t>
      </w:r>
    </w:p>
    <w:p>
      <w:pPr>
        <w:spacing w:after="0" w:line="178" w:lineRule="exact"/>
        <w:rPr>
          <w:sz w:val="20"/>
          <w:szCs w:val="20"/>
          <w:color w:val="auto"/>
        </w:rPr>
      </w:pPr>
    </w:p>
    <w:p>
      <w:pPr>
        <w:ind w:left="120" w:right="140" w:firstLine="881"/>
        <w:spacing w:after="0" w:line="257" w:lineRule="auto"/>
        <w:rPr>
          <w:sz w:val="20"/>
          <w:szCs w:val="20"/>
          <w:color w:val="auto"/>
        </w:rPr>
      </w:pPr>
      <w:r>
        <w:rPr>
          <w:rFonts w:ascii="Arial" w:cs="Arial" w:eastAsia="Arial" w:hAnsi="Arial"/>
          <w:sz w:val="18"/>
          <w:szCs w:val="18"/>
          <w:color w:val="auto"/>
        </w:rPr>
        <w:t>The Compensation Committee periodically reviews the Company’s compensation policies and programs and makes any modifications that the Committee deems necessary or advisable, subject to the terms of such policies or programs. The Compensation Committee annually reviews and approves the Company’s goals and objectives relevant to the compensation of the NEOs and other employees of the Company. Our Compensation Committee focuses on implementing an overall compensation program that emphasizes pay based on performance and alignment of interests with stockholders.</w:t>
      </w:r>
    </w:p>
    <w:p>
      <w:pPr>
        <w:spacing w:after="0" w:line="296"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Role of Management</w:t>
      </w:r>
    </w:p>
    <w:p>
      <w:pPr>
        <w:spacing w:after="0" w:line="117" w:lineRule="exact"/>
        <w:rPr>
          <w:sz w:val="20"/>
          <w:szCs w:val="20"/>
          <w:color w:val="auto"/>
        </w:rPr>
      </w:pPr>
    </w:p>
    <w:p>
      <w:pPr>
        <w:ind w:left="120" w:right="100" w:firstLine="881"/>
        <w:spacing w:after="0" w:line="254" w:lineRule="auto"/>
        <w:rPr>
          <w:sz w:val="20"/>
          <w:szCs w:val="20"/>
          <w:color w:val="auto"/>
        </w:rPr>
      </w:pPr>
      <w:r>
        <w:rPr>
          <w:rFonts w:ascii="Arial" w:cs="Arial" w:eastAsia="Arial" w:hAnsi="Arial"/>
          <w:sz w:val="18"/>
          <w:szCs w:val="18"/>
          <w:color w:val="auto"/>
        </w:rPr>
        <w:t>All compensation decisions related to our executive officers are at the discretion of the Compensation Committee or independent directors of our Board. The Compensation Committee considers the advice and counsel of the CEO when evaluating compensation of the other NEOs given his direct day-to-day working and supervisory relationship with those executives. Taking this feedback into consideration, the Compensation Committee engages in discussions and either determines the compensation of our NEOs or, with respect to the CEO or otherwise at its option, makes a final recommendation to the Board related to compensation paid to NEOs. Our CEO is not present and does not participate in the portions of meetings of the Compensation Committee or of the Board at which his performance is evaluated and his compensation is discussed and determined; only independent directors participate in such matters.</w:t>
      </w:r>
    </w:p>
    <w:p>
      <w:pPr>
        <w:spacing w:after="0" w:line="123"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56</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20"/>
          </w:cols>
          <w:pgMar w:left="320" w:top="459" w:right="459" w:bottom="1440" w:gutter="0" w:footer="0" w:header="0"/>
        </w:sectPr>
      </w:pPr>
    </w:p>
    <w:bookmarkStart w:id="69" w:name="page70"/>
    <w:bookmarkEnd w:id="6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7">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8">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Role of the Independent Compensation Consultant</w:t>
      </w:r>
    </w:p>
    <w:p>
      <w:pPr>
        <w:spacing w:after="0" w:line="117" w:lineRule="exact"/>
        <w:rPr>
          <w:sz w:val="20"/>
          <w:szCs w:val="20"/>
          <w:color w:val="auto"/>
        </w:rPr>
      </w:pPr>
    </w:p>
    <w:p>
      <w:pPr>
        <w:ind w:left="120" w:right="160" w:firstLine="881"/>
        <w:spacing w:after="0" w:line="271" w:lineRule="auto"/>
        <w:rPr>
          <w:sz w:val="20"/>
          <w:szCs w:val="20"/>
          <w:color w:val="auto"/>
        </w:rPr>
      </w:pPr>
      <w:r>
        <w:rPr>
          <w:rFonts w:ascii="Arial" w:cs="Arial" w:eastAsia="Arial" w:hAnsi="Arial"/>
          <w:sz w:val="17"/>
          <w:szCs w:val="17"/>
          <w:color w:val="auto"/>
        </w:rPr>
        <w:t>Under its charter, the Compensation Committee has the authority to select, retain, and terminate compensation consultants. The Compensation Committee has retained FW Cook to provide advice and counsel on executive compensation opportunities and program design and structure. Representatives of FW Cook attended certain meetings of the Compensation Committee, including meeting with members of the Compensation Committee without members of management present. FW Cook assisted the Compensation Committee in its analysis and evaluation of our initial executive compensation program, practices, and communications, and provided the Compensation Committee with market data and analysis of certain comparator companies who hire personnel and executives with similar skills and experience as our executive management team. FW Cook also provided assistance with our Corporate Scorecard, our long-term incentive awards, the setting of measures for performance-based incentive compensation, and other work that has informed executive compensation decisions.</w:t>
      </w:r>
    </w:p>
    <w:p>
      <w:pPr>
        <w:spacing w:after="0" w:line="286"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Risk Assessment and Compensation</w:t>
      </w:r>
    </w:p>
    <w:p>
      <w:pPr>
        <w:spacing w:after="0" w:line="117" w:lineRule="exact"/>
        <w:rPr>
          <w:sz w:val="20"/>
          <w:szCs w:val="20"/>
          <w:color w:val="auto"/>
        </w:rPr>
      </w:pPr>
    </w:p>
    <w:p>
      <w:pPr>
        <w:ind w:left="120" w:right="80" w:firstLine="881"/>
        <w:spacing w:after="0" w:line="288" w:lineRule="auto"/>
        <w:rPr>
          <w:sz w:val="20"/>
          <w:szCs w:val="20"/>
          <w:color w:val="auto"/>
        </w:rPr>
      </w:pPr>
      <w:r>
        <w:rPr>
          <w:rFonts w:ascii="Arial" w:cs="Arial" w:eastAsia="Arial" w:hAnsi="Arial"/>
          <w:sz w:val="16"/>
          <w:szCs w:val="16"/>
          <w:color w:val="auto"/>
        </w:rPr>
        <w:t>The Compensation Committee regularly monitors the risks and rewards associated with our compensation program. The Compensation Committee established our compensation program with the intent to align our interests with stockholders and prevent unnecessary or excessive risk-taking. We believe that our compensation policies and practices are well balanced and designed to avoid creating incentives that encourage unnecessary or excessive risks that could potentially have a material adverse effect on the Company. We use variable compensation for all of our NEOs, with a focus on performance. We have designed a compensation program with a mix of short- and long-term incentives to ensure management focuses on the long-term impact of short-term decisions and that management’s interests are aligned with stockholders. Compliance with the operational risk management guidelines designed to address excessive risk taking and approved by our Board is an integral part of the strategic and operational objectives of the Corporate Scorecard used for short-term incentive compensation decisions. The Compensation Committee continually assesses our executive compensation programs and has implemented additional policies and practices that we believe have further mitigated compensation driven risk, including the adoption of a clawback policy and senior executive officer stock ownership guidelines.</w:t>
      </w:r>
    </w:p>
    <w:p>
      <w:pPr>
        <w:spacing w:after="0" w:line="272"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Other Compensation Policies and Practices</w:t>
      </w:r>
    </w:p>
    <w:p>
      <w:pPr>
        <w:spacing w:after="0" w:line="121"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Stock Ownership Guidelines</w:t>
      </w:r>
    </w:p>
    <w:p>
      <w:pPr>
        <w:spacing w:after="0" w:line="117" w:lineRule="exact"/>
        <w:rPr>
          <w:sz w:val="20"/>
          <w:szCs w:val="20"/>
          <w:color w:val="auto"/>
        </w:rPr>
      </w:pPr>
    </w:p>
    <w:p>
      <w:pPr>
        <w:ind w:left="120" w:right="20" w:firstLine="881"/>
        <w:spacing w:after="0" w:line="289" w:lineRule="auto"/>
        <w:rPr>
          <w:sz w:val="20"/>
          <w:szCs w:val="20"/>
          <w:color w:val="auto"/>
        </w:rPr>
      </w:pPr>
      <w:r>
        <w:rPr>
          <w:rFonts w:ascii="Arial" w:cs="Arial" w:eastAsia="Arial" w:hAnsi="Arial"/>
          <w:sz w:val="16"/>
          <w:szCs w:val="16"/>
          <w:color w:val="auto"/>
        </w:rPr>
        <w:t>We have adopted stock ownership guidelines for our executive officers requiring them to own, within five years of adoption of the policy or becoming subject to the policy, a minimum number of shares of our common stock based on a multiple of base salary. The requirement is 6x for our CEO and Chief Investment Officer and 3x for our President and any Executive Vice President. In 2020, we expanded the scope of our guidelines to require all other executive officers to own 2x of their base salary. Until the foregoing ownership requirements are met, each is expected to retain at least 50% of the shares of common stock received upon vesting or earn-out of stock-based compensation, net of any shares withheld or sold to pay taxes on such income. Shares of time-vested restricted stock units granted under the 2016 Plan (whether vested, unvested, or subject to a deferral election) are included in determining the number of shares held for this purpose, net of anticipated tax withholdings. Shares of unvested performance-based RSUs are not included for this purpose prior to completion of the applicable performance period. As of February 24, 2020, Mr. Kain held in excess of 35x, Messrs. Federico and Kuehl each held 8x or more, and Mr. Pas held in excess of 2x of their respective 2019 base salary calculated</w:t>
      </w:r>
    </w:p>
    <w:p>
      <w:pPr>
        <w:spacing w:after="0" w:line="94" w:lineRule="exact"/>
        <w:rPr>
          <w:sz w:val="20"/>
          <w:szCs w:val="20"/>
          <w:color w:val="auto"/>
        </w:rPr>
      </w:pPr>
    </w:p>
    <w:p>
      <w:pPr>
        <w:ind w:left="7960"/>
        <w:spacing w:after="0"/>
        <w:tabs>
          <w:tab w:leader="none" w:pos="109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57</w:t>
      </w:r>
    </w:p>
    <w:p>
      <w:pPr>
        <w:sectPr>
          <w:pgSz w:w="11900" w:h="16838" w:orient="portrait"/>
          <w:cols w:equalWidth="0" w:num="1">
            <w:col w:w="11140"/>
          </w:cols>
          <w:pgMar w:left="320" w:top="459" w:right="439" w:bottom="1440" w:gutter="0" w:footer="0" w:header="0"/>
        </w:sectPr>
      </w:pPr>
    </w:p>
    <w:bookmarkStart w:id="70" w:name="page71"/>
    <w:bookmarkEnd w:id="7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9">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0">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120" w:right="120"/>
        <w:spacing w:after="0" w:line="277" w:lineRule="auto"/>
        <w:rPr>
          <w:sz w:val="20"/>
          <w:szCs w:val="20"/>
          <w:color w:val="auto"/>
        </w:rPr>
      </w:pPr>
      <w:r>
        <w:rPr>
          <w:rFonts w:ascii="Arial" w:cs="Arial" w:eastAsia="Arial" w:hAnsi="Arial"/>
          <w:sz w:val="18"/>
          <w:szCs w:val="18"/>
          <w:color w:val="auto"/>
        </w:rPr>
        <w:t>in accordance with our guidelines. As of February 24, 2020, Ms. Bell owned greater than 1x her respective base salary as calculated in accordance with our guidelines and is expected to reach the guideline amount within the phase-in period under the policy.</w:t>
      </w:r>
    </w:p>
    <w:p>
      <w:pPr>
        <w:spacing w:after="0" w:line="170" w:lineRule="exact"/>
        <w:rPr>
          <w:sz w:val="20"/>
          <w:szCs w:val="20"/>
          <w:color w:val="auto"/>
        </w:rPr>
      </w:pPr>
    </w:p>
    <w:p>
      <w:pPr>
        <w:ind w:left="120" w:right="320" w:firstLine="881"/>
        <w:spacing w:after="0" w:line="277" w:lineRule="auto"/>
        <w:rPr>
          <w:sz w:val="20"/>
          <w:szCs w:val="20"/>
          <w:color w:val="auto"/>
        </w:rPr>
      </w:pPr>
      <w:r>
        <w:rPr>
          <w:rFonts w:ascii="Arial" w:cs="Arial" w:eastAsia="Arial" w:hAnsi="Arial"/>
          <w:sz w:val="18"/>
          <w:szCs w:val="18"/>
          <w:color w:val="auto"/>
        </w:rPr>
        <w:t>The following table sets forth the total stock ownership of all our NEOs, including beneficially owned, unvested, and deferred shares, as calculated pursuant to our stock ownership guidelines as of February 24, 2020:</w:t>
      </w:r>
    </w:p>
    <w:p>
      <w:pPr>
        <w:spacing w:after="0" w:line="192" w:lineRule="exact"/>
        <w:rPr>
          <w:sz w:val="20"/>
          <w:szCs w:val="20"/>
          <w:color w:val="auto"/>
        </w:rPr>
      </w:pPr>
    </w:p>
    <w:tbl>
      <w:tblPr>
        <w:tblLayout w:type="fixed"/>
        <w:tblInd w:w="120" w:type="dxa"/>
        <w:tblCellMar>
          <w:top w:w="0" w:type="dxa"/>
          <w:left w:w="0" w:type="dxa"/>
          <w:bottom w:w="0" w:type="dxa"/>
          <w:right w:w="0" w:type="dxa"/>
        </w:tblCellMar>
      </w:tblPr>
      <w:tr>
        <w:trPr>
          <w:trHeight w:val="144"/>
        </w:trPr>
        <w:tc>
          <w:tcPr>
            <w:tcW w:w="3860" w:type="dxa"/>
            <w:vAlign w:val="bottom"/>
            <w:tcBorders>
              <w:top w:val="single" w:sz="8" w:color="407CCA"/>
            </w:tcBorders>
          </w:tcPr>
          <w:p>
            <w:pPr>
              <w:spacing w:after="0"/>
              <w:rPr>
                <w:sz w:val="12"/>
                <w:szCs w:val="12"/>
                <w:color w:val="auto"/>
              </w:rPr>
            </w:pPr>
          </w:p>
        </w:tc>
        <w:tc>
          <w:tcPr>
            <w:tcW w:w="4520" w:type="dxa"/>
            <w:vAlign w:val="bottom"/>
            <w:tcBorders>
              <w:top w:val="single" w:sz="8" w:color="407CCA"/>
            </w:tcBorders>
          </w:tcPr>
          <w:p>
            <w:pPr>
              <w:jc w:val="center"/>
              <w:ind w:left="3000"/>
              <w:spacing w:after="0" w:line="144" w:lineRule="exact"/>
              <w:rPr>
                <w:sz w:val="20"/>
                <w:szCs w:val="20"/>
                <w:color w:val="auto"/>
              </w:rPr>
            </w:pPr>
            <w:r>
              <w:rPr>
                <w:rFonts w:ascii="Arial" w:cs="Arial" w:eastAsia="Arial" w:hAnsi="Arial"/>
                <w:sz w:val="13"/>
                <w:szCs w:val="13"/>
                <w:b w:val="1"/>
                <w:bCs w:val="1"/>
                <w:color w:val="auto"/>
                <w:w w:val="88"/>
              </w:rPr>
              <w:t>Beneficially</w:t>
            </w:r>
          </w:p>
        </w:tc>
        <w:tc>
          <w:tcPr>
            <w:tcW w:w="840" w:type="dxa"/>
            <w:vAlign w:val="bottom"/>
            <w:tcBorders>
              <w:top w:val="single" w:sz="8" w:color="407CCA"/>
            </w:tcBorders>
          </w:tcPr>
          <w:p>
            <w:pPr>
              <w:jc w:val="center"/>
              <w:ind w:right="20"/>
              <w:spacing w:after="0" w:line="144" w:lineRule="exact"/>
              <w:rPr>
                <w:sz w:val="20"/>
                <w:szCs w:val="20"/>
                <w:color w:val="auto"/>
              </w:rPr>
            </w:pPr>
            <w:r>
              <w:rPr>
                <w:rFonts w:ascii="Arial" w:cs="Arial" w:eastAsia="Arial" w:hAnsi="Arial"/>
                <w:sz w:val="13"/>
                <w:szCs w:val="13"/>
                <w:b w:val="1"/>
                <w:bCs w:val="1"/>
                <w:color w:val="auto"/>
                <w:w w:val="85"/>
              </w:rPr>
              <w:t>Unvested</w:t>
            </w:r>
          </w:p>
        </w:tc>
        <w:tc>
          <w:tcPr>
            <w:tcW w:w="860" w:type="dxa"/>
            <w:vAlign w:val="bottom"/>
            <w:tcBorders>
              <w:top w:val="single" w:sz="8" w:color="407CCA"/>
            </w:tcBorders>
          </w:tcPr>
          <w:p>
            <w:pPr>
              <w:jc w:val="center"/>
              <w:ind w:right="20"/>
              <w:spacing w:after="0" w:line="144" w:lineRule="exact"/>
              <w:rPr>
                <w:sz w:val="20"/>
                <w:szCs w:val="20"/>
                <w:color w:val="auto"/>
              </w:rPr>
            </w:pPr>
            <w:r>
              <w:rPr>
                <w:rFonts w:ascii="Arial" w:cs="Arial" w:eastAsia="Arial" w:hAnsi="Arial"/>
                <w:sz w:val="13"/>
                <w:szCs w:val="13"/>
                <w:b w:val="1"/>
                <w:bCs w:val="1"/>
                <w:color w:val="auto"/>
                <w:w w:val="89"/>
              </w:rPr>
              <w:t>Deferred</w:t>
            </w:r>
          </w:p>
        </w:tc>
        <w:tc>
          <w:tcPr>
            <w:tcW w:w="940" w:type="dxa"/>
            <w:vAlign w:val="bottom"/>
            <w:tcBorders>
              <w:top w:val="single" w:sz="8" w:color="407CCA"/>
            </w:tcBorders>
          </w:tcPr>
          <w:p>
            <w:pPr>
              <w:spacing w:after="0"/>
              <w:rPr>
                <w:sz w:val="12"/>
                <w:szCs w:val="12"/>
                <w:color w:val="auto"/>
              </w:rPr>
            </w:pPr>
          </w:p>
        </w:tc>
        <w:tc>
          <w:tcPr>
            <w:tcW w:w="0" w:type="dxa"/>
            <w:vAlign w:val="bottom"/>
          </w:tcPr>
          <w:p>
            <w:pPr>
              <w:spacing w:after="0"/>
              <w:rPr>
                <w:sz w:val="1"/>
                <w:szCs w:val="1"/>
                <w:color w:val="auto"/>
              </w:rPr>
            </w:pPr>
          </w:p>
        </w:tc>
      </w:tr>
      <w:tr>
        <w:trPr>
          <w:trHeight w:val="135"/>
        </w:trPr>
        <w:tc>
          <w:tcPr>
            <w:tcW w:w="3860" w:type="dxa"/>
            <w:vAlign w:val="bottom"/>
            <w:vMerge w:val="restart"/>
          </w:tcPr>
          <w:p>
            <w:pPr>
              <w:ind w:left="80"/>
              <w:spacing w:after="0"/>
              <w:rPr>
                <w:sz w:val="20"/>
                <w:szCs w:val="20"/>
                <w:color w:val="auto"/>
              </w:rPr>
            </w:pPr>
            <w:r>
              <w:rPr>
                <w:rFonts w:ascii="Arial" w:cs="Arial" w:eastAsia="Arial" w:hAnsi="Arial"/>
                <w:sz w:val="18"/>
                <w:szCs w:val="18"/>
                <w:b w:val="1"/>
                <w:bCs w:val="1"/>
                <w:color w:val="auto"/>
              </w:rPr>
              <w:t>Name</w:t>
            </w:r>
          </w:p>
        </w:tc>
        <w:tc>
          <w:tcPr>
            <w:tcW w:w="4520" w:type="dxa"/>
            <w:vAlign w:val="bottom"/>
          </w:tcPr>
          <w:p>
            <w:pPr>
              <w:jc w:val="center"/>
              <w:ind w:left="3020"/>
              <w:spacing w:after="0" w:line="135" w:lineRule="exact"/>
              <w:rPr>
                <w:sz w:val="20"/>
                <w:szCs w:val="20"/>
                <w:color w:val="auto"/>
              </w:rPr>
            </w:pPr>
            <w:r>
              <w:rPr>
                <w:rFonts w:ascii="Arial" w:cs="Arial" w:eastAsia="Arial" w:hAnsi="Arial"/>
                <w:sz w:val="13"/>
                <w:szCs w:val="13"/>
                <w:b w:val="1"/>
                <w:bCs w:val="1"/>
                <w:color w:val="auto"/>
                <w:w w:val="87"/>
              </w:rPr>
              <w:t>Owned</w:t>
            </w:r>
          </w:p>
        </w:tc>
        <w:tc>
          <w:tcPr>
            <w:tcW w:w="84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82"/>
              </w:rPr>
              <w:t>Shares</w:t>
            </w:r>
          </w:p>
        </w:tc>
        <w:tc>
          <w:tcPr>
            <w:tcW w:w="860" w:type="dxa"/>
            <w:vAlign w:val="bottom"/>
          </w:tcPr>
          <w:p>
            <w:pPr>
              <w:jc w:val="center"/>
              <w:ind w:right="20"/>
              <w:spacing w:after="0" w:line="135" w:lineRule="exact"/>
              <w:rPr>
                <w:sz w:val="20"/>
                <w:szCs w:val="20"/>
                <w:color w:val="auto"/>
              </w:rPr>
            </w:pPr>
            <w:r>
              <w:rPr>
                <w:rFonts w:ascii="Arial" w:cs="Arial" w:eastAsia="Arial" w:hAnsi="Arial"/>
                <w:sz w:val="13"/>
                <w:szCs w:val="13"/>
                <w:b w:val="1"/>
                <w:bCs w:val="1"/>
                <w:color w:val="auto"/>
                <w:w w:val="82"/>
              </w:rPr>
              <w:t>Shares</w:t>
            </w:r>
          </w:p>
        </w:tc>
        <w:tc>
          <w:tcPr>
            <w:tcW w:w="940" w:type="dxa"/>
            <w:vAlign w:val="bottom"/>
          </w:tcPr>
          <w:p>
            <w:pPr>
              <w:jc w:val="right"/>
              <w:ind w:right="278"/>
              <w:spacing w:after="0" w:line="135" w:lineRule="exact"/>
              <w:rPr>
                <w:sz w:val="20"/>
                <w:szCs w:val="20"/>
                <w:color w:val="auto"/>
              </w:rPr>
            </w:pPr>
            <w:r>
              <w:rPr>
                <w:rFonts w:ascii="Arial" w:cs="Arial" w:eastAsia="Arial" w:hAnsi="Arial"/>
                <w:sz w:val="13"/>
                <w:szCs w:val="13"/>
                <w:b w:val="1"/>
                <w:bCs w:val="1"/>
                <w:color w:val="auto"/>
              </w:rPr>
              <w:t>Total</w:t>
            </w:r>
          </w:p>
        </w:tc>
        <w:tc>
          <w:tcPr>
            <w:tcW w:w="0" w:type="dxa"/>
            <w:vAlign w:val="bottom"/>
          </w:tcPr>
          <w:p>
            <w:pPr>
              <w:spacing w:after="0"/>
              <w:rPr>
                <w:sz w:val="1"/>
                <w:szCs w:val="1"/>
                <w:color w:val="auto"/>
              </w:rPr>
            </w:pPr>
          </w:p>
        </w:tc>
      </w:tr>
      <w:tr>
        <w:trPr>
          <w:trHeight w:val="153"/>
        </w:trPr>
        <w:tc>
          <w:tcPr>
            <w:tcW w:w="3860" w:type="dxa"/>
            <w:vAlign w:val="bottom"/>
            <w:tcBorders>
              <w:bottom w:val="single" w:sz="8" w:color="407CCA"/>
            </w:tcBorders>
            <w:vMerge w:val="continue"/>
          </w:tcPr>
          <w:p>
            <w:pPr>
              <w:spacing w:after="0"/>
              <w:rPr>
                <w:sz w:val="13"/>
                <w:szCs w:val="13"/>
                <w:color w:val="auto"/>
              </w:rPr>
            </w:pPr>
          </w:p>
        </w:tc>
        <w:tc>
          <w:tcPr>
            <w:tcW w:w="4520" w:type="dxa"/>
            <w:vAlign w:val="bottom"/>
            <w:tcBorders>
              <w:bottom w:val="single" w:sz="8" w:color="407CCA"/>
            </w:tcBorders>
          </w:tcPr>
          <w:p>
            <w:pPr>
              <w:jc w:val="center"/>
              <w:ind w:left="3020"/>
              <w:spacing w:after="0"/>
              <w:rPr>
                <w:sz w:val="20"/>
                <w:szCs w:val="20"/>
                <w:color w:val="auto"/>
              </w:rPr>
            </w:pPr>
            <w:r>
              <w:rPr>
                <w:rFonts w:ascii="Arial" w:cs="Arial" w:eastAsia="Arial" w:hAnsi="Arial"/>
                <w:sz w:val="13"/>
                <w:szCs w:val="13"/>
                <w:b w:val="1"/>
                <w:bCs w:val="1"/>
                <w:color w:val="auto"/>
                <w:w w:val="85"/>
              </w:rPr>
              <w:t>Shares (#)</w:t>
            </w:r>
          </w:p>
        </w:tc>
        <w:tc>
          <w:tcPr>
            <w:tcW w:w="840" w:type="dxa"/>
            <w:vAlign w:val="bottom"/>
            <w:tcBorders>
              <w:bottom w:val="single" w:sz="8" w:color="407CCA"/>
            </w:tcBorders>
          </w:tcPr>
          <w:p>
            <w:pPr>
              <w:jc w:val="center"/>
              <w:spacing w:after="0"/>
              <w:rPr>
                <w:sz w:val="20"/>
                <w:szCs w:val="20"/>
                <w:color w:val="auto"/>
              </w:rPr>
            </w:pPr>
            <w:r>
              <w:rPr>
                <w:rFonts w:ascii="Arial" w:cs="Arial" w:eastAsia="Arial" w:hAnsi="Arial"/>
                <w:sz w:val="13"/>
                <w:szCs w:val="13"/>
                <w:b w:val="1"/>
                <w:bCs w:val="1"/>
                <w:color w:val="auto"/>
                <w:w w:val="99"/>
              </w:rPr>
              <w:t>(#)</w:t>
            </w:r>
            <w:r>
              <w:rPr>
                <w:rFonts w:ascii="Arial" w:cs="Arial" w:eastAsia="Arial" w:hAnsi="Arial"/>
                <w:sz w:val="10"/>
                <w:szCs w:val="10"/>
                <w:b w:val="1"/>
                <w:bCs w:val="1"/>
                <w:color w:val="auto"/>
                <w:w w:val="99"/>
              </w:rPr>
              <w:t>(2)</w:t>
            </w:r>
          </w:p>
        </w:tc>
        <w:tc>
          <w:tcPr>
            <w:tcW w:w="860" w:type="dxa"/>
            <w:vAlign w:val="bottom"/>
            <w:tcBorders>
              <w:bottom w:val="single" w:sz="8" w:color="407CCA"/>
            </w:tcBorders>
          </w:tcPr>
          <w:p>
            <w:pPr>
              <w:jc w:val="center"/>
              <w:ind w:right="20"/>
              <w:spacing w:after="0"/>
              <w:rPr>
                <w:sz w:val="20"/>
                <w:szCs w:val="20"/>
                <w:color w:val="auto"/>
              </w:rPr>
            </w:pPr>
            <w:r>
              <w:rPr>
                <w:rFonts w:ascii="Arial" w:cs="Arial" w:eastAsia="Arial" w:hAnsi="Arial"/>
                <w:sz w:val="13"/>
                <w:szCs w:val="13"/>
                <w:b w:val="1"/>
                <w:bCs w:val="1"/>
                <w:color w:val="auto"/>
                <w:w w:val="99"/>
              </w:rPr>
              <w:t>(#)</w:t>
            </w:r>
            <w:r>
              <w:rPr>
                <w:rFonts w:ascii="Arial" w:cs="Arial" w:eastAsia="Arial" w:hAnsi="Arial"/>
                <w:sz w:val="10"/>
                <w:szCs w:val="10"/>
                <w:b w:val="1"/>
                <w:bCs w:val="1"/>
                <w:color w:val="auto"/>
                <w:w w:val="99"/>
              </w:rPr>
              <w:t>(2)</w:t>
            </w:r>
          </w:p>
        </w:tc>
        <w:tc>
          <w:tcPr>
            <w:tcW w:w="940" w:type="dxa"/>
            <w:vAlign w:val="bottom"/>
            <w:tcBorders>
              <w:bottom w:val="single" w:sz="8" w:color="407CCA"/>
            </w:tcBorders>
          </w:tcPr>
          <w:p>
            <w:pPr>
              <w:jc w:val="right"/>
              <w:ind w:right="338"/>
              <w:spacing w:after="0"/>
              <w:rPr>
                <w:sz w:val="20"/>
                <w:szCs w:val="20"/>
                <w:color w:val="auto"/>
              </w:rPr>
            </w:pPr>
            <w:r>
              <w:rPr>
                <w:rFonts w:ascii="Arial" w:cs="Arial" w:eastAsia="Arial" w:hAnsi="Arial"/>
                <w:sz w:val="13"/>
                <w:szCs w:val="13"/>
                <w:b w:val="1"/>
                <w:bCs w:val="1"/>
                <w:color w:val="auto"/>
              </w:rPr>
              <w:t>(#)</w:t>
            </w:r>
          </w:p>
        </w:tc>
        <w:tc>
          <w:tcPr>
            <w:tcW w:w="0" w:type="dxa"/>
            <w:vAlign w:val="bottom"/>
          </w:tcPr>
          <w:p>
            <w:pPr>
              <w:spacing w:after="0"/>
              <w:rPr>
                <w:sz w:val="1"/>
                <w:szCs w:val="1"/>
                <w:color w:val="auto"/>
              </w:rPr>
            </w:pPr>
          </w:p>
        </w:tc>
      </w:tr>
      <w:tr>
        <w:trPr>
          <w:trHeight w:val="209"/>
        </w:trPr>
        <w:tc>
          <w:tcPr>
            <w:tcW w:w="386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Gary D. Kain</w:t>
            </w:r>
          </w:p>
        </w:tc>
        <w:tc>
          <w:tcPr>
            <w:tcW w:w="4520" w:type="dxa"/>
            <w:vAlign w:val="bottom"/>
            <w:shd w:val="clear" w:color="auto" w:fill="CCEEFF"/>
          </w:tcPr>
          <w:p>
            <w:pPr>
              <w:jc w:val="right"/>
              <w:ind w:right="60"/>
              <w:spacing w:after="0"/>
              <w:rPr>
                <w:sz w:val="20"/>
                <w:szCs w:val="20"/>
                <w:color w:val="auto"/>
              </w:rPr>
            </w:pPr>
            <w:r>
              <w:rPr>
                <w:rFonts w:ascii="Arial" w:cs="Arial" w:eastAsia="Arial" w:hAnsi="Arial"/>
                <w:sz w:val="18"/>
                <w:szCs w:val="18"/>
                <w:color w:val="auto"/>
              </w:rPr>
              <w:t>1,126,296</w:t>
            </w:r>
            <w:r>
              <w:rPr>
                <w:rFonts w:ascii="Arial" w:cs="Arial" w:eastAsia="Arial" w:hAnsi="Arial"/>
                <w:sz w:val="15"/>
                <w:szCs w:val="15"/>
                <w:color w:val="auto"/>
              </w:rPr>
              <w:t>(1)</w:t>
            </w:r>
          </w:p>
        </w:tc>
        <w:tc>
          <w:tcPr>
            <w:tcW w:w="840" w:type="dxa"/>
            <w:vAlign w:val="bottom"/>
            <w:shd w:val="clear" w:color="auto" w:fill="CCEEFF"/>
          </w:tcPr>
          <w:p>
            <w:pPr>
              <w:jc w:val="right"/>
              <w:ind w:right="40"/>
              <w:spacing w:after="0"/>
              <w:rPr>
                <w:sz w:val="20"/>
                <w:szCs w:val="20"/>
                <w:color w:val="auto"/>
              </w:rPr>
            </w:pPr>
            <w:r>
              <w:rPr>
                <w:rFonts w:ascii="Arial" w:cs="Arial" w:eastAsia="Arial" w:hAnsi="Arial"/>
                <w:sz w:val="18"/>
                <w:szCs w:val="18"/>
                <w:color w:val="auto"/>
              </w:rPr>
              <w:t>445,858</w:t>
            </w:r>
          </w:p>
        </w:tc>
        <w:tc>
          <w:tcPr>
            <w:tcW w:w="860" w:type="dxa"/>
            <w:vAlign w:val="bottom"/>
            <w:shd w:val="clear" w:color="auto" w:fill="CCEEFF"/>
          </w:tcPr>
          <w:p>
            <w:pPr>
              <w:jc w:val="right"/>
              <w:ind w:right="60"/>
              <w:spacing w:after="0"/>
              <w:rPr>
                <w:sz w:val="20"/>
                <w:szCs w:val="20"/>
                <w:color w:val="auto"/>
              </w:rPr>
            </w:pPr>
            <w:r>
              <w:rPr>
                <w:rFonts w:ascii="Arial" w:cs="Arial" w:eastAsia="Arial" w:hAnsi="Arial"/>
                <w:sz w:val="18"/>
                <w:szCs w:val="18"/>
                <w:color w:val="auto"/>
              </w:rPr>
              <w:t>167,152</w:t>
            </w:r>
          </w:p>
        </w:tc>
        <w:tc>
          <w:tcPr>
            <w:tcW w:w="9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1,739,306</w:t>
            </w:r>
          </w:p>
        </w:tc>
        <w:tc>
          <w:tcPr>
            <w:tcW w:w="0" w:type="dxa"/>
            <w:vAlign w:val="bottom"/>
          </w:tcPr>
          <w:p>
            <w:pPr>
              <w:spacing w:after="0"/>
              <w:rPr>
                <w:sz w:val="1"/>
                <w:szCs w:val="1"/>
                <w:color w:val="auto"/>
              </w:rPr>
            </w:pPr>
          </w:p>
        </w:tc>
      </w:tr>
      <w:tr>
        <w:trPr>
          <w:trHeight w:val="216"/>
        </w:trPr>
        <w:tc>
          <w:tcPr>
            <w:tcW w:w="3860" w:type="dxa"/>
            <w:vAlign w:val="bottom"/>
          </w:tcPr>
          <w:p>
            <w:pPr>
              <w:ind w:left="80"/>
              <w:spacing w:after="0"/>
              <w:rPr>
                <w:sz w:val="20"/>
                <w:szCs w:val="20"/>
                <w:color w:val="auto"/>
              </w:rPr>
            </w:pPr>
            <w:r>
              <w:rPr>
                <w:rFonts w:ascii="Arial" w:cs="Arial" w:eastAsia="Arial" w:hAnsi="Arial"/>
                <w:sz w:val="18"/>
                <w:szCs w:val="18"/>
                <w:b w:val="1"/>
                <w:bCs w:val="1"/>
                <w:color w:val="auto"/>
              </w:rPr>
              <w:t>Peter J. Federico</w:t>
            </w:r>
          </w:p>
        </w:tc>
        <w:tc>
          <w:tcPr>
            <w:tcW w:w="4520" w:type="dxa"/>
            <w:vAlign w:val="bottom"/>
          </w:tcPr>
          <w:p>
            <w:pPr>
              <w:jc w:val="right"/>
              <w:ind w:right="240"/>
              <w:spacing w:after="0"/>
              <w:rPr>
                <w:sz w:val="20"/>
                <w:szCs w:val="20"/>
                <w:color w:val="auto"/>
              </w:rPr>
            </w:pPr>
            <w:r>
              <w:rPr>
                <w:rFonts w:ascii="Arial" w:cs="Arial" w:eastAsia="Arial" w:hAnsi="Arial"/>
                <w:sz w:val="18"/>
                <w:szCs w:val="18"/>
                <w:color w:val="auto"/>
              </w:rPr>
              <w:t>284,289</w:t>
            </w:r>
          </w:p>
        </w:tc>
        <w:tc>
          <w:tcPr>
            <w:tcW w:w="840" w:type="dxa"/>
            <w:vAlign w:val="bottom"/>
          </w:tcPr>
          <w:p>
            <w:pPr>
              <w:jc w:val="right"/>
              <w:ind w:right="40"/>
              <w:spacing w:after="0"/>
              <w:rPr>
                <w:sz w:val="20"/>
                <w:szCs w:val="20"/>
                <w:color w:val="auto"/>
              </w:rPr>
            </w:pPr>
            <w:r>
              <w:rPr>
                <w:rFonts w:ascii="Arial" w:cs="Arial" w:eastAsia="Arial" w:hAnsi="Arial"/>
                <w:sz w:val="18"/>
                <w:szCs w:val="18"/>
                <w:color w:val="auto"/>
              </w:rPr>
              <w:t>130,923</w:t>
            </w:r>
          </w:p>
        </w:tc>
        <w:tc>
          <w:tcPr>
            <w:tcW w:w="860" w:type="dxa"/>
            <w:vAlign w:val="bottom"/>
          </w:tcPr>
          <w:p>
            <w:pPr>
              <w:jc w:val="right"/>
              <w:ind w:right="60"/>
              <w:spacing w:after="0"/>
              <w:rPr>
                <w:sz w:val="20"/>
                <w:szCs w:val="20"/>
                <w:color w:val="auto"/>
              </w:rPr>
            </w:pPr>
            <w:r>
              <w:rPr>
                <w:rFonts w:ascii="Arial" w:cs="Arial" w:eastAsia="Arial" w:hAnsi="Arial"/>
                <w:sz w:val="18"/>
                <w:szCs w:val="18"/>
                <w:color w:val="auto"/>
              </w:rPr>
              <w:t>30,837</w:t>
            </w:r>
          </w:p>
        </w:tc>
        <w:tc>
          <w:tcPr>
            <w:tcW w:w="940" w:type="dxa"/>
            <w:vAlign w:val="bottom"/>
          </w:tcPr>
          <w:p>
            <w:pPr>
              <w:jc w:val="right"/>
              <w:spacing w:after="0"/>
              <w:rPr>
                <w:sz w:val="20"/>
                <w:szCs w:val="20"/>
                <w:color w:val="auto"/>
              </w:rPr>
            </w:pPr>
            <w:r>
              <w:rPr>
                <w:rFonts w:ascii="Arial" w:cs="Arial" w:eastAsia="Arial" w:hAnsi="Arial"/>
                <w:sz w:val="18"/>
                <w:szCs w:val="18"/>
                <w:color w:val="auto"/>
              </w:rPr>
              <w:t>446,049</w:t>
            </w:r>
          </w:p>
        </w:tc>
        <w:tc>
          <w:tcPr>
            <w:tcW w:w="0" w:type="dxa"/>
            <w:vAlign w:val="bottom"/>
          </w:tcPr>
          <w:p>
            <w:pPr>
              <w:spacing w:after="0"/>
              <w:rPr>
                <w:sz w:val="1"/>
                <w:szCs w:val="1"/>
                <w:color w:val="auto"/>
              </w:rPr>
            </w:pPr>
          </w:p>
        </w:tc>
      </w:tr>
      <w:tr>
        <w:trPr>
          <w:trHeight w:val="216"/>
        </w:trPr>
        <w:tc>
          <w:tcPr>
            <w:tcW w:w="386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Christopher J. Kuehl</w:t>
            </w:r>
          </w:p>
        </w:tc>
        <w:tc>
          <w:tcPr>
            <w:tcW w:w="4520" w:type="dxa"/>
            <w:vAlign w:val="bottom"/>
            <w:shd w:val="clear" w:color="auto" w:fill="CCEEFF"/>
          </w:tcPr>
          <w:p>
            <w:pPr>
              <w:jc w:val="right"/>
              <w:ind w:right="240"/>
              <w:spacing w:after="0"/>
              <w:rPr>
                <w:sz w:val="20"/>
                <w:szCs w:val="20"/>
                <w:color w:val="auto"/>
              </w:rPr>
            </w:pPr>
            <w:r>
              <w:rPr>
                <w:rFonts w:ascii="Arial" w:cs="Arial" w:eastAsia="Arial" w:hAnsi="Arial"/>
                <w:sz w:val="18"/>
                <w:szCs w:val="18"/>
                <w:color w:val="auto"/>
              </w:rPr>
              <w:t>300,839</w:t>
            </w:r>
          </w:p>
        </w:tc>
        <w:tc>
          <w:tcPr>
            <w:tcW w:w="840" w:type="dxa"/>
            <w:vAlign w:val="bottom"/>
            <w:shd w:val="clear" w:color="auto" w:fill="CCEEFF"/>
          </w:tcPr>
          <w:p>
            <w:pPr>
              <w:jc w:val="right"/>
              <w:ind w:right="40"/>
              <w:spacing w:after="0"/>
              <w:rPr>
                <w:sz w:val="20"/>
                <w:szCs w:val="20"/>
                <w:color w:val="auto"/>
              </w:rPr>
            </w:pPr>
            <w:r>
              <w:rPr>
                <w:rFonts w:ascii="Arial" w:cs="Arial" w:eastAsia="Arial" w:hAnsi="Arial"/>
                <w:sz w:val="18"/>
                <w:szCs w:val="18"/>
                <w:color w:val="auto"/>
              </w:rPr>
              <w:t>94,886</w:t>
            </w:r>
          </w:p>
        </w:tc>
        <w:tc>
          <w:tcPr>
            <w:tcW w:w="860" w:type="dxa"/>
            <w:vAlign w:val="bottom"/>
            <w:shd w:val="clear" w:color="auto" w:fill="CCEEFF"/>
          </w:tcPr>
          <w:p>
            <w:pPr>
              <w:jc w:val="right"/>
              <w:ind w:right="60"/>
              <w:spacing w:after="0"/>
              <w:rPr>
                <w:sz w:val="20"/>
                <w:szCs w:val="20"/>
                <w:color w:val="auto"/>
              </w:rPr>
            </w:pPr>
            <w:r>
              <w:rPr>
                <w:rFonts w:ascii="Arial" w:cs="Arial" w:eastAsia="Arial" w:hAnsi="Arial"/>
                <w:sz w:val="18"/>
                <w:szCs w:val="18"/>
                <w:color w:val="auto"/>
              </w:rPr>
              <w:t>9,561</w:t>
            </w:r>
          </w:p>
        </w:tc>
        <w:tc>
          <w:tcPr>
            <w:tcW w:w="9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405,285</w:t>
            </w:r>
          </w:p>
        </w:tc>
        <w:tc>
          <w:tcPr>
            <w:tcW w:w="0" w:type="dxa"/>
            <w:vAlign w:val="bottom"/>
          </w:tcPr>
          <w:p>
            <w:pPr>
              <w:spacing w:after="0"/>
              <w:rPr>
                <w:sz w:val="1"/>
                <w:szCs w:val="1"/>
                <w:color w:val="auto"/>
              </w:rPr>
            </w:pPr>
          </w:p>
        </w:tc>
      </w:tr>
      <w:tr>
        <w:trPr>
          <w:trHeight w:val="216"/>
        </w:trPr>
        <w:tc>
          <w:tcPr>
            <w:tcW w:w="3860" w:type="dxa"/>
            <w:vAlign w:val="bottom"/>
          </w:tcPr>
          <w:p>
            <w:pPr>
              <w:ind w:left="80"/>
              <w:spacing w:after="0"/>
              <w:rPr>
                <w:sz w:val="20"/>
                <w:szCs w:val="20"/>
                <w:color w:val="auto"/>
              </w:rPr>
            </w:pPr>
            <w:r>
              <w:rPr>
                <w:rFonts w:ascii="Arial" w:cs="Arial" w:eastAsia="Arial" w:hAnsi="Arial"/>
                <w:sz w:val="18"/>
                <w:szCs w:val="18"/>
                <w:b w:val="1"/>
                <w:bCs w:val="1"/>
                <w:color w:val="auto"/>
              </w:rPr>
              <w:t>Bernice E. Bell</w:t>
            </w:r>
          </w:p>
        </w:tc>
        <w:tc>
          <w:tcPr>
            <w:tcW w:w="4520" w:type="dxa"/>
            <w:vAlign w:val="bottom"/>
          </w:tcPr>
          <w:p>
            <w:pPr>
              <w:jc w:val="right"/>
              <w:ind w:right="240"/>
              <w:spacing w:after="0"/>
              <w:rPr>
                <w:sz w:val="20"/>
                <w:szCs w:val="20"/>
                <w:color w:val="auto"/>
              </w:rPr>
            </w:pPr>
            <w:r>
              <w:rPr>
                <w:rFonts w:ascii="Arial" w:cs="Arial" w:eastAsia="Arial" w:hAnsi="Arial"/>
                <w:sz w:val="18"/>
                <w:szCs w:val="18"/>
                <w:color w:val="auto"/>
              </w:rPr>
              <w:t>6,521</w:t>
            </w:r>
          </w:p>
        </w:tc>
        <w:tc>
          <w:tcPr>
            <w:tcW w:w="840" w:type="dxa"/>
            <w:vAlign w:val="bottom"/>
          </w:tcPr>
          <w:p>
            <w:pPr>
              <w:jc w:val="right"/>
              <w:ind w:right="40"/>
              <w:spacing w:after="0"/>
              <w:rPr>
                <w:sz w:val="20"/>
                <w:szCs w:val="20"/>
                <w:color w:val="auto"/>
              </w:rPr>
            </w:pPr>
            <w:r>
              <w:rPr>
                <w:rFonts w:ascii="Arial" w:cs="Arial" w:eastAsia="Arial" w:hAnsi="Arial"/>
                <w:sz w:val="18"/>
                <w:szCs w:val="18"/>
                <w:color w:val="auto"/>
              </w:rPr>
              <w:t>32,609</w:t>
            </w:r>
          </w:p>
        </w:tc>
        <w:tc>
          <w:tcPr>
            <w:tcW w:w="860" w:type="dxa"/>
            <w:vAlign w:val="bottom"/>
          </w:tcPr>
          <w:p>
            <w:pPr>
              <w:jc w:val="right"/>
              <w:ind w:right="60"/>
              <w:spacing w:after="0"/>
              <w:rPr>
                <w:sz w:val="20"/>
                <w:szCs w:val="20"/>
                <w:color w:val="auto"/>
              </w:rPr>
            </w:pPr>
            <w:r>
              <w:rPr>
                <w:rFonts w:ascii="Arial" w:cs="Arial" w:eastAsia="Arial" w:hAnsi="Arial"/>
                <w:sz w:val="18"/>
                <w:szCs w:val="18"/>
                <w:color w:val="auto"/>
              </w:rPr>
              <w:t>9,860</w:t>
            </w:r>
          </w:p>
        </w:tc>
        <w:tc>
          <w:tcPr>
            <w:tcW w:w="940" w:type="dxa"/>
            <w:vAlign w:val="bottom"/>
          </w:tcPr>
          <w:p>
            <w:pPr>
              <w:jc w:val="right"/>
              <w:spacing w:after="0"/>
              <w:rPr>
                <w:sz w:val="20"/>
                <w:szCs w:val="20"/>
                <w:color w:val="auto"/>
              </w:rPr>
            </w:pPr>
            <w:r>
              <w:rPr>
                <w:rFonts w:ascii="Arial" w:cs="Arial" w:eastAsia="Arial" w:hAnsi="Arial"/>
                <w:sz w:val="18"/>
                <w:szCs w:val="18"/>
                <w:color w:val="auto"/>
              </w:rPr>
              <w:t>48,990</w:t>
            </w:r>
          </w:p>
        </w:tc>
        <w:tc>
          <w:tcPr>
            <w:tcW w:w="0" w:type="dxa"/>
            <w:vAlign w:val="bottom"/>
          </w:tcPr>
          <w:p>
            <w:pPr>
              <w:spacing w:after="0"/>
              <w:rPr>
                <w:sz w:val="1"/>
                <w:szCs w:val="1"/>
                <w:color w:val="auto"/>
              </w:rPr>
            </w:pPr>
          </w:p>
        </w:tc>
      </w:tr>
      <w:tr>
        <w:trPr>
          <w:trHeight w:val="216"/>
        </w:trPr>
        <w:tc>
          <w:tcPr>
            <w:tcW w:w="3860" w:type="dxa"/>
            <w:vAlign w:val="bottom"/>
            <w:tcBorders>
              <w:bottom w:val="single" w:sz="8" w:color="407CCA"/>
            </w:tcBorders>
            <w:shd w:val="clear" w:color="auto" w:fill="CCEEFF"/>
          </w:tcPr>
          <w:p>
            <w:pPr>
              <w:ind w:left="80"/>
              <w:spacing w:after="0"/>
              <w:rPr>
                <w:sz w:val="20"/>
                <w:szCs w:val="20"/>
                <w:color w:val="auto"/>
              </w:rPr>
            </w:pPr>
            <w:r>
              <w:rPr>
                <w:rFonts w:ascii="Arial" w:cs="Arial" w:eastAsia="Arial" w:hAnsi="Arial"/>
                <w:sz w:val="18"/>
                <w:szCs w:val="18"/>
                <w:b w:val="1"/>
                <w:bCs w:val="1"/>
                <w:color w:val="auto"/>
              </w:rPr>
              <w:t>Aaron J. Pas</w:t>
            </w:r>
          </w:p>
        </w:tc>
        <w:tc>
          <w:tcPr>
            <w:tcW w:w="4520" w:type="dxa"/>
            <w:vAlign w:val="bottom"/>
            <w:tcBorders>
              <w:bottom w:val="single" w:sz="8" w:color="407CCA"/>
            </w:tcBorders>
            <w:shd w:val="clear" w:color="auto" w:fill="CCEEFF"/>
          </w:tcPr>
          <w:p>
            <w:pPr>
              <w:jc w:val="right"/>
              <w:ind w:right="460"/>
              <w:spacing w:after="0"/>
              <w:rPr>
                <w:sz w:val="20"/>
                <w:szCs w:val="20"/>
                <w:color w:val="auto"/>
              </w:rPr>
            </w:pPr>
            <w:r>
              <w:rPr>
                <w:rFonts w:ascii="Arial" w:cs="Arial" w:eastAsia="Arial" w:hAnsi="Arial"/>
                <w:sz w:val="18"/>
                <w:szCs w:val="18"/>
                <w:color w:val="auto"/>
              </w:rPr>
              <w:t>–</w:t>
            </w:r>
          </w:p>
        </w:tc>
        <w:tc>
          <w:tcPr>
            <w:tcW w:w="840" w:type="dxa"/>
            <w:vAlign w:val="bottom"/>
            <w:tcBorders>
              <w:bottom w:val="single" w:sz="8" w:color="407CCA"/>
            </w:tcBorders>
            <w:shd w:val="clear" w:color="auto" w:fill="CCEEFF"/>
          </w:tcPr>
          <w:p>
            <w:pPr>
              <w:jc w:val="right"/>
              <w:ind w:right="40"/>
              <w:spacing w:after="0"/>
              <w:rPr>
                <w:sz w:val="20"/>
                <w:szCs w:val="20"/>
                <w:color w:val="auto"/>
              </w:rPr>
            </w:pPr>
            <w:r>
              <w:rPr>
                <w:rFonts w:ascii="Arial" w:cs="Arial" w:eastAsia="Arial" w:hAnsi="Arial"/>
                <w:sz w:val="18"/>
                <w:szCs w:val="18"/>
                <w:color w:val="auto"/>
              </w:rPr>
              <w:t>37,654</w:t>
            </w:r>
          </w:p>
        </w:tc>
        <w:tc>
          <w:tcPr>
            <w:tcW w:w="860" w:type="dxa"/>
            <w:vAlign w:val="bottom"/>
            <w:tcBorders>
              <w:bottom w:val="single" w:sz="8" w:color="407CCA"/>
            </w:tcBorders>
            <w:shd w:val="clear" w:color="auto" w:fill="CCEEFF"/>
          </w:tcPr>
          <w:p>
            <w:pPr>
              <w:jc w:val="right"/>
              <w:ind w:right="60"/>
              <w:spacing w:after="0"/>
              <w:rPr>
                <w:sz w:val="20"/>
                <w:szCs w:val="20"/>
                <w:color w:val="auto"/>
              </w:rPr>
            </w:pPr>
            <w:r>
              <w:rPr>
                <w:rFonts w:ascii="Arial" w:cs="Arial" w:eastAsia="Arial" w:hAnsi="Arial"/>
                <w:sz w:val="18"/>
                <w:szCs w:val="18"/>
                <w:color w:val="auto"/>
              </w:rPr>
              <w:t>17,455</w:t>
            </w:r>
          </w:p>
        </w:tc>
        <w:tc>
          <w:tcPr>
            <w:tcW w:w="940" w:type="dxa"/>
            <w:vAlign w:val="bottom"/>
            <w:tcBorders>
              <w:bottom w:val="single" w:sz="8" w:color="407CCA"/>
            </w:tcBorders>
            <w:shd w:val="clear" w:color="auto" w:fill="CCEEFF"/>
          </w:tcPr>
          <w:p>
            <w:pPr>
              <w:jc w:val="right"/>
              <w:spacing w:after="0"/>
              <w:rPr>
                <w:sz w:val="20"/>
                <w:szCs w:val="20"/>
                <w:color w:val="auto"/>
              </w:rPr>
            </w:pPr>
            <w:r>
              <w:rPr>
                <w:rFonts w:ascii="Arial" w:cs="Arial" w:eastAsia="Arial" w:hAnsi="Arial"/>
                <w:sz w:val="18"/>
                <w:szCs w:val="18"/>
                <w:color w:val="auto"/>
              </w:rPr>
              <w:t>55,109</w:t>
            </w:r>
          </w:p>
        </w:tc>
        <w:tc>
          <w:tcPr>
            <w:tcW w:w="0" w:type="dxa"/>
            <w:vAlign w:val="bottom"/>
          </w:tcPr>
          <w:p>
            <w:pPr>
              <w:spacing w:after="0"/>
              <w:rPr>
                <w:sz w:val="1"/>
                <w:szCs w:val="1"/>
                <w:color w:val="auto"/>
              </w:rPr>
            </w:pPr>
          </w:p>
        </w:tc>
      </w:tr>
      <w:tr>
        <w:trPr>
          <w:trHeight w:val="128"/>
        </w:trPr>
        <w:tc>
          <w:tcPr>
            <w:tcW w:w="3860" w:type="dxa"/>
            <w:vAlign w:val="bottom"/>
            <w:tcBorders>
              <w:bottom w:val="single" w:sz="8" w:color="auto"/>
            </w:tcBorders>
          </w:tcPr>
          <w:p>
            <w:pPr>
              <w:spacing w:after="0"/>
              <w:rPr>
                <w:sz w:val="11"/>
                <w:szCs w:val="11"/>
                <w:color w:val="auto"/>
              </w:rPr>
            </w:pPr>
          </w:p>
        </w:tc>
        <w:tc>
          <w:tcPr>
            <w:tcW w:w="452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940" w:type="dxa"/>
            <w:vAlign w:val="bottom"/>
          </w:tcPr>
          <w:p>
            <w:pPr>
              <w:spacing w:after="0"/>
              <w:rPr>
                <w:sz w:val="11"/>
                <w:szCs w:val="11"/>
                <w:color w:val="auto"/>
              </w:rPr>
            </w:pPr>
          </w:p>
        </w:tc>
        <w:tc>
          <w:tcPr>
            <w:tcW w:w="0" w:type="dxa"/>
            <w:vAlign w:val="bottom"/>
          </w:tcPr>
          <w:p>
            <w:pPr>
              <w:spacing w:after="0"/>
              <w:rPr>
                <w:sz w:val="1"/>
                <w:szCs w:val="1"/>
                <w:color w:val="auto"/>
              </w:rPr>
            </w:pPr>
          </w:p>
        </w:tc>
      </w:tr>
    </w:tbl>
    <w:p>
      <w:pPr>
        <w:spacing w:after="0" w:line="148" w:lineRule="exact"/>
        <w:rPr>
          <w:sz w:val="20"/>
          <w:szCs w:val="20"/>
          <w:color w:val="auto"/>
        </w:rPr>
      </w:pPr>
    </w:p>
    <w:p>
      <w:pPr>
        <w:ind w:left="120"/>
        <w:spacing w:after="0"/>
        <w:rPr>
          <w:sz w:val="20"/>
          <w:szCs w:val="20"/>
          <w:color w:val="auto"/>
        </w:rPr>
      </w:pPr>
      <w:r>
        <w:rPr>
          <w:rFonts w:ascii="Arial" w:cs="Arial" w:eastAsia="Arial" w:hAnsi="Arial"/>
          <w:sz w:val="18"/>
          <w:szCs w:val="18"/>
          <w:color w:val="auto"/>
        </w:rPr>
        <w:t>(1)Includes 724,009 shares held in a family trust or custodian account over which shares Mr. Kain has voting and dispositive power.</w:t>
      </w:r>
    </w:p>
    <w:p>
      <w:pPr>
        <w:spacing w:after="0" w:line="23" w:lineRule="exact"/>
        <w:rPr>
          <w:sz w:val="20"/>
          <w:szCs w:val="20"/>
          <w:color w:val="auto"/>
        </w:rPr>
      </w:pPr>
    </w:p>
    <w:p>
      <w:pPr>
        <w:ind w:left="120"/>
        <w:spacing w:after="0"/>
        <w:rPr>
          <w:sz w:val="20"/>
          <w:szCs w:val="20"/>
          <w:color w:val="auto"/>
        </w:rPr>
      </w:pPr>
      <w:r>
        <w:rPr>
          <w:rFonts w:ascii="Arial" w:cs="Arial" w:eastAsia="Arial" w:hAnsi="Arial"/>
          <w:sz w:val="18"/>
          <w:szCs w:val="18"/>
          <w:color w:val="auto"/>
        </w:rPr>
        <w:t>(2)Share amounts are net of anticipated tax withholdings.</w:t>
      </w:r>
    </w:p>
    <w:p>
      <w:pPr>
        <w:spacing w:after="0" w:line="211"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Anti-Hedging and Pledging Policy</w:t>
      </w:r>
    </w:p>
    <w:p>
      <w:pPr>
        <w:spacing w:after="0" w:line="117" w:lineRule="exact"/>
        <w:rPr>
          <w:sz w:val="20"/>
          <w:szCs w:val="20"/>
          <w:color w:val="auto"/>
        </w:rPr>
      </w:pPr>
    </w:p>
    <w:p>
      <w:pPr>
        <w:ind w:left="120" w:right="60" w:firstLine="881"/>
        <w:spacing w:after="0" w:line="293" w:lineRule="auto"/>
        <w:rPr>
          <w:sz w:val="20"/>
          <w:szCs w:val="20"/>
          <w:color w:val="auto"/>
        </w:rPr>
      </w:pPr>
      <w:r>
        <w:rPr>
          <w:rFonts w:ascii="Arial" w:cs="Arial" w:eastAsia="Arial" w:hAnsi="Arial"/>
          <w:sz w:val="16"/>
          <w:szCs w:val="16"/>
          <w:color w:val="auto"/>
        </w:rPr>
        <w:t>Our Board has adopted a policy prohibiting our executive officers and directors from any hedging, pledging, or entering into margin loans with respect to any shares of our common stock or from engaging in short sales of our common stock or entering into any other transaction or derivative agreement where he or she would earn a profit or offset losses due to a decline of our stock price. By way of example, transactions prohibited under the policy may include options, short sales, puts, calls, or derivative actions such as forwards, futures, or swaps. In addition to the restrictions imposed on our executive officers and directors, the AGNC Mortgage Management, LLC Personal Investments Code prohibits all employees from engaging in financial transactions that directly hedge or offset, or is designed to directly hedge or offset, any decrease in the market value of our common stock.</w:t>
      </w:r>
    </w:p>
    <w:p>
      <w:pPr>
        <w:spacing w:after="0" w:line="164"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Clawback Policy</w:t>
      </w:r>
    </w:p>
    <w:p>
      <w:pPr>
        <w:spacing w:after="0" w:line="117" w:lineRule="exact"/>
        <w:rPr>
          <w:sz w:val="20"/>
          <w:szCs w:val="20"/>
          <w:color w:val="auto"/>
        </w:rPr>
      </w:pPr>
    </w:p>
    <w:p>
      <w:pPr>
        <w:ind w:left="120" w:right="40" w:firstLine="881"/>
        <w:spacing w:after="0" w:line="273" w:lineRule="auto"/>
        <w:rPr>
          <w:sz w:val="20"/>
          <w:szCs w:val="20"/>
          <w:color w:val="auto"/>
        </w:rPr>
      </w:pPr>
      <w:r>
        <w:rPr>
          <w:rFonts w:ascii="Arial" w:cs="Arial" w:eastAsia="Arial" w:hAnsi="Arial"/>
          <w:sz w:val="17"/>
          <w:szCs w:val="17"/>
          <w:color w:val="auto"/>
        </w:rPr>
        <w:t>We have adopted a clawback policy relating to recovery of certain excess performance-based compensation in the event of an accounting restatement by the Company due to material noncompliance with any financial reporting requirement under U.S. federal securities laws resulting at least in part from the willful fraud, dishonesty, or recklessness of one of the Company’s executive officers in the performance of his or her duties to the Company. Under this policy, the Company would be entitled to seek recovery of the portion of any performance-based compensation paid to our executive officers that would not have been earned had the Company’s restated financial statements been used in the determination of the amount of performance-based compensation originally awarded. This policy includes a three year look back period.</w:t>
      </w:r>
    </w:p>
    <w:p>
      <w:pPr>
        <w:spacing w:after="0" w:line="178"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Employment Agreements</w:t>
      </w:r>
    </w:p>
    <w:p>
      <w:pPr>
        <w:spacing w:after="0" w:line="117" w:lineRule="exact"/>
        <w:rPr>
          <w:sz w:val="20"/>
          <w:szCs w:val="20"/>
          <w:color w:val="auto"/>
        </w:rPr>
      </w:pPr>
    </w:p>
    <w:p>
      <w:pPr>
        <w:ind w:left="120" w:right="180" w:firstLine="881"/>
        <w:spacing w:after="0" w:line="279" w:lineRule="auto"/>
        <w:rPr>
          <w:sz w:val="20"/>
          <w:szCs w:val="20"/>
          <w:color w:val="auto"/>
        </w:rPr>
      </w:pPr>
      <w:r>
        <w:rPr>
          <w:rFonts w:ascii="Arial" w:cs="Arial" w:eastAsia="Arial" w:hAnsi="Arial"/>
          <w:sz w:val="17"/>
          <w:szCs w:val="17"/>
          <w:color w:val="auto"/>
        </w:rPr>
        <w:t>At the time of the Internalization, the Company inherited the employment agreements that Messrs. Kain, Federico, and Kuehl had in place with our external manager. The Compensation Committee, with the assistance of FW Cook, worked with each of these executives, who voluntarily agreed to negotiate new employment agreements that would shift the balance of their compensation from fixed elements to incentive compensation, thereby further aligning their interests with those of our stockholders on a short- and long-term basis. These new</w:t>
      </w:r>
    </w:p>
    <w:p>
      <w:pPr>
        <w:spacing w:after="0" w:line="99"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58</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40"/>
          </w:cols>
          <w:pgMar w:left="320" w:top="459" w:right="439" w:bottom="1440" w:gutter="0" w:footer="0" w:header="0"/>
        </w:sectPr>
      </w:pPr>
    </w:p>
    <w:bookmarkStart w:id="71" w:name="page72"/>
    <w:bookmarkEnd w:id="7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1">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9180"/>
        <w:spacing w:after="0"/>
        <w:rPr>
          <w:sz w:val="20"/>
          <w:szCs w:val="20"/>
          <w:color w:val="auto"/>
        </w:rPr>
      </w:pPr>
      <w:r>
        <w:rPr>
          <w:rFonts w:ascii="Arial" w:cs="Arial" w:eastAsia="Arial" w:hAnsi="Arial"/>
          <w:sz w:val="13"/>
          <w:szCs w:val="13"/>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28575</wp:posOffset>
            </wp:positionV>
            <wp:extent cx="6995160" cy="889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2">
                      <a:extLst>
                        <a:ext uri="{28A0092B-C50C-407E-A947-70E740481C1C}"/>
                      </a:extLst>
                    </a:blip>
                    <a:srcRect/>
                    <a:stretch>
                      <a:fillRect/>
                    </a:stretch>
                  </pic:blipFill>
                  <pic:spPr bwMode="auto">
                    <a:xfrm>
                      <a:off x="0" y="0"/>
                      <a:ext cx="6995160" cy="8890"/>
                    </a:xfrm>
                    <a:prstGeom prst="rect">
                      <a:avLst/>
                    </a:prstGeom>
                    <a:noFill/>
                  </pic:spPr>
                </pic:pic>
              </a:graphicData>
            </a:graphic>
          </wp:anchor>
        </w:drawing>
      </w:r>
    </w:p>
    <w:p>
      <w:pPr>
        <w:spacing w:after="0" w:line="199" w:lineRule="exact"/>
        <w:rPr>
          <w:sz w:val="20"/>
          <w:szCs w:val="20"/>
          <w:color w:val="auto"/>
        </w:rPr>
      </w:pPr>
    </w:p>
    <w:p>
      <w:pPr>
        <w:ind w:left="120" w:right="60"/>
        <w:spacing w:after="0" w:line="286" w:lineRule="auto"/>
        <w:rPr>
          <w:sz w:val="20"/>
          <w:szCs w:val="20"/>
          <w:color w:val="auto"/>
        </w:rPr>
      </w:pPr>
      <w:r>
        <w:rPr>
          <w:rFonts w:ascii="Arial" w:cs="Arial" w:eastAsia="Arial" w:hAnsi="Arial"/>
          <w:sz w:val="17"/>
          <w:szCs w:val="17"/>
          <w:color w:val="auto"/>
        </w:rPr>
        <w:t>employment agreements, entered into in November 2016, secured the retention of these executives, who had a track-record of strong performance. They also were intended to provide appropriate and balanced incentives toward achieving the annual and long-term strategic objectives set by the Compensation Committee and to create a stronger alignment of interests between our executives and our stockholders.</w:t>
      </w:r>
    </w:p>
    <w:p>
      <w:pPr>
        <w:spacing w:after="0" w:line="165" w:lineRule="exact"/>
        <w:rPr>
          <w:sz w:val="20"/>
          <w:szCs w:val="20"/>
          <w:color w:val="auto"/>
        </w:rPr>
      </w:pPr>
    </w:p>
    <w:p>
      <w:pPr>
        <w:ind w:left="120" w:right="60" w:firstLine="881"/>
        <w:spacing w:after="0" w:line="286" w:lineRule="auto"/>
        <w:rPr>
          <w:sz w:val="20"/>
          <w:szCs w:val="20"/>
          <w:color w:val="auto"/>
        </w:rPr>
      </w:pPr>
      <w:r>
        <w:rPr>
          <w:rFonts w:ascii="Arial" w:cs="Arial" w:eastAsia="Arial" w:hAnsi="Arial"/>
          <w:sz w:val="16"/>
          <w:szCs w:val="16"/>
          <w:color w:val="auto"/>
        </w:rPr>
        <w:t>In connection with the renegotiation of his employment agreement in 2016, Mr. Kain voluntarily agreed to significant reductions to his base and target incentive compensation to be implemented in 2017 and 2018. Mr. Kain subsequently agreed to a restructuring of his compensation package again in 2019 in response to feedback from stockholders expressing a desire to see a greater percentage of CEO compensation be in the form of long-term incentive awards with a specific emphasis toward performance-based long-term incentive awards. Thus, effective February 1, 2019, 56% of</w:t>
      </w:r>
    </w:p>
    <w:p>
      <w:pPr>
        <w:spacing w:after="0" w:line="1" w:lineRule="exact"/>
        <w:rPr>
          <w:sz w:val="20"/>
          <w:szCs w:val="20"/>
          <w:color w:val="auto"/>
        </w:rPr>
      </w:pPr>
    </w:p>
    <w:p>
      <w:pPr>
        <w:ind w:left="120" w:right="140"/>
        <w:spacing w:after="0" w:line="260" w:lineRule="auto"/>
        <w:rPr>
          <w:sz w:val="20"/>
          <w:szCs w:val="20"/>
          <w:color w:val="auto"/>
        </w:rPr>
      </w:pPr>
      <w:r>
        <w:rPr>
          <w:rFonts w:ascii="Arial" w:cs="Arial" w:eastAsia="Arial" w:hAnsi="Arial"/>
          <w:sz w:val="18"/>
          <w:szCs w:val="18"/>
          <w:color w:val="auto"/>
        </w:rPr>
        <w:t>Mr. Kain’s target compensation is in the form of long-term incentive awards, and 67% of his target level LTI grant value is in the form of performance-based awards vesting after completion of a three-year performance period.</w:t>
      </w:r>
    </w:p>
    <w:p>
      <w:pPr>
        <w:spacing w:after="0" w:line="185" w:lineRule="exact"/>
        <w:rPr>
          <w:sz w:val="20"/>
          <w:szCs w:val="20"/>
          <w:color w:val="auto"/>
        </w:rPr>
      </w:pPr>
    </w:p>
    <w:p>
      <w:pPr>
        <w:ind w:left="120" w:right="80" w:firstLine="881"/>
        <w:spacing w:after="0" w:line="272" w:lineRule="auto"/>
        <w:rPr>
          <w:sz w:val="20"/>
          <w:szCs w:val="20"/>
          <w:color w:val="auto"/>
        </w:rPr>
      </w:pPr>
      <w:r>
        <w:rPr>
          <w:rFonts w:ascii="Arial" w:cs="Arial" w:eastAsia="Arial" w:hAnsi="Arial"/>
          <w:sz w:val="17"/>
          <w:szCs w:val="17"/>
          <w:color w:val="auto"/>
        </w:rPr>
        <w:t>Mr. Kain’s revised employment agreement also provides that if his employment terminates after March 15, 2021 by reason of a voluntary termination as a result of retirement and pursuant to a succession plan approved by the Compensation Committee, Mr. Kain’s time-based LTI awards that are outstanding at the time of his retirement would vest in full at such time. His performance-based LTI awards would vest on the same terms as though Mr. Kain had remained employed by the Company for the remainder of the vesting period applicable to such awards, provided that he continued to comply with certain covenants contained in the agreement. For any LTI awards granted to Mr. Kain in the year of his retirement, accelerated vesting of the time-based portion and continuation of the performance-based portion would apply only to a pro rata portion of the awards based on the number of full calendar months Mr. Kain was employed in such year.</w:t>
      </w:r>
    </w:p>
    <w:p>
      <w:pPr>
        <w:spacing w:after="0" w:line="177" w:lineRule="exact"/>
        <w:rPr>
          <w:sz w:val="20"/>
          <w:szCs w:val="20"/>
          <w:color w:val="auto"/>
        </w:rPr>
      </w:pPr>
    </w:p>
    <w:p>
      <w:pPr>
        <w:ind w:left="120" w:right="280" w:firstLine="881"/>
        <w:spacing w:after="0" w:line="290" w:lineRule="auto"/>
        <w:rPr>
          <w:sz w:val="20"/>
          <w:szCs w:val="20"/>
          <w:color w:val="auto"/>
        </w:rPr>
      </w:pPr>
      <w:r>
        <w:rPr>
          <w:rFonts w:ascii="Arial" w:cs="Arial" w:eastAsia="Arial" w:hAnsi="Arial"/>
          <w:sz w:val="16"/>
          <w:szCs w:val="16"/>
          <w:color w:val="auto"/>
        </w:rPr>
        <w:t>The Compensation Committee reviews the compensation of our executive officers on an annual basis and will make adjustments when warranted by personal performance and internal and external pay equity. The Compensation Committee determined in 2019 that it was appropriate to have employment contracts in place with all of our NEOs. In 2020, after considering the feedback we heard during our Fall 2019 stockholder engagement, the compensation practices at comparable companies, and our ongoing commitment to link NEO compensation to performance, the Compensation Committee entered into amendments dated February 13, 2020 to the existing employment agreements with each of Messrs. Federico, Kuehl and Pas and Ms. Bell to increase each NEO’s respective target incentive awards as described above. The Compensation Committee also considered the further effect these compensation changes would make to promote internal and external pay equity among our NEOs and employee retention and to further stockholder alignment by emphasizing incentive-based compensation as a significant portion of overall target compensation.</w:t>
      </w:r>
    </w:p>
    <w:p>
      <w:pPr>
        <w:spacing w:after="0" w:line="165" w:lineRule="exact"/>
        <w:rPr>
          <w:sz w:val="20"/>
          <w:szCs w:val="20"/>
          <w:color w:val="auto"/>
        </w:rPr>
      </w:pPr>
    </w:p>
    <w:p>
      <w:pPr>
        <w:ind w:left="120" w:right="220" w:firstLine="881"/>
        <w:spacing w:after="0" w:line="293" w:lineRule="auto"/>
        <w:rPr>
          <w:sz w:val="20"/>
          <w:szCs w:val="20"/>
          <w:color w:val="auto"/>
        </w:rPr>
      </w:pPr>
      <w:r>
        <w:rPr>
          <w:rFonts w:ascii="Arial" w:cs="Arial" w:eastAsia="Arial" w:hAnsi="Arial"/>
          <w:sz w:val="16"/>
          <w:szCs w:val="16"/>
          <w:color w:val="auto"/>
        </w:rPr>
        <w:t>The employment agreements include certain severance payments and benefits if a NEO that is party to an employment agreement is terminated by the Company without “cause” or by the NEO for “good reason,” as each term is defined in each respective employment agreement and were the result of arms-length negotiations with these NEOs. The severance provisions included in the employment agreements related to a change of control include a “double trigger” requirement, which we determined was appropriate and in the best interest of our stockholders. See “Severance and Change of Control Payments” below. The employment agreements with these NEOs also include covenants related to post-employment obligations in areas such as competition with us, solicitation of our employees, and the confidentiality of certain information.</w:t>
      </w:r>
    </w:p>
    <w:p>
      <w:pPr>
        <w:spacing w:after="0" w:line="92" w:lineRule="exact"/>
        <w:rPr>
          <w:sz w:val="20"/>
          <w:szCs w:val="20"/>
          <w:color w:val="auto"/>
        </w:rPr>
      </w:pPr>
    </w:p>
    <w:p>
      <w:pPr>
        <w:ind w:left="7960"/>
        <w:spacing w:after="0"/>
        <w:tabs>
          <w:tab w:leader="none" w:pos="109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59</w:t>
      </w:r>
    </w:p>
    <w:p>
      <w:pPr>
        <w:sectPr>
          <w:pgSz w:w="11900" w:h="16838" w:orient="portrait"/>
          <w:cols w:equalWidth="0" w:num="1">
            <w:col w:w="11140"/>
          </w:cols>
          <w:pgMar w:left="320" w:top="459" w:right="439" w:bottom="1440" w:gutter="0" w:footer="0" w:header="0"/>
        </w:sectPr>
      </w:pPr>
    </w:p>
    <w:bookmarkStart w:id="72" w:name="page73"/>
    <w:bookmarkEnd w:id="7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3">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89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4">
                      <a:extLst>
                        <a:ext uri="{28A0092B-C50C-407E-A947-70E740481C1C}"/>
                      </a:extLst>
                    </a:blip>
                    <a:srcRect/>
                    <a:stretch>
                      <a:fillRect/>
                    </a:stretch>
                  </pic:blipFill>
                  <pic:spPr bwMode="auto">
                    <a:xfrm>
                      <a:off x="0" y="0"/>
                      <a:ext cx="6995160" cy="8890"/>
                    </a:xfrm>
                    <a:prstGeom prst="rect">
                      <a:avLst/>
                    </a:prstGeom>
                    <a:noFill/>
                  </pic:spPr>
                </pic:pic>
              </a:graphicData>
            </a:graphic>
          </wp:anchor>
        </w:drawing>
      </w:r>
    </w:p>
    <w:p>
      <w:pPr>
        <w:spacing w:after="0" w:line="188"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Tax Considerations</w:t>
      </w:r>
    </w:p>
    <w:p>
      <w:pPr>
        <w:spacing w:after="0" w:line="117" w:lineRule="exact"/>
        <w:rPr>
          <w:sz w:val="20"/>
          <w:szCs w:val="20"/>
          <w:color w:val="auto"/>
        </w:rPr>
      </w:pPr>
    </w:p>
    <w:p>
      <w:pPr>
        <w:ind w:left="1000"/>
        <w:spacing w:after="0"/>
        <w:rPr>
          <w:sz w:val="20"/>
          <w:szCs w:val="20"/>
          <w:color w:val="auto"/>
        </w:rPr>
      </w:pPr>
      <w:r>
        <w:rPr>
          <w:rFonts w:ascii="Arial" w:cs="Arial" w:eastAsia="Arial" w:hAnsi="Arial"/>
          <w:sz w:val="16"/>
          <w:szCs w:val="16"/>
          <w:color w:val="auto"/>
        </w:rPr>
        <w:t>Section 162(m) of the Code generally prohibits any publicly held corporation from taking a federal income tax deduction for compensation</w:t>
      </w:r>
    </w:p>
    <w:p>
      <w:pPr>
        <w:spacing w:after="0" w:line="46" w:lineRule="exact"/>
        <w:rPr>
          <w:sz w:val="20"/>
          <w:szCs w:val="20"/>
          <w:color w:val="auto"/>
        </w:rPr>
      </w:pPr>
    </w:p>
    <w:p>
      <w:pPr>
        <w:ind w:left="120"/>
        <w:spacing w:after="0"/>
        <w:rPr>
          <w:sz w:val="20"/>
          <w:szCs w:val="20"/>
          <w:color w:val="auto"/>
        </w:rPr>
      </w:pPr>
      <w:r>
        <w:rPr>
          <w:rFonts w:ascii="Arial" w:cs="Arial" w:eastAsia="Arial" w:hAnsi="Arial"/>
          <w:sz w:val="17"/>
          <w:szCs w:val="17"/>
          <w:color w:val="auto"/>
        </w:rPr>
        <w:t>in excess of $1 million in any taxable year to an executive officer who is named in the Summary Compensation Table. The Tax Cuts and Jobs Act,</w:t>
      </w:r>
    </w:p>
    <w:p>
      <w:pPr>
        <w:spacing w:after="0" w:line="21" w:lineRule="exact"/>
        <w:rPr>
          <w:sz w:val="20"/>
          <w:szCs w:val="20"/>
          <w:color w:val="auto"/>
        </w:rPr>
      </w:pPr>
    </w:p>
    <w:p>
      <w:pPr>
        <w:ind w:left="120"/>
        <w:spacing w:after="0"/>
        <w:rPr>
          <w:sz w:val="20"/>
          <w:szCs w:val="20"/>
          <w:color w:val="auto"/>
        </w:rPr>
      </w:pPr>
      <w:r>
        <w:rPr>
          <w:rFonts w:ascii="Arial" w:cs="Arial" w:eastAsia="Arial" w:hAnsi="Arial"/>
          <w:sz w:val="17"/>
          <w:szCs w:val="17"/>
          <w:color w:val="auto"/>
        </w:rPr>
        <w:t>which was signed into law December 22, 2017, eliminated exceptions for certain performance-based compensation, among other things, under</w:t>
      </w:r>
    </w:p>
    <w:p>
      <w:pPr>
        <w:spacing w:after="0" w:line="21" w:lineRule="exact"/>
        <w:rPr>
          <w:sz w:val="20"/>
          <w:szCs w:val="20"/>
          <w:color w:val="auto"/>
        </w:rPr>
      </w:pPr>
    </w:p>
    <w:p>
      <w:pPr>
        <w:ind w:left="120"/>
        <w:spacing w:after="0"/>
        <w:rPr>
          <w:sz w:val="20"/>
          <w:szCs w:val="20"/>
          <w:color w:val="auto"/>
        </w:rPr>
      </w:pPr>
      <w:r>
        <w:rPr>
          <w:rFonts w:ascii="Arial" w:cs="Arial" w:eastAsia="Arial" w:hAnsi="Arial"/>
          <w:sz w:val="16"/>
          <w:szCs w:val="16"/>
          <w:color w:val="auto"/>
        </w:rPr>
        <w:t>Section 162(m), subject to a special rule that “grandfathered” certain awards and arrangements in effect on or before November 2, 2017. In structuring</w:t>
      </w:r>
    </w:p>
    <w:p>
      <w:pPr>
        <w:spacing w:after="0" w:line="32" w:lineRule="exact"/>
        <w:rPr>
          <w:sz w:val="20"/>
          <w:szCs w:val="20"/>
          <w:color w:val="auto"/>
        </w:rPr>
      </w:pPr>
    </w:p>
    <w:p>
      <w:pPr>
        <w:ind w:left="120"/>
        <w:spacing w:after="0"/>
        <w:rPr>
          <w:sz w:val="20"/>
          <w:szCs w:val="20"/>
          <w:color w:val="auto"/>
        </w:rPr>
      </w:pPr>
      <w:r>
        <w:rPr>
          <w:rFonts w:ascii="Arial" w:cs="Arial" w:eastAsia="Arial" w:hAnsi="Arial"/>
          <w:sz w:val="16"/>
          <w:szCs w:val="16"/>
          <w:color w:val="auto"/>
        </w:rPr>
        <w:t>our compensation programs, the Compensation Committee had considered this and other provisions; however, the Compensation Committee did not</w:t>
      </w:r>
    </w:p>
    <w:p>
      <w:pPr>
        <w:spacing w:after="0" w:line="32" w:lineRule="exact"/>
        <w:rPr>
          <w:sz w:val="20"/>
          <w:szCs w:val="20"/>
          <w:color w:val="auto"/>
        </w:rPr>
      </w:pPr>
    </w:p>
    <w:p>
      <w:pPr>
        <w:ind w:left="120"/>
        <w:spacing w:after="0"/>
        <w:rPr>
          <w:sz w:val="20"/>
          <w:szCs w:val="20"/>
          <w:color w:val="auto"/>
        </w:rPr>
      </w:pPr>
      <w:r>
        <w:rPr>
          <w:rFonts w:ascii="Arial" w:cs="Arial" w:eastAsia="Arial" w:hAnsi="Arial"/>
          <w:sz w:val="17"/>
          <w:szCs w:val="17"/>
          <w:color w:val="auto"/>
        </w:rPr>
        <w:t>believe that it was necessarily in our best interests and the best interests of our stockholders for all compensation to meet the requirements of</w:t>
      </w:r>
    </w:p>
    <w:p>
      <w:pPr>
        <w:spacing w:after="0" w:line="21" w:lineRule="exact"/>
        <w:rPr>
          <w:sz w:val="20"/>
          <w:szCs w:val="20"/>
          <w:color w:val="auto"/>
        </w:rPr>
      </w:pPr>
    </w:p>
    <w:p>
      <w:pPr>
        <w:ind w:left="120"/>
        <w:spacing w:after="0"/>
        <w:rPr>
          <w:sz w:val="20"/>
          <w:szCs w:val="20"/>
          <w:color w:val="auto"/>
        </w:rPr>
      </w:pPr>
      <w:r>
        <w:rPr>
          <w:rFonts w:ascii="Arial" w:cs="Arial" w:eastAsia="Arial" w:hAnsi="Arial"/>
          <w:sz w:val="16"/>
          <w:szCs w:val="16"/>
          <w:color w:val="auto"/>
        </w:rPr>
        <w:t>Section 162(m) for deductibility. As a REIT, we are generally not subject to federal and state corporate income tax and therefore tax deductions are less</w:t>
      </w:r>
    </w:p>
    <w:p>
      <w:pPr>
        <w:spacing w:after="0" w:line="32" w:lineRule="exact"/>
        <w:rPr>
          <w:sz w:val="20"/>
          <w:szCs w:val="20"/>
          <w:color w:val="auto"/>
        </w:rPr>
      </w:pPr>
    </w:p>
    <w:p>
      <w:pPr>
        <w:ind w:left="120"/>
        <w:spacing w:after="0"/>
        <w:rPr>
          <w:sz w:val="20"/>
          <w:szCs w:val="20"/>
          <w:color w:val="auto"/>
        </w:rPr>
      </w:pPr>
      <w:r>
        <w:rPr>
          <w:rFonts w:ascii="Arial" w:cs="Arial" w:eastAsia="Arial" w:hAnsi="Arial"/>
          <w:sz w:val="17"/>
          <w:szCs w:val="17"/>
          <w:color w:val="auto"/>
        </w:rPr>
        <w:t>valuable to us than to many other corporations. Thus, compensation awarded in excess of $1 million to our NEOs generally will not be deductible.</w:t>
      </w:r>
    </w:p>
    <w:p>
      <w:pPr>
        <w:spacing w:after="0" w:line="21" w:lineRule="exact"/>
        <w:rPr>
          <w:sz w:val="20"/>
          <w:szCs w:val="20"/>
          <w:color w:val="auto"/>
        </w:rPr>
      </w:pPr>
    </w:p>
    <w:p>
      <w:pPr>
        <w:ind w:left="120"/>
        <w:spacing w:after="0"/>
        <w:rPr>
          <w:sz w:val="20"/>
          <w:szCs w:val="20"/>
          <w:color w:val="auto"/>
        </w:rPr>
      </w:pPr>
      <w:r>
        <w:rPr>
          <w:rFonts w:ascii="Arial" w:cs="Arial" w:eastAsia="Arial" w:hAnsi="Arial"/>
          <w:sz w:val="16"/>
          <w:szCs w:val="16"/>
          <w:color w:val="auto"/>
        </w:rPr>
        <w:t>Although Section 162(m) and the Tax Cuts and Jobs Act limits the deductibility of compensation paid to NEOs, the Committee will continue to retain</w:t>
      </w:r>
    </w:p>
    <w:p>
      <w:pPr>
        <w:spacing w:after="0" w:line="32" w:lineRule="exact"/>
        <w:rPr>
          <w:sz w:val="20"/>
          <w:szCs w:val="20"/>
          <w:color w:val="auto"/>
        </w:rPr>
      </w:pPr>
    </w:p>
    <w:p>
      <w:pPr>
        <w:ind w:left="120"/>
        <w:spacing w:after="0"/>
        <w:rPr>
          <w:sz w:val="20"/>
          <w:szCs w:val="20"/>
          <w:color w:val="auto"/>
        </w:rPr>
      </w:pPr>
      <w:r>
        <w:rPr>
          <w:rFonts w:ascii="Arial" w:cs="Arial" w:eastAsia="Arial" w:hAnsi="Arial"/>
          <w:sz w:val="17"/>
          <w:szCs w:val="17"/>
          <w:color w:val="auto"/>
        </w:rPr>
        <w:t>flexibility to design compensation programs that are in the best long-term interests of the Company and our stockholders, with deductibility of</w:t>
      </w:r>
    </w:p>
    <w:p>
      <w:pPr>
        <w:spacing w:after="0" w:line="21" w:lineRule="exact"/>
        <w:rPr>
          <w:sz w:val="20"/>
          <w:szCs w:val="20"/>
          <w:color w:val="auto"/>
        </w:rPr>
      </w:pPr>
    </w:p>
    <w:p>
      <w:pPr>
        <w:ind w:left="120"/>
        <w:spacing w:after="0"/>
        <w:rPr>
          <w:sz w:val="20"/>
          <w:szCs w:val="20"/>
          <w:color w:val="auto"/>
        </w:rPr>
      </w:pPr>
      <w:r>
        <w:rPr>
          <w:rFonts w:ascii="Arial" w:cs="Arial" w:eastAsia="Arial" w:hAnsi="Arial"/>
          <w:sz w:val="18"/>
          <w:szCs w:val="18"/>
          <w:color w:val="auto"/>
        </w:rPr>
        <w:t>compensation being one of a variety of considerations.</w:t>
      </w:r>
    </w:p>
    <w:p>
      <w:pPr>
        <w:spacing w:after="0" w:line="200" w:lineRule="exact"/>
        <w:rPr>
          <w:sz w:val="20"/>
          <w:szCs w:val="20"/>
          <w:color w:val="auto"/>
        </w:rPr>
      </w:pPr>
    </w:p>
    <w:p>
      <w:pPr>
        <w:spacing w:after="0" w:line="223" w:lineRule="exact"/>
        <w:rPr>
          <w:sz w:val="20"/>
          <w:szCs w:val="20"/>
          <w:color w:val="auto"/>
        </w:rPr>
      </w:pPr>
    </w:p>
    <w:p>
      <w:pPr>
        <w:jc w:val="center"/>
        <w:ind w:right="-139"/>
        <w:spacing w:after="0"/>
        <w:rPr>
          <w:sz w:val="20"/>
          <w:szCs w:val="20"/>
          <w:color w:val="auto"/>
        </w:rPr>
      </w:pPr>
      <w:r>
        <w:rPr>
          <w:rFonts w:ascii="Arial" w:cs="Arial" w:eastAsia="Arial" w:hAnsi="Arial"/>
          <w:sz w:val="18"/>
          <w:szCs w:val="18"/>
          <w:b w:val="1"/>
          <w:bCs w:val="1"/>
          <w:color w:val="auto"/>
        </w:rPr>
        <w:t>Report of the Compensation and Corporate Governance Committee</w:t>
      </w:r>
    </w:p>
    <w:p>
      <w:pPr>
        <w:spacing w:after="0" w:line="229" w:lineRule="exact"/>
        <w:rPr>
          <w:sz w:val="20"/>
          <w:szCs w:val="20"/>
          <w:color w:val="auto"/>
        </w:rPr>
      </w:pPr>
    </w:p>
    <w:p>
      <w:pPr>
        <w:ind w:left="120" w:firstLine="881"/>
        <w:spacing w:after="0" w:line="286" w:lineRule="auto"/>
        <w:rPr>
          <w:sz w:val="20"/>
          <w:szCs w:val="20"/>
          <w:color w:val="auto"/>
        </w:rPr>
      </w:pPr>
      <w:r>
        <w:rPr>
          <w:rFonts w:ascii="Arial" w:cs="Arial" w:eastAsia="Arial" w:hAnsi="Arial"/>
          <w:sz w:val="17"/>
          <w:szCs w:val="17"/>
          <w:color w:val="auto"/>
        </w:rPr>
        <w:t>Our Compensation and Corporate Governance Committee reviewed and discussed with our management the “Compensation Discussion and Analysis” contained in this proxy statement. Based on that review and discussions, our Compensation and Corporate Governance Committee recommends to the Board of Directors that the “Compensation Discussion and Analysis” be included in this proxy statement.</w:t>
      </w:r>
    </w:p>
    <w:p>
      <w:pPr>
        <w:spacing w:after="0" w:line="273" w:lineRule="exact"/>
        <w:rPr>
          <w:sz w:val="20"/>
          <w:szCs w:val="20"/>
          <w:color w:val="auto"/>
        </w:rPr>
      </w:pPr>
    </w:p>
    <w:p>
      <w:pPr>
        <w:ind w:left="7320"/>
        <w:spacing w:after="0"/>
        <w:rPr>
          <w:sz w:val="20"/>
          <w:szCs w:val="20"/>
          <w:color w:val="auto"/>
        </w:rPr>
      </w:pPr>
      <w:r>
        <w:rPr>
          <w:rFonts w:ascii="Arial" w:cs="Arial" w:eastAsia="Arial" w:hAnsi="Arial"/>
          <w:sz w:val="18"/>
          <w:szCs w:val="18"/>
          <w:i w:val="1"/>
          <w:iCs w:val="1"/>
          <w:color w:val="auto"/>
        </w:rPr>
        <w:t>By the Compensation and Corporate</w:t>
      </w:r>
    </w:p>
    <w:p>
      <w:pPr>
        <w:spacing w:after="0" w:line="23" w:lineRule="exact"/>
        <w:rPr>
          <w:sz w:val="20"/>
          <w:szCs w:val="20"/>
          <w:color w:val="auto"/>
        </w:rPr>
      </w:pPr>
    </w:p>
    <w:p>
      <w:pPr>
        <w:ind w:left="7320"/>
        <w:spacing w:after="0"/>
        <w:rPr>
          <w:sz w:val="20"/>
          <w:szCs w:val="20"/>
          <w:color w:val="auto"/>
        </w:rPr>
      </w:pPr>
      <w:r>
        <w:rPr>
          <w:rFonts w:ascii="Arial" w:cs="Arial" w:eastAsia="Arial" w:hAnsi="Arial"/>
          <w:sz w:val="18"/>
          <w:szCs w:val="18"/>
          <w:i w:val="1"/>
          <w:iCs w:val="1"/>
          <w:color w:val="auto"/>
        </w:rPr>
        <w:t>Governance Committee:</w:t>
      </w:r>
    </w:p>
    <w:p>
      <w:pPr>
        <w:spacing w:after="0" w:line="9" w:lineRule="exact"/>
        <w:rPr>
          <w:sz w:val="20"/>
          <w:szCs w:val="20"/>
          <w:color w:val="auto"/>
        </w:rPr>
      </w:pPr>
    </w:p>
    <w:p>
      <w:pPr>
        <w:ind w:left="7320"/>
        <w:spacing w:after="0"/>
        <w:rPr>
          <w:sz w:val="20"/>
          <w:szCs w:val="20"/>
          <w:color w:val="auto"/>
        </w:rPr>
      </w:pPr>
      <w:r>
        <w:rPr>
          <w:rFonts w:ascii="Arial" w:cs="Arial" w:eastAsia="Arial" w:hAnsi="Arial"/>
          <w:sz w:val="18"/>
          <w:szCs w:val="18"/>
          <w:color w:val="auto"/>
        </w:rPr>
        <w:t>Morris A. Davis, Chair</w:t>
      </w:r>
    </w:p>
    <w:p>
      <w:pPr>
        <w:spacing w:after="0" w:line="9" w:lineRule="exact"/>
        <w:rPr>
          <w:sz w:val="20"/>
          <w:szCs w:val="20"/>
          <w:color w:val="auto"/>
        </w:rPr>
      </w:pPr>
    </w:p>
    <w:p>
      <w:pPr>
        <w:ind w:left="7320"/>
        <w:spacing w:after="0"/>
        <w:rPr>
          <w:sz w:val="20"/>
          <w:szCs w:val="20"/>
          <w:color w:val="auto"/>
        </w:rPr>
      </w:pPr>
      <w:r>
        <w:rPr>
          <w:rFonts w:ascii="Arial" w:cs="Arial" w:eastAsia="Arial" w:hAnsi="Arial"/>
          <w:sz w:val="18"/>
          <w:szCs w:val="18"/>
          <w:color w:val="auto"/>
        </w:rPr>
        <w:t>John D. Fisk</w:t>
      </w:r>
    </w:p>
    <w:p>
      <w:pPr>
        <w:spacing w:after="0" w:line="9" w:lineRule="exact"/>
        <w:rPr>
          <w:sz w:val="20"/>
          <w:szCs w:val="20"/>
          <w:color w:val="auto"/>
        </w:rPr>
      </w:pPr>
    </w:p>
    <w:p>
      <w:pPr>
        <w:ind w:left="7320"/>
        <w:spacing w:after="0"/>
        <w:rPr>
          <w:sz w:val="20"/>
          <w:szCs w:val="20"/>
          <w:color w:val="auto"/>
        </w:rPr>
      </w:pPr>
      <w:r>
        <w:rPr>
          <w:rFonts w:ascii="Arial" w:cs="Arial" w:eastAsia="Arial" w:hAnsi="Arial"/>
          <w:sz w:val="18"/>
          <w:szCs w:val="18"/>
          <w:color w:val="auto"/>
        </w:rPr>
        <w:t>Prue B. Larocca</w:t>
      </w:r>
    </w:p>
    <w:p>
      <w:pPr>
        <w:spacing w:after="0" w:line="139"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60</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20"/>
          </w:cols>
          <w:pgMar w:left="320" w:top="459" w:right="459" w:bottom="1440" w:gutter="0" w:footer="0" w:header="0"/>
        </w:sectPr>
      </w:pPr>
    </w:p>
    <w:bookmarkStart w:id="73" w:name="page74"/>
    <w:bookmarkEnd w:id="7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5">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89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6">
                      <a:extLst>
                        <a:ext uri="{28A0092B-C50C-407E-A947-70E740481C1C}"/>
                      </a:extLst>
                    </a:blip>
                    <a:srcRect/>
                    <a:stretch>
                      <a:fillRect/>
                    </a:stretch>
                  </pic:blipFill>
                  <pic:spPr bwMode="auto">
                    <a:xfrm>
                      <a:off x="0" y="0"/>
                      <a:ext cx="6995160" cy="8890"/>
                    </a:xfrm>
                    <a:prstGeom prst="rect">
                      <a:avLst/>
                    </a:prstGeom>
                    <a:noFill/>
                  </pic:spPr>
                </pic:pic>
              </a:graphicData>
            </a:graphic>
          </wp:anchor>
        </w:drawing>
      </w:r>
    </w:p>
    <w:p>
      <w:pPr>
        <w:spacing w:after="0" w:line="184" w:lineRule="exact"/>
        <w:rPr>
          <w:sz w:val="20"/>
          <w:szCs w:val="20"/>
          <w:color w:val="auto"/>
        </w:rPr>
      </w:pPr>
    </w:p>
    <w:p>
      <w:pPr>
        <w:jc w:val="center"/>
        <w:ind w:right="-119"/>
        <w:spacing w:after="0"/>
        <w:rPr>
          <w:sz w:val="20"/>
          <w:szCs w:val="20"/>
          <w:color w:val="auto"/>
        </w:rPr>
      </w:pPr>
      <w:r>
        <w:rPr>
          <w:rFonts w:ascii="Arial" w:cs="Arial" w:eastAsia="Arial" w:hAnsi="Arial"/>
          <w:sz w:val="18"/>
          <w:szCs w:val="18"/>
          <w:b w:val="1"/>
          <w:bCs w:val="1"/>
          <w:color w:val="auto"/>
        </w:rPr>
        <w:t>2019 Summary Compensation Table</w:t>
      </w:r>
    </w:p>
    <w:p>
      <w:pPr>
        <w:spacing w:after="0" w:line="229" w:lineRule="exact"/>
        <w:rPr>
          <w:sz w:val="20"/>
          <w:szCs w:val="20"/>
          <w:color w:val="auto"/>
        </w:rPr>
      </w:pPr>
    </w:p>
    <w:p>
      <w:pPr>
        <w:ind w:left="120" w:right="340" w:firstLine="881"/>
        <w:spacing w:after="0" w:line="277" w:lineRule="auto"/>
        <w:rPr>
          <w:sz w:val="20"/>
          <w:szCs w:val="20"/>
          <w:color w:val="auto"/>
        </w:rPr>
      </w:pPr>
      <w:r>
        <w:rPr>
          <w:rFonts w:ascii="Arial" w:cs="Arial" w:eastAsia="Arial" w:hAnsi="Arial"/>
          <w:sz w:val="18"/>
          <w:szCs w:val="18"/>
          <w:color w:val="auto"/>
        </w:rPr>
        <w:t>The following table provides information concerning the compensation of our NEOs earned during our fiscal years ended December 31, 2019, 2018 and 2017, except for Ms. Bell who was not an NEO in 2017.</w:t>
      </w:r>
    </w:p>
    <w:p>
      <w:pPr>
        <w:spacing w:after="0" w:line="170" w:lineRule="exact"/>
        <w:rPr>
          <w:sz w:val="20"/>
          <w:szCs w:val="20"/>
          <w:color w:val="auto"/>
        </w:rPr>
      </w:pPr>
    </w:p>
    <w:p>
      <w:pPr>
        <w:ind w:left="120" w:right="1040" w:firstLine="881"/>
        <w:spacing w:after="0" w:line="342" w:lineRule="auto"/>
        <w:rPr>
          <w:sz w:val="20"/>
          <w:szCs w:val="20"/>
          <w:color w:val="auto"/>
        </w:rPr>
      </w:pPr>
      <w:r>
        <w:rPr>
          <w:rFonts w:ascii="Arial" w:cs="Arial" w:eastAsia="Arial" w:hAnsi="Arial"/>
          <w:sz w:val="16"/>
          <w:szCs w:val="16"/>
          <w:color w:val="auto"/>
        </w:rPr>
        <w:t>In the column “Salary,” we disclose the amount of base salary paid to the NEO during the fiscal year. See “Base Salary” under “Compensation Program in Detail” above, for a description of the base salaries payable under each NEO’s employment agreement.</w:t>
      </w:r>
    </w:p>
    <w:p>
      <w:pPr>
        <w:spacing w:after="0" w:line="124" w:lineRule="exact"/>
        <w:rPr>
          <w:sz w:val="20"/>
          <w:szCs w:val="20"/>
          <w:color w:val="auto"/>
        </w:rPr>
      </w:pPr>
    </w:p>
    <w:p>
      <w:pPr>
        <w:ind w:left="120" w:right="80" w:firstLine="881"/>
        <w:spacing w:after="0" w:line="293" w:lineRule="auto"/>
        <w:rPr>
          <w:sz w:val="20"/>
          <w:szCs w:val="20"/>
          <w:color w:val="auto"/>
        </w:rPr>
      </w:pPr>
      <w:r>
        <w:rPr>
          <w:rFonts w:ascii="Arial" w:cs="Arial" w:eastAsia="Arial" w:hAnsi="Arial"/>
          <w:sz w:val="16"/>
          <w:szCs w:val="16"/>
          <w:color w:val="auto"/>
        </w:rPr>
        <w:t>In the column “Bonus,” we disclose the amount of short-term cash incentive payments earned by the NEO during the fiscal year. See “2019 Corporate Scorecard” for a description of the annual scorecard for calculating the cash component of our incentive compensation awards for 2019 that were paid in 2020, and which are included in the Summary Compensation Table for 2019. In the column “Stock Awards,” we disclose awards of RSUs under the 2016 Plan, which includes both performance-based vesting and time-based vesting awards. The grant date fair value of the RSU awards assumes performance achievement at 100% of the target amount. Performance payouts may range from 0% to 200% of the target amount based on actual performance achieved. See “Equity Incentive Compensation” under “Compensation Discussion and Analysis,” above.</w:t>
      </w:r>
    </w:p>
    <w:p>
      <w:pPr>
        <w:spacing w:after="0" w:line="164" w:lineRule="exact"/>
        <w:rPr>
          <w:sz w:val="20"/>
          <w:szCs w:val="20"/>
          <w:color w:val="auto"/>
        </w:rPr>
      </w:pPr>
    </w:p>
    <w:p>
      <w:pPr>
        <w:ind w:left="120" w:right="420" w:firstLine="881"/>
        <w:spacing w:after="0" w:line="308" w:lineRule="auto"/>
        <w:rPr>
          <w:sz w:val="20"/>
          <w:szCs w:val="20"/>
          <w:color w:val="auto"/>
        </w:rPr>
      </w:pPr>
      <w:r>
        <w:rPr>
          <w:rFonts w:ascii="Arial" w:cs="Arial" w:eastAsia="Arial" w:hAnsi="Arial"/>
          <w:sz w:val="17"/>
          <w:szCs w:val="17"/>
          <w:color w:val="auto"/>
        </w:rPr>
        <w:t>The amounts in the column “All Other Compensation” represent employer matches for employee contributions to our 401(k) plan. The NEOs did not have any perquisites or other personal benefits in excess of the reporting thresholds during the fiscal year.</w:t>
      </w:r>
    </w:p>
    <w:p>
      <w:pPr>
        <w:sectPr>
          <w:pgSz w:w="11900" w:h="16838" w:orient="portrait"/>
          <w:cols w:equalWidth="0" w:num="1">
            <w:col w:w="11140"/>
          </w:cols>
          <w:pgMar w:left="320" w:top="459" w:right="439" w:bottom="1440" w:gutter="0" w:footer="0" w:header="0"/>
        </w:sectPr>
      </w:pPr>
    </w:p>
    <w:p>
      <w:pPr>
        <w:spacing w:after="0" w:line="200" w:lineRule="exact"/>
        <w:rPr>
          <w:sz w:val="20"/>
          <w:szCs w:val="20"/>
          <w:color w:val="auto"/>
        </w:rPr>
      </w:pPr>
    </w:p>
    <w:p>
      <w:pPr>
        <w:spacing w:after="0" w:line="320" w:lineRule="exact"/>
        <w:rPr>
          <w:sz w:val="20"/>
          <w:szCs w:val="20"/>
          <w:color w:val="auto"/>
        </w:rPr>
      </w:pPr>
    </w:p>
    <w:p>
      <w:pPr>
        <w:ind w:left="120"/>
        <w:spacing w:after="0"/>
        <w:rPr>
          <w:sz w:val="20"/>
          <w:szCs w:val="20"/>
          <w:color w:val="auto"/>
        </w:rPr>
      </w:pPr>
      <w:r>
        <w:rPr>
          <w:rFonts w:ascii="Arial" w:cs="Arial" w:eastAsia="Arial" w:hAnsi="Arial"/>
          <w:sz w:val="16"/>
          <w:szCs w:val="16"/>
          <w:b w:val="1"/>
          <w:bCs w:val="1"/>
          <w:color w:val="auto"/>
        </w:rPr>
        <w:t>Name and Principal Position</w:t>
      </w:r>
    </w:p>
    <w:p>
      <w:pPr>
        <w:spacing w:after="0" w:line="20" w:lineRule="exact"/>
        <w:rPr>
          <w:sz w:val="20"/>
          <w:szCs w:val="20"/>
          <w:color w:val="auto"/>
        </w:rPr>
      </w:pPr>
      <w:r>
        <w:rPr>
          <w:sz w:val="20"/>
          <w:szCs w:val="20"/>
          <w:color w:val="auto"/>
        </w:rPr>
        <w:br w:type="column"/>
      </w:r>
    </w:p>
    <w:p>
      <w:pPr>
        <w:spacing w:after="0" w:line="148"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49"/>
        </w:trPr>
        <w:tc>
          <w:tcPr>
            <w:tcW w:w="560" w:type="dxa"/>
            <w:vAlign w:val="bottom"/>
          </w:tcPr>
          <w:p>
            <w:pPr>
              <w:spacing w:after="0"/>
              <w:rPr>
                <w:sz w:val="13"/>
                <w:szCs w:val="13"/>
                <w:color w:val="auto"/>
              </w:rPr>
            </w:pPr>
          </w:p>
        </w:tc>
        <w:tc>
          <w:tcPr>
            <w:tcW w:w="860" w:type="dxa"/>
            <w:vAlign w:val="bottom"/>
          </w:tcPr>
          <w:p>
            <w:pPr>
              <w:spacing w:after="0"/>
              <w:rPr>
                <w:sz w:val="13"/>
                <w:szCs w:val="13"/>
                <w:color w:val="auto"/>
              </w:rPr>
            </w:pPr>
          </w:p>
        </w:tc>
        <w:tc>
          <w:tcPr>
            <w:tcW w:w="900" w:type="dxa"/>
            <w:vAlign w:val="bottom"/>
          </w:tcPr>
          <w:p>
            <w:pPr>
              <w:spacing w:after="0"/>
              <w:rPr>
                <w:sz w:val="13"/>
                <w:szCs w:val="13"/>
                <w:color w:val="auto"/>
              </w:rPr>
            </w:pPr>
          </w:p>
        </w:tc>
        <w:tc>
          <w:tcPr>
            <w:tcW w:w="960" w:type="dxa"/>
            <w:vAlign w:val="bottom"/>
          </w:tcPr>
          <w:p>
            <w:pPr>
              <w:spacing w:after="0"/>
              <w:rPr>
                <w:sz w:val="13"/>
                <w:szCs w:val="13"/>
                <w:color w:val="auto"/>
              </w:rPr>
            </w:pPr>
          </w:p>
        </w:tc>
        <w:tc>
          <w:tcPr>
            <w:tcW w:w="1200" w:type="dxa"/>
            <w:vAlign w:val="bottom"/>
          </w:tcPr>
          <w:p>
            <w:pPr>
              <w:jc w:val="center"/>
              <w:spacing w:after="0"/>
              <w:rPr>
                <w:sz w:val="20"/>
                <w:szCs w:val="20"/>
                <w:color w:val="auto"/>
              </w:rPr>
            </w:pPr>
            <w:r>
              <w:rPr>
                <w:rFonts w:ascii="Arial" w:cs="Arial" w:eastAsia="Arial" w:hAnsi="Arial"/>
                <w:sz w:val="13"/>
                <w:szCs w:val="13"/>
                <w:b w:val="1"/>
                <w:bCs w:val="1"/>
                <w:color w:val="auto"/>
                <w:w w:val="89"/>
              </w:rPr>
              <w:t>Non-Equity</w:t>
            </w:r>
          </w:p>
        </w:tc>
        <w:tc>
          <w:tcPr>
            <w:tcW w:w="1140" w:type="dxa"/>
            <w:vAlign w:val="bottom"/>
          </w:tcPr>
          <w:p>
            <w:pPr>
              <w:spacing w:after="0"/>
              <w:rPr>
                <w:sz w:val="13"/>
                <w:szCs w:val="13"/>
                <w:color w:val="auto"/>
              </w:rPr>
            </w:pPr>
          </w:p>
        </w:tc>
        <w:tc>
          <w:tcPr>
            <w:tcW w:w="500" w:type="dxa"/>
            <w:vAlign w:val="bottom"/>
          </w:tcPr>
          <w:p>
            <w:pPr>
              <w:spacing w:after="0"/>
              <w:rPr>
                <w:sz w:val="13"/>
                <w:szCs w:val="13"/>
                <w:color w:val="auto"/>
              </w:rPr>
            </w:pPr>
          </w:p>
        </w:tc>
      </w:tr>
      <w:tr>
        <w:trPr>
          <w:trHeight w:val="135"/>
        </w:trPr>
        <w:tc>
          <w:tcPr>
            <w:tcW w:w="56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900" w:type="dxa"/>
            <w:vAlign w:val="bottom"/>
          </w:tcPr>
          <w:p>
            <w:pPr>
              <w:spacing w:after="0"/>
              <w:rPr>
                <w:sz w:val="11"/>
                <w:szCs w:val="11"/>
                <w:color w:val="auto"/>
              </w:rPr>
            </w:pPr>
          </w:p>
        </w:tc>
        <w:tc>
          <w:tcPr>
            <w:tcW w:w="960" w:type="dxa"/>
            <w:vAlign w:val="bottom"/>
          </w:tcPr>
          <w:p>
            <w:pPr>
              <w:jc w:val="center"/>
              <w:ind w:left="37"/>
              <w:spacing w:after="0" w:line="135" w:lineRule="exact"/>
              <w:rPr>
                <w:sz w:val="20"/>
                <w:szCs w:val="20"/>
                <w:color w:val="auto"/>
              </w:rPr>
            </w:pPr>
            <w:r>
              <w:rPr>
                <w:rFonts w:ascii="Arial" w:cs="Arial" w:eastAsia="Arial" w:hAnsi="Arial"/>
                <w:sz w:val="13"/>
                <w:szCs w:val="13"/>
                <w:b w:val="1"/>
                <w:bCs w:val="1"/>
                <w:color w:val="auto"/>
                <w:w w:val="84"/>
              </w:rPr>
              <w:t>Stock</w:t>
            </w:r>
          </w:p>
        </w:tc>
        <w:tc>
          <w:tcPr>
            <w:tcW w:w="120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89"/>
              </w:rPr>
              <w:t>Incentive Plan</w:t>
            </w:r>
          </w:p>
        </w:tc>
        <w:tc>
          <w:tcPr>
            <w:tcW w:w="1140" w:type="dxa"/>
            <w:vAlign w:val="bottom"/>
          </w:tcPr>
          <w:p>
            <w:pPr>
              <w:jc w:val="center"/>
              <w:ind w:right="37"/>
              <w:spacing w:after="0" w:line="135" w:lineRule="exact"/>
              <w:rPr>
                <w:sz w:val="20"/>
                <w:szCs w:val="20"/>
                <w:color w:val="auto"/>
              </w:rPr>
            </w:pPr>
            <w:r>
              <w:rPr>
                <w:rFonts w:ascii="Arial" w:cs="Arial" w:eastAsia="Arial" w:hAnsi="Arial"/>
                <w:sz w:val="13"/>
                <w:szCs w:val="13"/>
                <w:b w:val="1"/>
                <w:bCs w:val="1"/>
                <w:color w:val="auto"/>
                <w:w w:val="94"/>
              </w:rPr>
              <w:t>All Other</w:t>
            </w:r>
          </w:p>
        </w:tc>
        <w:tc>
          <w:tcPr>
            <w:tcW w:w="500" w:type="dxa"/>
            <w:vAlign w:val="bottom"/>
          </w:tcPr>
          <w:p>
            <w:pPr>
              <w:spacing w:after="0"/>
              <w:rPr>
                <w:sz w:val="11"/>
                <w:szCs w:val="11"/>
                <w:color w:val="auto"/>
              </w:rPr>
            </w:pPr>
          </w:p>
        </w:tc>
      </w:tr>
      <w:tr>
        <w:trPr>
          <w:trHeight w:val="135"/>
        </w:trPr>
        <w:tc>
          <w:tcPr>
            <w:tcW w:w="560" w:type="dxa"/>
            <w:vAlign w:val="bottom"/>
          </w:tcPr>
          <w:p>
            <w:pPr>
              <w:spacing w:after="0"/>
              <w:rPr>
                <w:sz w:val="11"/>
                <w:szCs w:val="11"/>
                <w:color w:val="auto"/>
              </w:rPr>
            </w:pPr>
          </w:p>
        </w:tc>
        <w:tc>
          <w:tcPr>
            <w:tcW w:w="860" w:type="dxa"/>
            <w:vAlign w:val="bottom"/>
          </w:tcPr>
          <w:p>
            <w:pPr>
              <w:jc w:val="center"/>
              <w:ind w:right="57"/>
              <w:spacing w:after="0" w:line="135" w:lineRule="exact"/>
              <w:rPr>
                <w:sz w:val="20"/>
                <w:szCs w:val="20"/>
                <w:color w:val="auto"/>
              </w:rPr>
            </w:pPr>
            <w:r>
              <w:rPr>
                <w:rFonts w:ascii="Arial" w:cs="Arial" w:eastAsia="Arial" w:hAnsi="Arial"/>
                <w:sz w:val="13"/>
                <w:szCs w:val="13"/>
                <w:b w:val="1"/>
                <w:bCs w:val="1"/>
                <w:color w:val="auto"/>
                <w:w w:val="86"/>
              </w:rPr>
              <w:t>Salary</w:t>
            </w:r>
          </w:p>
        </w:tc>
        <w:tc>
          <w:tcPr>
            <w:tcW w:w="90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83"/>
              </w:rPr>
              <w:t>Bonus</w:t>
            </w:r>
          </w:p>
        </w:tc>
        <w:tc>
          <w:tcPr>
            <w:tcW w:w="960" w:type="dxa"/>
            <w:vAlign w:val="bottom"/>
          </w:tcPr>
          <w:p>
            <w:pPr>
              <w:jc w:val="center"/>
              <w:ind w:left="37"/>
              <w:spacing w:after="0" w:line="135" w:lineRule="exact"/>
              <w:rPr>
                <w:sz w:val="20"/>
                <w:szCs w:val="20"/>
                <w:color w:val="auto"/>
              </w:rPr>
            </w:pPr>
            <w:r>
              <w:rPr>
                <w:rFonts w:ascii="Arial" w:cs="Arial" w:eastAsia="Arial" w:hAnsi="Arial"/>
                <w:sz w:val="13"/>
                <w:szCs w:val="13"/>
                <w:b w:val="1"/>
                <w:bCs w:val="1"/>
                <w:color w:val="auto"/>
                <w:w w:val="91"/>
              </w:rPr>
              <w:t>Awards</w:t>
            </w:r>
            <w:r>
              <w:rPr>
                <w:rFonts w:ascii="Arial" w:cs="Arial" w:eastAsia="Arial" w:hAnsi="Arial"/>
                <w:sz w:val="10"/>
                <w:szCs w:val="10"/>
                <w:b w:val="1"/>
                <w:bCs w:val="1"/>
                <w:color w:val="auto"/>
                <w:w w:val="91"/>
              </w:rPr>
              <w:t>(1)</w:t>
            </w:r>
          </w:p>
        </w:tc>
        <w:tc>
          <w:tcPr>
            <w:tcW w:w="120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87"/>
              </w:rPr>
              <w:t>Compensation</w:t>
            </w:r>
            <w:r>
              <w:rPr>
                <w:rFonts w:ascii="Arial" w:cs="Arial" w:eastAsia="Arial" w:hAnsi="Arial"/>
                <w:sz w:val="10"/>
                <w:szCs w:val="10"/>
                <w:b w:val="1"/>
                <w:bCs w:val="1"/>
                <w:color w:val="auto"/>
                <w:w w:val="87"/>
              </w:rPr>
              <w:t>(2)</w:t>
            </w:r>
          </w:p>
        </w:tc>
        <w:tc>
          <w:tcPr>
            <w:tcW w:w="1140" w:type="dxa"/>
            <w:vAlign w:val="bottom"/>
          </w:tcPr>
          <w:p>
            <w:pPr>
              <w:jc w:val="center"/>
              <w:ind w:right="57"/>
              <w:spacing w:after="0" w:line="135" w:lineRule="exact"/>
              <w:rPr>
                <w:sz w:val="20"/>
                <w:szCs w:val="20"/>
                <w:color w:val="auto"/>
              </w:rPr>
            </w:pPr>
            <w:r>
              <w:rPr>
                <w:rFonts w:ascii="Arial" w:cs="Arial" w:eastAsia="Arial" w:hAnsi="Arial"/>
                <w:sz w:val="13"/>
                <w:szCs w:val="13"/>
                <w:b w:val="1"/>
                <w:bCs w:val="1"/>
                <w:color w:val="auto"/>
                <w:w w:val="86"/>
              </w:rPr>
              <w:t>Compensation</w:t>
            </w:r>
          </w:p>
        </w:tc>
        <w:tc>
          <w:tcPr>
            <w:tcW w:w="500" w:type="dxa"/>
            <w:vAlign w:val="bottom"/>
          </w:tcPr>
          <w:p>
            <w:pPr>
              <w:jc w:val="center"/>
              <w:ind w:left="157"/>
              <w:spacing w:after="0" w:line="135" w:lineRule="exact"/>
              <w:rPr>
                <w:sz w:val="20"/>
                <w:szCs w:val="20"/>
                <w:color w:val="auto"/>
              </w:rPr>
            </w:pPr>
            <w:r>
              <w:rPr>
                <w:rFonts w:ascii="Arial" w:cs="Arial" w:eastAsia="Arial" w:hAnsi="Arial"/>
                <w:sz w:val="13"/>
                <w:szCs w:val="13"/>
                <w:b w:val="1"/>
                <w:bCs w:val="1"/>
                <w:color w:val="auto"/>
                <w:w w:val="89"/>
              </w:rPr>
              <w:t>Total</w:t>
            </w:r>
          </w:p>
        </w:tc>
      </w:tr>
      <w:tr>
        <w:trPr>
          <w:trHeight w:val="165"/>
        </w:trPr>
        <w:tc>
          <w:tcPr>
            <w:tcW w:w="560" w:type="dxa"/>
            <w:vAlign w:val="bottom"/>
          </w:tcPr>
          <w:p>
            <w:pPr>
              <w:spacing w:after="0"/>
              <w:rPr>
                <w:sz w:val="20"/>
                <w:szCs w:val="20"/>
                <w:color w:val="auto"/>
              </w:rPr>
            </w:pPr>
            <w:r>
              <w:rPr>
                <w:rFonts w:ascii="Arial" w:cs="Arial" w:eastAsia="Arial" w:hAnsi="Arial"/>
                <w:sz w:val="13"/>
                <w:szCs w:val="13"/>
                <w:b w:val="1"/>
                <w:bCs w:val="1"/>
                <w:color w:val="auto"/>
              </w:rPr>
              <w:t>Year</w:t>
            </w:r>
            <w:r>
              <w:rPr>
                <w:rFonts w:ascii="Arial" w:cs="Arial" w:eastAsia="Arial" w:hAnsi="Arial"/>
                <w:sz w:val="10"/>
                <w:szCs w:val="10"/>
                <w:b w:val="1"/>
                <w:bCs w:val="1"/>
                <w:color w:val="auto"/>
              </w:rPr>
              <w:t>(1)</w:t>
            </w:r>
          </w:p>
        </w:tc>
        <w:tc>
          <w:tcPr>
            <w:tcW w:w="860" w:type="dxa"/>
            <w:vAlign w:val="bottom"/>
          </w:tcPr>
          <w:p>
            <w:pPr>
              <w:jc w:val="right"/>
              <w:ind w:right="357"/>
              <w:spacing w:after="0"/>
              <w:rPr>
                <w:sz w:val="20"/>
                <w:szCs w:val="20"/>
                <w:color w:val="auto"/>
              </w:rPr>
            </w:pPr>
            <w:r>
              <w:rPr>
                <w:rFonts w:ascii="Arial" w:cs="Arial" w:eastAsia="Arial" w:hAnsi="Arial"/>
                <w:sz w:val="13"/>
                <w:szCs w:val="13"/>
                <w:b w:val="1"/>
                <w:bCs w:val="1"/>
                <w:color w:val="auto"/>
              </w:rPr>
              <w:t>($)</w:t>
            </w:r>
          </w:p>
        </w:tc>
        <w:tc>
          <w:tcPr>
            <w:tcW w:w="900" w:type="dxa"/>
            <w:vAlign w:val="bottom"/>
          </w:tcPr>
          <w:p>
            <w:pPr>
              <w:jc w:val="right"/>
              <w:ind w:right="297"/>
              <w:spacing w:after="0"/>
              <w:rPr>
                <w:sz w:val="20"/>
                <w:szCs w:val="20"/>
                <w:color w:val="auto"/>
              </w:rPr>
            </w:pPr>
            <w:r>
              <w:rPr>
                <w:rFonts w:ascii="Arial" w:cs="Arial" w:eastAsia="Arial" w:hAnsi="Arial"/>
                <w:sz w:val="13"/>
                <w:szCs w:val="13"/>
                <w:b w:val="1"/>
                <w:bCs w:val="1"/>
                <w:color w:val="auto"/>
              </w:rPr>
              <w:t>($)</w:t>
            </w:r>
          </w:p>
        </w:tc>
        <w:tc>
          <w:tcPr>
            <w:tcW w:w="960" w:type="dxa"/>
            <w:vAlign w:val="bottom"/>
          </w:tcPr>
          <w:p>
            <w:pPr>
              <w:jc w:val="center"/>
              <w:ind w:left="37"/>
              <w:spacing w:after="0"/>
              <w:rPr>
                <w:sz w:val="20"/>
                <w:szCs w:val="20"/>
                <w:color w:val="auto"/>
              </w:rPr>
            </w:pPr>
            <w:r>
              <w:rPr>
                <w:rFonts w:ascii="Arial" w:cs="Arial" w:eastAsia="Arial" w:hAnsi="Arial"/>
                <w:sz w:val="13"/>
                <w:szCs w:val="13"/>
                <w:b w:val="1"/>
                <w:bCs w:val="1"/>
                <w:color w:val="auto"/>
                <w:w w:val="87"/>
              </w:rPr>
              <w:t>($)</w:t>
            </w:r>
          </w:p>
        </w:tc>
        <w:tc>
          <w:tcPr>
            <w:tcW w:w="1200" w:type="dxa"/>
            <w:vAlign w:val="bottom"/>
          </w:tcPr>
          <w:p>
            <w:pPr>
              <w:jc w:val="center"/>
              <w:spacing w:after="0"/>
              <w:rPr>
                <w:sz w:val="20"/>
                <w:szCs w:val="20"/>
                <w:color w:val="auto"/>
              </w:rPr>
            </w:pPr>
            <w:r>
              <w:rPr>
                <w:rFonts w:ascii="Arial" w:cs="Arial" w:eastAsia="Arial" w:hAnsi="Arial"/>
                <w:sz w:val="13"/>
                <w:szCs w:val="13"/>
                <w:b w:val="1"/>
                <w:bCs w:val="1"/>
                <w:color w:val="auto"/>
                <w:w w:val="87"/>
              </w:rPr>
              <w:t>($)</w:t>
            </w:r>
          </w:p>
        </w:tc>
        <w:tc>
          <w:tcPr>
            <w:tcW w:w="1140" w:type="dxa"/>
            <w:vAlign w:val="bottom"/>
          </w:tcPr>
          <w:p>
            <w:pPr>
              <w:jc w:val="center"/>
              <w:ind w:right="57"/>
              <w:spacing w:after="0"/>
              <w:rPr>
                <w:sz w:val="20"/>
                <w:szCs w:val="20"/>
                <w:color w:val="auto"/>
              </w:rPr>
            </w:pPr>
            <w:r>
              <w:rPr>
                <w:rFonts w:ascii="Arial" w:cs="Arial" w:eastAsia="Arial" w:hAnsi="Arial"/>
                <w:sz w:val="13"/>
                <w:szCs w:val="13"/>
                <w:b w:val="1"/>
                <w:bCs w:val="1"/>
                <w:color w:val="auto"/>
                <w:w w:val="87"/>
              </w:rPr>
              <w:t>($)</w:t>
            </w:r>
          </w:p>
        </w:tc>
        <w:tc>
          <w:tcPr>
            <w:tcW w:w="500" w:type="dxa"/>
            <w:vAlign w:val="bottom"/>
          </w:tcPr>
          <w:p>
            <w:pPr>
              <w:jc w:val="right"/>
              <w:spacing w:after="0"/>
              <w:rPr>
                <w:sz w:val="20"/>
                <w:szCs w:val="20"/>
                <w:color w:val="auto"/>
              </w:rPr>
            </w:pPr>
            <w:r>
              <w:rPr>
                <w:rFonts w:ascii="Arial" w:cs="Arial" w:eastAsia="Arial" w:hAnsi="Arial"/>
                <w:sz w:val="13"/>
                <w:szCs w:val="13"/>
                <w:b w:val="1"/>
                <w:bCs w:val="1"/>
                <w:color w:val="auto"/>
              </w:rPr>
              <w:t>($)</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-2884805</wp:posOffset>
            </wp:positionH>
            <wp:positionV relativeFrom="paragraph">
              <wp:posOffset>-358140</wp:posOffset>
            </wp:positionV>
            <wp:extent cx="6995160" cy="825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7">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 w:lineRule="exact"/>
        <w:rPr>
          <w:sz w:val="20"/>
          <w:szCs w:val="20"/>
          <w:color w:val="auto"/>
        </w:rPr>
      </w:pPr>
    </w:p>
    <w:p>
      <w:pPr>
        <w:sectPr>
          <w:pgSz w:w="11900" w:h="16838" w:orient="portrait"/>
          <w:cols w:equalWidth="0" w:num="2">
            <w:col w:w="3940" w:space="720"/>
            <w:col w:w="6480"/>
          </w:cols>
          <w:pgMar w:left="320" w:top="459" w:right="439" w:bottom="1440" w:gutter="0" w:footer="0" w:header="0"/>
          <w:type w:val="continuous"/>
        </w:sectPr>
      </w:pPr>
    </w:p>
    <w:tbl>
      <w:tblPr>
        <w:tblLayout w:type="fixed"/>
        <w:tblInd w:w="120" w:type="dxa"/>
        <w:tblCellMar>
          <w:top w:w="0" w:type="dxa"/>
          <w:left w:w="0" w:type="dxa"/>
          <w:bottom w:w="0" w:type="dxa"/>
          <w:right w:w="0" w:type="dxa"/>
        </w:tblCellMar>
      </w:tblPr>
      <w:tr>
        <w:trPr>
          <w:trHeight w:val="212"/>
        </w:trPr>
        <w:tc>
          <w:tcPr>
            <w:tcW w:w="4400" w:type="dxa"/>
            <w:vAlign w:val="bottom"/>
            <w:tcBorders>
              <w:top w:val="single" w:sz="8" w:color="407CCA"/>
            </w:tcBorders>
            <w:gridSpan w:val="2"/>
            <w:shd w:val="clear" w:color="auto" w:fill="D8D8D8"/>
          </w:tcPr>
          <w:p>
            <w:pPr>
              <w:spacing w:after="0"/>
              <w:rPr>
                <w:sz w:val="20"/>
                <w:szCs w:val="20"/>
                <w:color w:val="auto"/>
              </w:rPr>
            </w:pPr>
            <w:r>
              <w:rPr>
                <w:rFonts w:ascii="Arial" w:cs="Arial" w:eastAsia="Arial" w:hAnsi="Arial"/>
                <w:sz w:val="18"/>
                <w:szCs w:val="18"/>
                <w:color w:val="auto"/>
              </w:rPr>
              <w:t>Gary D. Kain</w:t>
            </w:r>
          </w:p>
        </w:tc>
        <w:tc>
          <w:tcPr>
            <w:tcW w:w="600" w:type="dxa"/>
            <w:vAlign w:val="bottom"/>
            <w:tcBorders>
              <w:top w:val="single" w:sz="8" w:color="407CCA"/>
            </w:tcBorders>
            <w:shd w:val="clear" w:color="auto" w:fill="D8D8D8"/>
          </w:tcPr>
          <w:p>
            <w:pPr>
              <w:jc w:val="right"/>
              <w:ind w:right="10"/>
              <w:spacing w:after="0"/>
              <w:rPr>
                <w:sz w:val="20"/>
                <w:szCs w:val="20"/>
                <w:color w:val="auto"/>
              </w:rPr>
            </w:pPr>
            <w:r>
              <w:rPr>
                <w:rFonts w:ascii="Arial" w:cs="Arial" w:eastAsia="Arial" w:hAnsi="Arial"/>
                <w:sz w:val="18"/>
                <w:szCs w:val="18"/>
                <w:color w:val="auto"/>
              </w:rPr>
              <w:t>2019</w:t>
            </w:r>
          </w:p>
        </w:tc>
        <w:tc>
          <w:tcPr>
            <w:tcW w:w="940" w:type="dxa"/>
            <w:vAlign w:val="bottom"/>
            <w:tcBorders>
              <w:top w:val="single" w:sz="8" w:color="407CCA"/>
            </w:tcBorders>
            <w:shd w:val="clear" w:color="auto" w:fill="D8D8D8"/>
          </w:tcPr>
          <w:p>
            <w:pPr>
              <w:jc w:val="center"/>
              <w:spacing w:after="0"/>
              <w:rPr>
                <w:sz w:val="20"/>
                <w:szCs w:val="20"/>
                <w:color w:val="auto"/>
              </w:rPr>
            </w:pPr>
            <w:r>
              <w:rPr>
                <w:rFonts w:ascii="Arial" w:cs="Arial" w:eastAsia="Arial" w:hAnsi="Arial"/>
                <w:sz w:val="18"/>
                <w:szCs w:val="18"/>
                <w:color w:val="auto"/>
                <w:w w:val="89"/>
              </w:rPr>
              <w:t>975,000</w:t>
            </w:r>
          </w:p>
        </w:tc>
        <w:tc>
          <w:tcPr>
            <w:tcW w:w="960" w:type="dxa"/>
            <w:vAlign w:val="bottom"/>
            <w:tcBorders>
              <w:top w:val="single" w:sz="8" w:color="407CCA"/>
            </w:tcBorders>
            <w:shd w:val="clear" w:color="auto" w:fill="D8D8D8"/>
          </w:tcPr>
          <w:p>
            <w:pPr>
              <w:jc w:val="center"/>
              <w:spacing w:after="0"/>
              <w:rPr>
                <w:sz w:val="20"/>
                <w:szCs w:val="20"/>
                <w:color w:val="auto"/>
              </w:rPr>
            </w:pPr>
            <w:r>
              <w:rPr>
                <w:rFonts w:ascii="Arial" w:cs="Arial" w:eastAsia="Arial" w:hAnsi="Arial"/>
                <w:sz w:val="18"/>
                <w:szCs w:val="18"/>
                <w:color w:val="auto"/>
                <w:w w:val="89"/>
              </w:rPr>
              <w:t>7,047,000</w:t>
            </w:r>
          </w:p>
        </w:tc>
        <w:tc>
          <w:tcPr>
            <w:tcW w:w="1060" w:type="dxa"/>
            <w:vAlign w:val="bottom"/>
            <w:tcBorders>
              <w:top w:val="single" w:sz="8" w:color="407CCA"/>
            </w:tcBorders>
            <w:shd w:val="clear" w:color="auto" w:fill="D8D8D8"/>
          </w:tcPr>
          <w:p>
            <w:pPr>
              <w:jc w:val="center"/>
              <w:ind w:right="10"/>
              <w:spacing w:after="0"/>
              <w:rPr>
                <w:sz w:val="20"/>
                <w:szCs w:val="20"/>
                <w:color w:val="auto"/>
              </w:rPr>
            </w:pPr>
            <w:r>
              <w:rPr>
                <w:rFonts w:ascii="Arial" w:cs="Arial" w:eastAsia="Arial" w:hAnsi="Arial"/>
                <w:sz w:val="18"/>
                <w:szCs w:val="18"/>
                <w:color w:val="auto"/>
                <w:w w:val="89"/>
              </w:rPr>
              <w:t>8,100,000</w:t>
            </w:r>
          </w:p>
        </w:tc>
        <w:tc>
          <w:tcPr>
            <w:tcW w:w="1080" w:type="dxa"/>
            <w:vAlign w:val="bottom"/>
            <w:tcBorders>
              <w:top w:val="single" w:sz="8" w:color="407CCA"/>
            </w:tcBorders>
            <w:shd w:val="clear" w:color="auto" w:fill="D8D8D8"/>
          </w:tcPr>
          <w:p>
            <w:pPr>
              <w:ind w:left="400"/>
              <w:spacing w:after="0"/>
              <w:rPr>
                <w:sz w:val="20"/>
                <w:szCs w:val="20"/>
                <w:color w:val="auto"/>
              </w:rPr>
            </w:pPr>
            <w:r>
              <w:rPr>
                <w:rFonts w:ascii="Arial" w:cs="Arial" w:eastAsia="Arial" w:hAnsi="Arial"/>
                <w:sz w:val="18"/>
                <w:szCs w:val="18"/>
                <w:color w:val="auto"/>
              </w:rPr>
              <w:t>–</w:t>
            </w:r>
          </w:p>
        </w:tc>
        <w:tc>
          <w:tcPr>
            <w:tcW w:w="880" w:type="dxa"/>
            <w:vAlign w:val="bottom"/>
            <w:tcBorders>
              <w:top w:val="single" w:sz="8" w:color="407CCA"/>
            </w:tcBorders>
            <w:shd w:val="clear" w:color="auto" w:fill="D8D8D8"/>
          </w:tcPr>
          <w:p>
            <w:pPr>
              <w:jc w:val="right"/>
              <w:ind w:right="90"/>
              <w:spacing w:after="0"/>
              <w:rPr>
                <w:sz w:val="20"/>
                <w:szCs w:val="20"/>
                <w:color w:val="auto"/>
              </w:rPr>
            </w:pPr>
            <w:r>
              <w:rPr>
                <w:rFonts w:ascii="Arial" w:cs="Arial" w:eastAsia="Arial" w:hAnsi="Arial"/>
                <w:sz w:val="18"/>
                <w:szCs w:val="18"/>
                <w:color w:val="auto"/>
              </w:rPr>
              <w:t>8,400</w:t>
            </w:r>
          </w:p>
        </w:tc>
        <w:tc>
          <w:tcPr>
            <w:tcW w:w="1100" w:type="dxa"/>
            <w:vAlign w:val="bottom"/>
            <w:tcBorders>
              <w:top w:val="single" w:sz="8" w:color="407CCA"/>
            </w:tcBorders>
            <w:shd w:val="clear" w:color="auto" w:fill="D8D8D8"/>
          </w:tcPr>
          <w:p>
            <w:pPr>
              <w:jc w:val="center"/>
              <w:ind w:left="30"/>
              <w:spacing w:after="0"/>
              <w:rPr>
                <w:sz w:val="20"/>
                <w:szCs w:val="20"/>
                <w:color w:val="auto"/>
              </w:rPr>
            </w:pPr>
            <w:r>
              <w:rPr>
                <w:rFonts w:ascii="Arial" w:cs="Arial" w:eastAsia="Arial" w:hAnsi="Arial"/>
                <w:sz w:val="18"/>
                <w:szCs w:val="18"/>
                <w:color w:val="auto"/>
                <w:w w:val="90"/>
              </w:rPr>
              <w:t>16,130,400</w:t>
            </w:r>
          </w:p>
        </w:tc>
      </w:tr>
      <w:tr>
        <w:trPr>
          <w:trHeight w:val="216"/>
        </w:trPr>
        <w:tc>
          <w:tcPr>
            <w:tcW w:w="4400" w:type="dxa"/>
            <w:vAlign w:val="bottom"/>
            <w:gridSpan w:val="2"/>
            <w:shd w:val="clear" w:color="auto" w:fill="D8D8D8"/>
          </w:tcPr>
          <w:p>
            <w:pPr>
              <w:spacing w:after="0"/>
              <w:rPr>
                <w:sz w:val="20"/>
                <w:szCs w:val="20"/>
                <w:color w:val="auto"/>
              </w:rPr>
            </w:pPr>
            <w:r>
              <w:rPr>
                <w:rFonts w:ascii="Arial" w:cs="Arial" w:eastAsia="Arial" w:hAnsi="Arial"/>
                <w:sz w:val="18"/>
                <w:szCs w:val="18"/>
                <w:i w:val="1"/>
                <w:iCs w:val="1"/>
                <w:color w:val="auto"/>
              </w:rPr>
              <w:t>Chief Executive Officer and Chief Investment Officer</w:t>
            </w:r>
          </w:p>
        </w:tc>
        <w:tc>
          <w:tcPr>
            <w:tcW w:w="600" w:type="dxa"/>
            <w:vAlign w:val="bottom"/>
            <w:shd w:val="clear" w:color="auto" w:fill="D8D8D8"/>
          </w:tcPr>
          <w:p>
            <w:pPr>
              <w:jc w:val="right"/>
              <w:ind w:right="10"/>
              <w:spacing w:after="0"/>
              <w:rPr>
                <w:sz w:val="20"/>
                <w:szCs w:val="20"/>
                <w:color w:val="auto"/>
              </w:rPr>
            </w:pPr>
            <w:r>
              <w:rPr>
                <w:rFonts w:ascii="Arial" w:cs="Arial" w:eastAsia="Arial" w:hAnsi="Arial"/>
                <w:sz w:val="18"/>
                <w:szCs w:val="18"/>
                <w:color w:val="auto"/>
              </w:rPr>
              <w:t>2018</w:t>
            </w:r>
          </w:p>
        </w:tc>
        <w:tc>
          <w:tcPr>
            <w:tcW w:w="94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1,800,000</w:t>
            </w:r>
          </w:p>
        </w:tc>
        <w:tc>
          <w:tcPr>
            <w:tcW w:w="96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7,437,600</w:t>
            </w:r>
          </w:p>
        </w:tc>
        <w:tc>
          <w:tcPr>
            <w:tcW w:w="1060" w:type="dxa"/>
            <w:vAlign w:val="bottom"/>
            <w:shd w:val="clear" w:color="auto" w:fill="D8D8D8"/>
          </w:tcPr>
          <w:p>
            <w:pPr>
              <w:jc w:val="center"/>
              <w:ind w:right="10"/>
              <w:spacing w:after="0"/>
              <w:rPr>
                <w:sz w:val="20"/>
                <w:szCs w:val="20"/>
                <w:color w:val="auto"/>
              </w:rPr>
            </w:pPr>
            <w:r>
              <w:rPr>
                <w:rFonts w:ascii="Arial" w:cs="Arial" w:eastAsia="Arial" w:hAnsi="Arial"/>
                <w:sz w:val="18"/>
                <w:szCs w:val="18"/>
                <w:color w:val="auto"/>
                <w:w w:val="89"/>
              </w:rPr>
              <w:t>4,590,000</w:t>
            </w:r>
          </w:p>
        </w:tc>
        <w:tc>
          <w:tcPr>
            <w:tcW w:w="1080" w:type="dxa"/>
            <w:vAlign w:val="bottom"/>
            <w:shd w:val="clear" w:color="auto" w:fill="D8D8D8"/>
          </w:tcPr>
          <w:p>
            <w:pPr>
              <w:jc w:val="center"/>
              <w:ind w:right="10"/>
              <w:spacing w:after="0"/>
              <w:rPr>
                <w:sz w:val="20"/>
                <w:szCs w:val="20"/>
                <w:color w:val="auto"/>
              </w:rPr>
            </w:pPr>
            <w:r>
              <w:rPr>
                <w:rFonts w:ascii="Arial" w:cs="Arial" w:eastAsia="Arial" w:hAnsi="Arial"/>
                <w:sz w:val="18"/>
                <w:szCs w:val="18"/>
                <w:color w:val="auto"/>
                <w:w w:val="89"/>
              </w:rPr>
              <w:t>810,000</w:t>
            </w:r>
          </w:p>
        </w:tc>
        <w:tc>
          <w:tcPr>
            <w:tcW w:w="880" w:type="dxa"/>
            <w:vAlign w:val="bottom"/>
            <w:shd w:val="clear" w:color="auto" w:fill="D8D8D8"/>
          </w:tcPr>
          <w:p>
            <w:pPr>
              <w:jc w:val="right"/>
              <w:ind w:right="90"/>
              <w:spacing w:after="0"/>
              <w:rPr>
                <w:sz w:val="20"/>
                <w:szCs w:val="20"/>
                <w:color w:val="auto"/>
              </w:rPr>
            </w:pPr>
            <w:r>
              <w:rPr>
                <w:rFonts w:ascii="Arial" w:cs="Arial" w:eastAsia="Arial" w:hAnsi="Arial"/>
                <w:sz w:val="18"/>
                <w:szCs w:val="18"/>
                <w:color w:val="auto"/>
              </w:rPr>
              <w:t>8,250</w:t>
            </w:r>
          </w:p>
        </w:tc>
        <w:tc>
          <w:tcPr>
            <w:tcW w:w="1100" w:type="dxa"/>
            <w:vAlign w:val="bottom"/>
            <w:shd w:val="clear" w:color="auto" w:fill="D8D8D8"/>
          </w:tcPr>
          <w:p>
            <w:pPr>
              <w:jc w:val="center"/>
              <w:ind w:left="30"/>
              <w:spacing w:after="0"/>
              <w:rPr>
                <w:sz w:val="20"/>
                <w:szCs w:val="20"/>
                <w:color w:val="auto"/>
              </w:rPr>
            </w:pPr>
            <w:r>
              <w:rPr>
                <w:rFonts w:ascii="Arial" w:cs="Arial" w:eastAsia="Arial" w:hAnsi="Arial"/>
                <w:sz w:val="18"/>
                <w:szCs w:val="18"/>
                <w:color w:val="auto"/>
                <w:w w:val="90"/>
              </w:rPr>
              <w:t>14,645,850</w:t>
            </w:r>
          </w:p>
        </w:tc>
      </w:tr>
      <w:tr>
        <w:trPr>
          <w:trHeight w:val="216"/>
        </w:trPr>
        <w:tc>
          <w:tcPr>
            <w:tcW w:w="3860" w:type="dxa"/>
            <w:vAlign w:val="bottom"/>
            <w:shd w:val="clear" w:color="auto" w:fill="D8D8D8"/>
          </w:tcPr>
          <w:p>
            <w:pPr>
              <w:spacing w:after="0"/>
              <w:rPr>
                <w:sz w:val="18"/>
                <w:szCs w:val="18"/>
                <w:color w:val="auto"/>
              </w:rPr>
            </w:pPr>
          </w:p>
        </w:tc>
        <w:tc>
          <w:tcPr>
            <w:tcW w:w="540" w:type="dxa"/>
            <w:vAlign w:val="bottom"/>
            <w:shd w:val="clear" w:color="auto" w:fill="D8D8D8"/>
          </w:tcPr>
          <w:p>
            <w:pPr>
              <w:spacing w:after="0"/>
              <w:rPr>
                <w:sz w:val="18"/>
                <w:szCs w:val="18"/>
                <w:color w:val="auto"/>
              </w:rPr>
            </w:pPr>
          </w:p>
        </w:tc>
        <w:tc>
          <w:tcPr>
            <w:tcW w:w="600" w:type="dxa"/>
            <w:vAlign w:val="bottom"/>
            <w:shd w:val="clear" w:color="auto" w:fill="D8D8D8"/>
          </w:tcPr>
          <w:p>
            <w:pPr>
              <w:jc w:val="right"/>
              <w:ind w:right="10"/>
              <w:spacing w:after="0"/>
              <w:rPr>
                <w:sz w:val="20"/>
                <w:szCs w:val="20"/>
                <w:color w:val="auto"/>
              </w:rPr>
            </w:pPr>
            <w:r>
              <w:rPr>
                <w:rFonts w:ascii="Arial" w:cs="Arial" w:eastAsia="Arial" w:hAnsi="Arial"/>
                <w:sz w:val="18"/>
                <w:szCs w:val="18"/>
                <w:color w:val="auto"/>
              </w:rPr>
              <w:t>2017</w:t>
            </w:r>
          </w:p>
        </w:tc>
        <w:tc>
          <w:tcPr>
            <w:tcW w:w="94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3,400,000</w:t>
            </w:r>
          </w:p>
        </w:tc>
        <w:tc>
          <w:tcPr>
            <w:tcW w:w="96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7,437,797</w:t>
            </w:r>
          </w:p>
        </w:tc>
        <w:tc>
          <w:tcPr>
            <w:tcW w:w="1060" w:type="dxa"/>
            <w:vAlign w:val="bottom"/>
            <w:shd w:val="clear" w:color="auto" w:fill="D8D8D8"/>
          </w:tcPr>
          <w:p>
            <w:pPr>
              <w:jc w:val="center"/>
              <w:ind w:right="10"/>
              <w:spacing w:after="0"/>
              <w:rPr>
                <w:sz w:val="20"/>
                <w:szCs w:val="20"/>
                <w:color w:val="auto"/>
              </w:rPr>
            </w:pPr>
            <w:r>
              <w:rPr>
                <w:rFonts w:ascii="Arial" w:cs="Arial" w:eastAsia="Arial" w:hAnsi="Arial"/>
                <w:sz w:val="18"/>
                <w:szCs w:val="18"/>
                <w:color w:val="auto"/>
                <w:w w:val="89"/>
              </w:rPr>
              <w:t>4,590,000</w:t>
            </w:r>
          </w:p>
        </w:tc>
        <w:tc>
          <w:tcPr>
            <w:tcW w:w="1080" w:type="dxa"/>
            <w:vAlign w:val="bottom"/>
            <w:shd w:val="clear" w:color="auto" w:fill="D8D8D8"/>
          </w:tcPr>
          <w:p>
            <w:pPr>
              <w:jc w:val="center"/>
              <w:ind w:right="10"/>
              <w:spacing w:after="0"/>
              <w:rPr>
                <w:sz w:val="20"/>
                <w:szCs w:val="20"/>
                <w:color w:val="auto"/>
              </w:rPr>
            </w:pPr>
            <w:r>
              <w:rPr>
                <w:rFonts w:ascii="Arial" w:cs="Arial" w:eastAsia="Arial" w:hAnsi="Arial"/>
                <w:sz w:val="18"/>
                <w:szCs w:val="18"/>
                <w:color w:val="auto"/>
                <w:w w:val="89"/>
              </w:rPr>
              <w:t>810,000</w:t>
            </w:r>
          </w:p>
        </w:tc>
        <w:tc>
          <w:tcPr>
            <w:tcW w:w="880" w:type="dxa"/>
            <w:vAlign w:val="bottom"/>
            <w:shd w:val="clear" w:color="auto" w:fill="D8D8D8"/>
          </w:tcPr>
          <w:p>
            <w:pPr>
              <w:jc w:val="right"/>
              <w:ind w:right="90"/>
              <w:spacing w:after="0"/>
              <w:rPr>
                <w:sz w:val="20"/>
                <w:szCs w:val="20"/>
                <w:color w:val="auto"/>
              </w:rPr>
            </w:pPr>
            <w:r>
              <w:rPr>
                <w:rFonts w:ascii="Arial" w:cs="Arial" w:eastAsia="Arial" w:hAnsi="Arial"/>
                <w:sz w:val="18"/>
                <w:szCs w:val="18"/>
                <w:color w:val="auto"/>
              </w:rPr>
              <w:t>8,100</w:t>
            </w:r>
          </w:p>
        </w:tc>
        <w:tc>
          <w:tcPr>
            <w:tcW w:w="1100" w:type="dxa"/>
            <w:vAlign w:val="bottom"/>
            <w:shd w:val="clear" w:color="auto" w:fill="D8D8D8"/>
          </w:tcPr>
          <w:p>
            <w:pPr>
              <w:jc w:val="center"/>
              <w:ind w:left="30"/>
              <w:spacing w:after="0"/>
              <w:rPr>
                <w:sz w:val="20"/>
                <w:szCs w:val="20"/>
                <w:color w:val="auto"/>
              </w:rPr>
            </w:pPr>
            <w:r>
              <w:rPr>
                <w:rFonts w:ascii="Arial" w:cs="Arial" w:eastAsia="Arial" w:hAnsi="Arial"/>
                <w:sz w:val="18"/>
                <w:szCs w:val="18"/>
                <w:color w:val="auto"/>
                <w:w w:val="90"/>
              </w:rPr>
              <w:t>16,245,897</w:t>
            </w:r>
          </w:p>
        </w:tc>
      </w:tr>
      <w:tr>
        <w:trPr>
          <w:trHeight w:val="310"/>
        </w:trPr>
        <w:tc>
          <w:tcPr>
            <w:tcW w:w="4400" w:type="dxa"/>
            <w:vAlign w:val="bottom"/>
            <w:gridSpan w:val="2"/>
          </w:tcPr>
          <w:p>
            <w:pPr>
              <w:spacing w:after="0"/>
              <w:rPr>
                <w:sz w:val="20"/>
                <w:szCs w:val="20"/>
                <w:color w:val="auto"/>
              </w:rPr>
            </w:pPr>
            <w:r>
              <w:rPr>
                <w:rFonts w:ascii="Arial" w:cs="Arial" w:eastAsia="Arial" w:hAnsi="Arial"/>
                <w:sz w:val="18"/>
                <w:szCs w:val="18"/>
                <w:color w:val="auto"/>
              </w:rPr>
              <w:t>Peter J. Federico</w:t>
            </w:r>
          </w:p>
        </w:tc>
        <w:tc>
          <w:tcPr>
            <w:tcW w:w="600" w:type="dxa"/>
            <w:vAlign w:val="bottom"/>
          </w:tcPr>
          <w:p>
            <w:pPr>
              <w:jc w:val="right"/>
              <w:ind w:right="10"/>
              <w:spacing w:after="0"/>
              <w:rPr>
                <w:sz w:val="20"/>
                <w:szCs w:val="20"/>
                <w:color w:val="auto"/>
              </w:rPr>
            </w:pPr>
            <w:r>
              <w:rPr>
                <w:rFonts w:ascii="Arial" w:cs="Arial" w:eastAsia="Arial" w:hAnsi="Arial"/>
                <w:sz w:val="18"/>
                <w:szCs w:val="18"/>
                <w:color w:val="auto"/>
              </w:rPr>
              <w:t>2019</w:t>
            </w:r>
          </w:p>
        </w:tc>
        <w:tc>
          <w:tcPr>
            <w:tcW w:w="940" w:type="dxa"/>
            <w:vAlign w:val="bottom"/>
          </w:tcPr>
          <w:p>
            <w:pPr>
              <w:jc w:val="center"/>
              <w:spacing w:after="0"/>
              <w:rPr>
                <w:sz w:val="20"/>
                <w:szCs w:val="20"/>
                <w:color w:val="auto"/>
              </w:rPr>
            </w:pPr>
            <w:r>
              <w:rPr>
                <w:rFonts w:ascii="Arial" w:cs="Arial" w:eastAsia="Arial" w:hAnsi="Arial"/>
                <w:sz w:val="18"/>
                <w:szCs w:val="18"/>
                <w:color w:val="auto"/>
                <w:w w:val="89"/>
              </w:rPr>
              <w:t>900,000</w:t>
            </w:r>
          </w:p>
        </w:tc>
        <w:tc>
          <w:tcPr>
            <w:tcW w:w="960" w:type="dxa"/>
            <w:vAlign w:val="bottom"/>
          </w:tcPr>
          <w:p>
            <w:pPr>
              <w:jc w:val="center"/>
              <w:spacing w:after="0"/>
              <w:rPr>
                <w:sz w:val="20"/>
                <w:szCs w:val="20"/>
                <w:color w:val="auto"/>
              </w:rPr>
            </w:pPr>
            <w:r>
              <w:rPr>
                <w:rFonts w:ascii="Arial" w:cs="Arial" w:eastAsia="Arial" w:hAnsi="Arial"/>
                <w:sz w:val="18"/>
                <w:szCs w:val="18"/>
                <w:color w:val="auto"/>
                <w:w w:val="89"/>
              </w:rPr>
              <w:t>2,349,000</w:t>
            </w:r>
          </w:p>
        </w:tc>
        <w:tc>
          <w:tcPr>
            <w:tcW w:w="1060" w:type="dxa"/>
            <w:vAlign w:val="bottom"/>
          </w:tcPr>
          <w:p>
            <w:pPr>
              <w:jc w:val="center"/>
              <w:ind w:right="10"/>
              <w:spacing w:after="0"/>
              <w:rPr>
                <w:sz w:val="20"/>
                <w:szCs w:val="20"/>
                <w:color w:val="auto"/>
              </w:rPr>
            </w:pPr>
            <w:r>
              <w:rPr>
                <w:rFonts w:ascii="Arial" w:cs="Arial" w:eastAsia="Arial" w:hAnsi="Arial"/>
                <w:sz w:val="18"/>
                <w:szCs w:val="18"/>
                <w:color w:val="auto"/>
                <w:w w:val="89"/>
              </w:rPr>
              <w:t>1,800,000</w:t>
            </w:r>
          </w:p>
        </w:tc>
        <w:tc>
          <w:tcPr>
            <w:tcW w:w="1080" w:type="dxa"/>
            <w:vAlign w:val="bottom"/>
          </w:tcPr>
          <w:p>
            <w:pPr>
              <w:ind w:left="400"/>
              <w:spacing w:after="0"/>
              <w:rPr>
                <w:sz w:val="20"/>
                <w:szCs w:val="20"/>
                <w:color w:val="auto"/>
              </w:rPr>
            </w:pPr>
            <w:r>
              <w:rPr>
                <w:rFonts w:ascii="Arial" w:cs="Arial" w:eastAsia="Arial" w:hAnsi="Arial"/>
                <w:sz w:val="18"/>
                <w:szCs w:val="18"/>
                <w:color w:val="auto"/>
              </w:rPr>
              <w:t>–</w:t>
            </w:r>
          </w:p>
        </w:tc>
        <w:tc>
          <w:tcPr>
            <w:tcW w:w="880" w:type="dxa"/>
            <w:vAlign w:val="bottom"/>
          </w:tcPr>
          <w:p>
            <w:pPr>
              <w:jc w:val="right"/>
              <w:ind w:right="90"/>
              <w:spacing w:after="0"/>
              <w:rPr>
                <w:sz w:val="20"/>
                <w:szCs w:val="20"/>
                <w:color w:val="auto"/>
              </w:rPr>
            </w:pPr>
            <w:r>
              <w:rPr>
                <w:rFonts w:ascii="Arial" w:cs="Arial" w:eastAsia="Arial" w:hAnsi="Arial"/>
                <w:sz w:val="18"/>
                <w:szCs w:val="18"/>
                <w:color w:val="auto"/>
              </w:rPr>
              <w:t>8,400</w:t>
            </w:r>
          </w:p>
        </w:tc>
        <w:tc>
          <w:tcPr>
            <w:tcW w:w="1100" w:type="dxa"/>
            <w:vAlign w:val="bottom"/>
          </w:tcPr>
          <w:p>
            <w:pPr>
              <w:jc w:val="center"/>
              <w:ind w:left="10"/>
              <w:spacing w:after="0"/>
              <w:rPr>
                <w:sz w:val="20"/>
                <w:szCs w:val="20"/>
                <w:color w:val="auto"/>
              </w:rPr>
            </w:pPr>
            <w:r>
              <w:rPr>
                <w:rFonts w:ascii="Arial" w:cs="Arial" w:eastAsia="Arial" w:hAnsi="Arial"/>
                <w:sz w:val="18"/>
                <w:szCs w:val="18"/>
                <w:color w:val="auto"/>
                <w:w w:val="89"/>
              </w:rPr>
              <w:t>5,057,400</w:t>
            </w:r>
          </w:p>
        </w:tc>
      </w:tr>
      <w:tr>
        <w:trPr>
          <w:trHeight w:val="216"/>
        </w:trPr>
        <w:tc>
          <w:tcPr>
            <w:tcW w:w="4400" w:type="dxa"/>
            <w:vAlign w:val="bottom"/>
            <w:gridSpan w:val="2"/>
          </w:tcPr>
          <w:p>
            <w:pPr>
              <w:spacing w:after="0"/>
              <w:rPr>
                <w:sz w:val="20"/>
                <w:szCs w:val="20"/>
                <w:color w:val="auto"/>
              </w:rPr>
            </w:pPr>
            <w:r>
              <w:rPr>
                <w:rFonts w:ascii="Arial" w:cs="Arial" w:eastAsia="Arial" w:hAnsi="Arial"/>
                <w:sz w:val="18"/>
                <w:szCs w:val="18"/>
                <w:i w:val="1"/>
                <w:iCs w:val="1"/>
                <w:color w:val="auto"/>
              </w:rPr>
              <w:t>President and Chief Operating Officer</w:t>
            </w:r>
          </w:p>
        </w:tc>
        <w:tc>
          <w:tcPr>
            <w:tcW w:w="600" w:type="dxa"/>
            <w:vAlign w:val="bottom"/>
          </w:tcPr>
          <w:p>
            <w:pPr>
              <w:jc w:val="right"/>
              <w:ind w:right="10"/>
              <w:spacing w:after="0"/>
              <w:rPr>
                <w:sz w:val="20"/>
                <w:szCs w:val="20"/>
                <w:color w:val="auto"/>
              </w:rPr>
            </w:pPr>
            <w:r>
              <w:rPr>
                <w:rFonts w:ascii="Arial" w:cs="Arial" w:eastAsia="Arial" w:hAnsi="Arial"/>
                <w:sz w:val="18"/>
                <w:szCs w:val="18"/>
                <w:color w:val="auto"/>
              </w:rPr>
              <w:t>2018</w:t>
            </w:r>
          </w:p>
        </w:tc>
        <w:tc>
          <w:tcPr>
            <w:tcW w:w="940" w:type="dxa"/>
            <w:vAlign w:val="bottom"/>
          </w:tcPr>
          <w:p>
            <w:pPr>
              <w:jc w:val="center"/>
              <w:spacing w:after="0"/>
              <w:rPr>
                <w:sz w:val="20"/>
                <w:szCs w:val="20"/>
                <w:color w:val="auto"/>
              </w:rPr>
            </w:pPr>
            <w:r>
              <w:rPr>
                <w:rFonts w:ascii="Arial" w:cs="Arial" w:eastAsia="Arial" w:hAnsi="Arial"/>
                <w:sz w:val="18"/>
                <w:szCs w:val="18"/>
                <w:color w:val="auto"/>
                <w:w w:val="89"/>
              </w:rPr>
              <w:t>900,000</w:t>
            </w:r>
          </w:p>
        </w:tc>
        <w:tc>
          <w:tcPr>
            <w:tcW w:w="960" w:type="dxa"/>
            <w:vAlign w:val="bottom"/>
          </w:tcPr>
          <w:p>
            <w:pPr>
              <w:jc w:val="center"/>
              <w:spacing w:after="0"/>
              <w:rPr>
                <w:sz w:val="20"/>
                <w:szCs w:val="20"/>
                <w:color w:val="auto"/>
              </w:rPr>
            </w:pPr>
            <w:r>
              <w:rPr>
                <w:rFonts w:ascii="Arial" w:cs="Arial" w:eastAsia="Arial" w:hAnsi="Arial"/>
                <w:sz w:val="18"/>
                <w:szCs w:val="18"/>
                <w:color w:val="auto"/>
                <w:w w:val="89"/>
              </w:rPr>
              <w:t>1,859,400</w:t>
            </w:r>
          </w:p>
        </w:tc>
        <w:tc>
          <w:tcPr>
            <w:tcW w:w="1060" w:type="dxa"/>
            <w:vAlign w:val="bottom"/>
          </w:tcPr>
          <w:p>
            <w:pPr>
              <w:jc w:val="center"/>
              <w:ind w:right="10"/>
              <w:spacing w:after="0"/>
              <w:rPr>
                <w:sz w:val="20"/>
                <w:szCs w:val="20"/>
                <w:color w:val="auto"/>
              </w:rPr>
            </w:pPr>
            <w:r>
              <w:rPr>
                <w:rFonts w:ascii="Arial" w:cs="Arial" w:eastAsia="Arial" w:hAnsi="Arial"/>
                <w:sz w:val="18"/>
                <w:szCs w:val="18"/>
                <w:color w:val="auto"/>
                <w:w w:val="89"/>
              </w:rPr>
              <w:t>1,530,000</w:t>
            </w:r>
          </w:p>
        </w:tc>
        <w:tc>
          <w:tcPr>
            <w:tcW w:w="1080" w:type="dxa"/>
            <w:vAlign w:val="bottom"/>
          </w:tcPr>
          <w:p>
            <w:pPr>
              <w:jc w:val="center"/>
              <w:ind w:right="10"/>
              <w:spacing w:after="0"/>
              <w:rPr>
                <w:sz w:val="20"/>
                <w:szCs w:val="20"/>
                <w:color w:val="auto"/>
              </w:rPr>
            </w:pPr>
            <w:r>
              <w:rPr>
                <w:rFonts w:ascii="Arial" w:cs="Arial" w:eastAsia="Arial" w:hAnsi="Arial"/>
                <w:sz w:val="18"/>
                <w:szCs w:val="18"/>
                <w:color w:val="auto"/>
                <w:w w:val="89"/>
              </w:rPr>
              <w:t>270,000</w:t>
            </w:r>
          </w:p>
        </w:tc>
        <w:tc>
          <w:tcPr>
            <w:tcW w:w="880" w:type="dxa"/>
            <w:vAlign w:val="bottom"/>
          </w:tcPr>
          <w:p>
            <w:pPr>
              <w:jc w:val="right"/>
              <w:ind w:right="90"/>
              <w:spacing w:after="0"/>
              <w:rPr>
                <w:sz w:val="20"/>
                <w:szCs w:val="20"/>
                <w:color w:val="auto"/>
              </w:rPr>
            </w:pPr>
            <w:r>
              <w:rPr>
                <w:rFonts w:ascii="Arial" w:cs="Arial" w:eastAsia="Arial" w:hAnsi="Arial"/>
                <w:sz w:val="18"/>
                <w:szCs w:val="18"/>
                <w:color w:val="auto"/>
              </w:rPr>
              <w:t>8,250</w:t>
            </w:r>
          </w:p>
        </w:tc>
        <w:tc>
          <w:tcPr>
            <w:tcW w:w="1100" w:type="dxa"/>
            <w:vAlign w:val="bottom"/>
          </w:tcPr>
          <w:p>
            <w:pPr>
              <w:jc w:val="center"/>
              <w:ind w:left="10"/>
              <w:spacing w:after="0"/>
              <w:rPr>
                <w:sz w:val="20"/>
                <w:szCs w:val="20"/>
                <w:color w:val="auto"/>
              </w:rPr>
            </w:pPr>
            <w:r>
              <w:rPr>
                <w:rFonts w:ascii="Arial" w:cs="Arial" w:eastAsia="Arial" w:hAnsi="Arial"/>
                <w:sz w:val="18"/>
                <w:szCs w:val="18"/>
                <w:color w:val="auto"/>
                <w:w w:val="89"/>
              </w:rPr>
              <w:t>4,567,650</w:t>
            </w:r>
          </w:p>
        </w:tc>
      </w:tr>
      <w:tr>
        <w:trPr>
          <w:trHeight w:val="230"/>
        </w:trPr>
        <w:tc>
          <w:tcPr>
            <w:tcW w:w="3860" w:type="dxa"/>
            <w:vAlign w:val="bottom"/>
          </w:tcPr>
          <w:p>
            <w:pPr>
              <w:spacing w:after="0"/>
              <w:rPr>
                <w:sz w:val="20"/>
                <w:szCs w:val="20"/>
                <w:color w:val="auto"/>
              </w:rPr>
            </w:pPr>
          </w:p>
        </w:tc>
        <w:tc>
          <w:tcPr>
            <w:tcW w:w="540" w:type="dxa"/>
            <w:vAlign w:val="bottom"/>
          </w:tcPr>
          <w:p>
            <w:pPr>
              <w:spacing w:after="0"/>
              <w:rPr>
                <w:sz w:val="20"/>
                <w:szCs w:val="20"/>
                <w:color w:val="auto"/>
              </w:rPr>
            </w:pPr>
          </w:p>
        </w:tc>
        <w:tc>
          <w:tcPr>
            <w:tcW w:w="600" w:type="dxa"/>
            <w:vAlign w:val="bottom"/>
          </w:tcPr>
          <w:p>
            <w:pPr>
              <w:jc w:val="right"/>
              <w:ind w:right="10"/>
              <w:spacing w:after="0"/>
              <w:rPr>
                <w:sz w:val="20"/>
                <w:szCs w:val="20"/>
                <w:color w:val="auto"/>
              </w:rPr>
            </w:pPr>
            <w:r>
              <w:rPr>
                <w:rFonts w:ascii="Arial" w:cs="Arial" w:eastAsia="Arial" w:hAnsi="Arial"/>
                <w:sz w:val="18"/>
                <w:szCs w:val="18"/>
                <w:color w:val="auto"/>
              </w:rPr>
              <w:t>2017</w:t>
            </w:r>
          </w:p>
        </w:tc>
        <w:tc>
          <w:tcPr>
            <w:tcW w:w="940" w:type="dxa"/>
            <w:vAlign w:val="bottom"/>
          </w:tcPr>
          <w:p>
            <w:pPr>
              <w:jc w:val="center"/>
              <w:spacing w:after="0"/>
              <w:rPr>
                <w:sz w:val="20"/>
                <w:szCs w:val="20"/>
                <w:color w:val="auto"/>
              </w:rPr>
            </w:pPr>
            <w:r>
              <w:rPr>
                <w:rFonts w:ascii="Arial" w:cs="Arial" w:eastAsia="Arial" w:hAnsi="Arial"/>
                <w:sz w:val="18"/>
                <w:szCs w:val="18"/>
                <w:color w:val="auto"/>
                <w:w w:val="89"/>
              </w:rPr>
              <w:t>900,000</w:t>
            </w:r>
          </w:p>
        </w:tc>
        <w:tc>
          <w:tcPr>
            <w:tcW w:w="960" w:type="dxa"/>
            <w:vAlign w:val="bottom"/>
          </w:tcPr>
          <w:p>
            <w:pPr>
              <w:jc w:val="center"/>
              <w:spacing w:after="0"/>
              <w:rPr>
                <w:sz w:val="20"/>
                <w:szCs w:val="20"/>
                <w:color w:val="auto"/>
              </w:rPr>
            </w:pPr>
            <w:r>
              <w:rPr>
                <w:rFonts w:ascii="Arial" w:cs="Arial" w:eastAsia="Arial" w:hAnsi="Arial"/>
                <w:sz w:val="18"/>
                <w:szCs w:val="18"/>
                <w:color w:val="auto"/>
                <w:w w:val="89"/>
              </w:rPr>
              <w:t>2,180,462</w:t>
            </w:r>
          </w:p>
        </w:tc>
        <w:tc>
          <w:tcPr>
            <w:tcW w:w="1060" w:type="dxa"/>
            <w:vAlign w:val="bottom"/>
          </w:tcPr>
          <w:p>
            <w:pPr>
              <w:jc w:val="center"/>
              <w:ind w:right="10"/>
              <w:spacing w:after="0"/>
              <w:rPr>
                <w:sz w:val="20"/>
                <w:szCs w:val="20"/>
                <w:color w:val="auto"/>
              </w:rPr>
            </w:pPr>
            <w:r>
              <w:rPr>
                <w:rFonts w:ascii="Arial" w:cs="Arial" w:eastAsia="Arial" w:hAnsi="Arial"/>
                <w:sz w:val="18"/>
                <w:szCs w:val="18"/>
                <w:color w:val="auto"/>
                <w:w w:val="89"/>
              </w:rPr>
              <w:t>1,530,000</w:t>
            </w:r>
          </w:p>
        </w:tc>
        <w:tc>
          <w:tcPr>
            <w:tcW w:w="1080" w:type="dxa"/>
            <w:vAlign w:val="bottom"/>
          </w:tcPr>
          <w:p>
            <w:pPr>
              <w:jc w:val="center"/>
              <w:ind w:right="10"/>
              <w:spacing w:after="0"/>
              <w:rPr>
                <w:sz w:val="20"/>
                <w:szCs w:val="20"/>
                <w:color w:val="auto"/>
              </w:rPr>
            </w:pPr>
            <w:r>
              <w:rPr>
                <w:rFonts w:ascii="Arial" w:cs="Arial" w:eastAsia="Arial" w:hAnsi="Arial"/>
                <w:sz w:val="18"/>
                <w:szCs w:val="18"/>
                <w:color w:val="auto"/>
                <w:w w:val="89"/>
              </w:rPr>
              <w:t>270,000</w:t>
            </w:r>
          </w:p>
        </w:tc>
        <w:tc>
          <w:tcPr>
            <w:tcW w:w="880" w:type="dxa"/>
            <w:vAlign w:val="bottom"/>
          </w:tcPr>
          <w:p>
            <w:pPr>
              <w:jc w:val="right"/>
              <w:ind w:right="90"/>
              <w:spacing w:after="0"/>
              <w:rPr>
                <w:sz w:val="20"/>
                <w:szCs w:val="20"/>
                <w:color w:val="auto"/>
              </w:rPr>
            </w:pPr>
            <w:r>
              <w:rPr>
                <w:rFonts w:ascii="Arial" w:cs="Arial" w:eastAsia="Arial" w:hAnsi="Arial"/>
                <w:sz w:val="18"/>
                <w:szCs w:val="18"/>
                <w:color w:val="auto"/>
              </w:rPr>
              <w:t>8,100</w:t>
            </w:r>
          </w:p>
        </w:tc>
        <w:tc>
          <w:tcPr>
            <w:tcW w:w="1100" w:type="dxa"/>
            <w:vAlign w:val="bottom"/>
          </w:tcPr>
          <w:p>
            <w:pPr>
              <w:jc w:val="center"/>
              <w:ind w:left="10"/>
              <w:spacing w:after="0"/>
              <w:rPr>
                <w:sz w:val="20"/>
                <w:szCs w:val="20"/>
                <w:color w:val="auto"/>
              </w:rPr>
            </w:pPr>
            <w:r>
              <w:rPr>
                <w:rFonts w:ascii="Arial" w:cs="Arial" w:eastAsia="Arial" w:hAnsi="Arial"/>
                <w:sz w:val="18"/>
                <w:szCs w:val="18"/>
                <w:color w:val="auto"/>
                <w:w w:val="89"/>
              </w:rPr>
              <w:t>4,888,562</w:t>
            </w:r>
          </w:p>
        </w:tc>
      </w:tr>
      <w:tr>
        <w:trPr>
          <w:trHeight w:val="324"/>
        </w:trPr>
        <w:tc>
          <w:tcPr>
            <w:tcW w:w="4400" w:type="dxa"/>
            <w:vAlign w:val="bottom"/>
            <w:gridSpan w:val="2"/>
            <w:shd w:val="clear" w:color="auto" w:fill="D8D8D8"/>
          </w:tcPr>
          <w:p>
            <w:pPr>
              <w:spacing w:after="0"/>
              <w:rPr>
                <w:sz w:val="20"/>
                <w:szCs w:val="20"/>
                <w:color w:val="auto"/>
              </w:rPr>
            </w:pPr>
            <w:r>
              <w:rPr>
                <w:rFonts w:ascii="Arial" w:cs="Arial" w:eastAsia="Arial" w:hAnsi="Arial"/>
                <w:sz w:val="18"/>
                <w:szCs w:val="18"/>
                <w:color w:val="auto"/>
              </w:rPr>
              <w:t>Christopher J. Kuehl</w:t>
            </w:r>
          </w:p>
        </w:tc>
        <w:tc>
          <w:tcPr>
            <w:tcW w:w="600" w:type="dxa"/>
            <w:vAlign w:val="bottom"/>
            <w:shd w:val="clear" w:color="auto" w:fill="D8D8D8"/>
          </w:tcPr>
          <w:p>
            <w:pPr>
              <w:jc w:val="right"/>
              <w:ind w:right="10"/>
              <w:spacing w:after="0"/>
              <w:rPr>
                <w:sz w:val="20"/>
                <w:szCs w:val="20"/>
                <w:color w:val="auto"/>
              </w:rPr>
            </w:pPr>
            <w:r>
              <w:rPr>
                <w:rFonts w:ascii="Arial" w:cs="Arial" w:eastAsia="Arial" w:hAnsi="Arial"/>
                <w:sz w:val="18"/>
                <w:szCs w:val="18"/>
                <w:color w:val="auto"/>
              </w:rPr>
              <w:t>2019</w:t>
            </w:r>
          </w:p>
        </w:tc>
        <w:tc>
          <w:tcPr>
            <w:tcW w:w="94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900,000</w:t>
            </w:r>
          </w:p>
        </w:tc>
        <w:tc>
          <w:tcPr>
            <w:tcW w:w="96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1,992,888</w:t>
            </w:r>
          </w:p>
        </w:tc>
        <w:tc>
          <w:tcPr>
            <w:tcW w:w="1060" w:type="dxa"/>
            <w:vAlign w:val="bottom"/>
            <w:shd w:val="clear" w:color="auto" w:fill="D8D8D8"/>
          </w:tcPr>
          <w:p>
            <w:pPr>
              <w:jc w:val="center"/>
              <w:ind w:right="10"/>
              <w:spacing w:after="0"/>
              <w:rPr>
                <w:sz w:val="20"/>
                <w:szCs w:val="20"/>
                <w:color w:val="auto"/>
              </w:rPr>
            </w:pPr>
            <w:r>
              <w:rPr>
                <w:rFonts w:ascii="Arial" w:cs="Arial" w:eastAsia="Arial" w:hAnsi="Arial"/>
                <w:sz w:val="18"/>
                <w:szCs w:val="18"/>
                <w:color w:val="auto"/>
                <w:w w:val="89"/>
              </w:rPr>
              <w:t>1,400,000</w:t>
            </w:r>
          </w:p>
        </w:tc>
        <w:tc>
          <w:tcPr>
            <w:tcW w:w="1080" w:type="dxa"/>
            <w:vAlign w:val="bottom"/>
            <w:shd w:val="clear" w:color="auto" w:fill="D8D8D8"/>
          </w:tcPr>
          <w:p>
            <w:pPr>
              <w:ind w:left="400"/>
              <w:spacing w:after="0"/>
              <w:rPr>
                <w:sz w:val="20"/>
                <w:szCs w:val="20"/>
                <w:color w:val="auto"/>
              </w:rPr>
            </w:pPr>
            <w:r>
              <w:rPr>
                <w:rFonts w:ascii="Arial" w:cs="Arial" w:eastAsia="Arial" w:hAnsi="Arial"/>
                <w:sz w:val="18"/>
                <w:szCs w:val="18"/>
                <w:color w:val="auto"/>
              </w:rPr>
              <w:t>–</w:t>
            </w:r>
          </w:p>
        </w:tc>
        <w:tc>
          <w:tcPr>
            <w:tcW w:w="880" w:type="dxa"/>
            <w:vAlign w:val="bottom"/>
            <w:shd w:val="clear" w:color="auto" w:fill="D8D8D8"/>
          </w:tcPr>
          <w:p>
            <w:pPr>
              <w:jc w:val="right"/>
              <w:ind w:right="90"/>
              <w:spacing w:after="0"/>
              <w:rPr>
                <w:sz w:val="20"/>
                <w:szCs w:val="20"/>
                <w:color w:val="auto"/>
              </w:rPr>
            </w:pPr>
            <w:r>
              <w:rPr>
                <w:rFonts w:ascii="Arial" w:cs="Arial" w:eastAsia="Arial" w:hAnsi="Arial"/>
                <w:sz w:val="18"/>
                <w:szCs w:val="18"/>
                <w:color w:val="auto"/>
              </w:rPr>
              <w:t>8,400</w:t>
            </w:r>
          </w:p>
        </w:tc>
        <w:tc>
          <w:tcPr>
            <w:tcW w:w="1100" w:type="dxa"/>
            <w:vAlign w:val="bottom"/>
            <w:shd w:val="clear" w:color="auto" w:fill="D8D8D8"/>
          </w:tcPr>
          <w:p>
            <w:pPr>
              <w:jc w:val="center"/>
              <w:ind w:left="10"/>
              <w:spacing w:after="0"/>
              <w:rPr>
                <w:sz w:val="20"/>
                <w:szCs w:val="20"/>
                <w:color w:val="auto"/>
              </w:rPr>
            </w:pPr>
            <w:r>
              <w:rPr>
                <w:rFonts w:ascii="Arial" w:cs="Arial" w:eastAsia="Arial" w:hAnsi="Arial"/>
                <w:sz w:val="18"/>
                <w:szCs w:val="18"/>
                <w:color w:val="auto"/>
                <w:w w:val="89"/>
              </w:rPr>
              <w:t>4,301,288</w:t>
            </w:r>
          </w:p>
        </w:tc>
      </w:tr>
      <w:tr>
        <w:trPr>
          <w:trHeight w:val="216"/>
        </w:trPr>
        <w:tc>
          <w:tcPr>
            <w:tcW w:w="4400" w:type="dxa"/>
            <w:vAlign w:val="bottom"/>
            <w:gridSpan w:val="2"/>
            <w:shd w:val="clear" w:color="auto" w:fill="D8D8D8"/>
          </w:tcPr>
          <w:p>
            <w:pPr>
              <w:spacing w:after="0"/>
              <w:rPr>
                <w:sz w:val="20"/>
                <w:szCs w:val="20"/>
                <w:color w:val="auto"/>
              </w:rPr>
            </w:pPr>
            <w:r>
              <w:rPr>
                <w:rFonts w:ascii="Arial" w:cs="Arial" w:eastAsia="Arial" w:hAnsi="Arial"/>
                <w:sz w:val="18"/>
                <w:szCs w:val="18"/>
                <w:i w:val="1"/>
                <w:iCs w:val="1"/>
                <w:color w:val="auto"/>
              </w:rPr>
              <w:t>Executive Vice President</w:t>
            </w:r>
          </w:p>
        </w:tc>
        <w:tc>
          <w:tcPr>
            <w:tcW w:w="600" w:type="dxa"/>
            <w:vAlign w:val="bottom"/>
            <w:shd w:val="clear" w:color="auto" w:fill="D8D8D8"/>
          </w:tcPr>
          <w:p>
            <w:pPr>
              <w:jc w:val="right"/>
              <w:ind w:right="10"/>
              <w:spacing w:after="0"/>
              <w:rPr>
                <w:sz w:val="20"/>
                <w:szCs w:val="20"/>
                <w:color w:val="auto"/>
              </w:rPr>
            </w:pPr>
            <w:r>
              <w:rPr>
                <w:rFonts w:ascii="Arial" w:cs="Arial" w:eastAsia="Arial" w:hAnsi="Arial"/>
                <w:sz w:val="18"/>
                <w:szCs w:val="18"/>
                <w:color w:val="auto"/>
              </w:rPr>
              <w:t>2018</w:t>
            </w:r>
          </w:p>
        </w:tc>
        <w:tc>
          <w:tcPr>
            <w:tcW w:w="94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900,000</w:t>
            </w:r>
          </w:p>
        </w:tc>
        <w:tc>
          <w:tcPr>
            <w:tcW w:w="96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1,642,240</w:t>
            </w:r>
          </w:p>
        </w:tc>
        <w:tc>
          <w:tcPr>
            <w:tcW w:w="1060" w:type="dxa"/>
            <w:vAlign w:val="bottom"/>
            <w:shd w:val="clear" w:color="auto" w:fill="D8D8D8"/>
          </w:tcPr>
          <w:p>
            <w:pPr>
              <w:jc w:val="center"/>
              <w:ind w:right="10"/>
              <w:spacing w:after="0"/>
              <w:rPr>
                <w:sz w:val="20"/>
                <w:szCs w:val="20"/>
                <w:color w:val="auto"/>
              </w:rPr>
            </w:pPr>
            <w:r>
              <w:rPr>
                <w:rFonts w:ascii="Arial" w:cs="Arial" w:eastAsia="Arial" w:hAnsi="Arial"/>
                <w:sz w:val="18"/>
                <w:szCs w:val="18"/>
                <w:color w:val="auto"/>
                <w:w w:val="89"/>
              </w:rPr>
              <w:t>1,050,000</w:t>
            </w:r>
          </w:p>
        </w:tc>
        <w:tc>
          <w:tcPr>
            <w:tcW w:w="1080" w:type="dxa"/>
            <w:vAlign w:val="bottom"/>
            <w:shd w:val="clear" w:color="auto" w:fill="D8D8D8"/>
          </w:tcPr>
          <w:p>
            <w:pPr>
              <w:jc w:val="center"/>
              <w:ind w:right="10"/>
              <w:spacing w:after="0"/>
              <w:rPr>
                <w:sz w:val="20"/>
                <w:szCs w:val="20"/>
                <w:color w:val="auto"/>
              </w:rPr>
            </w:pPr>
            <w:r>
              <w:rPr>
                <w:rFonts w:ascii="Arial" w:cs="Arial" w:eastAsia="Arial" w:hAnsi="Arial"/>
                <w:sz w:val="18"/>
                <w:szCs w:val="18"/>
                <w:color w:val="auto"/>
                <w:w w:val="89"/>
              </w:rPr>
              <w:t>350,000</w:t>
            </w:r>
          </w:p>
        </w:tc>
        <w:tc>
          <w:tcPr>
            <w:tcW w:w="880" w:type="dxa"/>
            <w:vAlign w:val="bottom"/>
            <w:shd w:val="clear" w:color="auto" w:fill="D8D8D8"/>
          </w:tcPr>
          <w:p>
            <w:pPr>
              <w:jc w:val="right"/>
              <w:ind w:right="90"/>
              <w:spacing w:after="0"/>
              <w:rPr>
                <w:sz w:val="20"/>
                <w:szCs w:val="20"/>
                <w:color w:val="auto"/>
              </w:rPr>
            </w:pPr>
            <w:r>
              <w:rPr>
                <w:rFonts w:ascii="Arial" w:cs="Arial" w:eastAsia="Arial" w:hAnsi="Arial"/>
                <w:sz w:val="18"/>
                <w:szCs w:val="18"/>
                <w:color w:val="auto"/>
              </w:rPr>
              <w:t>8,250</w:t>
            </w:r>
          </w:p>
        </w:tc>
        <w:tc>
          <w:tcPr>
            <w:tcW w:w="1100" w:type="dxa"/>
            <w:vAlign w:val="bottom"/>
            <w:shd w:val="clear" w:color="auto" w:fill="D8D8D8"/>
          </w:tcPr>
          <w:p>
            <w:pPr>
              <w:jc w:val="center"/>
              <w:ind w:left="10"/>
              <w:spacing w:after="0"/>
              <w:rPr>
                <w:sz w:val="20"/>
                <w:szCs w:val="20"/>
                <w:color w:val="auto"/>
              </w:rPr>
            </w:pPr>
            <w:r>
              <w:rPr>
                <w:rFonts w:ascii="Arial" w:cs="Arial" w:eastAsia="Arial" w:hAnsi="Arial"/>
                <w:sz w:val="18"/>
                <w:szCs w:val="18"/>
                <w:color w:val="auto"/>
                <w:w w:val="89"/>
              </w:rPr>
              <w:t>3,950,490</w:t>
            </w:r>
          </w:p>
        </w:tc>
      </w:tr>
      <w:tr>
        <w:trPr>
          <w:trHeight w:val="216"/>
        </w:trPr>
        <w:tc>
          <w:tcPr>
            <w:tcW w:w="3860" w:type="dxa"/>
            <w:vAlign w:val="bottom"/>
            <w:shd w:val="clear" w:color="auto" w:fill="D8D8D8"/>
          </w:tcPr>
          <w:p>
            <w:pPr>
              <w:spacing w:after="0"/>
              <w:rPr>
                <w:sz w:val="18"/>
                <w:szCs w:val="18"/>
                <w:color w:val="auto"/>
              </w:rPr>
            </w:pPr>
          </w:p>
        </w:tc>
        <w:tc>
          <w:tcPr>
            <w:tcW w:w="540" w:type="dxa"/>
            <w:vAlign w:val="bottom"/>
            <w:shd w:val="clear" w:color="auto" w:fill="D8D8D8"/>
          </w:tcPr>
          <w:p>
            <w:pPr>
              <w:spacing w:after="0"/>
              <w:rPr>
                <w:sz w:val="18"/>
                <w:szCs w:val="18"/>
                <w:color w:val="auto"/>
              </w:rPr>
            </w:pPr>
          </w:p>
        </w:tc>
        <w:tc>
          <w:tcPr>
            <w:tcW w:w="600" w:type="dxa"/>
            <w:vAlign w:val="bottom"/>
            <w:shd w:val="clear" w:color="auto" w:fill="D8D8D8"/>
          </w:tcPr>
          <w:p>
            <w:pPr>
              <w:jc w:val="right"/>
              <w:ind w:right="10"/>
              <w:spacing w:after="0"/>
              <w:rPr>
                <w:sz w:val="20"/>
                <w:szCs w:val="20"/>
                <w:color w:val="auto"/>
              </w:rPr>
            </w:pPr>
            <w:r>
              <w:rPr>
                <w:rFonts w:ascii="Arial" w:cs="Arial" w:eastAsia="Arial" w:hAnsi="Arial"/>
                <w:sz w:val="18"/>
                <w:szCs w:val="18"/>
                <w:color w:val="auto"/>
              </w:rPr>
              <w:t>2017</w:t>
            </w:r>
          </w:p>
        </w:tc>
        <w:tc>
          <w:tcPr>
            <w:tcW w:w="94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900,000</w:t>
            </w:r>
          </w:p>
        </w:tc>
        <w:tc>
          <w:tcPr>
            <w:tcW w:w="96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1,876,480</w:t>
            </w:r>
          </w:p>
        </w:tc>
        <w:tc>
          <w:tcPr>
            <w:tcW w:w="1060" w:type="dxa"/>
            <w:vAlign w:val="bottom"/>
            <w:shd w:val="clear" w:color="auto" w:fill="D8D8D8"/>
          </w:tcPr>
          <w:p>
            <w:pPr>
              <w:jc w:val="center"/>
              <w:ind w:right="10"/>
              <w:spacing w:after="0"/>
              <w:rPr>
                <w:sz w:val="20"/>
                <w:szCs w:val="20"/>
                <w:color w:val="auto"/>
              </w:rPr>
            </w:pPr>
            <w:r>
              <w:rPr>
                <w:rFonts w:ascii="Arial" w:cs="Arial" w:eastAsia="Arial" w:hAnsi="Arial"/>
                <w:sz w:val="18"/>
                <w:szCs w:val="18"/>
                <w:color w:val="auto"/>
                <w:w w:val="89"/>
              </w:rPr>
              <w:t>1,050,000</w:t>
            </w:r>
          </w:p>
        </w:tc>
        <w:tc>
          <w:tcPr>
            <w:tcW w:w="1080" w:type="dxa"/>
            <w:vAlign w:val="bottom"/>
            <w:shd w:val="clear" w:color="auto" w:fill="D8D8D8"/>
          </w:tcPr>
          <w:p>
            <w:pPr>
              <w:jc w:val="center"/>
              <w:ind w:right="10"/>
              <w:spacing w:after="0"/>
              <w:rPr>
                <w:sz w:val="20"/>
                <w:szCs w:val="20"/>
                <w:color w:val="auto"/>
              </w:rPr>
            </w:pPr>
            <w:r>
              <w:rPr>
                <w:rFonts w:ascii="Arial" w:cs="Arial" w:eastAsia="Arial" w:hAnsi="Arial"/>
                <w:sz w:val="18"/>
                <w:szCs w:val="18"/>
                <w:color w:val="auto"/>
                <w:w w:val="89"/>
              </w:rPr>
              <w:t>350,000</w:t>
            </w:r>
          </w:p>
        </w:tc>
        <w:tc>
          <w:tcPr>
            <w:tcW w:w="880" w:type="dxa"/>
            <w:vAlign w:val="bottom"/>
            <w:shd w:val="clear" w:color="auto" w:fill="D8D8D8"/>
          </w:tcPr>
          <w:p>
            <w:pPr>
              <w:jc w:val="right"/>
              <w:ind w:right="90"/>
              <w:spacing w:after="0"/>
              <w:rPr>
                <w:sz w:val="20"/>
                <w:szCs w:val="20"/>
                <w:color w:val="auto"/>
              </w:rPr>
            </w:pPr>
            <w:r>
              <w:rPr>
                <w:rFonts w:ascii="Arial" w:cs="Arial" w:eastAsia="Arial" w:hAnsi="Arial"/>
                <w:sz w:val="18"/>
                <w:szCs w:val="18"/>
                <w:color w:val="auto"/>
              </w:rPr>
              <w:t>8,100</w:t>
            </w:r>
          </w:p>
        </w:tc>
        <w:tc>
          <w:tcPr>
            <w:tcW w:w="1100" w:type="dxa"/>
            <w:vAlign w:val="bottom"/>
            <w:shd w:val="clear" w:color="auto" w:fill="D8D8D8"/>
          </w:tcPr>
          <w:p>
            <w:pPr>
              <w:jc w:val="center"/>
              <w:ind w:left="10"/>
              <w:spacing w:after="0"/>
              <w:rPr>
                <w:sz w:val="20"/>
                <w:szCs w:val="20"/>
                <w:color w:val="auto"/>
              </w:rPr>
            </w:pPr>
            <w:r>
              <w:rPr>
                <w:rFonts w:ascii="Arial" w:cs="Arial" w:eastAsia="Arial" w:hAnsi="Arial"/>
                <w:sz w:val="18"/>
                <w:szCs w:val="18"/>
                <w:color w:val="auto"/>
                <w:w w:val="89"/>
              </w:rPr>
              <w:t>4,184,580</w:t>
            </w:r>
          </w:p>
        </w:tc>
      </w:tr>
      <w:tr>
        <w:trPr>
          <w:trHeight w:val="310"/>
        </w:trPr>
        <w:tc>
          <w:tcPr>
            <w:tcW w:w="4400" w:type="dxa"/>
            <w:vAlign w:val="bottom"/>
            <w:gridSpan w:val="2"/>
          </w:tcPr>
          <w:p>
            <w:pPr>
              <w:spacing w:after="0"/>
              <w:rPr>
                <w:sz w:val="20"/>
                <w:szCs w:val="20"/>
                <w:color w:val="auto"/>
              </w:rPr>
            </w:pPr>
            <w:r>
              <w:rPr>
                <w:rFonts w:ascii="Arial" w:cs="Arial" w:eastAsia="Arial" w:hAnsi="Arial"/>
                <w:sz w:val="18"/>
                <w:szCs w:val="18"/>
                <w:color w:val="auto"/>
              </w:rPr>
              <w:t>Aaron J. Pas</w:t>
            </w:r>
          </w:p>
        </w:tc>
        <w:tc>
          <w:tcPr>
            <w:tcW w:w="600" w:type="dxa"/>
            <w:vAlign w:val="bottom"/>
          </w:tcPr>
          <w:p>
            <w:pPr>
              <w:jc w:val="right"/>
              <w:ind w:right="10"/>
              <w:spacing w:after="0"/>
              <w:rPr>
                <w:sz w:val="20"/>
                <w:szCs w:val="20"/>
                <w:color w:val="auto"/>
              </w:rPr>
            </w:pPr>
            <w:r>
              <w:rPr>
                <w:rFonts w:ascii="Arial" w:cs="Arial" w:eastAsia="Arial" w:hAnsi="Arial"/>
                <w:sz w:val="18"/>
                <w:szCs w:val="18"/>
                <w:color w:val="auto"/>
              </w:rPr>
              <w:t>2019</w:t>
            </w:r>
          </w:p>
        </w:tc>
        <w:tc>
          <w:tcPr>
            <w:tcW w:w="940" w:type="dxa"/>
            <w:vAlign w:val="bottom"/>
          </w:tcPr>
          <w:p>
            <w:pPr>
              <w:jc w:val="center"/>
              <w:spacing w:after="0"/>
              <w:rPr>
                <w:sz w:val="20"/>
                <w:szCs w:val="20"/>
                <w:color w:val="auto"/>
              </w:rPr>
            </w:pPr>
            <w:r>
              <w:rPr>
                <w:rFonts w:ascii="Arial" w:cs="Arial" w:eastAsia="Arial" w:hAnsi="Arial"/>
                <w:sz w:val="18"/>
                <w:szCs w:val="18"/>
                <w:color w:val="auto"/>
                <w:w w:val="89"/>
              </w:rPr>
              <w:t>425,000</w:t>
            </w:r>
          </w:p>
        </w:tc>
        <w:tc>
          <w:tcPr>
            <w:tcW w:w="960" w:type="dxa"/>
            <w:vAlign w:val="bottom"/>
          </w:tcPr>
          <w:p>
            <w:pPr>
              <w:jc w:val="center"/>
              <w:spacing w:after="0"/>
              <w:rPr>
                <w:sz w:val="20"/>
                <w:szCs w:val="20"/>
                <w:color w:val="auto"/>
              </w:rPr>
            </w:pPr>
            <w:r>
              <w:rPr>
                <w:rFonts w:ascii="Arial" w:cs="Arial" w:eastAsia="Arial" w:hAnsi="Arial"/>
                <w:sz w:val="18"/>
                <w:szCs w:val="18"/>
                <w:color w:val="auto"/>
                <w:w w:val="89"/>
              </w:rPr>
              <w:t>754,163</w:t>
            </w:r>
          </w:p>
        </w:tc>
        <w:tc>
          <w:tcPr>
            <w:tcW w:w="1060" w:type="dxa"/>
            <w:vAlign w:val="bottom"/>
          </w:tcPr>
          <w:p>
            <w:pPr>
              <w:jc w:val="center"/>
              <w:spacing w:after="0"/>
              <w:rPr>
                <w:sz w:val="20"/>
                <w:szCs w:val="20"/>
                <w:color w:val="auto"/>
              </w:rPr>
            </w:pPr>
            <w:r>
              <w:rPr>
                <w:rFonts w:ascii="Arial" w:cs="Arial" w:eastAsia="Arial" w:hAnsi="Arial"/>
                <w:sz w:val="18"/>
                <w:szCs w:val="18"/>
                <w:color w:val="auto"/>
                <w:w w:val="89"/>
              </w:rPr>
              <w:t>750,000</w:t>
            </w:r>
          </w:p>
        </w:tc>
        <w:tc>
          <w:tcPr>
            <w:tcW w:w="1080" w:type="dxa"/>
            <w:vAlign w:val="bottom"/>
          </w:tcPr>
          <w:p>
            <w:pPr>
              <w:ind w:left="400"/>
              <w:spacing w:after="0"/>
              <w:rPr>
                <w:sz w:val="20"/>
                <w:szCs w:val="20"/>
                <w:color w:val="auto"/>
              </w:rPr>
            </w:pPr>
            <w:r>
              <w:rPr>
                <w:rFonts w:ascii="Arial" w:cs="Arial" w:eastAsia="Arial" w:hAnsi="Arial"/>
                <w:sz w:val="18"/>
                <w:szCs w:val="18"/>
                <w:color w:val="auto"/>
              </w:rPr>
              <w:t>–</w:t>
            </w:r>
          </w:p>
        </w:tc>
        <w:tc>
          <w:tcPr>
            <w:tcW w:w="880" w:type="dxa"/>
            <w:vAlign w:val="bottom"/>
          </w:tcPr>
          <w:p>
            <w:pPr>
              <w:jc w:val="right"/>
              <w:ind w:right="90"/>
              <w:spacing w:after="0"/>
              <w:rPr>
                <w:sz w:val="20"/>
                <w:szCs w:val="20"/>
                <w:color w:val="auto"/>
              </w:rPr>
            </w:pPr>
            <w:r>
              <w:rPr>
                <w:rFonts w:ascii="Arial" w:cs="Arial" w:eastAsia="Arial" w:hAnsi="Arial"/>
                <w:sz w:val="18"/>
                <w:szCs w:val="18"/>
                <w:color w:val="auto"/>
              </w:rPr>
              <w:t>8,400</w:t>
            </w:r>
          </w:p>
        </w:tc>
        <w:tc>
          <w:tcPr>
            <w:tcW w:w="1100" w:type="dxa"/>
            <w:vAlign w:val="bottom"/>
          </w:tcPr>
          <w:p>
            <w:pPr>
              <w:jc w:val="center"/>
              <w:ind w:left="10"/>
              <w:spacing w:after="0"/>
              <w:rPr>
                <w:sz w:val="20"/>
                <w:szCs w:val="20"/>
                <w:color w:val="auto"/>
              </w:rPr>
            </w:pPr>
            <w:r>
              <w:rPr>
                <w:rFonts w:ascii="Arial" w:cs="Arial" w:eastAsia="Arial" w:hAnsi="Arial"/>
                <w:sz w:val="18"/>
                <w:szCs w:val="18"/>
                <w:color w:val="auto"/>
                <w:w w:val="89"/>
              </w:rPr>
              <w:t>1,937,563</w:t>
            </w:r>
          </w:p>
        </w:tc>
      </w:tr>
      <w:tr>
        <w:trPr>
          <w:trHeight w:val="216"/>
        </w:trPr>
        <w:tc>
          <w:tcPr>
            <w:tcW w:w="4400" w:type="dxa"/>
            <w:vAlign w:val="bottom"/>
            <w:gridSpan w:val="2"/>
          </w:tcPr>
          <w:p>
            <w:pPr>
              <w:spacing w:after="0"/>
              <w:rPr>
                <w:sz w:val="20"/>
                <w:szCs w:val="20"/>
                <w:color w:val="auto"/>
              </w:rPr>
            </w:pPr>
            <w:r>
              <w:rPr>
                <w:rFonts w:ascii="Arial" w:cs="Arial" w:eastAsia="Arial" w:hAnsi="Arial"/>
                <w:sz w:val="18"/>
                <w:szCs w:val="18"/>
                <w:i w:val="1"/>
                <w:iCs w:val="1"/>
                <w:color w:val="auto"/>
              </w:rPr>
              <w:t>Senior Vice President</w:t>
            </w:r>
          </w:p>
        </w:tc>
        <w:tc>
          <w:tcPr>
            <w:tcW w:w="600" w:type="dxa"/>
            <w:vAlign w:val="bottom"/>
          </w:tcPr>
          <w:p>
            <w:pPr>
              <w:jc w:val="right"/>
              <w:ind w:right="10"/>
              <w:spacing w:after="0"/>
              <w:rPr>
                <w:sz w:val="20"/>
                <w:szCs w:val="20"/>
                <w:color w:val="auto"/>
              </w:rPr>
            </w:pPr>
            <w:r>
              <w:rPr>
                <w:rFonts w:ascii="Arial" w:cs="Arial" w:eastAsia="Arial" w:hAnsi="Arial"/>
                <w:sz w:val="18"/>
                <w:szCs w:val="18"/>
                <w:color w:val="auto"/>
              </w:rPr>
              <w:t>2018</w:t>
            </w:r>
          </w:p>
        </w:tc>
        <w:tc>
          <w:tcPr>
            <w:tcW w:w="940" w:type="dxa"/>
            <w:vAlign w:val="bottom"/>
          </w:tcPr>
          <w:p>
            <w:pPr>
              <w:jc w:val="center"/>
              <w:spacing w:after="0"/>
              <w:rPr>
                <w:sz w:val="20"/>
                <w:szCs w:val="20"/>
                <w:color w:val="auto"/>
              </w:rPr>
            </w:pPr>
            <w:r>
              <w:rPr>
                <w:rFonts w:ascii="Arial" w:cs="Arial" w:eastAsia="Arial" w:hAnsi="Arial"/>
                <w:sz w:val="18"/>
                <w:szCs w:val="18"/>
                <w:color w:val="auto"/>
                <w:w w:val="89"/>
              </w:rPr>
              <w:t>425,000</w:t>
            </w:r>
          </w:p>
        </w:tc>
        <w:tc>
          <w:tcPr>
            <w:tcW w:w="960" w:type="dxa"/>
            <w:vAlign w:val="bottom"/>
          </w:tcPr>
          <w:p>
            <w:pPr>
              <w:jc w:val="center"/>
              <w:spacing w:after="0"/>
              <w:rPr>
                <w:sz w:val="20"/>
                <w:szCs w:val="20"/>
                <w:color w:val="auto"/>
              </w:rPr>
            </w:pPr>
            <w:r>
              <w:rPr>
                <w:rFonts w:ascii="Arial" w:cs="Arial" w:eastAsia="Arial" w:hAnsi="Arial"/>
                <w:sz w:val="18"/>
                <w:szCs w:val="18"/>
                <w:color w:val="auto"/>
                <w:w w:val="89"/>
              </w:rPr>
              <w:t>1,048,561</w:t>
            </w:r>
          </w:p>
        </w:tc>
        <w:tc>
          <w:tcPr>
            <w:tcW w:w="1060" w:type="dxa"/>
            <w:vAlign w:val="bottom"/>
          </w:tcPr>
          <w:p>
            <w:pPr>
              <w:jc w:val="center"/>
              <w:spacing w:after="0"/>
              <w:rPr>
                <w:sz w:val="20"/>
                <w:szCs w:val="20"/>
                <w:color w:val="auto"/>
              </w:rPr>
            </w:pPr>
            <w:r>
              <w:rPr>
                <w:rFonts w:ascii="Arial" w:cs="Arial" w:eastAsia="Arial" w:hAnsi="Arial"/>
                <w:sz w:val="18"/>
                <w:szCs w:val="18"/>
                <w:color w:val="auto"/>
                <w:w w:val="89"/>
              </w:rPr>
              <w:t>318,750</w:t>
            </w:r>
          </w:p>
        </w:tc>
        <w:tc>
          <w:tcPr>
            <w:tcW w:w="1080" w:type="dxa"/>
            <w:vAlign w:val="bottom"/>
          </w:tcPr>
          <w:p>
            <w:pPr>
              <w:jc w:val="center"/>
              <w:ind w:right="10"/>
              <w:spacing w:after="0"/>
              <w:rPr>
                <w:sz w:val="20"/>
                <w:szCs w:val="20"/>
                <w:color w:val="auto"/>
              </w:rPr>
            </w:pPr>
            <w:r>
              <w:rPr>
                <w:rFonts w:ascii="Arial" w:cs="Arial" w:eastAsia="Arial" w:hAnsi="Arial"/>
                <w:sz w:val="18"/>
                <w:szCs w:val="18"/>
                <w:color w:val="auto"/>
                <w:w w:val="89"/>
              </w:rPr>
              <w:t>106,250</w:t>
            </w:r>
          </w:p>
        </w:tc>
        <w:tc>
          <w:tcPr>
            <w:tcW w:w="880" w:type="dxa"/>
            <w:vAlign w:val="bottom"/>
          </w:tcPr>
          <w:p>
            <w:pPr>
              <w:jc w:val="right"/>
              <w:ind w:right="90"/>
              <w:spacing w:after="0"/>
              <w:rPr>
                <w:sz w:val="20"/>
                <w:szCs w:val="20"/>
                <w:color w:val="auto"/>
              </w:rPr>
            </w:pPr>
            <w:r>
              <w:rPr>
                <w:rFonts w:ascii="Arial" w:cs="Arial" w:eastAsia="Arial" w:hAnsi="Arial"/>
                <w:sz w:val="18"/>
                <w:szCs w:val="18"/>
                <w:color w:val="auto"/>
              </w:rPr>
              <w:t>8,250</w:t>
            </w:r>
          </w:p>
        </w:tc>
        <w:tc>
          <w:tcPr>
            <w:tcW w:w="1100" w:type="dxa"/>
            <w:vAlign w:val="bottom"/>
          </w:tcPr>
          <w:p>
            <w:pPr>
              <w:jc w:val="center"/>
              <w:ind w:left="10"/>
              <w:spacing w:after="0"/>
              <w:rPr>
                <w:sz w:val="20"/>
                <w:szCs w:val="20"/>
                <w:color w:val="auto"/>
              </w:rPr>
            </w:pPr>
            <w:r>
              <w:rPr>
                <w:rFonts w:ascii="Arial" w:cs="Arial" w:eastAsia="Arial" w:hAnsi="Arial"/>
                <w:sz w:val="18"/>
                <w:szCs w:val="18"/>
                <w:color w:val="auto"/>
                <w:w w:val="89"/>
              </w:rPr>
              <w:t>1,906,811</w:t>
            </w:r>
          </w:p>
        </w:tc>
      </w:tr>
      <w:tr>
        <w:trPr>
          <w:trHeight w:val="230"/>
        </w:trPr>
        <w:tc>
          <w:tcPr>
            <w:tcW w:w="3860" w:type="dxa"/>
            <w:vAlign w:val="bottom"/>
          </w:tcPr>
          <w:p>
            <w:pPr>
              <w:spacing w:after="0"/>
              <w:rPr>
                <w:sz w:val="20"/>
                <w:szCs w:val="20"/>
                <w:color w:val="auto"/>
              </w:rPr>
            </w:pPr>
          </w:p>
        </w:tc>
        <w:tc>
          <w:tcPr>
            <w:tcW w:w="540" w:type="dxa"/>
            <w:vAlign w:val="bottom"/>
          </w:tcPr>
          <w:p>
            <w:pPr>
              <w:spacing w:after="0"/>
              <w:rPr>
                <w:sz w:val="20"/>
                <w:szCs w:val="20"/>
                <w:color w:val="auto"/>
              </w:rPr>
            </w:pPr>
          </w:p>
        </w:tc>
        <w:tc>
          <w:tcPr>
            <w:tcW w:w="600" w:type="dxa"/>
            <w:vAlign w:val="bottom"/>
          </w:tcPr>
          <w:p>
            <w:pPr>
              <w:jc w:val="right"/>
              <w:ind w:right="10"/>
              <w:spacing w:after="0"/>
              <w:rPr>
                <w:sz w:val="20"/>
                <w:szCs w:val="20"/>
                <w:color w:val="auto"/>
              </w:rPr>
            </w:pPr>
            <w:r>
              <w:rPr>
                <w:rFonts w:ascii="Arial" w:cs="Arial" w:eastAsia="Arial" w:hAnsi="Arial"/>
                <w:sz w:val="18"/>
                <w:szCs w:val="18"/>
                <w:color w:val="auto"/>
              </w:rPr>
              <w:t>2017</w:t>
            </w:r>
          </w:p>
        </w:tc>
        <w:tc>
          <w:tcPr>
            <w:tcW w:w="940" w:type="dxa"/>
            <w:vAlign w:val="bottom"/>
          </w:tcPr>
          <w:p>
            <w:pPr>
              <w:jc w:val="center"/>
              <w:spacing w:after="0"/>
              <w:rPr>
                <w:sz w:val="20"/>
                <w:szCs w:val="20"/>
                <w:color w:val="auto"/>
              </w:rPr>
            </w:pPr>
            <w:r>
              <w:rPr>
                <w:rFonts w:ascii="Arial" w:cs="Arial" w:eastAsia="Arial" w:hAnsi="Arial"/>
                <w:sz w:val="18"/>
                <w:szCs w:val="18"/>
                <w:color w:val="auto"/>
                <w:w w:val="89"/>
              </w:rPr>
              <w:t>425,000</w:t>
            </w:r>
          </w:p>
        </w:tc>
        <w:tc>
          <w:tcPr>
            <w:tcW w:w="960" w:type="dxa"/>
            <w:vAlign w:val="bottom"/>
          </w:tcPr>
          <w:p>
            <w:pPr>
              <w:jc w:val="center"/>
              <w:spacing w:after="0"/>
              <w:rPr>
                <w:sz w:val="20"/>
                <w:szCs w:val="20"/>
                <w:color w:val="auto"/>
              </w:rPr>
            </w:pPr>
            <w:r>
              <w:rPr>
                <w:rFonts w:ascii="Arial" w:cs="Arial" w:eastAsia="Arial" w:hAnsi="Arial"/>
                <w:sz w:val="18"/>
                <w:szCs w:val="18"/>
                <w:color w:val="auto"/>
                <w:w w:val="87"/>
              </w:rPr>
              <w:t>1,118,558</w:t>
            </w:r>
          </w:p>
        </w:tc>
        <w:tc>
          <w:tcPr>
            <w:tcW w:w="1060" w:type="dxa"/>
            <w:vAlign w:val="bottom"/>
          </w:tcPr>
          <w:p>
            <w:pPr>
              <w:jc w:val="center"/>
              <w:spacing w:after="0"/>
              <w:rPr>
                <w:sz w:val="20"/>
                <w:szCs w:val="20"/>
                <w:color w:val="auto"/>
              </w:rPr>
            </w:pPr>
            <w:r>
              <w:rPr>
                <w:rFonts w:ascii="Arial" w:cs="Arial" w:eastAsia="Arial" w:hAnsi="Arial"/>
                <w:sz w:val="18"/>
                <w:szCs w:val="18"/>
                <w:color w:val="auto"/>
                <w:w w:val="89"/>
              </w:rPr>
              <w:t>318,750</w:t>
            </w:r>
          </w:p>
        </w:tc>
        <w:tc>
          <w:tcPr>
            <w:tcW w:w="1080" w:type="dxa"/>
            <w:vAlign w:val="bottom"/>
          </w:tcPr>
          <w:p>
            <w:pPr>
              <w:jc w:val="center"/>
              <w:ind w:right="10"/>
              <w:spacing w:after="0"/>
              <w:rPr>
                <w:sz w:val="20"/>
                <w:szCs w:val="20"/>
                <w:color w:val="auto"/>
              </w:rPr>
            </w:pPr>
            <w:r>
              <w:rPr>
                <w:rFonts w:ascii="Arial" w:cs="Arial" w:eastAsia="Arial" w:hAnsi="Arial"/>
                <w:sz w:val="18"/>
                <w:szCs w:val="18"/>
                <w:color w:val="auto"/>
                <w:w w:val="89"/>
              </w:rPr>
              <w:t>106,250</w:t>
            </w:r>
          </w:p>
        </w:tc>
        <w:tc>
          <w:tcPr>
            <w:tcW w:w="880" w:type="dxa"/>
            <w:vAlign w:val="bottom"/>
          </w:tcPr>
          <w:p>
            <w:pPr>
              <w:jc w:val="right"/>
              <w:ind w:right="90"/>
              <w:spacing w:after="0"/>
              <w:rPr>
                <w:sz w:val="20"/>
                <w:szCs w:val="20"/>
                <w:color w:val="auto"/>
              </w:rPr>
            </w:pPr>
            <w:r>
              <w:rPr>
                <w:rFonts w:ascii="Arial" w:cs="Arial" w:eastAsia="Arial" w:hAnsi="Arial"/>
                <w:sz w:val="18"/>
                <w:szCs w:val="18"/>
                <w:color w:val="auto"/>
              </w:rPr>
              <w:t>8,100</w:t>
            </w:r>
          </w:p>
        </w:tc>
        <w:tc>
          <w:tcPr>
            <w:tcW w:w="1100" w:type="dxa"/>
            <w:vAlign w:val="bottom"/>
          </w:tcPr>
          <w:p>
            <w:pPr>
              <w:jc w:val="center"/>
              <w:ind w:left="10"/>
              <w:spacing w:after="0"/>
              <w:rPr>
                <w:sz w:val="20"/>
                <w:szCs w:val="20"/>
                <w:color w:val="auto"/>
              </w:rPr>
            </w:pPr>
            <w:r>
              <w:rPr>
                <w:rFonts w:ascii="Arial" w:cs="Arial" w:eastAsia="Arial" w:hAnsi="Arial"/>
                <w:sz w:val="18"/>
                <w:szCs w:val="18"/>
                <w:color w:val="auto"/>
                <w:w w:val="89"/>
              </w:rPr>
              <w:t>1,976,658</w:t>
            </w:r>
          </w:p>
        </w:tc>
      </w:tr>
      <w:tr>
        <w:trPr>
          <w:trHeight w:val="324"/>
        </w:trPr>
        <w:tc>
          <w:tcPr>
            <w:tcW w:w="4400" w:type="dxa"/>
            <w:vAlign w:val="bottom"/>
            <w:gridSpan w:val="2"/>
            <w:shd w:val="clear" w:color="auto" w:fill="D8D8D8"/>
          </w:tcPr>
          <w:p>
            <w:pPr>
              <w:spacing w:after="0"/>
              <w:rPr>
                <w:sz w:val="20"/>
                <w:szCs w:val="20"/>
                <w:color w:val="auto"/>
              </w:rPr>
            </w:pPr>
            <w:r>
              <w:rPr>
                <w:rFonts w:ascii="Arial" w:cs="Arial" w:eastAsia="Arial" w:hAnsi="Arial"/>
                <w:sz w:val="18"/>
                <w:szCs w:val="18"/>
                <w:color w:val="auto"/>
              </w:rPr>
              <w:t>Bernice E. Bell</w:t>
            </w:r>
          </w:p>
        </w:tc>
        <w:tc>
          <w:tcPr>
            <w:tcW w:w="600" w:type="dxa"/>
            <w:vAlign w:val="bottom"/>
            <w:shd w:val="clear" w:color="auto" w:fill="D8D8D8"/>
          </w:tcPr>
          <w:p>
            <w:pPr>
              <w:jc w:val="right"/>
              <w:ind w:right="10"/>
              <w:spacing w:after="0"/>
              <w:rPr>
                <w:sz w:val="20"/>
                <w:szCs w:val="20"/>
                <w:color w:val="auto"/>
              </w:rPr>
            </w:pPr>
            <w:r>
              <w:rPr>
                <w:rFonts w:ascii="Arial" w:cs="Arial" w:eastAsia="Arial" w:hAnsi="Arial"/>
                <w:sz w:val="18"/>
                <w:szCs w:val="18"/>
                <w:color w:val="auto"/>
              </w:rPr>
              <w:t>2019</w:t>
            </w:r>
          </w:p>
        </w:tc>
        <w:tc>
          <w:tcPr>
            <w:tcW w:w="94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500,000</w:t>
            </w:r>
          </w:p>
        </w:tc>
        <w:tc>
          <w:tcPr>
            <w:tcW w:w="96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591,500</w:t>
            </w:r>
          </w:p>
        </w:tc>
        <w:tc>
          <w:tcPr>
            <w:tcW w:w="106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750,000</w:t>
            </w:r>
          </w:p>
        </w:tc>
        <w:tc>
          <w:tcPr>
            <w:tcW w:w="1080" w:type="dxa"/>
            <w:vAlign w:val="bottom"/>
            <w:shd w:val="clear" w:color="auto" w:fill="D8D8D8"/>
          </w:tcPr>
          <w:p>
            <w:pPr>
              <w:ind w:left="400"/>
              <w:spacing w:after="0"/>
              <w:rPr>
                <w:sz w:val="20"/>
                <w:szCs w:val="20"/>
                <w:color w:val="auto"/>
              </w:rPr>
            </w:pPr>
            <w:r>
              <w:rPr>
                <w:rFonts w:ascii="Arial" w:cs="Arial" w:eastAsia="Arial" w:hAnsi="Arial"/>
                <w:sz w:val="18"/>
                <w:szCs w:val="18"/>
                <w:color w:val="auto"/>
              </w:rPr>
              <w:t>–</w:t>
            </w:r>
          </w:p>
        </w:tc>
        <w:tc>
          <w:tcPr>
            <w:tcW w:w="880" w:type="dxa"/>
            <w:vAlign w:val="bottom"/>
            <w:shd w:val="clear" w:color="auto" w:fill="D8D8D8"/>
          </w:tcPr>
          <w:p>
            <w:pPr>
              <w:jc w:val="right"/>
              <w:ind w:right="90"/>
              <w:spacing w:after="0"/>
              <w:rPr>
                <w:sz w:val="20"/>
                <w:szCs w:val="20"/>
                <w:color w:val="auto"/>
              </w:rPr>
            </w:pPr>
            <w:r>
              <w:rPr>
                <w:rFonts w:ascii="Arial" w:cs="Arial" w:eastAsia="Arial" w:hAnsi="Arial"/>
                <w:sz w:val="18"/>
                <w:szCs w:val="18"/>
                <w:color w:val="auto"/>
              </w:rPr>
              <w:t>8,400</w:t>
            </w:r>
          </w:p>
        </w:tc>
        <w:tc>
          <w:tcPr>
            <w:tcW w:w="1100" w:type="dxa"/>
            <w:vAlign w:val="bottom"/>
            <w:shd w:val="clear" w:color="auto" w:fill="D8D8D8"/>
          </w:tcPr>
          <w:p>
            <w:pPr>
              <w:jc w:val="center"/>
              <w:ind w:left="10"/>
              <w:spacing w:after="0"/>
              <w:rPr>
                <w:sz w:val="20"/>
                <w:szCs w:val="20"/>
                <w:color w:val="auto"/>
              </w:rPr>
            </w:pPr>
            <w:r>
              <w:rPr>
                <w:rFonts w:ascii="Arial" w:cs="Arial" w:eastAsia="Arial" w:hAnsi="Arial"/>
                <w:sz w:val="18"/>
                <w:szCs w:val="18"/>
                <w:color w:val="auto"/>
                <w:w w:val="89"/>
              </w:rPr>
              <w:t>1,849,900</w:t>
            </w:r>
          </w:p>
        </w:tc>
      </w:tr>
      <w:tr>
        <w:trPr>
          <w:trHeight w:val="288"/>
        </w:trPr>
        <w:tc>
          <w:tcPr>
            <w:tcW w:w="4400" w:type="dxa"/>
            <w:vAlign w:val="bottom"/>
            <w:tcBorders>
              <w:bottom w:val="single" w:sz="8" w:color="D8D8D8"/>
            </w:tcBorders>
            <w:gridSpan w:val="2"/>
            <w:shd w:val="clear" w:color="auto" w:fill="D8D8D8"/>
          </w:tcPr>
          <w:p>
            <w:pPr>
              <w:spacing w:after="0"/>
              <w:rPr>
                <w:sz w:val="20"/>
                <w:szCs w:val="20"/>
                <w:color w:val="auto"/>
              </w:rPr>
            </w:pPr>
            <w:r>
              <w:rPr>
                <w:rFonts w:ascii="Arial" w:cs="Arial" w:eastAsia="Arial" w:hAnsi="Arial"/>
                <w:sz w:val="18"/>
                <w:szCs w:val="18"/>
                <w:i w:val="1"/>
                <w:iCs w:val="1"/>
                <w:color w:val="auto"/>
              </w:rPr>
              <w:t>Senior Vice President and Chief Financial Officer</w:t>
            </w:r>
          </w:p>
        </w:tc>
        <w:tc>
          <w:tcPr>
            <w:tcW w:w="600" w:type="dxa"/>
            <w:vAlign w:val="bottom"/>
            <w:tcBorders>
              <w:bottom w:val="single" w:sz="8" w:color="D8D8D8"/>
            </w:tcBorders>
            <w:shd w:val="clear" w:color="auto" w:fill="D8D8D8"/>
          </w:tcPr>
          <w:p>
            <w:pPr>
              <w:jc w:val="right"/>
              <w:ind w:right="10"/>
              <w:spacing w:after="0"/>
              <w:rPr>
                <w:sz w:val="20"/>
                <w:szCs w:val="20"/>
                <w:color w:val="auto"/>
              </w:rPr>
            </w:pPr>
            <w:r>
              <w:rPr>
                <w:rFonts w:ascii="Arial" w:cs="Arial" w:eastAsia="Arial" w:hAnsi="Arial"/>
                <w:sz w:val="18"/>
                <w:szCs w:val="18"/>
                <w:color w:val="auto"/>
              </w:rPr>
              <w:t>2018</w:t>
            </w:r>
          </w:p>
        </w:tc>
        <w:tc>
          <w:tcPr>
            <w:tcW w:w="940" w:type="dxa"/>
            <w:vAlign w:val="bottom"/>
            <w:tcBorders>
              <w:bottom w:val="single" w:sz="8" w:color="D8D8D8"/>
            </w:tcBorders>
            <w:shd w:val="clear" w:color="auto" w:fill="D8D8D8"/>
          </w:tcPr>
          <w:p>
            <w:pPr>
              <w:jc w:val="center"/>
              <w:spacing w:after="0"/>
              <w:rPr>
                <w:sz w:val="20"/>
                <w:szCs w:val="20"/>
                <w:color w:val="auto"/>
              </w:rPr>
            </w:pPr>
            <w:r>
              <w:rPr>
                <w:rFonts w:ascii="Arial" w:cs="Arial" w:eastAsia="Arial" w:hAnsi="Arial"/>
                <w:sz w:val="18"/>
                <w:szCs w:val="18"/>
                <w:color w:val="auto"/>
                <w:w w:val="89"/>
              </w:rPr>
              <w:t>450,000</w:t>
            </w:r>
          </w:p>
        </w:tc>
        <w:tc>
          <w:tcPr>
            <w:tcW w:w="960" w:type="dxa"/>
            <w:vAlign w:val="bottom"/>
            <w:tcBorders>
              <w:bottom w:val="single" w:sz="8" w:color="D8D8D8"/>
            </w:tcBorders>
            <w:shd w:val="clear" w:color="auto" w:fill="D8D8D8"/>
          </w:tcPr>
          <w:p>
            <w:pPr>
              <w:jc w:val="center"/>
              <w:spacing w:after="0"/>
              <w:rPr>
                <w:sz w:val="20"/>
                <w:szCs w:val="20"/>
                <w:color w:val="auto"/>
              </w:rPr>
            </w:pPr>
            <w:r>
              <w:rPr>
                <w:rFonts w:ascii="Arial" w:cs="Arial" w:eastAsia="Arial" w:hAnsi="Arial"/>
                <w:sz w:val="18"/>
                <w:szCs w:val="18"/>
                <w:color w:val="auto"/>
                <w:w w:val="89"/>
              </w:rPr>
              <w:t>465,315</w:t>
            </w:r>
          </w:p>
        </w:tc>
        <w:tc>
          <w:tcPr>
            <w:tcW w:w="1060" w:type="dxa"/>
            <w:vAlign w:val="bottom"/>
            <w:tcBorders>
              <w:bottom w:val="single" w:sz="8" w:color="D8D8D8"/>
            </w:tcBorders>
            <w:shd w:val="clear" w:color="auto" w:fill="D8D8D8"/>
          </w:tcPr>
          <w:p>
            <w:pPr>
              <w:jc w:val="center"/>
              <w:spacing w:after="0"/>
              <w:rPr>
                <w:sz w:val="20"/>
                <w:szCs w:val="20"/>
                <w:color w:val="auto"/>
              </w:rPr>
            </w:pPr>
            <w:r>
              <w:rPr>
                <w:rFonts w:ascii="Arial" w:cs="Arial" w:eastAsia="Arial" w:hAnsi="Arial"/>
                <w:sz w:val="18"/>
                <w:szCs w:val="18"/>
                <w:color w:val="auto"/>
                <w:w w:val="89"/>
              </w:rPr>
              <w:t>180,000</w:t>
            </w:r>
          </w:p>
        </w:tc>
        <w:tc>
          <w:tcPr>
            <w:tcW w:w="1080" w:type="dxa"/>
            <w:vAlign w:val="bottom"/>
            <w:tcBorders>
              <w:bottom w:val="single" w:sz="8" w:color="D8D8D8"/>
            </w:tcBorders>
            <w:shd w:val="clear" w:color="auto" w:fill="D8D8D8"/>
          </w:tcPr>
          <w:p>
            <w:pPr>
              <w:jc w:val="center"/>
              <w:ind w:right="10"/>
              <w:spacing w:after="0"/>
              <w:rPr>
                <w:sz w:val="20"/>
                <w:szCs w:val="20"/>
                <w:color w:val="auto"/>
              </w:rPr>
            </w:pPr>
            <w:r>
              <w:rPr>
                <w:rFonts w:ascii="Arial" w:cs="Arial" w:eastAsia="Arial" w:hAnsi="Arial"/>
                <w:sz w:val="18"/>
                <w:szCs w:val="18"/>
                <w:color w:val="auto"/>
                <w:w w:val="90"/>
              </w:rPr>
              <w:t>60,000</w:t>
            </w:r>
          </w:p>
        </w:tc>
        <w:tc>
          <w:tcPr>
            <w:tcW w:w="880" w:type="dxa"/>
            <w:vAlign w:val="bottom"/>
            <w:tcBorders>
              <w:bottom w:val="single" w:sz="8" w:color="D8D8D8"/>
            </w:tcBorders>
            <w:shd w:val="clear" w:color="auto" w:fill="D8D8D8"/>
          </w:tcPr>
          <w:p>
            <w:pPr>
              <w:jc w:val="right"/>
              <w:ind w:right="90"/>
              <w:spacing w:after="0"/>
              <w:rPr>
                <w:sz w:val="20"/>
                <w:szCs w:val="20"/>
                <w:color w:val="auto"/>
              </w:rPr>
            </w:pPr>
            <w:r>
              <w:rPr>
                <w:rFonts w:ascii="Arial" w:cs="Arial" w:eastAsia="Arial" w:hAnsi="Arial"/>
                <w:sz w:val="18"/>
                <w:szCs w:val="18"/>
                <w:color w:val="auto"/>
              </w:rPr>
              <w:t>8,250</w:t>
            </w:r>
          </w:p>
        </w:tc>
        <w:tc>
          <w:tcPr>
            <w:tcW w:w="1100" w:type="dxa"/>
            <w:vAlign w:val="bottom"/>
            <w:tcBorders>
              <w:bottom w:val="single" w:sz="8" w:color="D8D8D8"/>
            </w:tcBorders>
            <w:shd w:val="clear" w:color="auto" w:fill="D8D8D8"/>
          </w:tcPr>
          <w:p>
            <w:pPr>
              <w:jc w:val="center"/>
              <w:ind w:left="10"/>
              <w:spacing w:after="0"/>
              <w:rPr>
                <w:sz w:val="20"/>
                <w:szCs w:val="20"/>
                <w:color w:val="auto"/>
              </w:rPr>
            </w:pPr>
            <w:r>
              <w:rPr>
                <w:rFonts w:ascii="Arial" w:cs="Arial" w:eastAsia="Arial" w:hAnsi="Arial"/>
                <w:sz w:val="18"/>
                <w:szCs w:val="18"/>
                <w:color w:val="auto"/>
                <w:w w:val="89"/>
              </w:rPr>
              <w:t>1,163,565</w:t>
            </w:r>
          </w:p>
        </w:tc>
      </w:tr>
      <w:tr>
        <w:trPr>
          <w:trHeight w:val="129"/>
        </w:trPr>
        <w:tc>
          <w:tcPr>
            <w:tcW w:w="3860" w:type="dxa"/>
            <w:vAlign w:val="bottom"/>
            <w:tcBorders>
              <w:top w:val="single" w:sz="8" w:color="407CCA"/>
              <w:bottom w:val="single" w:sz="8" w:color="auto"/>
            </w:tcBorders>
          </w:tcPr>
          <w:p>
            <w:pPr>
              <w:spacing w:after="0"/>
              <w:rPr>
                <w:sz w:val="11"/>
                <w:szCs w:val="11"/>
                <w:color w:val="auto"/>
              </w:rPr>
            </w:pPr>
          </w:p>
        </w:tc>
        <w:tc>
          <w:tcPr>
            <w:tcW w:w="540" w:type="dxa"/>
            <w:vAlign w:val="bottom"/>
            <w:tcBorders>
              <w:top w:val="single" w:sz="8" w:color="407CCA"/>
            </w:tcBorders>
          </w:tcPr>
          <w:p>
            <w:pPr>
              <w:spacing w:after="0"/>
              <w:rPr>
                <w:sz w:val="11"/>
                <w:szCs w:val="11"/>
                <w:color w:val="auto"/>
              </w:rPr>
            </w:pPr>
          </w:p>
        </w:tc>
        <w:tc>
          <w:tcPr>
            <w:tcW w:w="600" w:type="dxa"/>
            <w:vAlign w:val="bottom"/>
            <w:tcBorders>
              <w:top w:val="single" w:sz="8" w:color="407CCA"/>
            </w:tcBorders>
          </w:tcPr>
          <w:p>
            <w:pPr>
              <w:spacing w:after="0"/>
              <w:rPr>
                <w:sz w:val="11"/>
                <w:szCs w:val="11"/>
                <w:color w:val="auto"/>
              </w:rPr>
            </w:pPr>
          </w:p>
        </w:tc>
        <w:tc>
          <w:tcPr>
            <w:tcW w:w="940" w:type="dxa"/>
            <w:vAlign w:val="bottom"/>
            <w:tcBorders>
              <w:top w:val="single" w:sz="8" w:color="407CCA"/>
            </w:tcBorders>
          </w:tcPr>
          <w:p>
            <w:pPr>
              <w:spacing w:after="0"/>
              <w:rPr>
                <w:sz w:val="11"/>
                <w:szCs w:val="11"/>
                <w:color w:val="auto"/>
              </w:rPr>
            </w:pPr>
          </w:p>
        </w:tc>
        <w:tc>
          <w:tcPr>
            <w:tcW w:w="960" w:type="dxa"/>
            <w:vAlign w:val="bottom"/>
            <w:tcBorders>
              <w:top w:val="single" w:sz="8" w:color="407CCA"/>
            </w:tcBorders>
          </w:tcPr>
          <w:p>
            <w:pPr>
              <w:spacing w:after="0"/>
              <w:rPr>
                <w:sz w:val="11"/>
                <w:szCs w:val="11"/>
                <w:color w:val="auto"/>
              </w:rPr>
            </w:pPr>
          </w:p>
        </w:tc>
        <w:tc>
          <w:tcPr>
            <w:tcW w:w="1060" w:type="dxa"/>
            <w:vAlign w:val="bottom"/>
            <w:tcBorders>
              <w:top w:val="single" w:sz="8" w:color="407CCA"/>
            </w:tcBorders>
          </w:tcPr>
          <w:p>
            <w:pPr>
              <w:spacing w:after="0"/>
              <w:rPr>
                <w:sz w:val="11"/>
                <w:szCs w:val="11"/>
                <w:color w:val="auto"/>
              </w:rPr>
            </w:pPr>
          </w:p>
        </w:tc>
        <w:tc>
          <w:tcPr>
            <w:tcW w:w="1080" w:type="dxa"/>
            <w:vAlign w:val="bottom"/>
            <w:tcBorders>
              <w:top w:val="single" w:sz="8" w:color="407CCA"/>
            </w:tcBorders>
          </w:tcPr>
          <w:p>
            <w:pPr>
              <w:spacing w:after="0"/>
              <w:rPr>
                <w:sz w:val="11"/>
                <w:szCs w:val="11"/>
                <w:color w:val="auto"/>
              </w:rPr>
            </w:pPr>
          </w:p>
        </w:tc>
        <w:tc>
          <w:tcPr>
            <w:tcW w:w="880" w:type="dxa"/>
            <w:vAlign w:val="bottom"/>
            <w:tcBorders>
              <w:top w:val="single" w:sz="8" w:color="407CCA"/>
            </w:tcBorders>
          </w:tcPr>
          <w:p>
            <w:pPr>
              <w:spacing w:after="0"/>
              <w:rPr>
                <w:sz w:val="11"/>
                <w:szCs w:val="11"/>
                <w:color w:val="auto"/>
              </w:rPr>
            </w:pPr>
          </w:p>
        </w:tc>
        <w:tc>
          <w:tcPr>
            <w:tcW w:w="1100" w:type="dxa"/>
            <w:vAlign w:val="bottom"/>
            <w:tcBorders>
              <w:top w:val="single" w:sz="8" w:color="407CCA"/>
            </w:tcBorders>
          </w:tcPr>
          <w:p>
            <w:pPr>
              <w:spacing w:after="0"/>
              <w:rPr>
                <w:sz w:val="11"/>
                <w:szCs w:val="11"/>
                <w:color w:val="auto"/>
              </w:rPr>
            </w:pPr>
          </w:p>
        </w:tc>
      </w:tr>
    </w:tbl>
    <w:p>
      <w:pPr>
        <w:spacing w:after="0" w:line="143" w:lineRule="exact"/>
        <w:rPr>
          <w:sz w:val="20"/>
          <w:szCs w:val="20"/>
          <w:color w:val="auto"/>
        </w:rPr>
      </w:pPr>
    </w:p>
    <w:p>
      <w:pPr>
        <w:ind w:left="880" w:right="60" w:hanging="764"/>
        <w:spacing w:after="0" w:line="229" w:lineRule="auto"/>
        <w:tabs>
          <w:tab w:leader="none" w:pos="880" w:val="left"/>
        </w:tabs>
        <w:numPr>
          <w:ilvl w:val="0"/>
          <w:numId w:val="43"/>
        </w:numPr>
        <w:rPr>
          <w:rFonts w:ascii="Arial" w:cs="Arial" w:eastAsia="Arial" w:hAnsi="Arial"/>
          <w:sz w:val="14"/>
          <w:szCs w:val="14"/>
          <w:color w:val="auto"/>
        </w:rPr>
      </w:pPr>
      <w:r>
        <w:rPr>
          <w:rFonts w:ascii="Arial" w:cs="Arial" w:eastAsia="Arial" w:hAnsi="Arial"/>
          <w:sz w:val="14"/>
          <w:szCs w:val="14"/>
          <w:color w:val="auto"/>
        </w:rPr>
        <w:t>The amounts reported in the “Stock Awards” column represent the aggregate grant date fair value of each NEO’s awards calculated in accordance with FASB ASC Topic 718, as required by SEC regulations. The fair market value of a stock award is based on the fair market value of our stock on the date of grant with the value of the performance-based RSUs based on the probable outcome of the performance conditions as of the grant date and is set at 100% of the target amount. The grant date fair value of the performance-based RSUs, assuming the highest level of performance conditions is met, was $10,800,000 for Mr. Kain, $1,800,000 for Mr. Federico, $1,400,000 for Mr. Kuehl, $750,000 for Ms. Bell, and $750,000 for Mr. Pas. See below in the Grants of Plan Based Awards in Fiscal Year 2019 table for further details regarding the allocation of grants between time-vesting and performance-based RSUs.</w:t>
      </w:r>
    </w:p>
    <w:p>
      <w:pPr>
        <w:spacing w:after="0" w:line="118" w:lineRule="exact"/>
        <w:rPr>
          <w:sz w:val="20"/>
          <w:szCs w:val="20"/>
          <w:color w:val="auto"/>
        </w:rPr>
      </w:pPr>
    </w:p>
    <w:p>
      <w:pPr>
        <w:ind w:left="7960"/>
        <w:spacing w:after="0"/>
        <w:tabs>
          <w:tab w:leader="none" w:pos="109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61</w:t>
      </w:r>
    </w:p>
    <w:p>
      <w:pPr>
        <w:sectPr>
          <w:pgSz w:w="11900" w:h="16838" w:orient="portrait"/>
          <w:cols w:equalWidth="0" w:num="1">
            <w:col w:w="11140"/>
          </w:cols>
          <w:pgMar w:left="320" w:top="459" w:right="439" w:bottom="1440" w:gutter="0" w:footer="0" w:header="0"/>
          <w:type w:val="continuous"/>
        </w:sectPr>
      </w:pPr>
    </w:p>
    <w:bookmarkStart w:id="74" w:name="page75"/>
    <w:bookmarkEnd w:id="7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8">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89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9">
                      <a:extLst>
                        <a:ext uri="{28A0092B-C50C-407E-A947-70E740481C1C}"/>
                      </a:extLst>
                    </a:blip>
                    <a:srcRect/>
                    <a:stretch>
                      <a:fillRect/>
                    </a:stretch>
                  </pic:blipFill>
                  <pic:spPr bwMode="auto">
                    <a:xfrm>
                      <a:off x="0" y="0"/>
                      <a:ext cx="6995160" cy="8890"/>
                    </a:xfrm>
                    <a:prstGeom prst="rect">
                      <a:avLst/>
                    </a:prstGeom>
                    <a:noFill/>
                  </pic:spPr>
                </pic:pic>
              </a:graphicData>
            </a:graphic>
          </wp:anchor>
        </w:drawing>
      </w:r>
    </w:p>
    <w:p>
      <w:pPr>
        <w:spacing w:after="0" w:line="184" w:lineRule="exact"/>
        <w:rPr>
          <w:sz w:val="20"/>
          <w:szCs w:val="20"/>
          <w:color w:val="auto"/>
        </w:rPr>
      </w:pPr>
    </w:p>
    <w:p>
      <w:pPr>
        <w:jc w:val="both"/>
        <w:ind w:left="880" w:right="140" w:hanging="764"/>
        <w:spacing w:after="0" w:line="238" w:lineRule="auto"/>
        <w:tabs>
          <w:tab w:leader="none" w:pos="880" w:val="left"/>
        </w:tabs>
        <w:numPr>
          <w:ilvl w:val="0"/>
          <w:numId w:val="44"/>
        </w:numPr>
        <w:rPr>
          <w:rFonts w:ascii="Arial" w:cs="Arial" w:eastAsia="Arial" w:hAnsi="Arial"/>
          <w:sz w:val="14"/>
          <w:szCs w:val="14"/>
          <w:color w:val="auto"/>
        </w:rPr>
      </w:pPr>
      <w:r>
        <w:rPr>
          <w:rFonts w:ascii="Arial" w:cs="Arial" w:eastAsia="Arial" w:hAnsi="Arial"/>
          <w:sz w:val="14"/>
          <w:szCs w:val="14"/>
          <w:color w:val="auto"/>
        </w:rPr>
        <w:t>In the column “Non-Equity Incentive Plan Compensation,” we disclose the amount of the NEO’s awards under the AGNC Mortgage Management, LLC Performance Incentive Plan—MTGE (the “MTGE PIP”), an equity compensation program that was associated with our subsidiary’s former management of MTGE Investment Corp. (“MTGE”). The value reported is equal to the cash amount that we funded for the purchase of MTGE shares on the open market.</w:t>
      </w:r>
    </w:p>
    <w:p>
      <w:pPr>
        <w:spacing w:after="0" w:line="399" w:lineRule="exact"/>
        <w:rPr>
          <w:sz w:val="20"/>
          <w:szCs w:val="20"/>
          <w:color w:val="auto"/>
        </w:rPr>
      </w:pPr>
    </w:p>
    <w:p>
      <w:pPr>
        <w:jc w:val="center"/>
        <w:ind w:right="-99"/>
        <w:spacing w:after="0"/>
        <w:rPr>
          <w:sz w:val="20"/>
          <w:szCs w:val="20"/>
          <w:color w:val="auto"/>
        </w:rPr>
      </w:pPr>
      <w:r>
        <w:rPr>
          <w:rFonts w:ascii="Arial" w:cs="Arial" w:eastAsia="Arial" w:hAnsi="Arial"/>
          <w:sz w:val="18"/>
          <w:szCs w:val="18"/>
          <w:b w:val="1"/>
          <w:bCs w:val="1"/>
          <w:color w:val="auto"/>
        </w:rPr>
        <w:t>Grants of Plan-Based Awards in Fiscal Year 2019</w:t>
      </w:r>
    </w:p>
    <w:p>
      <w:pPr>
        <w:spacing w:after="0" w:line="121" w:lineRule="exact"/>
        <w:rPr>
          <w:sz w:val="20"/>
          <w:szCs w:val="20"/>
          <w:color w:val="auto"/>
        </w:rPr>
      </w:pPr>
    </w:p>
    <w:p>
      <w:pPr>
        <w:ind w:left="120" w:right="280" w:firstLine="881"/>
        <w:spacing w:after="0" w:line="259" w:lineRule="auto"/>
        <w:rPr>
          <w:sz w:val="20"/>
          <w:szCs w:val="20"/>
          <w:color w:val="auto"/>
        </w:rPr>
      </w:pPr>
      <w:r>
        <w:rPr>
          <w:rFonts w:ascii="Arial" w:cs="Arial" w:eastAsia="Arial" w:hAnsi="Arial"/>
          <w:sz w:val="18"/>
          <w:szCs w:val="18"/>
          <w:color w:val="auto"/>
        </w:rPr>
        <w:t>In the following table we provide information about each grant of an award made to an NEO during our fiscal year ended December 31, 2019 under the 2016 Plan. See “Equity Incentive Compensation” in “Compensation Discussion and Analysis” above for a description of the plan and awards. Amounts included in the “Grant date fair value of stock awards” column are valued in accordance with ASC 718 without reduction of any assumed forfeitures.</w:t>
      </w:r>
    </w:p>
    <w:p>
      <w:pPr>
        <w:spacing w:after="0" w:line="208" w:lineRule="exact"/>
        <w:rPr>
          <w:sz w:val="20"/>
          <w:szCs w:val="20"/>
          <w:color w:val="auto"/>
        </w:rPr>
      </w:pPr>
    </w:p>
    <w:tbl>
      <w:tblPr>
        <w:tblLayout w:type="fixed"/>
        <w:tblInd w:w="120" w:type="dxa"/>
        <w:tblCellMar>
          <w:top w:w="0" w:type="dxa"/>
          <w:left w:w="0" w:type="dxa"/>
          <w:bottom w:w="0" w:type="dxa"/>
          <w:right w:w="0" w:type="dxa"/>
        </w:tblCellMar>
      </w:tblPr>
      <w:tr>
        <w:trPr>
          <w:trHeight w:val="130"/>
        </w:trPr>
        <w:tc>
          <w:tcPr>
            <w:tcW w:w="3080" w:type="dxa"/>
            <w:vAlign w:val="bottom"/>
            <w:tcBorders>
              <w:top w:val="single" w:sz="8" w:color="407CCA"/>
            </w:tcBorders>
          </w:tcPr>
          <w:p>
            <w:pPr>
              <w:spacing w:after="0"/>
              <w:rPr>
                <w:sz w:val="11"/>
                <w:szCs w:val="11"/>
                <w:color w:val="auto"/>
              </w:rPr>
            </w:pPr>
          </w:p>
        </w:tc>
        <w:tc>
          <w:tcPr>
            <w:tcW w:w="60" w:type="dxa"/>
            <w:vAlign w:val="bottom"/>
            <w:tcBorders>
              <w:top w:val="single" w:sz="8" w:color="407CCA"/>
            </w:tcBorders>
          </w:tcPr>
          <w:p>
            <w:pPr>
              <w:spacing w:after="0"/>
              <w:rPr>
                <w:sz w:val="11"/>
                <w:szCs w:val="11"/>
                <w:color w:val="auto"/>
              </w:rPr>
            </w:pPr>
          </w:p>
        </w:tc>
        <w:tc>
          <w:tcPr>
            <w:tcW w:w="720" w:type="dxa"/>
            <w:vAlign w:val="bottom"/>
            <w:tcBorders>
              <w:top w:val="single" w:sz="8" w:color="407CCA"/>
            </w:tcBorders>
          </w:tcPr>
          <w:p>
            <w:pPr>
              <w:spacing w:after="0"/>
              <w:rPr>
                <w:sz w:val="11"/>
                <w:szCs w:val="11"/>
                <w:color w:val="auto"/>
              </w:rPr>
            </w:pPr>
          </w:p>
        </w:tc>
        <w:tc>
          <w:tcPr>
            <w:tcW w:w="1960" w:type="dxa"/>
            <w:vAlign w:val="bottom"/>
            <w:tcBorders>
              <w:top w:val="single" w:sz="8" w:color="407CCA"/>
            </w:tcBorders>
          </w:tcPr>
          <w:p>
            <w:pPr>
              <w:spacing w:after="0"/>
              <w:rPr>
                <w:sz w:val="11"/>
                <w:szCs w:val="11"/>
                <w:color w:val="auto"/>
              </w:rPr>
            </w:pPr>
          </w:p>
        </w:tc>
        <w:tc>
          <w:tcPr>
            <w:tcW w:w="1020" w:type="dxa"/>
            <w:vAlign w:val="bottom"/>
            <w:tcBorders>
              <w:top w:val="single" w:sz="8" w:color="407CCA"/>
            </w:tcBorders>
          </w:tcPr>
          <w:p>
            <w:pPr>
              <w:spacing w:after="0"/>
              <w:rPr>
                <w:sz w:val="11"/>
                <w:szCs w:val="11"/>
                <w:color w:val="auto"/>
              </w:rPr>
            </w:pPr>
          </w:p>
        </w:tc>
        <w:tc>
          <w:tcPr>
            <w:tcW w:w="640" w:type="dxa"/>
            <w:vAlign w:val="bottom"/>
            <w:tcBorders>
              <w:top w:val="single" w:sz="8" w:color="407CCA"/>
            </w:tcBorders>
          </w:tcPr>
          <w:p>
            <w:pPr>
              <w:spacing w:after="0"/>
              <w:rPr>
                <w:sz w:val="11"/>
                <w:szCs w:val="11"/>
                <w:color w:val="auto"/>
              </w:rPr>
            </w:pPr>
          </w:p>
        </w:tc>
        <w:tc>
          <w:tcPr>
            <w:tcW w:w="980" w:type="dxa"/>
            <w:vAlign w:val="bottom"/>
            <w:tcBorders>
              <w:top w:val="single" w:sz="8" w:color="407CCA"/>
            </w:tcBorders>
          </w:tcPr>
          <w:p>
            <w:pPr>
              <w:jc w:val="center"/>
              <w:spacing w:after="0" w:line="131" w:lineRule="exact"/>
              <w:rPr>
                <w:sz w:val="20"/>
                <w:szCs w:val="20"/>
                <w:color w:val="auto"/>
              </w:rPr>
            </w:pPr>
            <w:r>
              <w:rPr>
                <w:rFonts w:ascii="Arial" w:cs="Arial" w:eastAsia="Arial" w:hAnsi="Arial"/>
                <w:sz w:val="13"/>
                <w:szCs w:val="13"/>
                <w:b w:val="1"/>
                <w:bCs w:val="1"/>
                <w:color w:val="auto"/>
                <w:w w:val="90"/>
              </w:rPr>
              <w:t>Estimated Future</w:t>
            </w:r>
          </w:p>
        </w:tc>
        <w:tc>
          <w:tcPr>
            <w:tcW w:w="720" w:type="dxa"/>
            <w:vAlign w:val="bottom"/>
            <w:tcBorders>
              <w:top w:val="single" w:sz="8" w:color="407CCA"/>
            </w:tcBorders>
          </w:tcPr>
          <w:p>
            <w:pPr>
              <w:spacing w:after="0"/>
              <w:rPr>
                <w:sz w:val="11"/>
                <w:szCs w:val="11"/>
                <w:color w:val="auto"/>
              </w:rPr>
            </w:pPr>
          </w:p>
        </w:tc>
        <w:tc>
          <w:tcPr>
            <w:tcW w:w="780" w:type="dxa"/>
            <w:vAlign w:val="bottom"/>
            <w:tcBorders>
              <w:top w:val="single" w:sz="8" w:color="407CCA"/>
            </w:tcBorders>
          </w:tcPr>
          <w:p>
            <w:pPr>
              <w:spacing w:after="0"/>
              <w:rPr>
                <w:sz w:val="11"/>
                <w:szCs w:val="11"/>
                <w:color w:val="auto"/>
              </w:rPr>
            </w:pPr>
          </w:p>
        </w:tc>
        <w:tc>
          <w:tcPr>
            <w:tcW w:w="1060" w:type="dxa"/>
            <w:vAlign w:val="bottom"/>
            <w:tcBorders>
              <w:top w:val="single" w:sz="8" w:color="407CCA"/>
            </w:tcBorders>
          </w:tcPr>
          <w:p>
            <w:pPr>
              <w:spacing w:after="0"/>
              <w:rPr>
                <w:sz w:val="11"/>
                <w:szCs w:val="11"/>
                <w:color w:val="auto"/>
              </w:rPr>
            </w:pPr>
          </w:p>
        </w:tc>
        <w:tc>
          <w:tcPr>
            <w:tcW w:w="0" w:type="dxa"/>
            <w:vAlign w:val="bottom"/>
          </w:tcPr>
          <w:p>
            <w:pPr>
              <w:spacing w:after="0"/>
              <w:rPr>
                <w:sz w:val="1"/>
                <w:szCs w:val="1"/>
                <w:color w:val="auto"/>
              </w:rPr>
            </w:pPr>
          </w:p>
        </w:tc>
      </w:tr>
      <w:tr>
        <w:trPr>
          <w:trHeight w:val="153"/>
        </w:trPr>
        <w:tc>
          <w:tcPr>
            <w:tcW w:w="308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720" w:type="dxa"/>
            <w:vAlign w:val="bottom"/>
          </w:tcPr>
          <w:p>
            <w:pPr>
              <w:spacing w:after="0"/>
              <w:rPr>
                <w:sz w:val="13"/>
                <w:szCs w:val="13"/>
                <w:color w:val="auto"/>
              </w:rPr>
            </w:pPr>
          </w:p>
        </w:tc>
        <w:tc>
          <w:tcPr>
            <w:tcW w:w="1960" w:type="dxa"/>
            <w:vAlign w:val="bottom"/>
          </w:tcPr>
          <w:p>
            <w:pPr>
              <w:spacing w:after="0"/>
              <w:rPr>
                <w:sz w:val="13"/>
                <w:szCs w:val="13"/>
                <w:color w:val="auto"/>
              </w:rPr>
            </w:pPr>
          </w:p>
        </w:tc>
        <w:tc>
          <w:tcPr>
            <w:tcW w:w="1020" w:type="dxa"/>
            <w:vAlign w:val="bottom"/>
          </w:tcPr>
          <w:p>
            <w:pPr>
              <w:spacing w:after="0"/>
              <w:rPr>
                <w:sz w:val="13"/>
                <w:szCs w:val="13"/>
                <w:color w:val="auto"/>
              </w:rPr>
            </w:pPr>
          </w:p>
        </w:tc>
        <w:tc>
          <w:tcPr>
            <w:tcW w:w="640" w:type="dxa"/>
            <w:vAlign w:val="bottom"/>
          </w:tcPr>
          <w:p>
            <w:pPr>
              <w:spacing w:after="0"/>
              <w:rPr>
                <w:sz w:val="13"/>
                <w:szCs w:val="13"/>
                <w:color w:val="auto"/>
              </w:rPr>
            </w:pPr>
          </w:p>
        </w:tc>
        <w:tc>
          <w:tcPr>
            <w:tcW w:w="980" w:type="dxa"/>
            <w:vAlign w:val="bottom"/>
          </w:tcPr>
          <w:p>
            <w:pPr>
              <w:jc w:val="center"/>
              <w:spacing w:after="0"/>
              <w:rPr>
                <w:sz w:val="20"/>
                <w:szCs w:val="20"/>
                <w:color w:val="auto"/>
              </w:rPr>
            </w:pPr>
            <w:r>
              <w:rPr>
                <w:rFonts w:ascii="Arial" w:cs="Arial" w:eastAsia="Arial" w:hAnsi="Arial"/>
                <w:sz w:val="13"/>
                <w:szCs w:val="13"/>
                <w:b w:val="1"/>
                <w:bCs w:val="1"/>
                <w:color w:val="auto"/>
                <w:w w:val="87"/>
              </w:rPr>
              <w:t>Payouts Under</w:t>
            </w:r>
          </w:p>
        </w:tc>
        <w:tc>
          <w:tcPr>
            <w:tcW w:w="720" w:type="dxa"/>
            <w:vAlign w:val="bottom"/>
          </w:tcPr>
          <w:p>
            <w:pPr>
              <w:spacing w:after="0"/>
              <w:rPr>
                <w:sz w:val="13"/>
                <w:szCs w:val="13"/>
                <w:color w:val="auto"/>
              </w:rPr>
            </w:pPr>
          </w:p>
        </w:tc>
        <w:tc>
          <w:tcPr>
            <w:tcW w:w="780" w:type="dxa"/>
            <w:vAlign w:val="bottom"/>
          </w:tcPr>
          <w:p>
            <w:pPr>
              <w:jc w:val="center"/>
              <w:spacing w:after="0"/>
              <w:rPr>
                <w:sz w:val="20"/>
                <w:szCs w:val="20"/>
                <w:color w:val="auto"/>
              </w:rPr>
            </w:pPr>
            <w:r>
              <w:rPr>
                <w:rFonts w:ascii="Arial" w:cs="Arial" w:eastAsia="Arial" w:hAnsi="Arial"/>
                <w:sz w:val="13"/>
                <w:szCs w:val="13"/>
                <w:b w:val="1"/>
                <w:bCs w:val="1"/>
                <w:color w:val="auto"/>
                <w:w w:val="94"/>
              </w:rPr>
              <w:t>All Other</w:t>
            </w:r>
          </w:p>
        </w:tc>
        <w:tc>
          <w:tcPr>
            <w:tcW w:w="10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31"/>
        </w:trPr>
        <w:tc>
          <w:tcPr>
            <w:tcW w:w="30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1960" w:type="dxa"/>
            <w:vAlign w:val="bottom"/>
          </w:tcPr>
          <w:p>
            <w:pPr>
              <w:spacing w:after="0"/>
              <w:rPr>
                <w:sz w:val="11"/>
                <w:szCs w:val="11"/>
                <w:color w:val="auto"/>
              </w:rPr>
            </w:pPr>
          </w:p>
        </w:tc>
        <w:tc>
          <w:tcPr>
            <w:tcW w:w="102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980" w:type="dxa"/>
            <w:vAlign w:val="bottom"/>
          </w:tcPr>
          <w:p>
            <w:pPr>
              <w:jc w:val="center"/>
              <w:spacing w:after="0" w:line="131" w:lineRule="exact"/>
              <w:rPr>
                <w:sz w:val="20"/>
                <w:szCs w:val="20"/>
                <w:color w:val="auto"/>
              </w:rPr>
            </w:pPr>
            <w:r>
              <w:rPr>
                <w:rFonts w:ascii="Arial" w:cs="Arial" w:eastAsia="Arial" w:hAnsi="Arial"/>
                <w:sz w:val="13"/>
                <w:szCs w:val="13"/>
                <w:b w:val="1"/>
                <w:bCs w:val="1"/>
                <w:color w:val="auto"/>
                <w:w w:val="88"/>
              </w:rPr>
              <w:t>Equity Incentive</w:t>
            </w:r>
          </w:p>
        </w:tc>
        <w:tc>
          <w:tcPr>
            <w:tcW w:w="720" w:type="dxa"/>
            <w:vAlign w:val="bottom"/>
          </w:tcPr>
          <w:p>
            <w:pPr>
              <w:spacing w:after="0"/>
              <w:rPr>
                <w:sz w:val="11"/>
                <w:szCs w:val="11"/>
                <w:color w:val="auto"/>
              </w:rPr>
            </w:pPr>
          </w:p>
        </w:tc>
        <w:tc>
          <w:tcPr>
            <w:tcW w:w="780" w:type="dxa"/>
            <w:vAlign w:val="bottom"/>
          </w:tcPr>
          <w:p>
            <w:pPr>
              <w:jc w:val="center"/>
              <w:spacing w:after="0" w:line="131" w:lineRule="exact"/>
              <w:rPr>
                <w:sz w:val="20"/>
                <w:szCs w:val="20"/>
                <w:color w:val="auto"/>
              </w:rPr>
            </w:pPr>
            <w:r>
              <w:rPr>
                <w:rFonts w:ascii="Arial" w:cs="Arial" w:eastAsia="Arial" w:hAnsi="Arial"/>
                <w:sz w:val="13"/>
                <w:szCs w:val="13"/>
                <w:b w:val="1"/>
                <w:bCs w:val="1"/>
                <w:color w:val="auto"/>
                <w:w w:val="84"/>
              </w:rPr>
              <w:t>Stock</w:t>
            </w:r>
          </w:p>
        </w:tc>
        <w:tc>
          <w:tcPr>
            <w:tcW w:w="10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9"/>
        </w:trPr>
        <w:tc>
          <w:tcPr>
            <w:tcW w:w="30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960" w:type="dxa"/>
            <w:vAlign w:val="bottom"/>
          </w:tcPr>
          <w:p>
            <w:pPr>
              <w:spacing w:after="0"/>
              <w:rPr>
                <w:sz w:val="12"/>
                <w:szCs w:val="12"/>
                <w:color w:val="auto"/>
              </w:rPr>
            </w:pPr>
          </w:p>
        </w:tc>
        <w:tc>
          <w:tcPr>
            <w:tcW w:w="1020" w:type="dxa"/>
            <w:vAlign w:val="bottom"/>
          </w:tcPr>
          <w:p>
            <w:pPr>
              <w:spacing w:after="0"/>
              <w:rPr>
                <w:sz w:val="12"/>
                <w:szCs w:val="12"/>
                <w:color w:val="auto"/>
              </w:rPr>
            </w:pPr>
          </w:p>
        </w:tc>
        <w:tc>
          <w:tcPr>
            <w:tcW w:w="640" w:type="dxa"/>
            <w:vAlign w:val="bottom"/>
            <w:tcBorders>
              <w:bottom w:val="single" w:sz="8" w:color="407CCA"/>
            </w:tcBorders>
          </w:tcPr>
          <w:p>
            <w:pPr>
              <w:spacing w:after="0"/>
              <w:rPr>
                <w:sz w:val="12"/>
                <w:szCs w:val="12"/>
                <w:color w:val="auto"/>
              </w:rPr>
            </w:pPr>
          </w:p>
        </w:tc>
        <w:tc>
          <w:tcPr>
            <w:tcW w:w="980" w:type="dxa"/>
            <w:vAlign w:val="bottom"/>
            <w:tcBorders>
              <w:bottom w:val="single" w:sz="8" w:color="407CCA"/>
            </w:tcBorders>
          </w:tcPr>
          <w:p>
            <w:pPr>
              <w:jc w:val="center"/>
              <w:spacing w:after="0" w:line="119" w:lineRule="exact"/>
              <w:rPr>
                <w:sz w:val="20"/>
                <w:szCs w:val="20"/>
                <w:color w:val="auto"/>
              </w:rPr>
            </w:pPr>
            <w:r>
              <w:rPr>
                <w:rFonts w:ascii="Arial" w:cs="Arial" w:eastAsia="Arial" w:hAnsi="Arial"/>
                <w:sz w:val="13"/>
                <w:szCs w:val="13"/>
                <w:b w:val="1"/>
                <w:bCs w:val="1"/>
                <w:color w:val="auto"/>
                <w:w w:val="88"/>
              </w:rPr>
              <w:t>Plan Awards</w:t>
            </w:r>
            <w:r>
              <w:rPr>
                <w:rFonts w:ascii="Arial" w:cs="Arial" w:eastAsia="Arial" w:hAnsi="Arial"/>
                <w:sz w:val="10"/>
                <w:szCs w:val="10"/>
                <w:b w:val="1"/>
                <w:bCs w:val="1"/>
                <w:color w:val="auto"/>
                <w:w w:val="88"/>
              </w:rPr>
              <w:t>(3)</w:t>
            </w:r>
          </w:p>
        </w:tc>
        <w:tc>
          <w:tcPr>
            <w:tcW w:w="720" w:type="dxa"/>
            <w:vAlign w:val="bottom"/>
            <w:tcBorders>
              <w:bottom w:val="single" w:sz="8" w:color="407CCA"/>
            </w:tcBorders>
          </w:tcPr>
          <w:p>
            <w:pPr>
              <w:spacing w:after="0"/>
              <w:rPr>
                <w:sz w:val="12"/>
                <w:szCs w:val="12"/>
                <w:color w:val="auto"/>
              </w:rPr>
            </w:pPr>
          </w:p>
        </w:tc>
        <w:tc>
          <w:tcPr>
            <w:tcW w:w="780" w:type="dxa"/>
            <w:vAlign w:val="bottom"/>
          </w:tcPr>
          <w:p>
            <w:pPr>
              <w:jc w:val="center"/>
              <w:spacing w:after="0" w:line="119" w:lineRule="exact"/>
              <w:rPr>
                <w:sz w:val="20"/>
                <w:szCs w:val="20"/>
                <w:color w:val="auto"/>
              </w:rPr>
            </w:pPr>
            <w:r>
              <w:rPr>
                <w:rFonts w:ascii="Arial" w:cs="Arial" w:eastAsia="Arial" w:hAnsi="Arial"/>
                <w:sz w:val="13"/>
                <w:szCs w:val="13"/>
                <w:b w:val="1"/>
                <w:bCs w:val="1"/>
                <w:color w:val="auto"/>
                <w:w w:val="89"/>
              </w:rPr>
              <w:t>Awards:</w:t>
            </w:r>
          </w:p>
        </w:tc>
        <w:tc>
          <w:tcPr>
            <w:tcW w:w="1060" w:type="dxa"/>
            <w:vAlign w:val="bottom"/>
          </w:tcPr>
          <w:p>
            <w:pPr>
              <w:jc w:val="center"/>
              <w:spacing w:after="0" w:line="119" w:lineRule="exact"/>
              <w:rPr>
                <w:sz w:val="20"/>
                <w:szCs w:val="20"/>
                <w:color w:val="auto"/>
              </w:rPr>
            </w:pPr>
            <w:r>
              <w:rPr>
                <w:rFonts w:ascii="Arial" w:cs="Arial" w:eastAsia="Arial" w:hAnsi="Arial"/>
                <w:sz w:val="13"/>
                <w:szCs w:val="13"/>
                <w:b w:val="1"/>
                <w:bCs w:val="1"/>
                <w:color w:val="auto"/>
                <w:w w:val="92"/>
              </w:rPr>
              <w:t>Grant date fair</w:t>
            </w:r>
          </w:p>
        </w:tc>
        <w:tc>
          <w:tcPr>
            <w:tcW w:w="0" w:type="dxa"/>
            <w:vAlign w:val="bottom"/>
          </w:tcPr>
          <w:p>
            <w:pPr>
              <w:spacing w:after="0"/>
              <w:rPr>
                <w:sz w:val="1"/>
                <w:szCs w:val="1"/>
                <w:color w:val="auto"/>
              </w:rPr>
            </w:pPr>
          </w:p>
        </w:tc>
      </w:tr>
      <w:tr>
        <w:trPr>
          <w:trHeight w:val="115"/>
        </w:trPr>
        <w:tc>
          <w:tcPr>
            <w:tcW w:w="3080" w:type="dxa"/>
            <w:vAlign w:val="bottom"/>
            <w:vMerge w:val="restart"/>
          </w:tcPr>
          <w:p>
            <w:pPr>
              <w:ind w:left="80"/>
              <w:spacing w:after="0"/>
              <w:rPr>
                <w:sz w:val="20"/>
                <w:szCs w:val="20"/>
                <w:color w:val="auto"/>
              </w:rPr>
            </w:pPr>
            <w:r>
              <w:rPr>
                <w:rFonts w:ascii="Arial" w:cs="Arial" w:eastAsia="Arial" w:hAnsi="Arial"/>
                <w:sz w:val="18"/>
                <w:szCs w:val="18"/>
                <w:b w:val="1"/>
                <w:bCs w:val="1"/>
                <w:color w:val="auto"/>
              </w:rPr>
              <w:t>Name</w:t>
            </w:r>
          </w:p>
        </w:tc>
        <w:tc>
          <w:tcPr>
            <w:tcW w:w="60" w:type="dxa"/>
            <w:vAlign w:val="bottom"/>
          </w:tcPr>
          <w:p>
            <w:pPr>
              <w:spacing w:after="0"/>
              <w:rPr>
                <w:sz w:val="10"/>
                <w:szCs w:val="10"/>
                <w:color w:val="auto"/>
              </w:rPr>
            </w:pPr>
          </w:p>
        </w:tc>
        <w:tc>
          <w:tcPr>
            <w:tcW w:w="720" w:type="dxa"/>
            <w:vAlign w:val="bottom"/>
          </w:tcPr>
          <w:p>
            <w:pPr>
              <w:spacing w:after="0"/>
              <w:rPr>
                <w:sz w:val="10"/>
                <w:szCs w:val="10"/>
                <w:color w:val="auto"/>
              </w:rPr>
            </w:pPr>
          </w:p>
        </w:tc>
        <w:tc>
          <w:tcPr>
            <w:tcW w:w="1960" w:type="dxa"/>
            <w:vAlign w:val="bottom"/>
          </w:tcPr>
          <w:p>
            <w:pPr>
              <w:spacing w:after="0"/>
              <w:rPr>
                <w:sz w:val="10"/>
                <w:szCs w:val="10"/>
                <w:color w:val="auto"/>
              </w:rPr>
            </w:pPr>
          </w:p>
        </w:tc>
        <w:tc>
          <w:tcPr>
            <w:tcW w:w="1020" w:type="dxa"/>
            <w:vAlign w:val="bottom"/>
          </w:tcPr>
          <w:p>
            <w:pPr>
              <w:spacing w:after="0"/>
              <w:rPr>
                <w:sz w:val="10"/>
                <w:szCs w:val="10"/>
                <w:color w:val="auto"/>
              </w:rPr>
            </w:pPr>
          </w:p>
        </w:tc>
        <w:tc>
          <w:tcPr>
            <w:tcW w:w="640" w:type="dxa"/>
            <w:vAlign w:val="bottom"/>
          </w:tcPr>
          <w:p>
            <w:pPr>
              <w:jc w:val="right"/>
              <w:spacing w:after="0" w:line="115" w:lineRule="exact"/>
              <w:rPr>
                <w:sz w:val="20"/>
                <w:szCs w:val="20"/>
                <w:color w:val="auto"/>
              </w:rPr>
            </w:pPr>
            <w:r>
              <w:rPr>
                <w:rFonts w:ascii="Arial" w:cs="Arial" w:eastAsia="Arial" w:hAnsi="Arial"/>
                <w:sz w:val="13"/>
                <w:szCs w:val="13"/>
                <w:b w:val="1"/>
                <w:bCs w:val="1"/>
                <w:color w:val="auto"/>
                <w:w w:val="92"/>
              </w:rPr>
              <w:t>Threshold</w:t>
            </w:r>
          </w:p>
        </w:tc>
        <w:tc>
          <w:tcPr>
            <w:tcW w:w="980" w:type="dxa"/>
            <w:vAlign w:val="bottom"/>
          </w:tcPr>
          <w:p>
            <w:pPr>
              <w:jc w:val="center"/>
              <w:spacing w:after="0" w:line="115" w:lineRule="exact"/>
              <w:rPr>
                <w:sz w:val="20"/>
                <w:szCs w:val="20"/>
                <w:color w:val="auto"/>
              </w:rPr>
            </w:pPr>
            <w:r>
              <w:rPr>
                <w:rFonts w:ascii="Arial" w:cs="Arial" w:eastAsia="Arial" w:hAnsi="Arial"/>
                <w:sz w:val="13"/>
                <w:szCs w:val="13"/>
                <w:b w:val="1"/>
                <w:bCs w:val="1"/>
                <w:color w:val="auto"/>
                <w:w w:val="90"/>
              </w:rPr>
              <w:t>Target</w:t>
            </w:r>
          </w:p>
        </w:tc>
        <w:tc>
          <w:tcPr>
            <w:tcW w:w="720" w:type="dxa"/>
            <w:vAlign w:val="bottom"/>
          </w:tcPr>
          <w:p>
            <w:pPr>
              <w:jc w:val="center"/>
              <w:ind w:right="78"/>
              <w:spacing w:after="0" w:line="115" w:lineRule="exact"/>
              <w:rPr>
                <w:sz w:val="20"/>
                <w:szCs w:val="20"/>
                <w:color w:val="auto"/>
              </w:rPr>
            </w:pPr>
            <w:r>
              <w:rPr>
                <w:rFonts w:ascii="Arial" w:cs="Arial" w:eastAsia="Arial" w:hAnsi="Arial"/>
                <w:sz w:val="13"/>
                <w:szCs w:val="13"/>
                <w:b w:val="1"/>
                <w:bCs w:val="1"/>
                <w:color w:val="auto"/>
                <w:w w:val="93"/>
              </w:rPr>
              <w:t>Maximum</w:t>
            </w:r>
          </w:p>
        </w:tc>
        <w:tc>
          <w:tcPr>
            <w:tcW w:w="780" w:type="dxa"/>
            <w:vAlign w:val="bottom"/>
          </w:tcPr>
          <w:p>
            <w:pPr>
              <w:jc w:val="center"/>
              <w:spacing w:after="0" w:line="115" w:lineRule="exact"/>
              <w:rPr>
                <w:sz w:val="20"/>
                <w:szCs w:val="20"/>
                <w:color w:val="auto"/>
              </w:rPr>
            </w:pPr>
            <w:r>
              <w:rPr>
                <w:rFonts w:ascii="Arial" w:cs="Arial" w:eastAsia="Arial" w:hAnsi="Arial"/>
                <w:sz w:val="13"/>
                <w:szCs w:val="13"/>
                <w:b w:val="1"/>
                <w:bCs w:val="1"/>
                <w:color w:val="auto"/>
                <w:w w:val="89"/>
              </w:rPr>
              <w:t>Number</w:t>
            </w:r>
          </w:p>
        </w:tc>
        <w:tc>
          <w:tcPr>
            <w:tcW w:w="1060" w:type="dxa"/>
            <w:vAlign w:val="bottom"/>
          </w:tcPr>
          <w:p>
            <w:pPr>
              <w:jc w:val="center"/>
              <w:spacing w:after="0" w:line="115" w:lineRule="exact"/>
              <w:rPr>
                <w:sz w:val="20"/>
                <w:szCs w:val="20"/>
                <w:color w:val="auto"/>
              </w:rPr>
            </w:pPr>
            <w:r>
              <w:rPr>
                <w:rFonts w:ascii="Arial" w:cs="Arial" w:eastAsia="Arial" w:hAnsi="Arial"/>
                <w:sz w:val="13"/>
                <w:szCs w:val="13"/>
                <w:b w:val="1"/>
                <w:bCs w:val="1"/>
                <w:color w:val="auto"/>
                <w:w w:val="85"/>
              </w:rPr>
              <w:t>value of stock</w:t>
            </w:r>
          </w:p>
        </w:tc>
        <w:tc>
          <w:tcPr>
            <w:tcW w:w="0" w:type="dxa"/>
            <w:vAlign w:val="bottom"/>
          </w:tcPr>
          <w:p>
            <w:pPr>
              <w:spacing w:after="0"/>
              <w:rPr>
                <w:sz w:val="1"/>
                <w:szCs w:val="1"/>
                <w:color w:val="auto"/>
              </w:rPr>
            </w:pPr>
          </w:p>
        </w:tc>
      </w:tr>
      <w:tr>
        <w:trPr>
          <w:trHeight w:val="162"/>
        </w:trPr>
        <w:tc>
          <w:tcPr>
            <w:tcW w:w="3080" w:type="dxa"/>
            <w:vAlign w:val="bottom"/>
            <w:tcBorders>
              <w:bottom w:val="single" w:sz="8" w:color="407CCA"/>
            </w:tcBorders>
            <w:vMerge w:val="continue"/>
          </w:tcPr>
          <w:p>
            <w:pPr>
              <w:spacing w:after="0"/>
              <w:rPr>
                <w:sz w:val="14"/>
                <w:szCs w:val="14"/>
                <w:color w:val="auto"/>
              </w:rPr>
            </w:pPr>
          </w:p>
        </w:tc>
        <w:tc>
          <w:tcPr>
            <w:tcW w:w="60" w:type="dxa"/>
            <w:vAlign w:val="bottom"/>
            <w:tcBorders>
              <w:bottom w:val="single" w:sz="8" w:color="407CCA"/>
            </w:tcBorders>
          </w:tcPr>
          <w:p>
            <w:pPr>
              <w:spacing w:after="0"/>
              <w:rPr>
                <w:sz w:val="14"/>
                <w:szCs w:val="14"/>
                <w:color w:val="auto"/>
              </w:rPr>
            </w:pPr>
          </w:p>
        </w:tc>
        <w:tc>
          <w:tcPr>
            <w:tcW w:w="720" w:type="dxa"/>
            <w:vAlign w:val="bottom"/>
            <w:tcBorders>
              <w:bottom w:val="single" w:sz="8" w:color="407CCA"/>
            </w:tcBorders>
          </w:tcPr>
          <w:p>
            <w:pPr>
              <w:spacing w:after="0"/>
              <w:rPr>
                <w:sz w:val="14"/>
                <w:szCs w:val="14"/>
                <w:color w:val="auto"/>
              </w:rPr>
            </w:pPr>
          </w:p>
        </w:tc>
        <w:tc>
          <w:tcPr>
            <w:tcW w:w="1960" w:type="dxa"/>
            <w:vAlign w:val="bottom"/>
            <w:tcBorders>
              <w:bottom w:val="single" w:sz="8" w:color="407CCA"/>
            </w:tcBorders>
          </w:tcPr>
          <w:p>
            <w:pPr>
              <w:ind w:left="300"/>
              <w:spacing w:after="0"/>
              <w:rPr>
                <w:sz w:val="20"/>
                <w:szCs w:val="20"/>
                <w:color w:val="auto"/>
              </w:rPr>
            </w:pPr>
            <w:r>
              <w:rPr>
                <w:rFonts w:ascii="Arial" w:cs="Arial" w:eastAsia="Arial" w:hAnsi="Arial"/>
                <w:sz w:val="13"/>
                <w:szCs w:val="13"/>
                <w:b w:val="1"/>
                <w:bCs w:val="1"/>
                <w:color w:val="auto"/>
              </w:rPr>
              <w:t>Award Type</w:t>
            </w:r>
            <w:r>
              <w:rPr>
                <w:rFonts w:ascii="Arial" w:cs="Arial" w:eastAsia="Arial" w:hAnsi="Arial"/>
                <w:sz w:val="10"/>
                <w:szCs w:val="10"/>
                <w:b w:val="1"/>
                <w:bCs w:val="1"/>
                <w:color w:val="auto"/>
              </w:rPr>
              <w:t>(1)</w:t>
            </w:r>
          </w:p>
        </w:tc>
        <w:tc>
          <w:tcPr>
            <w:tcW w:w="1020" w:type="dxa"/>
            <w:vAlign w:val="bottom"/>
            <w:tcBorders>
              <w:bottom w:val="single" w:sz="8" w:color="407CCA"/>
            </w:tcBorders>
          </w:tcPr>
          <w:p>
            <w:pPr>
              <w:jc w:val="right"/>
              <w:ind w:right="32"/>
              <w:spacing w:after="0"/>
              <w:rPr>
                <w:sz w:val="20"/>
                <w:szCs w:val="20"/>
                <w:color w:val="auto"/>
              </w:rPr>
            </w:pPr>
            <w:r>
              <w:rPr>
                <w:rFonts w:ascii="Arial" w:cs="Arial" w:eastAsia="Arial" w:hAnsi="Arial"/>
                <w:sz w:val="13"/>
                <w:szCs w:val="13"/>
                <w:b w:val="1"/>
                <w:bCs w:val="1"/>
                <w:color w:val="auto"/>
              </w:rPr>
              <w:t>Grant date</w:t>
            </w:r>
            <w:r>
              <w:rPr>
                <w:rFonts w:ascii="Arial" w:cs="Arial" w:eastAsia="Arial" w:hAnsi="Arial"/>
                <w:sz w:val="10"/>
                <w:szCs w:val="10"/>
                <w:b w:val="1"/>
                <w:bCs w:val="1"/>
                <w:color w:val="auto"/>
              </w:rPr>
              <w:t>(2)</w:t>
            </w:r>
          </w:p>
        </w:tc>
        <w:tc>
          <w:tcPr>
            <w:tcW w:w="640" w:type="dxa"/>
            <w:vAlign w:val="bottom"/>
            <w:tcBorders>
              <w:bottom w:val="single" w:sz="8" w:color="407CCA"/>
            </w:tcBorders>
          </w:tcPr>
          <w:p>
            <w:pPr>
              <w:jc w:val="right"/>
              <w:ind w:right="158"/>
              <w:spacing w:after="0"/>
              <w:rPr>
                <w:sz w:val="20"/>
                <w:szCs w:val="20"/>
                <w:color w:val="auto"/>
              </w:rPr>
            </w:pPr>
            <w:r>
              <w:rPr>
                <w:rFonts w:ascii="Arial" w:cs="Arial" w:eastAsia="Arial" w:hAnsi="Arial"/>
                <w:sz w:val="13"/>
                <w:szCs w:val="13"/>
                <w:b w:val="1"/>
                <w:bCs w:val="1"/>
                <w:color w:val="auto"/>
              </w:rPr>
              <w:t>(#)</w:t>
            </w:r>
          </w:p>
        </w:tc>
        <w:tc>
          <w:tcPr>
            <w:tcW w:w="980" w:type="dxa"/>
            <w:vAlign w:val="bottom"/>
            <w:tcBorders>
              <w:bottom w:val="single" w:sz="8" w:color="407CCA"/>
            </w:tcBorders>
          </w:tcPr>
          <w:p>
            <w:pPr>
              <w:jc w:val="right"/>
              <w:ind w:right="385"/>
              <w:spacing w:after="0"/>
              <w:rPr>
                <w:sz w:val="20"/>
                <w:szCs w:val="20"/>
                <w:color w:val="auto"/>
              </w:rPr>
            </w:pPr>
            <w:r>
              <w:rPr>
                <w:rFonts w:ascii="Arial" w:cs="Arial" w:eastAsia="Arial" w:hAnsi="Arial"/>
                <w:sz w:val="13"/>
                <w:szCs w:val="13"/>
                <w:b w:val="1"/>
                <w:bCs w:val="1"/>
                <w:color w:val="auto"/>
              </w:rPr>
              <w:t>(#)</w:t>
            </w:r>
          </w:p>
        </w:tc>
        <w:tc>
          <w:tcPr>
            <w:tcW w:w="720" w:type="dxa"/>
            <w:vAlign w:val="bottom"/>
            <w:tcBorders>
              <w:bottom w:val="single" w:sz="8" w:color="407CCA"/>
            </w:tcBorders>
          </w:tcPr>
          <w:p>
            <w:pPr>
              <w:jc w:val="right"/>
              <w:ind w:right="278"/>
              <w:spacing w:after="0"/>
              <w:rPr>
                <w:sz w:val="20"/>
                <w:szCs w:val="20"/>
                <w:color w:val="auto"/>
              </w:rPr>
            </w:pPr>
            <w:r>
              <w:rPr>
                <w:rFonts w:ascii="Arial" w:cs="Arial" w:eastAsia="Arial" w:hAnsi="Arial"/>
                <w:sz w:val="13"/>
                <w:szCs w:val="13"/>
                <w:b w:val="1"/>
                <w:bCs w:val="1"/>
                <w:color w:val="auto"/>
              </w:rPr>
              <w:t>(#)</w:t>
            </w:r>
          </w:p>
        </w:tc>
        <w:tc>
          <w:tcPr>
            <w:tcW w:w="780" w:type="dxa"/>
            <w:vAlign w:val="bottom"/>
            <w:tcBorders>
              <w:bottom w:val="single" w:sz="8" w:color="407CCA"/>
            </w:tcBorders>
          </w:tcPr>
          <w:p>
            <w:pPr>
              <w:jc w:val="center"/>
              <w:spacing w:after="0"/>
              <w:rPr>
                <w:sz w:val="20"/>
                <w:szCs w:val="20"/>
                <w:color w:val="auto"/>
              </w:rPr>
            </w:pPr>
            <w:r>
              <w:rPr>
                <w:rFonts w:ascii="Arial" w:cs="Arial" w:eastAsia="Arial" w:hAnsi="Arial"/>
                <w:sz w:val="13"/>
                <w:szCs w:val="13"/>
                <w:b w:val="1"/>
                <w:bCs w:val="1"/>
                <w:color w:val="auto"/>
                <w:w w:val="86"/>
              </w:rPr>
              <w:t>of Units</w:t>
            </w:r>
          </w:p>
        </w:tc>
        <w:tc>
          <w:tcPr>
            <w:tcW w:w="1060" w:type="dxa"/>
            <w:vAlign w:val="bottom"/>
            <w:tcBorders>
              <w:bottom w:val="single" w:sz="8" w:color="407CCA"/>
            </w:tcBorders>
          </w:tcPr>
          <w:p>
            <w:pPr>
              <w:jc w:val="center"/>
              <w:spacing w:after="0"/>
              <w:rPr>
                <w:sz w:val="20"/>
                <w:szCs w:val="20"/>
                <w:color w:val="auto"/>
              </w:rPr>
            </w:pPr>
            <w:r>
              <w:rPr>
                <w:rFonts w:ascii="Arial" w:cs="Arial" w:eastAsia="Arial" w:hAnsi="Arial"/>
                <w:sz w:val="13"/>
                <w:szCs w:val="13"/>
                <w:b w:val="1"/>
                <w:bCs w:val="1"/>
                <w:color w:val="auto"/>
                <w:w w:val="91"/>
              </w:rPr>
              <w:t>awards</w:t>
            </w:r>
            <w:r>
              <w:rPr>
                <w:rFonts w:ascii="Arial" w:cs="Arial" w:eastAsia="Arial" w:hAnsi="Arial"/>
                <w:sz w:val="10"/>
                <w:szCs w:val="10"/>
                <w:b w:val="1"/>
                <w:bCs w:val="1"/>
                <w:color w:val="auto"/>
                <w:w w:val="91"/>
              </w:rPr>
              <w:t>(4)</w:t>
            </w:r>
          </w:p>
        </w:tc>
        <w:tc>
          <w:tcPr>
            <w:tcW w:w="0" w:type="dxa"/>
            <w:vAlign w:val="bottom"/>
          </w:tcPr>
          <w:p>
            <w:pPr>
              <w:spacing w:after="0"/>
              <w:rPr>
                <w:sz w:val="1"/>
                <w:szCs w:val="1"/>
                <w:color w:val="auto"/>
              </w:rPr>
            </w:pPr>
          </w:p>
        </w:tc>
      </w:tr>
      <w:tr>
        <w:trPr>
          <w:trHeight w:val="209"/>
        </w:trPr>
        <w:tc>
          <w:tcPr>
            <w:tcW w:w="308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Gary D. Kain</w:t>
            </w:r>
          </w:p>
        </w:tc>
        <w:tc>
          <w:tcPr>
            <w:tcW w:w="60" w:type="dxa"/>
            <w:vAlign w:val="bottom"/>
            <w:shd w:val="clear" w:color="auto" w:fill="CCEEFF"/>
          </w:tcPr>
          <w:p>
            <w:pPr>
              <w:spacing w:after="0"/>
              <w:rPr>
                <w:sz w:val="18"/>
                <w:szCs w:val="18"/>
                <w:color w:val="auto"/>
              </w:rPr>
            </w:pPr>
          </w:p>
        </w:tc>
        <w:tc>
          <w:tcPr>
            <w:tcW w:w="2680" w:type="dxa"/>
            <w:vAlign w:val="bottom"/>
            <w:gridSpan w:val="2"/>
            <w:vMerge w:val="restart"/>
            <w:shd w:val="clear" w:color="auto" w:fill="CCEEFF"/>
          </w:tcPr>
          <w:p>
            <w:pPr>
              <w:spacing w:after="0"/>
              <w:rPr>
                <w:sz w:val="20"/>
                <w:szCs w:val="20"/>
                <w:color w:val="auto"/>
              </w:rPr>
            </w:pPr>
            <w:r>
              <w:rPr>
                <w:rFonts w:ascii="Arial" w:cs="Arial" w:eastAsia="Arial" w:hAnsi="Arial"/>
                <w:sz w:val="18"/>
                <w:szCs w:val="18"/>
                <w:color w:val="auto"/>
                <w:w w:val="98"/>
              </w:rPr>
              <w:t>AGNC Time-Based Vesting RSUs</w:t>
            </w:r>
          </w:p>
        </w:tc>
        <w:tc>
          <w:tcPr>
            <w:tcW w:w="1020" w:type="dxa"/>
            <w:vAlign w:val="bottom"/>
            <w:vMerge w:val="restart"/>
            <w:shd w:val="clear" w:color="auto" w:fill="CCEEFF"/>
          </w:tcPr>
          <w:p>
            <w:pPr>
              <w:jc w:val="right"/>
              <w:ind w:right="112"/>
              <w:spacing w:after="0"/>
              <w:rPr>
                <w:sz w:val="20"/>
                <w:szCs w:val="20"/>
                <w:color w:val="auto"/>
              </w:rPr>
            </w:pPr>
            <w:r>
              <w:rPr>
                <w:rFonts w:ascii="Arial" w:cs="Arial" w:eastAsia="Arial" w:hAnsi="Arial"/>
                <w:sz w:val="18"/>
                <w:szCs w:val="18"/>
                <w:color w:val="auto"/>
              </w:rPr>
              <w:t>3/1/19</w:t>
            </w:r>
          </w:p>
        </w:tc>
        <w:tc>
          <w:tcPr>
            <w:tcW w:w="64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780" w:type="dxa"/>
            <w:vAlign w:val="bottom"/>
            <w:vMerge w:val="restart"/>
            <w:shd w:val="clear" w:color="auto" w:fill="CCEEFF"/>
          </w:tcPr>
          <w:p>
            <w:pPr>
              <w:jc w:val="center"/>
              <w:spacing w:after="0"/>
              <w:rPr>
                <w:sz w:val="20"/>
                <w:szCs w:val="20"/>
                <w:color w:val="auto"/>
              </w:rPr>
            </w:pPr>
            <w:r>
              <w:rPr>
                <w:rFonts w:ascii="Arial" w:cs="Arial" w:eastAsia="Arial" w:hAnsi="Arial"/>
                <w:sz w:val="18"/>
                <w:szCs w:val="18"/>
                <w:color w:val="auto"/>
                <w:w w:val="92"/>
              </w:rPr>
              <w:t>153,758</w:t>
            </w:r>
          </w:p>
        </w:tc>
        <w:tc>
          <w:tcPr>
            <w:tcW w:w="1060" w:type="dxa"/>
            <w:vAlign w:val="bottom"/>
            <w:vMerge w:val="restart"/>
            <w:shd w:val="clear" w:color="auto" w:fill="CCEEFF"/>
          </w:tcPr>
          <w:p>
            <w:pPr>
              <w:jc w:val="center"/>
              <w:spacing w:after="0"/>
              <w:rPr>
                <w:sz w:val="20"/>
                <w:szCs w:val="20"/>
                <w:color w:val="auto"/>
              </w:rPr>
            </w:pPr>
            <w:r>
              <w:rPr>
                <w:rFonts w:ascii="Arial" w:cs="Arial" w:eastAsia="Arial" w:hAnsi="Arial"/>
                <w:sz w:val="18"/>
                <w:szCs w:val="18"/>
                <w:color w:val="auto"/>
                <w:w w:val="88"/>
              </w:rPr>
              <w:t>$2,700,000</w:t>
            </w:r>
          </w:p>
        </w:tc>
        <w:tc>
          <w:tcPr>
            <w:tcW w:w="0" w:type="dxa"/>
            <w:vAlign w:val="bottom"/>
          </w:tcPr>
          <w:p>
            <w:pPr>
              <w:spacing w:after="0"/>
              <w:rPr>
                <w:sz w:val="1"/>
                <w:szCs w:val="1"/>
                <w:color w:val="auto"/>
              </w:rPr>
            </w:pPr>
          </w:p>
        </w:tc>
      </w:tr>
      <w:tr>
        <w:trPr>
          <w:trHeight w:val="216"/>
        </w:trPr>
        <w:tc>
          <w:tcPr>
            <w:tcW w:w="308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2680" w:type="dxa"/>
            <w:vAlign w:val="bottom"/>
            <w:gridSpan w:val="2"/>
            <w:vMerge w:val="continue"/>
            <w:shd w:val="clear" w:color="auto" w:fill="CCEEFF"/>
          </w:tcPr>
          <w:p>
            <w:pPr>
              <w:spacing w:after="0"/>
              <w:rPr>
                <w:sz w:val="18"/>
                <w:szCs w:val="18"/>
                <w:color w:val="auto"/>
              </w:rPr>
            </w:pPr>
          </w:p>
        </w:tc>
        <w:tc>
          <w:tcPr>
            <w:tcW w:w="1020" w:type="dxa"/>
            <w:vAlign w:val="bottom"/>
            <w:vMerge w:val="continue"/>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780" w:type="dxa"/>
            <w:vAlign w:val="bottom"/>
            <w:vMerge w:val="continue"/>
            <w:shd w:val="clear" w:color="auto" w:fill="CCEEFF"/>
          </w:tcPr>
          <w:p>
            <w:pPr>
              <w:spacing w:after="0"/>
              <w:rPr>
                <w:sz w:val="18"/>
                <w:szCs w:val="18"/>
                <w:color w:val="auto"/>
              </w:rPr>
            </w:pPr>
          </w:p>
        </w:tc>
        <w:tc>
          <w:tcPr>
            <w:tcW w:w="1060" w:type="dxa"/>
            <w:vAlign w:val="bottom"/>
            <w:vMerge w:val="continue"/>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308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2680" w:type="dxa"/>
            <w:vAlign w:val="bottom"/>
            <w:gridSpan w:val="2"/>
            <w:shd w:val="clear" w:color="auto" w:fill="CCEEFF"/>
          </w:tcPr>
          <w:p>
            <w:pPr>
              <w:spacing w:after="0" w:line="201" w:lineRule="exact"/>
              <w:rPr>
                <w:sz w:val="20"/>
                <w:szCs w:val="20"/>
                <w:color w:val="auto"/>
              </w:rPr>
            </w:pPr>
            <w:r>
              <w:rPr>
                <w:rFonts w:ascii="Arial" w:cs="Arial" w:eastAsia="Arial" w:hAnsi="Arial"/>
                <w:sz w:val="18"/>
                <w:szCs w:val="18"/>
                <w:color w:val="auto"/>
              </w:rPr>
              <w:t>AGNC Performance-</w:t>
            </w:r>
          </w:p>
        </w:tc>
        <w:tc>
          <w:tcPr>
            <w:tcW w:w="102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98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78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3080" w:type="dxa"/>
            <w:vAlign w:val="bottom"/>
            <w:shd w:val="clear" w:color="auto" w:fill="CCEEFF"/>
          </w:tcPr>
          <w:p>
            <w:pPr>
              <w:spacing w:after="0"/>
              <w:rPr>
                <w:sz w:val="20"/>
                <w:szCs w:val="20"/>
                <w:color w:val="auto"/>
              </w:rPr>
            </w:pPr>
          </w:p>
        </w:tc>
        <w:tc>
          <w:tcPr>
            <w:tcW w:w="60" w:type="dxa"/>
            <w:vAlign w:val="bottom"/>
            <w:shd w:val="clear" w:color="auto" w:fill="CCEEFF"/>
          </w:tcPr>
          <w:p>
            <w:pPr>
              <w:spacing w:after="0"/>
              <w:rPr>
                <w:sz w:val="20"/>
                <w:szCs w:val="20"/>
                <w:color w:val="auto"/>
              </w:rPr>
            </w:pPr>
          </w:p>
        </w:tc>
        <w:tc>
          <w:tcPr>
            <w:tcW w:w="268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Based Vesting RSUs</w:t>
            </w:r>
          </w:p>
        </w:tc>
        <w:tc>
          <w:tcPr>
            <w:tcW w:w="1020" w:type="dxa"/>
            <w:vAlign w:val="bottom"/>
            <w:shd w:val="clear" w:color="auto" w:fill="CCEEFF"/>
          </w:tcPr>
          <w:p>
            <w:pPr>
              <w:jc w:val="right"/>
              <w:ind w:right="112"/>
              <w:spacing w:after="0"/>
              <w:rPr>
                <w:sz w:val="20"/>
                <w:szCs w:val="20"/>
                <w:color w:val="auto"/>
              </w:rPr>
            </w:pPr>
            <w:r>
              <w:rPr>
                <w:rFonts w:ascii="Arial" w:cs="Arial" w:eastAsia="Arial" w:hAnsi="Arial"/>
                <w:sz w:val="18"/>
                <w:szCs w:val="18"/>
                <w:color w:val="auto"/>
              </w:rPr>
              <w:t>3/1/19</w:t>
            </w:r>
          </w:p>
        </w:tc>
        <w:tc>
          <w:tcPr>
            <w:tcW w:w="640" w:type="dxa"/>
            <w:vAlign w:val="bottom"/>
            <w:shd w:val="clear" w:color="auto" w:fill="CCEEFF"/>
          </w:tcPr>
          <w:p>
            <w:pPr>
              <w:jc w:val="right"/>
              <w:ind w:right="78"/>
              <w:spacing w:after="0"/>
              <w:rPr>
                <w:sz w:val="20"/>
                <w:szCs w:val="20"/>
                <w:color w:val="auto"/>
              </w:rPr>
            </w:pPr>
            <w:r>
              <w:rPr>
                <w:rFonts w:ascii="Arial" w:cs="Arial" w:eastAsia="Arial" w:hAnsi="Arial"/>
                <w:sz w:val="18"/>
                <w:szCs w:val="18"/>
                <w:color w:val="auto"/>
              </w:rPr>
              <w:t>0</w:t>
            </w:r>
          </w:p>
        </w:tc>
        <w:tc>
          <w:tcPr>
            <w:tcW w:w="98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2"/>
              </w:rPr>
              <w:t>307,517</w:t>
            </w:r>
          </w:p>
        </w:tc>
        <w:tc>
          <w:tcPr>
            <w:tcW w:w="720" w:type="dxa"/>
            <w:vAlign w:val="bottom"/>
            <w:shd w:val="clear" w:color="auto" w:fill="CCEEFF"/>
          </w:tcPr>
          <w:p>
            <w:pPr>
              <w:jc w:val="center"/>
              <w:ind w:right="18"/>
              <w:spacing w:after="0"/>
              <w:rPr>
                <w:sz w:val="20"/>
                <w:szCs w:val="20"/>
                <w:color w:val="auto"/>
              </w:rPr>
            </w:pPr>
            <w:r>
              <w:rPr>
                <w:rFonts w:ascii="Arial" w:cs="Arial" w:eastAsia="Arial" w:hAnsi="Arial"/>
                <w:sz w:val="18"/>
                <w:szCs w:val="18"/>
                <w:color w:val="auto"/>
                <w:w w:val="89"/>
              </w:rPr>
              <w:t>615,034</w:t>
            </w:r>
          </w:p>
        </w:tc>
        <w:tc>
          <w:tcPr>
            <w:tcW w:w="780" w:type="dxa"/>
            <w:vAlign w:val="bottom"/>
            <w:shd w:val="clear" w:color="auto" w:fill="CCEEFF"/>
          </w:tcPr>
          <w:p>
            <w:pPr>
              <w:spacing w:after="0"/>
              <w:rPr>
                <w:sz w:val="20"/>
                <w:szCs w:val="20"/>
                <w:color w:val="auto"/>
              </w:rPr>
            </w:pPr>
          </w:p>
        </w:tc>
        <w:tc>
          <w:tcPr>
            <w:tcW w:w="106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8"/>
              </w:rPr>
              <w:t>$5,400,000</w:t>
            </w:r>
          </w:p>
        </w:tc>
        <w:tc>
          <w:tcPr>
            <w:tcW w:w="0" w:type="dxa"/>
            <w:vAlign w:val="bottom"/>
          </w:tcPr>
          <w:p>
            <w:pPr>
              <w:spacing w:after="0"/>
              <w:rPr>
                <w:sz w:val="1"/>
                <w:szCs w:val="1"/>
                <w:color w:val="auto"/>
              </w:rPr>
            </w:pPr>
          </w:p>
        </w:tc>
      </w:tr>
      <w:tr>
        <w:trPr>
          <w:trHeight w:val="283"/>
        </w:trPr>
        <w:tc>
          <w:tcPr>
            <w:tcW w:w="3080" w:type="dxa"/>
            <w:vAlign w:val="bottom"/>
          </w:tcPr>
          <w:p>
            <w:pPr>
              <w:ind w:left="80"/>
              <w:spacing w:after="0"/>
              <w:rPr>
                <w:sz w:val="20"/>
                <w:szCs w:val="20"/>
                <w:color w:val="auto"/>
              </w:rPr>
            </w:pPr>
            <w:r>
              <w:rPr>
                <w:rFonts w:ascii="Arial" w:cs="Arial" w:eastAsia="Arial" w:hAnsi="Arial"/>
                <w:sz w:val="18"/>
                <w:szCs w:val="18"/>
                <w:b w:val="1"/>
                <w:bCs w:val="1"/>
                <w:color w:val="auto"/>
              </w:rPr>
              <w:t>Peter J. Federico</w:t>
            </w:r>
          </w:p>
        </w:tc>
        <w:tc>
          <w:tcPr>
            <w:tcW w:w="2740" w:type="dxa"/>
            <w:vAlign w:val="bottom"/>
            <w:gridSpan w:val="3"/>
            <w:vMerge w:val="restart"/>
          </w:tcPr>
          <w:p>
            <w:pPr>
              <w:ind w:left="60"/>
              <w:spacing w:after="0"/>
              <w:rPr>
                <w:sz w:val="20"/>
                <w:szCs w:val="20"/>
                <w:color w:val="auto"/>
              </w:rPr>
            </w:pPr>
            <w:r>
              <w:rPr>
                <w:rFonts w:ascii="Arial" w:cs="Arial" w:eastAsia="Arial" w:hAnsi="Arial"/>
                <w:sz w:val="18"/>
                <w:szCs w:val="18"/>
                <w:color w:val="auto"/>
                <w:w w:val="98"/>
              </w:rPr>
              <w:t>AGNC Time-Based Vesting RSUs</w:t>
            </w:r>
          </w:p>
        </w:tc>
        <w:tc>
          <w:tcPr>
            <w:tcW w:w="1020" w:type="dxa"/>
            <w:vAlign w:val="bottom"/>
            <w:vMerge w:val="restart"/>
          </w:tcPr>
          <w:p>
            <w:pPr>
              <w:jc w:val="right"/>
              <w:ind w:right="112"/>
              <w:spacing w:after="0"/>
              <w:rPr>
                <w:sz w:val="20"/>
                <w:szCs w:val="20"/>
                <w:color w:val="auto"/>
              </w:rPr>
            </w:pPr>
            <w:r>
              <w:rPr>
                <w:rFonts w:ascii="Arial" w:cs="Arial" w:eastAsia="Arial" w:hAnsi="Arial"/>
                <w:sz w:val="18"/>
                <w:szCs w:val="18"/>
                <w:color w:val="auto"/>
              </w:rPr>
              <w:t>3/1/19</w:t>
            </w:r>
          </w:p>
        </w:tc>
        <w:tc>
          <w:tcPr>
            <w:tcW w:w="64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780" w:type="dxa"/>
            <w:vAlign w:val="bottom"/>
            <w:vMerge w:val="restart"/>
          </w:tcPr>
          <w:p>
            <w:pPr>
              <w:jc w:val="center"/>
              <w:spacing w:after="0"/>
              <w:rPr>
                <w:sz w:val="20"/>
                <w:szCs w:val="20"/>
                <w:color w:val="auto"/>
              </w:rPr>
            </w:pPr>
            <w:r>
              <w:rPr>
                <w:rFonts w:ascii="Arial" w:cs="Arial" w:eastAsia="Arial" w:hAnsi="Arial"/>
                <w:sz w:val="18"/>
                <w:szCs w:val="18"/>
                <w:color w:val="auto"/>
                <w:w w:val="87"/>
              </w:rPr>
              <w:t>51,252</w:t>
            </w:r>
          </w:p>
        </w:tc>
        <w:tc>
          <w:tcPr>
            <w:tcW w:w="1060" w:type="dxa"/>
            <w:vAlign w:val="bottom"/>
            <w:vMerge w:val="restart"/>
          </w:tcPr>
          <w:p>
            <w:pPr>
              <w:jc w:val="center"/>
              <w:spacing w:after="0"/>
              <w:rPr>
                <w:sz w:val="20"/>
                <w:szCs w:val="20"/>
                <w:color w:val="auto"/>
              </w:rPr>
            </w:pPr>
            <w:r>
              <w:rPr>
                <w:rFonts w:ascii="Arial" w:cs="Arial" w:eastAsia="Arial" w:hAnsi="Arial"/>
                <w:sz w:val="18"/>
                <w:szCs w:val="18"/>
                <w:color w:val="auto"/>
                <w:w w:val="90"/>
              </w:rPr>
              <w:t>$900,000</w:t>
            </w:r>
          </w:p>
        </w:tc>
        <w:tc>
          <w:tcPr>
            <w:tcW w:w="0" w:type="dxa"/>
            <w:vAlign w:val="bottom"/>
          </w:tcPr>
          <w:p>
            <w:pPr>
              <w:spacing w:after="0"/>
              <w:rPr>
                <w:sz w:val="1"/>
                <w:szCs w:val="1"/>
                <w:color w:val="auto"/>
              </w:rPr>
            </w:pPr>
          </w:p>
        </w:tc>
      </w:tr>
      <w:tr>
        <w:trPr>
          <w:trHeight w:val="202"/>
        </w:trPr>
        <w:tc>
          <w:tcPr>
            <w:tcW w:w="3080" w:type="dxa"/>
            <w:vAlign w:val="bottom"/>
          </w:tcPr>
          <w:p>
            <w:pPr>
              <w:spacing w:after="0"/>
              <w:rPr>
                <w:sz w:val="17"/>
                <w:szCs w:val="17"/>
                <w:color w:val="auto"/>
              </w:rPr>
            </w:pPr>
          </w:p>
        </w:tc>
        <w:tc>
          <w:tcPr>
            <w:tcW w:w="2740" w:type="dxa"/>
            <w:vAlign w:val="bottom"/>
            <w:gridSpan w:val="3"/>
            <w:vMerge w:val="continue"/>
          </w:tcPr>
          <w:p>
            <w:pPr>
              <w:spacing w:after="0"/>
              <w:rPr>
                <w:sz w:val="17"/>
                <w:szCs w:val="17"/>
                <w:color w:val="auto"/>
              </w:rPr>
            </w:pPr>
          </w:p>
        </w:tc>
        <w:tc>
          <w:tcPr>
            <w:tcW w:w="1020" w:type="dxa"/>
            <w:vAlign w:val="bottom"/>
            <w:vMerge w:val="continue"/>
          </w:tcPr>
          <w:p>
            <w:pPr>
              <w:spacing w:after="0"/>
              <w:rPr>
                <w:sz w:val="17"/>
                <w:szCs w:val="17"/>
                <w:color w:val="auto"/>
              </w:rPr>
            </w:pPr>
          </w:p>
        </w:tc>
        <w:tc>
          <w:tcPr>
            <w:tcW w:w="640" w:type="dxa"/>
            <w:vAlign w:val="bottom"/>
          </w:tcPr>
          <w:p>
            <w:pPr>
              <w:spacing w:after="0"/>
              <w:rPr>
                <w:sz w:val="17"/>
                <w:szCs w:val="17"/>
                <w:color w:val="auto"/>
              </w:rPr>
            </w:pPr>
          </w:p>
        </w:tc>
        <w:tc>
          <w:tcPr>
            <w:tcW w:w="98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780" w:type="dxa"/>
            <w:vAlign w:val="bottom"/>
            <w:vMerge w:val="continue"/>
          </w:tcPr>
          <w:p>
            <w:pPr>
              <w:spacing w:after="0"/>
              <w:rPr>
                <w:sz w:val="17"/>
                <w:szCs w:val="17"/>
                <w:color w:val="auto"/>
              </w:rPr>
            </w:pPr>
          </w:p>
        </w:tc>
        <w:tc>
          <w:tcPr>
            <w:tcW w:w="1060" w:type="dxa"/>
            <w:vAlign w:val="bottom"/>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3080" w:type="dxa"/>
            <w:vAlign w:val="bottom"/>
          </w:tcPr>
          <w:p>
            <w:pPr>
              <w:spacing w:after="0"/>
              <w:rPr>
                <w:sz w:val="18"/>
                <w:szCs w:val="18"/>
                <w:color w:val="auto"/>
              </w:rPr>
            </w:pPr>
          </w:p>
        </w:tc>
        <w:tc>
          <w:tcPr>
            <w:tcW w:w="2740" w:type="dxa"/>
            <w:vAlign w:val="bottom"/>
            <w:gridSpan w:val="3"/>
          </w:tcPr>
          <w:p>
            <w:pPr>
              <w:ind w:left="60"/>
              <w:spacing w:after="0"/>
              <w:rPr>
                <w:sz w:val="20"/>
                <w:szCs w:val="20"/>
                <w:color w:val="auto"/>
              </w:rPr>
            </w:pPr>
            <w:r>
              <w:rPr>
                <w:rFonts w:ascii="Arial" w:cs="Arial" w:eastAsia="Arial" w:hAnsi="Arial"/>
                <w:sz w:val="18"/>
                <w:szCs w:val="18"/>
                <w:color w:val="auto"/>
              </w:rPr>
              <w:t>AGNC Performance-</w:t>
            </w:r>
          </w:p>
        </w:tc>
        <w:tc>
          <w:tcPr>
            <w:tcW w:w="102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0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308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2680" w:type="dxa"/>
            <w:vAlign w:val="bottom"/>
            <w:gridSpan w:val="2"/>
          </w:tcPr>
          <w:p>
            <w:pPr>
              <w:ind w:left="180"/>
              <w:spacing w:after="0"/>
              <w:rPr>
                <w:sz w:val="20"/>
                <w:szCs w:val="20"/>
                <w:color w:val="auto"/>
              </w:rPr>
            </w:pPr>
            <w:r>
              <w:rPr>
                <w:rFonts w:ascii="Arial" w:cs="Arial" w:eastAsia="Arial" w:hAnsi="Arial"/>
                <w:sz w:val="18"/>
                <w:szCs w:val="18"/>
                <w:color w:val="auto"/>
              </w:rPr>
              <w:t>Based Vesting RSUs</w:t>
            </w:r>
          </w:p>
        </w:tc>
        <w:tc>
          <w:tcPr>
            <w:tcW w:w="1020" w:type="dxa"/>
            <w:vAlign w:val="bottom"/>
          </w:tcPr>
          <w:p>
            <w:pPr>
              <w:jc w:val="right"/>
              <w:ind w:right="112"/>
              <w:spacing w:after="0"/>
              <w:rPr>
                <w:sz w:val="20"/>
                <w:szCs w:val="20"/>
                <w:color w:val="auto"/>
              </w:rPr>
            </w:pPr>
            <w:r>
              <w:rPr>
                <w:rFonts w:ascii="Arial" w:cs="Arial" w:eastAsia="Arial" w:hAnsi="Arial"/>
                <w:sz w:val="18"/>
                <w:szCs w:val="18"/>
                <w:color w:val="auto"/>
              </w:rPr>
              <w:t>3/1/19</w:t>
            </w:r>
          </w:p>
        </w:tc>
        <w:tc>
          <w:tcPr>
            <w:tcW w:w="640" w:type="dxa"/>
            <w:vAlign w:val="bottom"/>
          </w:tcPr>
          <w:p>
            <w:pPr>
              <w:jc w:val="right"/>
              <w:ind w:right="78"/>
              <w:spacing w:after="0"/>
              <w:rPr>
                <w:sz w:val="20"/>
                <w:szCs w:val="20"/>
                <w:color w:val="auto"/>
              </w:rPr>
            </w:pPr>
            <w:r>
              <w:rPr>
                <w:rFonts w:ascii="Arial" w:cs="Arial" w:eastAsia="Arial" w:hAnsi="Arial"/>
                <w:sz w:val="18"/>
                <w:szCs w:val="18"/>
                <w:color w:val="auto"/>
              </w:rPr>
              <w:t>0</w:t>
            </w:r>
          </w:p>
        </w:tc>
        <w:tc>
          <w:tcPr>
            <w:tcW w:w="980" w:type="dxa"/>
            <w:vAlign w:val="bottom"/>
          </w:tcPr>
          <w:p>
            <w:pPr>
              <w:jc w:val="center"/>
              <w:spacing w:after="0"/>
              <w:rPr>
                <w:sz w:val="20"/>
                <w:szCs w:val="20"/>
                <w:color w:val="auto"/>
              </w:rPr>
            </w:pPr>
            <w:r>
              <w:rPr>
                <w:rFonts w:ascii="Arial" w:cs="Arial" w:eastAsia="Arial" w:hAnsi="Arial"/>
                <w:sz w:val="18"/>
                <w:szCs w:val="18"/>
                <w:color w:val="auto"/>
                <w:w w:val="87"/>
              </w:rPr>
              <w:t>51,252</w:t>
            </w:r>
          </w:p>
        </w:tc>
        <w:tc>
          <w:tcPr>
            <w:tcW w:w="720" w:type="dxa"/>
            <w:vAlign w:val="bottom"/>
          </w:tcPr>
          <w:p>
            <w:pPr>
              <w:jc w:val="center"/>
              <w:ind w:right="18"/>
              <w:spacing w:after="0"/>
              <w:rPr>
                <w:sz w:val="20"/>
                <w:szCs w:val="20"/>
                <w:color w:val="auto"/>
              </w:rPr>
            </w:pPr>
            <w:r>
              <w:rPr>
                <w:rFonts w:ascii="Arial" w:cs="Arial" w:eastAsia="Arial" w:hAnsi="Arial"/>
                <w:sz w:val="18"/>
                <w:szCs w:val="18"/>
                <w:color w:val="auto"/>
                <w:w w:val="89"/>
              </w:rPr>
              <w:t>102,504</w:t>
            </w:r>
          </w:p>
        </w:tc>
        <w:tc>
          <w:tcPr>
            <w:tcW w:w="780" w:type="dxa"/>
            <w:vAlign w:val="bottom"/>
          </w:tcPr>
          <w:p>
            <w:pPr>
              <w:spacing w:after="0"/>
              <w:rPr>
                <w:sz w:val="20"/>
                <w:szCs w:val="20"/>
                <w:color w:val="auto"/>
              </w:rPr>
            </w:pPr>
          </w:p>
        </w:tc>
        <w:tc>
          <w:tcPr>
            <w:tcW w:w="1060" w:type="dxa"/>
            <w:vAlign w:val="bottom"/>
          </w:tcPr>
          <w:p>
            <w:pPr>
              <w:jc w:val="center"/>
              <w:spacing w:after="0"/>
              <w:rPr>
                <w:sz w:val="20"/>
                <w:szCs w:val="20"/>
                <w:color w:val="auto"/>
              </w:rPr>
            </w:pPr>
            <w:r>
              <w:rPr>
                <w:rFonts w:ascii="Arial" w:cs="Arial" w:eastAsia="Arial" w:hAnsi="Arial"/>
                <w:sz w:val="18"/>
                <w:szCs w:val="18"/>
                <w:color w:val="auto"/>
                <w:w w:val="90"/>
              </w:rPr>
              <w:t>$900,000</w:t>
            </w:r>
          </w:p>
        </w:tc>
        <w:tc>
          <w:tcPr>
            <w:tcW w:w="0" w:type="dxa"/>
            <w:vAlign w:val="bottom"/>
          </w:tcPr>
          <w:p>
            <w:pPr>
              <w:spacing w:after="0"/>
              <w:rPr>
                <w:sz w:val="1"/>
                <w:szCs w:val="1"/>
                <w:color w:val="auto"/>
              </w:rPr>
            </w:pPr>
          </w:p>
        </w:tc>
      </w:tr>
      <w:tr>
        <w:trPr>
          <w:trHeight w:val="216"/>
        </w:trPr>
        <w:tc>
          <w:tcPr>
            <w:tcW w:w="308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Christopher J. Kuehl</w:t>
            </w:r>
          </w:p>
        </w:tc>
        <w:tc>
          <w:tcPr>
            <w:tcW w:w="6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960" w:type="dxa"/>
            <w:vAlign w:val="bottom"/>
            <w:shd w:val="clear" w:color="auto" w:fill="CCEEFF"/>
          </w:tcPr>
          <w:p>
            <w:pPr>
              <w:spacing w:after="0"/>
              <w:rPr>
                <w:sz w:val="18"/>
                <w:szCs w:val="18"/>
                <w:color w:val="auto"/>
              </w:rPr>
            </w:pPr>
          </w:p>
        </w:tc>
        <w:tc>
          <w:tcPr>
            <w:tcW w:w="1020" w:type="dxa"/>
            <w:vAlign w:val="bottom"/>
            <w:vMerge w:val="restart"/>
            <w:shd w:val="clear" w:color="auto" w:fill="CCEEFF"/>
          </w:tcPr>
          <w:p>
            <w:pPr>
              <w:jc w:val="right"/>
              <w:ind w:right="112"/>
              <w:spacing w:after="0"/>
              <w:rPr>
                <w:sz w:val="20"/>
                <w:szCs w:val="20"/>
                <w:color w:val="auto"/>
              </w:rPr>
            </w:pPr>
            <w:r>
              <w:rPr>
                <w:rFonts w:ascii="Arial" w:cs="Arial" w:eastAsia="Arial" w:hAnsi="Arial"/>
                <w:sz w:val="18"/>
                <w:szCs w:val="18"/>
                <w:color w:val="auto"/>
              </w:rPr>
              <w:t>3/1/19</w:t>
            </w:r>
          </w:p>
        </w:tc>
        <w:tc>
          <w:tcPr>
            <w:tcW w:w="64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780" w:type="dxa"/>
            <w:vAlign w:val="bottom"/>
            <w:vMerge w:val="restart"/>
            <w:shd w:val="clear" w:color="auto" w:fill="CCEEFF"/>
          </w:tcPr>
          <w:p>
            <w:pPr>
              <w:jc w:val="center"/>
              <w:spacing w:after="0"/>
              <w:rPr>
                <w:sz w:val="20"/>
                <w:szCs w:val="20"/>
                <w:color w:val="auto"/>
              </w:rPr>
            </w:pPr>
            <w:r>
              <w:rPr>
                <w:rFonts w:ascii="Arial" w:cs="Arial" w:eastAsia="Arial" w:hAnsi="Arial"/>
                <w:sz w:val="18"/>
                <w:szCs w:val="18"/>
                <w:color w:val="auto"/>
                <w:w w:val="87"/>
              </w:rPr>
              <w:t>39,863</w:t>
            </w:r>
          </w:p>
        </w:tc>
        <w:tc>
          <w:tcPr>
            <w:tcW w:w="1060" w:type="dxa"/>
            <w:vAlign w:val="bottom"/>
            <w:vMerge w:val="restart"/>
            <w:shd w:val="clear" w:color="auto" w:fill="CCEEFF"/>
          </w:tcPr>
          <w:p>
            <w:pPr>
              <w:jc w:val="center"/>
              <w:spacing w:after="0"/>
              <w:rPr>
                <w:sz w:val="20"/>
                <w:szCs w:val="20"/>
                <w:color w:val="auto"/>
              </w:rPr>
            </w:pPr>
            <w:r>
              <w:rPr>
                <w:rFonts w:ascii="Arial" w:cs="Arial" w:eastAsia="Arial" w:hAnsi="Arial"/>
                <w:sz w:val="18"/>
                <w:szCs w:val="18"/>
                <w:color w:val="auto"/>
                <w:w w:val="90"/>
              </w:rPr>
              <w:t>$700,000</w:t>
            </w:r>
          </w:p>
        </w:tc>
        <w:tc>
          <w:tcPr>
            <w:tcW w:w="0" w:type="dxa"/>
            <w:vAlign w:val="bottom"/>
          </w:tcPr>
          <w:p>
            <w:pPr>
              <w:spacing w:after="0"/>
              <w:rPr>
                <w:sz w:val="1"/>
                <w:szCs w:val="1"/>
                <w:color w:val="auto"/>
              </w:rPr>
            </w:pPr>
          </w:p>
        </w:tc>
      </w:tr>
      <w:tr>
        <w:trPr>
          <w:trHeight w:val="216"/>
        </w:trPr>
        <w:tc>
          <w:tcPr>
            <w:tcW w:w="308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2680" w:type="dxa"/>
            <w:vAlign w:val="bottom"/>
            <w:gridSpan w:val="2"/>
            <w:shd w:val="clear" w:color="auto" w:fill="CCEEFF"/>
          </w:tcPr>
          <w:p>
            <w:pPr>
              <w:spacing w:after="0"/>
              <w:rPr>
                <w:sz w:val="20"/>
                <w:szCs w:val="20"/>
                <w:color w:val="auto"/>
              </w:rPr>
            </w:pPr>
            <w:r>
              <w:rPr>
                <w:rFonts w:ascii="Arial" w:cs="Arial" w:eastAsia="Arial" w:hAnsi="Arial"/>
                <w:sz w:val="18"/>
                <w:szCs w:val="18"/>
                <w:color w:val="auto"/>
                <w:w w:val="98"/>
              </w:rPr>
              <w:t>AGNC Time-Based Vesting RSUs</w:t>
            </w:r>
          </w:p>
        </w:tc>
        <w:tc>
          <w:tcPr>
            <w:tcW w:w="1020" w:type="dxa"/>
            <w:vAlign w:val="bottom"/>
            <w:vMerge w:val="continue"/>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780" w:type="dxa"/>
            <w:vAlign w:val="bottom"/>
            <w:vMerge w:val="continue"/>
            <w:shd w:val="clear" w:color="auto" w:fill="CCEEFF"/>
          </w:tcPr>
          <w:p>
            <w:pPr>
              <w:spacing w:after="0"/>
              <w:rPr>
                <w:sz w:val="18"/>
                <w:szCs w:val="18"/>
                <w:color w:val="auto"/>
              </w:rPr>
            </w:pPr>
          </w:p>
        </w:tc>
        <w:tc>
          <w:tcPr>
            <w:tcW w:w="1060" w:type="dxa"/>
            <w:vAlign w:val="bottom"/>
            <w:vMerge w:val="continue"/>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308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2680" w:type="dxa"/>
            <w:vAlign w:val="bottom"/>
            <w:gridSpan w:val="2"/>
            <w:shd w:val="clear" w:color="auto" w:fill="CCEEFF"/>
          </w:tcPr>
          <w:p>
            <w:pPr>
              <w:spacing w:after="0" w:line="201" w:lineRule="exact"/>
              <w:rPr>
                <w:sz w:val="20"/>
                <w:szCs w:val="20"/>
                <w:color w:val="auto"/>
              </w:rPr>
            </w:pPr>
            <w:r>
              <w:rPr>
                <w:rFonts w:ascii="Arial" w:cs="Arial" w:eastAsia="Arial" w:hAnsi="Arial"/>
                <w:sz w:val="18"/>
                <w:szCs w:val="18"/>
                <w:color w:val="auto"/>
              </w:rPr>
              <w:t>AGNC Performance-</w:t>
            </w:r>
          </w:p>
        </w:tc>
        <w:tc>
          <w:tcPr>
            <w:tcW w:w="102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98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78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3080" w:type="dxa"/>
            <w:vAlign w:val="bottom"/>
            <w:shd w:val="clear" w:color="auto" w:fill="CCEEFF"/>
          </w:tcPr>
          <w:p>
            <w:pPr>
              <w:spacing w:after="0"/>
              <w:rPr>
                <w:sz w:val="20"/>
                <w:szCs w:val="20"/>
                <w:color w:val="auto"/>
              </w:rPr>
            </w:pPr>
          </w:p>
        </w:tc>
        <w:tc>
          <w:tcPr>
            <w:tcW w:w="60" w:type="dxa"/>
            <w:vAlign w:val="bottom"/>
            <w:shd w:val="clear" w:color="auto" w:fill="CCEEFF"/>
          </w:tcPr>
          <w:p>
            <w:pPr>
              <w:spacing w:after="0"/>
              <w:rPr>
                <w:sz w:val="20"/>
                <w:szCs w:val="20"/>
                <w:color w:val="auto"/>
              </w:rPr>
            </w:pPr>
          </w:p>
        </w:tc>
        <w:tc>
          <w:tcPr>
            <w:tcW w:w="268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Based Vesting RSUs</w:t>
            </w:r>
          </w:p>
        </w:tc>
        <w:tc>
          <w:tcPr>
            <w:tcW w:w="1020" w:type="dxa"/>
            <w:vAlign w:val="bottom"/>
            <w:shd w:val="clear" w:color="auto" w:fill="CCEEFF"/>
          </w:tcPr>
          <w:p>
            <w:pPr>
              <w:jc w:val="right"/>
              <w:ind w:right="112"/>
              <w:spacing w:after="0"/>
              <w:rPr>
                <w:sz w:val="20"/>
                <w:szCs w:val="20"/>
                <w:color w:val="auto"/>
              </w:rPr>
            </w:pPr>
            <w:r>
              <w:rPr>
                <w:rFonts w:ascii="Arial" w:cs="Arial" w:eastAsia="Arial" w:hAnsi="Arial"/>
                <w:sz w:val="18"/>
                <w:szCs w:val="18"/>
                <w:color w:val="auto"/>
              </w:rPr>
              <w:t>3/1/19</w:t>
            </w:r>
          </w:p>
        </w:tc>
        <w:tc>
          <w:tcPr>
            <w:tcW w:w="640" w:type="dxa"/>
            <w:vAlign w:val="bottom"/>
            <w:shd w:val="clear" w:color="auto" w:fill="CCEEFF"/>
          </w:tcPr>
          <w:p>
            <w:pPr>
              <w:jc w:val="right"/>
              <w:ind w:right="78"/>
              <w:spacing w:after="0"/>
              <w:rPr>
                <w:sz w:val="20"/>
                <w:szCs w:val="20"/>
                <w:color w:val="auto"/>
              </w:rPr>
            </w:pPr>
            <w:r>
              <w:rPr>
                <w:rFonts w:ascii="Arial" w:cs="Arial" w:eastAsia="Arial" w:hAnsi="Arial"/>
                <w:sz w:val="18"/>
                <w:szCs w:val="18"/>
                <w:color w:val="auto"/>
              </w:rPr>
              <w:t>0</w:t>
            </w:r>
          </w:p>
        </w:tc>
        <w:tc>
          <w:tcPr>
            <w:tcW w:w="98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39,863</w:t>
            </w:r>
          </w:p>
        </w:tc>
        <w:tc>
          <w:tcPr>
            <w:tcW w:w="720" w:type="dxa"/>
            <w:vAlign w:val="bottom"/>
            <w:shd w:val="clear" w:color="auto" w:fill="CCEEFF"/>
          </w:tcPr>
          <w:p>
            <w:pPr>
              <w:jc w:val="center"/>
              <w:ind w:right="18"/>
              <w:spacing w:after="0"/>
              <w:rPr>
                <w:sz w:val="20"/>
                <w:szCs w:val="20"/>
                <w:color w:val="auto"/>
              </w:rPr>
            </w:pPr>
            <w:r>
              <w:rPr>
                <w:rFonts w:ascii="Arial" w:cs="Arial" w:eastAsia="Arial" w:hAnsi="Arial"/>
                <w:sz w:val="18"/>
                <w:szCs w:val="18"/>
                <w:color w:val="auto"/>
                <w:w w:val="90"/>
              </w:rPr>
              <w:t>79,726</w:t>
            </w:r>
          </w:p>
        </w:tc>
        <w:tc>
          <w:tcPr>
            <w:tcW w:w="780" w:type="dxa"/>
            <w:vAlign w:val="bottom"/>
            <w:shd w:val="clear" w:color="auto" w:fill="CCEEFF"/>
          </w:tcPr>
          <w:p>
            <w:pPr>
              <w:spacing w:after="0"/>
              <w:rPr>
                <w:sz w:val="20"/>
                <w:szCs w:val="20"/>
                <w:color w:val="auto"/>
              </w:rPr>
            </w:pPr>
          </w:p>
        </w:tc>
        <w:tc>
          <w:tcPr>
            <w:tcW w:w="106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0"/>
              </w:rPr>
              <w:t>$700,000</w:t>
            </w:r>
          </w:p>
        </w:tc>
        <w:tc>
          <w:tcPr>
            <w:tcW w:w="0" w:type="dxa"/>
            <w:vAlign w:val="bottom"/>
          </w:tcPr>
          <w:p>
            <w:pPr>
              <w:spacing w:after="0"/>
              <w:rPr>
                <w:sz w:val="1"/>
                <w:szCs w:val="1"/>
                <w:color w:val="auto"/>
              </w:rPr>
            </w:pPr>
          </w:p>
        </w:tc>
      </w:tr>
      <w:tr>
        <w:trPr>
          <w:trHeight w:val="234"/>
        </w:trPr>
        <w:tc>
          <w:tcPr>
            <w:tcW w:w="3080" w:type="dxa"/>
            <w:vAlign w:val="bottom"/>
          </w:tcPr>
          <w:p>
            <w:pPr>
              <w:ind w:left="80"/>
              <w:spacing w:after="0"/>
              <w:rPr>
                <w:sz w:val="20"/>
                <w:szCs w:val="20"/>
                <w:color w:val="auto"/>
              </w:rPr>
            </w:pPr>
            <w:r>
              <w:rPr>
                <w:rFonts w:ascii="Arial" w:cs="Arial" w:eastAsia="Arial" w:hAnsi="Arial"/>
                <w:sz w:val="18"/>
                <w:szCs w:val="18"/>
                <w:b w:val="1"/>
                <w:bCs w:val="1"/>
                <w:color w:val="auto"/>
              </w:rPr>
              <w:t>Aaron J. Pas</w:t>
            </w:r>
          </w:p>
        </w:tc>
        <w:tc>
          <w:tcPr>
            <w:tcW w:w="2740" w:type="dxa"/>
            <w:vAlign w:val="bottom"/>
            <w:gridSpan w:val="3"/>
            <w:vMerge w:val="restart"/>
          </w:tcPr>
          <w:p>
            <w:pPr>
              <w:ind w:left="60"/>
              <w:spacing w:after="0"/>
              <w:rPr>
                <w:sz w:val="20"/>
                <w:szCs w:val="20"/>
                <w:color w:val="auto"/>
              </w:rPr>
            </w:pPr>
            <w:r>
              <w:rPr>
                <w:rFonts w:ascii="Arial" w:cs="Arial" w:eastAsia="Arial" w:hAnsi="Arial"/>
                <w:sz w:val="18"/>
                <w:szCs w:val="18"/>
                <w:color w:val="auto"/>
                <w:w w:val="98"/>
              </w:rPr>
              <w:t>AGNC Time-Based Vesting RSUs</w:t>
            </w:r>
          </w:p>
        </w:tc>
        <w:tc>
          <w:tcPr>
            <w:tcW w:w="1020" w:type="dxa"/>
            <w:vAlign w:val="bottom"/>
            <w:vMerge w:val="restart"/>
          </w:tcPr>
          <w:p>
            <w:pPr>
              <w:jc w:val="right"/>
              <w:ind w:right="112"/>
              <w:spacing w:after="0"/>
              <w:rPr>
                <w:sz w:val="20"/>
                <w:szCs w:val="20"/>
                <w:color w:val="auto"/>
              </w:rPr>
            </w:pPr>
            <w:r>
              <w:rPr>
                <w:rFonts w:ascii="Arial" w:cs="Arial" w:eastAsia="Arial" w:hAnsi="Arial"/>
                <w:sz w:val="18"/>
                <w:szCs w:val="18"/>
                <w:color w:val="auto"/>
              </w:rPr>
              <w:t>3/1/19</w:t>
            </w:r>
          </w:p>
        </w:tc>
        <w:tc>
          <w:tcPr>
            <w:tcW w:w="640" w:type="dxa"/>
            <w:vAlign w:val="bottom"/>
          </w:tcPr>
          <w:p>
            <w:pPr>
              <w:spacing w:after="0"/>
              <w:rPr>
                <w:sz w:val="20"/>
                <w:szCs w:val="20"/>
                <w:color w:val="auto"/>
              </w:rPr>
            </w:pPr>
          </w:p>
        </w:tc>
        <w:tc>
          <w:tcPr>
            <w:tcW w:w="98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780" w:type="dxa"/>
            <w:vAlign w:val="bottom"/>
            <w:vMerge w:val="restart"/>
          </w:tcPr>
          <w:p>
            <w:pPr>
              <w:jc w:val="center"/>
              <w:spacing w:after="0"/>
              <w:rPr>
                <w:sz w:val="20"/>
                <w:szCs w:val="20"/>
                <w:color w:val="auto"/>
              </w:rPr>
            </w:pPr>
            <w:r>
              <w:rPr>
                <w:rFonts w:ascii="Arial" w:cs="Arial" w:eastAsia="Arial" w:hAnsi="Arial"/>
                <w:sz w:val="18"/>
                <w:szCs w:val="18"/>
                <w:color w:val="auto"/>
                <w:w w:val="87"/>
              </w:rPr>
              <w:t>21,355</w:t>
            </w:r>
          </w:p>
        </w:tc>
        <w:tc>
          <w:tcPr>
            <w:tcW w:w="1060" w:type="dxa"/>
            <w:vAlign w:val="bottom"/>
            <w:vMerge w:val="restart"/>
          </w:tcPr>
          <w:p>
            <w:pPr>
              <w:jc w:val="center"/>
              <w:spacing w:after="0"/>
              <w:rPr>
                <w:sz w:val="20"/>
                <w:szCs w:val="20"/>
                <w:color w:val="auto"/>
              </w:rPr>
            </w:pPr>
            <w:r>
              <w:rPr>
                <w:rFonts w:ascii="Arial" w:cs="Arial" w:eastAsia="Arial" w:hAnsi="Arial"/>
                <w:sz w:val="18"/>
                <w:szCs w:val="18"/>
                <w:color w:val="auto"/>
                <w:w w:val="90"/>
              </w:rPr>
              <w:t>$375,000</w:t>
            </w:r>
          </w:p>
        </w:tc>
        <w:tc>
          <w:tcPr>
            <w:tcW w:w="0" w:type="dxa"/>
            <w:vAlign w:val="bottom"/>
          </w:tcPr>
          <w:p>
            <w:pPr>
              <w:spacing w:after="0"/>
              <w:rPr>
                <w:sz w:val="1"/>
                <w:szCs w:val="1"/>
                <w:color w:val="auto"/>
              </w:rPr>
            </w:pPr>
          </w:p>
        </w:tc>
      </w:tr>
      <w:tr>
        <w:trPr>
          <w:trHeight w:val="183"/>
        </w:trPr>
        <w:tc>
          <w:tcPr>
            <w:tcW w:w="3080" w:type="dxa"/>
            <w:vAlign w:val="bottom"/>
          </w:tcPr>
          <w:p>
            <w:pPr>
              <w:spacing w:after="0"/>
              <w:rPr>
                <w:sz w:val="15"/>
                <w:szCs w:val="15"/>
                <w:color w:val="auto"/>
              </w:rPr>
            </w:pPr>
          </w:p>
        </w:tc>
        <w:tc>
          <w:tcPr>
            <w:tcW w:w="2740" w:type="dxa"/>
            <w:vAlign w:val="bottom"/>
            <w:gridSpan w:val="3"/>
            <w:vMerge w:val="continue"/>
          </w:tcPr>
          <w:p>
            <w:pPr>
              <w:spacing w:after="0"/>
              <w:rPr>
                <w:sz w:val="15"/>
                <w:szCs w:val="15"/>
                <w:color w:val="auto"/>
              </w:rPr>
            </w:pPr>
          </w:p>
        </w:tc>
        <w:tc>
          <w:tcPr>
            <w:tcW w:w="1020" w:type="dxa"/>
            <w:vAlign w:val="bottom"/>
            <w:vMerge w:val="continue"/>
          </w:tcPr>
          <w:p>
            <w:pPr>
              <w:spacing w:after="0"/>
              <w:rPr>
                <w:sz w:val="15"/>
                <w:szCs w:val="15"/>
                <w:color w:val="auto"/>
              </w:rPr>
            </w:pPr>
          </w:p>
        </w:tc>
        <w:tc>
          <w:tcPr>
            <w:tcW w:w="640" w:type="dxa"/>
            <w:vAlign w:val="bottom"/>
          </w:tcPr>
          <w:p>
            <w:pPr>
              <w:spacing w:after="0"/>
              <w:rPr>
                <w:sz w:val="15"/>
                <w:szCs w:val="15"/>
                <w:color w:val="auto"/>
              </w:rPr>
            </w:pPr>
          </w:p>
        </w:tc>
        <w:tc>
          <w:tcPr>
            <w:tcW w:w="980" w:type="dxa"/>
            <w:vAlign w:val="bottom"/>
          </w:tcPr>
          <w:p>
            <w:pPr>
              <w:spacing w:after="0"/>
              <w:rPr>
                <w:sz w:val="15"/>
                <w:szCs w:val="15"/>
                <w:color w:val="auto"/>
              </w:rPr>
            </w:pPr>
          </w:p>
        </w:tc>
        <w:tc>
          <w:tcPr>
            <w:tcW w:w="720" w:type="dxa"/>
            <w:vAlign w:val="bottom"/>
          </w:tcPr>
          <w:p>
            <w:pPr>
              <w:spacing w:after="0"/>
              <w:rPr>
                <w:sz w:val="15"/>
                <w:szCs w:val="15"/>
                <w:color w:val="auto"/>
              </w:rPr>
            </w:pPr>
          </w:p>
        </w:tc>
        <w:tc>
          <w:tcPr>
            <w:tcW w:w="780" w:type="dxa"/>
            <w:vAlign w:val="bottom"/>
            <w:vMerge w:val="continue"/>
          </w:tcPr>
          <w:p>
            <w:pPr>
              <w:spacing w:after="0"/>
              <w:rPr>
                <w:sz w:val="15"/>
                <w:szCs w:val="15"/>
                <w:color w:val="auto"/>
              </w:rPr>
            </w:pPr>
          </w:p>
        </w:tc>
        <w:tc>
          <w:tcPr>
            <w:tcW w:w="1060" w:type="dxa"/>
            <w:vAlign w:val="bottom"/>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16"/>
        </w:trPr>
        <w:tc>
          <w:tcPr>
            <w:tcW w:w="3080" w:type="dxa"/>
            <w:vAlign w:val="bottom"/>
          </w:tcPr>
          <w:p>
            <w:pPr>
              <w:spacing w:after="0"/>
              <w:rPr>
                <w:sz w:val="18"/>
                <w:szCs w:val="18"/>
                <w:color w:val="auto"/>
              </w:rPr>
            </w:pPr>
          </w:p>
        </w:tc>
        <w:tc>
          <w:tcPr>
            <w:tcW w:w="2740" w:type="dxa"/>
            <w:vAlign w:val="bottom"/>
            <w:gridSpan w:val="3"/>
          </w:tcPr>
          <w:p>
            <w:pPr>
              <w:ind w:left="60"/>
              <w:spacing w:after="0"/>
              <w:rPr>
                <w:sz w:val="20"/>
                <w:szCs w:val="20"/>
                <w:color w:val="auto"/>
              </w:rPr>
            </w:pPr>
            <w:r>
              <w:rPr>
                <w:rFonts w:ascii="Arial" w:cs="Arial" w:eastAsia="Arial" w:hAnsi="Arial"/>
                <w:sz w:val="18"/>
                <w:szCs w:val="18"/>
                <w:color w:val="auto"/>
              </w:rPr>
              <w:t>AGNC Performance-</w:t>
            </w:r>
          </w:p>
        </w:tc>
        <w:tc>
          <w:tcPr>
            <w:tcW w:w="102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0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308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2680" w:type="dxa"/>
            <w:vAlign w:val="bottom"/>
            <w:gridSpan w:val="2"/>
          </w:tcPr>
          <w:p>
            <w:pPr>
              <w:ind w:left="180"/>
              <w:spacing w:after="0"/>
              <w:rPr>
                <w:sz w:val="20"/>
                <w:szCs w:val="20"/>
                <w:color w:val="auto"/>
              </w:rPr>
            </w:pPr>
            <w:r>
              <w:rPr>
                <w:rFonts w:ascii="Arial" w:cs="Arial" w:eastAsia="Arial" w:hAnsi="Arial"/>
                <w:sz w:val="18"/>
                <w:szCs w:val="18"/>
                <w:color w:val="auto"/>
              </w:rPr>
              <w:t>Based Vesting RSUs</w:t>
            </w:r>
          </w:p>
        </w:tc>
        <w:tc>
          <w:tcPr>
            <w:tcW w:w="1020" w:type="dxa"/>
            <w:vAlign w:val="bottom"/>
          </w:tcPr>
          <w:p>
            <w:pPr>
              <w:jc w:val="right"/>
              <w:ind w:right="112"/>
              <w:spacing w:after="0"/>
              <w:rPr>
                <w:sz w:val="20"/>
                <w:szCs w:val="20"/>
                <w:color w:val="auto"/>
              </w:rPr>
            </w:pPr>
            <w:r>
              <w:rPr>
                <w:rFonts w:ascii="Arial" w:cs="Arial" w:eastAsia="Arial" w:hAnsi="Arial"/>
                <w:sz w:val="18"/>
                <w:szCs w:val="18"/>
                <w:color w:val="auto"/>
              </w:rPr>
              <w:t>3/1/19</w:t>
            </w:r>
          </w:p>
        </w:tc>
        <w:tc>
          <w:tcPr>
            <w:tcW w:w="640" w:type="dxa"/>
            <w:vAlign w:val="bottom"/>
          </w:tcPr>
          <w:p>
            <w:pPr>
              <w:jc w:val="right"/>
              <w:ind w:right="78"/>
              <w:spacing w:after="0"/>
              <w:rPr>
                <w:sz w:val="20"/>
                <w:szCs w:val="20"/>
                <w:color w:val="auto"/>
              </w:rPr>
            </w:pPr>
            <w:r>
              <w:rPr>
                <w:rFonts w:ascii="Arial" w:cs="Arial" w:eastAsia="Arial" w:hAnsi="Arial"/>
                <w:sz w:val="18"/>
                <w:szCs w:val="18"/>
                <w:color w:val="auto"/>
              </w:rPr>
              <w:t>0</w:t>
            </w:r>
          </w:p>
        </w:tc>
        <w:tc>
          <w:tcPr>
            <w:tcW w:w="980" w:type="dxa"/>
            <w:vAlign w:val="bottom"/>
          </w:tcPr>
          <w:p>
            <w:pPr>
              <w:jc w:val="center"/>
              <w:spacing w:after="0"/>
              <w:rPr>
                <w:sz w:val="20"/>
                <w:szCs w:val="20"/>
                <w:color w:val="auto"/>
              </w:rPr>
            </w:pPr>
            <w:r>
              <w:rPr>
                <w:rFonts w:ascii="Arial" w:cs="Arial" w:eastAsia="Arial" w:hAnsi="Arial"/>
                <w:sz w:val="18"/>
                <w:szCs w:val="18"/>
                <w:color w:val="auto"/>
                <w:w w:val="87"/>
              </w:rPr>
              <w:t>21,355</w:t>
            </w:r>
          </w:p>
        </w:tc>
        <w:tc>
          <w:tcPr>
            <w:tcW w:w="720" w:type="dxa"/>
            <w:vAlign w:val="bottom"/>
          </w:tcPr>
          <w:p>
            <w:pPr>
              <w:jc w:val="center"/>
              <w:ind w:right="18"/>
              <w:spacing w:after="0"/>
              <w:rPr>
                <w:sz w:val="20"/>
                <w:szCs w:val="20"/>
                <w:color w:val="auto"/>
              </w:rPr>
            </w:pPr>
            <w:r>
              <w:rPr>
                <w:rFonts w:ascii="Arial" w:cs="Arial" w:eastAsia="Arial" w:hAnsi="Arial"/>
                <w:sz w:val="18"/>
                <w:szCs w:val="18"/>
                <w:color w:val="auto"/>
                <w:w w:val="90"/>
              </w:rPr>
              <w:t>42,710</w:t>
            </w:r>
          </w:p>
        </w:tc>
        <w:tc>
          <w:tcPr>
            <w:tcW w:w="780" w:type="dxa"/>
            <w:vAlign w:val="bottom"/>
          </w:tcPr>
          <w:p>
            <w:pPr>
              <w:spacing w:after="0"/>
              <w:rPr>
                <w:sz w:val="20"/>
                <w:szCs w:val="20"/>
                <w:color w:val="auto"/>
              </w:rPr>
            </w:pPr>
          </w:p>
        </w:tc>
        <w:tc>
          <w:tcPr>
            <w:tcW w:w="1060" w:type="dxa"/>
            <w:vAlign w:val="bottom"/>
          </w:tcPr>
          <w:p>
            <w:pPr>
              <w:jc w:val="center"/>
              <w:spacing w:after="0"/>
              <w:rPr>
                <w:sz w:val="20"/>
                <w:szCs w:val="20"/>
                <w:color w:val="auto"/>
              </w:rPr>
            </w:pPr>
            <w:r>
              <w:rPr>
                <w:rFonts w:ascii="Arial" w:cs="Arial" w:eastAsia="Arial" w:hAnsi="Arial"/>
                <w:sz w:val="18"/>
                <w:szCs w:val="18"/>
                <w:color w:val="auto"/>
                <w:w w:val="90"/>
              </w:rPr>
              <w:t>$375,000</w:t>
            </w:r>
          </w:p>
        </w:tc>
        <w:tc>
          <w:tcPr>
            <w:tcW w:w="0" w:type="dxa"/>
            <w:vAlign w:val="bottom"/>
          </w:tcPr>
          <w:p>
            <w:pPr>
              <w:spacing w:after="0"/>
              <w:rPr>
                <w:sz w:val="1"/>
                <w:szCs w:val="1"/>
                <w:color w:val="auto"/>
              </w:rPr>
            </w:pPr>
          </w:p>
        </w:tc>
      </w:tr>
      <w:tr>
        <w:trPr>
          <w:trHeight w:val="216"/>
        </w:trPr>
        <w:tc>
          <w:tcPr>
            <w:tcW w:w="308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Bernice E. Bell</w:t>
            </w:r>
          </w:p>
        </w:tc>
        <w:tc>
          <w:tcPr>
            <w:tcW w:w="6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960" w:type="dxa"/>
            <w:vAlign w:val="bottom"/>
            <w:shd w:val="clear" w:color="auto" w:fill="CCEEFF"/>
          </w:tcPr>
          <w:p>
            <w:pPr>
              <w:spacing w:after="0"/>
              <w:rPr>
                <w:sz w:val="18"/>
                <w:szCs w:val="18"/>
                <w:color w:val="auto"/>
              </w:rPr>
            </w:pPr>
          </w:p>
        </w:tc>
        <w:tc>
          <w:tcPr>
            <w:tcW w:w="1020" w:type="dxa"/>
            <w:vAlign w:val="bottom"/>
            <w:vMerge w:val="restart"/>
            <w:shd w:val="clear" w:color="auto" w:fill="CCEEFF"/>
          </w:tcPr>
          <w:p>
            <w:pPr>
              <w:jc w:val="right"/>
              <w:ind w:right="112"/>
              <w:spacing w:after="0"/>
              <w:rPr>
                <w:sz w:val="20"/>
                <w:szCs w:val="20"/>
                <w:color w:val="auto"/>
              </w:rPr>
            </w:pPr>
            <w:r>
              <w:rPr>
                <w:rFonts w:ascii="Arial" w:cs="Arial" w:eastAsia="Arial" w:hAnsi="Arial"/>
                <w:sz w:val="18"/>
                <w:szCs w:val="18"/>
                <w:color w:val="auto"/>
              </w:rPr>
              <w:t>3/1/19</w:t>
            </w:r>
          </w:p>
        </w:tc>
        <w:tc>
          <w:tcPr>
            <w:tcW w:w="64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780" w:type="dxa"/>
            <w:vAlign w:val="bottom"/>
            <w:vMerge w:val="restart"/>
            <w:shd w:val="clear" w:color="auto" w:fill="CCEEFF"/>
          </w:tcPr>
          <w:p>
            <w:pPr>
              <w:jc w:val="center"/>
              <w:spacing w:after="0"/>
              <w:rPr>
                <w:sz w:val="20"/>
                <w:szCs w:val="20"/>
                <w:color w:val="auto"/>
              </w:rPr>
            </w:pPr>
            <w:r>
              <w:rPr>
                <w:rFonts w:ascii="Arial" w:cs="Arial" w:eastAsia="Arial" w:hAnsi="Arial"/>
                <w:sz w:val="18"/>
                <w:szCs w:val="18"/>
                <w:color w:val="auto"/>
                <w:w w:val="87"/>
              </w:rPr>
              <w:t>21,355</w:t>
            </w:r>
          </w:p>
        </w:tc>
        <w:tc>
          <w:tcPr>
            <w:tcW w:w="1060" w:type="dxa"/>
            <w:vAlign w:val="bottom"/>
            <w:vMerge w:val="restart"/>
            <w:shd w:val="clear" w:color="auto" w:fill="CCEEFF"/>
          </w:tcPr>
          <w:p>
            <w:pPr>
              <w:jc w:val="center"/>
              <w:spacing w:after="0"/>
              <w:rPr>
                <w:sz w:val="20"/>
                <w:szCs w:val="20"/>
                <w:color w:val="auto"/>
              </w:rPr>
            </w:pPr>
            <w:r>
              <w:rPr>
                <w:rFonts w:ascii="Arial" w:cs="Arial" w:eastAsia="Arial" w:hAnsi="Arial"/>
                <w:sz w:val="18"/>
                <w:szCs w:val="18"/>
                <w:color w:val="auto"/>
                <w:w w:val="90"/>
              </w:rPr>
              <w:t>$375,000</w:t>
            </w:r>
          </w:p>
        </w:tc>
        <w:tc>
          <w:tcPr>
            <w:tcW w:w="0" w:type="dxa"/>
            <w:vAlign w:val="bottom"/>
          </w:tcPr>
          <w:p>
            <w:pPr>
              <w:spacing w:after="0"/>
              <w:rPr>
                <w:sz w:val="1"/>
                <w:szCs w:val="1"/>
                <w:color w:val="auto"/>
              </w:rPr>
            </w:pPr>
          </w:p>
        </w:tc>
      </w:tr>
      <w:tr>
        <w:trPr>
          <w:trHeight w:val="216"/>
        </w:trPr>
        <w:tc>
          <w:tcPr>
            <w:tcW w:w="308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2680" w:type="dxa"/>
            <w:vAlign w:val="bottom"/>
            <w:gridSpan w:val="2"/>
            <w:shd w:val="clear" w:color="auto" w:fill="CCEEFF"/>
          </w:tcPr>
          <w:p>
            <w:pPr>
              <w:spacing w:after="0"/>
              <w:rPr>
                <w:sz w:val="20"/>
                <w:szCs w:val="20"/>
                <w:color w:val="auto"/>
              </w:rPr>
            </w:pPr>
            <w:r>
              <w:rPr>
                <w:rFonts w:ascii="Arial" w:cs="Arial" w:eastAsia="Arial" w:hAnsi="Arial"/>
                <w:sz w:val="18"/>
                <w:szCs w:val="18"/>
                <w:color w:val="auto"/>
                <w:w w:val="98"/>
              </w:rPr>
              <w:t>AGNC Time-Based Vesting RSUs</w:t>
            </w:r>
          </w:p>
        </w:tc>
        <w:tc>
          <w:tcPr>
            <w:tcW w:w="1020" w:type="dxa"/>
            <w:vAlign w:val="bottom"/>
            <w:vMerge w:val="continue"/>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780" w:type="dxa"/>
            <w:vAlign w:val="bottom"/>
            <w:vMerge w:val="continue"/>
            <w:shd w:val="clear" w:color="auto" w:fill="CCEEFF"/>
          </w:tcPr>
          <w:p>
            <w:pPr>
              <w:spacing w:after="0"/>
              <w:rPr>
                <w:sz w:val="18"/>
                <w:szCs w:val="18"/>
                <w:color w:val="auto"/>
              </w:rPr>
            </w:pPr>
          </w:p>
        </w:tc>
        <w:tc>
          <w:tcPr>
            <w:tcW w:w="1060" w:type="dxa"/>
            <w:vAlign w:val="bottom"/>
            <w:vMerge w:val="continue"/>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308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2680" w:type="dxa"/>
            <w:vAlign w:val="bottom"/>
            <w:gridSpan w:val="2"/>
            <w:shd w:val="clear" w:color="auto" w:fill="CCEEFF"/>
          </w:tcPr>
          <w:p>
            <w:pPr>
              <w:spacing w:after="0" w:line="201" w:lineRule="exact"/>
              <w:rPr>
                <w:sz w:val="20"/>
                <w:szCs w:val="20"/>
                <w:color w:val="auto"/>
              </w:rPr>
            </w:pPr>
            <w:r>
              <w:rPr>
                <w:rFonts w:ascii="Arial" w:cs="Arial" w:eastAsia="Arial" w:hAnsi="Arial"/>
                <w:sz w:val="18"/>
                <w:szCs w:val="18"/>
                <w:color w:val="auto"/>
              </w:rPr>
              <w:t>AGNC Performance-</w:t>
            </w:r>
          </w:p>
        </w:tc>
        <w:tc>
          <w:tcPr>
            <w:tcW w:w="102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98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78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3080" w:type="dxa"/>
            <w:vAlign w:val="bottom"/>
            <w:tcBorders>
              <w:bottom w:val="single" w:sz="8" w:color="407CCA"/>
            </w:tcBorders>
            <w:shd w:val="clear" w:color="auto" w:fill="CCEEFF"/>
          </w:tcPr>
          <w:p>
            <w:pPr>
              <w:spacing w:after="0"/>
              <w:rPr>
                <w:sz w:val="20"/>
                <w:szCs w:val="20"/>
                <w:color w:val="auto"/>
              </w:rPr>
            </w:pPr>
          </w:p>
        </w:tc>
        <w:tc>
          <w:tcPr>
            <w:tcW w:w="60" w:type="dxa"/>
            <w:vAlign w:val="bottom"/>
            <w:tcBorders>
              <w:bottom w:val="single" w:sz="8" w:color="407CCA"/>
            </w:tcBorders>
            <w:shd w:val="clear" w:color="auto" w:fill="CCEEFF"/>
          </w:tcPr>
          <w:p>
            <w:pPr>
              <w:spacing w:after="0"/>
              <w:rPr>
                <w:sz w:val="20"/>
                <w:szCs w:val="20"/>
                <w:color w:val="auto"/>
              </w:rPr>
            </w:pPr>
          </w:p>
        </w:tc>
        <w:tc>
          <w:tcPr>
            <w:tcW w:w="2680" w:type="dxa"/>
            <w:vAlign w:val="bottom"/>
            <w:tcBorders>
              <w:bottom w:val="single" w:sz="8" w:color="407CCA"/>
            </w:tcBorders>
            <w:gridSpan w:val="2"/>
            <w:shd w:val="clear" w:color="auto" w:fill="CCEEFF"/>
          </w:tcPr>
          <w:p>
            <w:pPr>
              <w:ind w:left="180"/>
              <w:spacing w:after="0"/>
              <w:rPr>
                <w:sz w:val="20"/>
                <w:szCs w:val="20"/>
                <w:color w:val="auto"/>
              </w:rPr>
            </w:pPr>
            <w:r>
              <w:rPr>
                <w:rFonts w:ascii="Arial" w:cs="Arial" w:eastAsia="Arial" w:hAnsi="Arial"/>
                <w:sz w:val="18"/>
                <w:szCs w:val="18"/>
                <w:color w:val="auto"/>
              </w:rPr>
              <w:t>Based Vesting RSUs</w:t>
            </w:r>
          </w:p>
        </w:tc>
        <w:tc>
          <w:tcPr>
            <w:tcW w:w="1020" w:type="dxa"/>
            <w:vAlign w:val="bottom"/>
            <w:tcBorders>
              <w:bottom w:val="single" w:sz="8" w:color="407CCA"/>
            </w:tcBorders>
            <w:shd w:val="clear" w:color="auto" w:fill="CCEEFF"/>
          </w:tcPr>
          <w:p>
            <w:pPr>
              <w:jc w:val="right"/>
              <w:ind w:right="112"/>
              <w:spacing w:after="0"/>
              <w:rPr>
                <w:sz w:val="20"/>
                <w:szCs w:val="20"/>
                <w:color w:val="auto"/>
              </w:rPr>
            </w:pPr>
            <w:r>
              <w:rPr>
                <w:rFonts w:ascii="Arial" w:cs="Arial" w:eastAsia="Arial" w:hAnsi="Arial"/>
                <w:sz w:val="18"/>
                <w:szCs w:val="18"/>
                <w:color w:val="auto"/>
              </w:rPr>
              <w:t>3/1/19</w:t>
            </w:r>
          </w:p>
        </w:tc>
        <w:tc>
          <w:tcPr>
            <w:tcW w:w="640" w:type="dxa"/>
            <w:vAlign w:val="bottom"/>
            <w:tcBorders>
              <w:bottom w:val="single" w:sz="8" w:color="407CCA"/>
            </w:tcBorders>
            <w:shd w:val="clear" w:color="auto" w:fill="CCEEFF"/>
          </w:tcPr>
          <w:p>
            <w:pPr>
              <w:jc w:val="right"/>
              <w:ind w:right="78"/>
              <w:spacing w:after="0"/>
              <w:rPr>
                <w:sz w:val="20"/>
                <w:szCs w:val="20"/>
                <w:color w:val="auto"/>
              </w:rPr>
            </w:pPr>
            <w:r>
              <w:rPr>
                <w:rFonts w:ascii="Arial" w:cs="Arial" w:eastAsia="Arial" w:hAnsi="Arial"/>
                <w:sz w:val="18"/>
                <w:szCs w:val="18"/>
                <w:color w:val="auto"/>
              </w:rPr>
              <w:t>0</w:t>
            </w:r>
          </w:p>
        </w:tc>
        <w:tc>
          <w:tcPr>
            <w:tcW w:w="980" w:type="dxa"/>
            <w:vAlign w:val="bottom"/>
            <w:tcBorders>
              <w:bottom w:val="single" w:sz="8" w:color="407CCA"/>
            </w:tcBorders>
            <w:shd w:val="clear" w:color="auto" w:fill="CCEEFF"/>
          </w:tcPr>
          <w:p>
            <w:pPr>
              <w:jc w:val="center"/>
              <w:spacing w:after="0"/>
              <w:rPr>
                <w:sz w:val="20"/>
                <w:szCs w:val="20"/>
                <w:color w:val="auto"/>
              </w:rPr>
            </w:pPr>
            <w:r>
              <w:rPr>
                <w:rFonts w:ascii="Arial" w:cs="Arial" w:eastAsia="Arial" w:hAnsi="Arial"/>
                <w:sz w:val="18"/>
                <w:szCs w:val="18"/>
                <w:color w:val="auto"/>
                <w:w w:val="87"/>
              </w:rPr>
              <w:t>21,355</w:t>
            </w:r>
          </w:p>
        </w:tc>
        <w:tc>
          <w:tcPr>
            <w:tcW w:w="720" w:type="dxa"/>
            <w:vAlign w:val="bottom"/>
            <w:tcBorders>
              <w:bottom w:val="single" w:sz="8" w:color="407CCA"/>
            </w:tcBorders>
            <w:shd w:val="clear" w:color="auto" w:fill="CCEEFF"/>
          </w:tcPr>
          <w:p>
            <w:pPr>
              <w:jc w:val="center"/>
              <w:ind w:right="18"/>
              <w:spacing w:after="0"/>
              <w:rPr>
                <w:sz w:val="20"/>
                <w:szCs w:val="20"/>
                <w:color w:val="auto"/>
              </w:rPr>
            </w:pPr>
            <w:r>
              <w:rPr>
                <w:rFonts w:ascii="Arial" w:cs="Arial" w:eastAsia="Arial" w:hAnsi="Arial"/>
                <w:sz w:val="18"/>
                <w:szCs w:val="18"/>
                <w:color w:val="auto"/>
                <w:w w:val="90"/>
              </w:rPr>
              <w:t>42,710</w:t>
            </w:r>
          </w:p>
        </w:tc>
        <w:tc>
          <w:tcPr>
            <w:tcW w:w="780" w:type="dxa"/>
            <w:vAlign w:val="bottom"/>
            <w:tcBorders>
              <w:bottom w:val="single" w:sz="8" w:color="407CCA"/>
            </w:tcBorders>
            <w:shd w:val="clear" w:color="auto" w:fill="CCEEFF"/>
          </w:tcPr>
          <w:p>
            <w:pPr>
              <w:spacing w:after="0"/>
              <w:rPr>
                <w:sz w:val="20"/>
                <w:szCs w:val="20"/>
                <w:color w:val="auto"/>
              </w:rPr>
            </w:pPr>
          </w:p>
        </w:tc>
        <w:tc>
          <w:tcPr>
            <w:tcW w:w="1060" w:type="dxa"/>
            <w:vAlign w:val="bottom"/>
            <w:tcBorders>
              <w:bottom w:val="single" w:sz="8" w:color="407CCA"/>
            </w:tcBorders>
            <w:shd w:val="clear" w:color="auto" w:fill="CCEEFF"/>
          </w:tcPr>
          <w:p>
            <w:pPr>
              <w:jc w:val="center"/>
              <w:spacing w:after="0"/>
              <w:rPr>
                <w:sz w:val="20"/>
                <w:szCs w:val="20"/>
                <w:color w:val="auto"/>
              </w:rPr>
            </w:pPr>
            <w:r>
              <w:rPr>
                <w:rFonts w:ascii="Arial" w:cs="Arial" w:eastAsia="Arial" w:hAnsi="Arial"/>
                <w:sz w:val="18"/>
                <w:szCs w:val="18"/>
                <w:color w:val="auto"/>
                <w:w w:val="90"/>
              </w:rPr>
              <w:t>$375,000</w:t>
            </w:r>
          </w:p>
        </w:tc>
        <w:tc>
          <w:tcPr>
            <w:tcW w:w="0" w:type="dxa"/>
            <w:vAlign w:val="bottom"/>
          </w:tcPr>
          <w:p>
            <w:pPr>
              <w:spacing w:after="0"/>
              <w:rPr>
                <w:sz w:val="1"/>
                <w:szCs w:val="1"/>
                <w:color w:val="auto"/>
              </w:rPr>
            </w:pPr>
          </w:p>
        </w:tc>
      </w:tr>
      <w:tr>
        <w:trPr>
          <w:trHeight w:val="128"/>
        </w:trPr>
        <w:tc>
          <w:tcPr>
            <w:tcW w:w="3080" w:type="dxa"/>
            <w:vAlign w:val="bottom"/>
            <w:tcBorders>
              <w:bottom w:val="single" w:sz="8" w:color="auto"/>
            </w:tcBorders>
          </w:tcPr>
          <w:p>
            <w:pPr>
              <w:spacing w:after="0"/>
              <w:rPr>
                <w:sz w:val="11"/>
                <w:szCs w:val="11"/>
                <w:color w:val="auto"/>
              </w:rPr>
            </w:pPr>
          </w:p>
        </w:tc>
        <w:tc>
          <w:tcPr>
            <w:tcW w:w="60" w:type="dxa"/>
            <w:vAlign w:val="bottom"/>
            <w:tcBorders>
              <w:bottom w:val="single" w:sz="8" w:color="auto"/>
            </w:tcBorders>
          </w:tcPr>
          <w:p>
            <w:pPr>
              <w:spacing w:after="0"/>
              <w:rPr>
                <w:sz w:val="11"/>
                <w:szCs w:val="11"/>
                <w:color w:val="auto"/>
              </w:rPr>
            </w:pPr>
          </w:p>
        </w:tc>
        <w:tc>
          <w:tcPr>
            <w:tcW w:w="720" w:type="dxa"/>
            <w:vAlign w:val="bottom"/>
            <w:tcBorders>
              <w:bottom w:val="single" w:sz="8" w:color="auto"/>
            </w:tcBorders>
          </w:tcPr>
          <w:p>
            <w:pPr>
              <w:spacing w:after="0"/>
              <w:rPr>
                <w:sz w:val="11"/>
                <w:szCs w:val="11"/>
                <w:color w:val="auto"/>
              </w:rPr>
            </w:pPr>
          </w:p>
        </w:tc>
        <w:tc>
          <w:tcPr>
            <w:tcW w:w="1960" w:type="dxa"/>
            <w:vAlign w:val="bottom"/>
          </w:tcPr>
          <w:p>
            <w:pPr>
              <w:spacing w:after="0"/>
              <w:rPr>
                <w:sz w:val="11"/>
                <w:szCs w:val="11"/>
                <w:color w:val="auto"/>
              </w:rPr>
            </w:pPr>
          </w:p>
        </w:tc>
        <w:tc>
          <w:tcPr>
            <w:tcW w:w="102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98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1060" w:type="dxa"/>
            <w:vAlign w:val="bottom"/>
          </w:tcPr>
          <w:p>
            <w:pPr>
              <w:spacing w:after="0"/>
              <w:rPr>
                <w:sz w:val="11"/>
                <w:szCs w:val="11"/>
                <w:color w:val="auto"/>
              </w:rPr>
            </w:pPr>
          </w:p>
        </w:tc>
        <w:tc>
          <w:tcPr>
            <w:tcW w:w="0" w:type="dxa"/>
            <w:vAlign w:val="bottom"/>
          </w:tcPr>
          <w:p>
            <w:pPr>
              <w:spacing w:after="0"/>
              <w:rPr>
                <w:sz w:val="1"/>
                <w:szCs w:val="1"/>
                <w:color w:val="auto"/>
              </w:rPr>
            </w:pPr>
          </w:p>
        </w:tc>
      </w:tr>
    </w:tbl>
    <w:p>
      <w:pPr>
        <w:spacing w:after="0" w:line="143" w:lineRule="exact"/>
        <w:rPr>
          <w:sz w:val="20"/>
          <w:szCs w:val="20"/>
          <w:color w:val="auto"/>
        </w:rPr>
      </w:pPr>
    </w:p>
    <w:p>
      <w:pPr>
        <w:ind w:left="880" w:right="140" w:hanging="764"/>
        <w:spacing w:after="0" w:line="227" w:lineRule="auto"/>
        <w:tabs>
          <w:tab w:leader="none" w:pos="880" w:val="left"/>
        </w:tabs>
        <w:numPr>
          <w:ilvl w:val="0"/>
          <w:numId w:val="45"/>
        </w:numPr>
        <w:rPr>
          <w:rFonts w:ascii="Arial" w:cs="Arial" w:eastAsia="Arial" w:hAnsi="Arial"/>
          <w:sz w:val="14"/>
          <w:szCs w:val="14"/>
          <w:color w:val="auto"/>
        </w:rPr>
      </w:pPr>
      <w:r>
        <w:rPr>
          <w:rFonts w:ascii="Arial" w:cs="Arial" w:eastAsia="Arial" w:hAnsi="Arial"/>
          <w:sz w:val="14"/>
          <w:szCs w:val="14"/>
          <w:color w:val="auto"/>
        </w:rPr>
        <w:t>AGNC Time-Based Vesting RSU awards vest ratably over a three-year period in three equal installments. AGNC performance-Based Vesting RSU awards are subject to 3-year cliff vesting and meeting performance conditions. Awards were granted to each of Ms. Bell and Messrs. Kain, Federico, Kuehl, and Pas pursuant to the terms of his or her respective employment agreement.</w:t>
      </w:r>
    </w:p>
    <w:p>
      <w:pPr>
        <w:ind w:left="880" w:hanging="764"/>
        <w:spacing w:after="0" w:line="221" w:lineRule="auto"/>
        <w:tabs>
          <w:tab w:leader="none" w:pos="880" w:val="left"/>
        </w:tabs>
        <w:numPr>
          <w:ilvl w:val="0"/>
          <w:numId w:val="45"/>
        </w:numPr>
        <w:rPr>
          <w:rFonts w:ascii="Arial" w:cs="Arial" w:eastAsia="Arial" w:hAnsi="Arial"/>
          <w:sz w:val="14"/>
          <w:szCs w:val="14"/>
          <w:color w:val="auto"/>
        </w:rPr>
      </w:pPr>
      <w:r>
        <w:rPr>
          <w:rFonts w:ascii="Arial" w:cs="Arial" w:eastAsia="Arial" w:hAnsi="Arial"/>
          <w:sz w:val="14"/>
          <w:szCs w:val="14"/>
          <w:color w:val="auto"/>
        </w:rPr>
        <w:t>The Compensation Committee approved all grants of plan based awards in fiscal year 2019 at a meeting held on February 20, 2019.</w:t>
      </w:r>
    </w:p>
    <w:p>
      <w:pPr>
        <w:ind w:left="880" w:hanging="764"/>
        <w:spacing w:after="0" w:line="221" w:lineRule="auto"/>
        <w:tabs>
          <w:tab w:leader="none" w:pos="880" w:val="left"/>
        </w:tabs>
        <w:numPr>
          <w:ilvl w:val="0"/>
          <w:numId w:val="45"/>
        </w:numPr>
        <w:rPr>
          <w:rFonts w:ascii="Arial" w:cs="Arial" w:eastAsia="Arial" w:hAnsi="Arial"/>
          <w:sz w:val="14"/>
          <w:szCs w:val="14"/>
          <w:color w:val="auto"/>
        </w:rPr>
      </w:pPr>
      <w:r>
        <w:rPr>
          <w:rFonts w:ascii="Arial" w:cs="Arial" w:eastAsia="Arial" w:hAnsi="Arial"/>
          <w:sz w:val="14"/>
          <w:szCs w:val="14"/>
          <w:color w:val="auto"/>
        </w:rPr>
        <w:t>Excludes accrued dividend equivalent units.</w:t>
      </w:r>
    </w:p>
    <w:p>
      <w:pPr>
        <w:ind w:left="880" w:right="20" w:hanging="764"/>
        <w:spacing w:after="0" w:line="237" w:lineRule="auto"/>
        <w:tabs>
          <w:tab w:leader="none" w:pos="880" w:val="left"/>
        </w:tabs>
        <w:numPr>
          <w:ilvl w:val="0"/>
          <w:numId w:val="45"/>
        </w:numPr>
        <w:rPr>
          <w:rFonts w:ascii="Arial" w:cs="Arial" w:eastAsia="Arial" w:hAnsi="Arial"/>
          <w:sz w:val="14"/>
          <w:szCs w:val="14"/>
          <w:color w:val="auto"/>
        </w:rPr>
      </w:pPr>
      <w:r>
        <w:rPr>
          <w:rFonts w:ascii="Arial" w:cs="Arial" w:eastAsia="Arial" w:hAnsi="Arial"/>
          <w:sz w:val="14"/>
          <w:szCs w:val="14"/>
          <w:color w:val="auto"/>
        </w:rPr>
        <w:t>AGNC Performance-Based Vesting RSUs’ grant date fair value assumes performance achievement at 100% of target. Performance payouts may range from 0% to 200% of target based on actual performance achieved.</w:t>
      </w:r>
    </w:p>
    <w:p>
      <w:pPr>
        <w:spacing w:after="0" w:line="116"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62</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40"/>
          </w:cols>
          <w:pgMar w:left="320" w:top="459" w:right="439" w:bottom="1440" w:gutter="0" w:footer="0" w:header="0"/>
        </w:sectPr>
      </w:pPr>
    </w:p>
    <w:bookmarkStart w:id="75" w:name="page76"/>
    <w:bookmarkEnd w:id="7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0">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89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1">
                      <a:extLst>
                        <a:ext uri="{28A0092B-C50C-407E-A947-70E740481C1C}"/>
                      </a:extLst>
                    </a:blip>
                    <a:srcRect/>
                    <a:stretch>
                      <a:fillRect/>
                    </a:stretch>
                  </pic:blipFill>
                  <pic:spPr bwMode="auto">
                    <a:xfrm>
                      <a:off x="0" y="0"/>
                      <a:ext cx="6995160" cy="8890"/>
                    </a:xfrm>
                    <a:prstGeom prst="rect">
                      <a:avLst/>
                    </a:prstGeom>
                    <a:noFill/>
                  </pic:spPr>
                </pic:pic>
              </a:graphicData>
            </a:graphic>
          </wp:anchor>
        </w:drawing>
      </w:r>
    </w:p>
    <w:p>
      <w:pPr>
        <w:spacing w:after="0" w:line="184" w:lineRule="exact"/>
        <w:rPr>
          <w:sz w:val="20"/>
          <w:szCs w:val="20"/>
          <w:color w:val="auto"/>
        </w:rPr>
      </w:pPr>
    </w:p>
    <w:p>
      <w:pPr>
        <w:jc w:val="center"/>
        <w:ind w:right="-119"/>
        <w:spacing w:after="0"/>
        <w:rPr>
          <w:sz w:val="20"/>
          <w:szCs w:val="20"/>
          <w:color w:val="auto"/>
        </w:rPr>
      </w:pPr>
      <w:r>
        <w:rPr>
          <w:rFonts w:ascii="Arial" w:cs="Arial" w:eastAsia="Arial" w:hAnsi="Arial"/>
          <w:sz w:val="18"/>
          <w:szCs w:val="18"/>
          <w:b w:val="1"/>
          <w:bCs w:val="1"/>
          <w:color w:val="auto"/>
        </w:rPr>
        <w:t>Outstanding Equity Awards at 2019 Fiscal Year-End</w:t>
      </w:r>
    </w:p>
    <w:p>
      <w:pPr>
        <w:spacing w:after="0" w:line="121" w:lineRule="exact"/>
        <w:rPr>
          <w:sz w:val="20"/>
          <w:szCs w:val="20"/>
          <w:color w:val="auto"/>
        </w:rPr>
      </w:pPr>
    </w:p>
    <w:p>
      <w:pPr>
        <w:ind w:left="120" w:right="260" w:firstLine="881"/>
        <w:spacing w:after="0" w:line="277" w:lineRule="auto"/>
        <w:rPr>
          <w:sz w:val="20"/>
          <w:szCs w:val="20"/>
          <w:color w:val="auto"/>
        </w:rPr>
      </w:pPr>
      <w:r>
        <w:rPr>
          <w:rFonts w:ascii="Arial" w:cs="Arial" w:eastAsia="Arial" w:hAnsi="Arial"/>
          <w:sz w:val="18"/>
          <w:szCs w:val="18"/>
          <w:color w:val="auto"/>
        </w:rPr>
        <w:t>In this table we provide information about stock awards under the 2016 Plan that have not vested and are outstanding as of December 31, 2019, for each NEO.</w:t>
      </w:r>
    </w:p>
    <w:p>
      <w:pPr>
        <w:spacing w:after="0" w:line="202" w:lineRule="exact"/>
        <w:rPr>
          <w:sz w:val="20"/>
          <w:szCs w:val="20"/>
          <w:color w:val="auto"/>
        </w:rPr>
      </w:pPr>
    </w:p>
    <w:p>
      <w:pPr>
        <w:ind w:left="7420"/>
        <w:spacing w:after="0"/>
        <w:rPr>
          <w:sz w:val="20"/>
          <w:szCs w:val="20"/>
          <w:color w:val="auto"/>
        </w:rPr>
      </w:pPr>
      <w:r>
        <w:rPr>
          <w:rFonts w:ascii="Arial" w:cs="Arial" w:eastAsia="Arial" w:hAnsi="Arial"/>
          <w:sz w:val="14"/>
          <w:szCs w:val="14"/>
          <w:b w:val="1"/>
          <w:bCs w:val="1"/>
          <w:color w:val="auto"/>
        </w:rPr>
        <w:t>Stock awards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-95885</wp:posOffset>
            </wp:positionV>
            <wp:extent cx="6995160" cy="825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2">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59" w:right="439" w:bottom="1440" w:gutter="0" w:footer="0" w:header="0"/>
        </w:sectPr>
      </w:pPr>
    </w:p>
    <w:p>
      <w:pPr>
        <w:spacing w:after="0" w:line="43" w:lineRule="exact"/>
        <w:rPr>
          <w:sz w:val="20"/>
          <w:szCs w:val="20"/>
          <w:color w:val="auto"/>
        </w:rPr>
      </w:pPr>
    </w:p>
    <w:tbl>
      <w:tblPr>
        <w:tblLayout w:type="fixed"/>
        <w:tblInd w:w="200" w:type="dxa"/>
        <w:tblCellMar>
          <w:top w:w="0" w:type="dxa"/>
          <w:left w:w="0" w:type="dxa"/>
          <w:bottom w:w="0" w:type="dxa"/>
          <w:right w:w="0" w:type="dxa"/>
        </w:tblCellMar>
      </w:tblPr>
      <w:tr>
        <w:trPr>
          <w:trHeight w:val="161"/>
        </w:trPr>
        <w:tc>
          <w:tcPr>
            <w:tcW w:w="1860" w:type="dxa"/>
            <w:vAlign w:val="bottom"/>
          </w:tcPr>
          <w:p>
            <w:pPr>
              <w:spacing w:after="0"/>
              <w:rPr>
                <w:sz w:val="14"/>
                <w:szCs w:val="14"/>
                <w:color w:val="auto"/>
              </w:rPr>
            </w:pPr>
          </w:p>
        </w:tc>
        <w:tc>
          <w:tcPr>
            <w:tcW w:w="2320" w:type="dxa"/>
            <w:vAlign w:val="bottom"/>
          </w:tcPr>
          <w:p>
            <w:pPr>
              <w:spacing w:after="0"/>
              <w:rPr>
                <w:sz w:val="14"/>
                <w:szCs w:val="14"/>
                <w:color w:val="auto"/>
              </w:rPr>
            </w:pPr>
          </w:p>
        </w:tc>
        <w:tc>
          <w:tcPr>
            <w:tcW w:w="1740" w:type="dxa"/>
            <w:vAlign w:val="bottom"/>
            <w:vMerge w:val="restart"/>
          </w:tcPr>
          <w:p>
            <w:pPr>
              <w:jc w:val="center"/>
              <w:spacing w:after="0"/>
              <w:rPr>
                <w:sz w:val="20"/>
                <w:szCs w:val="20"/>
                <w:color w:val="auto"/>
              </w:rPr>
            </w:pPr>
            <w:r>
              <w:rPr>
                <w:rFonts w:ascii="Arial" w:cs="Arial" w:eastAsia="Arial" w:hAnsi="Arial"/>
                <w:sz w:val="14"/>
                <w:szCs w:val="14"/>
                <w:b w:val="1"/>
                <w:bCs w:val="1"/>
                <w:color w:val="auto"/>
                <w:w w:val="91"/>
              </w:rPr>
              <w:t>Number of shares or</w:t>
            </w:r>
          </w:p>
        </w:tc>
        <w:tc>
          <w:tcPr>
            <w:tcW w:w="1320" w:type="dxa"/>
            <w:vAlign w:val="bottom"/>
          </w:tcPr>
          <w:p>
            <w:pPr>
              <w:jc w:val="center"/>
              <w:ind w:left="168"/>
              <w:spacing w:after="0"/>
              <w:rPr>
                <w:sz w:val="20"/>
                <w:szCs w:val="20"/>
                <w:color w:val="auto"/>
              </w:rPr>
            </w:pPr>
            <w:r>
              <w:rPr>
                <w:rFonts w:ascii="Arial" w:cs="Arial" w:eastAsia="Arial" w:hAnsi="Arial"/>
                <w:sz w:val="14"/>
                <w:szCs w:val="14"/>
                <w:b w:val="1"/>
                <w:bCs w:val="1"/>
                <w:color w:val="auto"/>
                <w:w w:val="98"/>
              </w:rPr>
              <w:t>Market value of</w:t>
            </w:r>
          </w:p>
        </w:tc>
        <w:tc>
          <w:tcPr>
            <w:tcW w:w="0" w:type="dxa"/>
            <w:vAlign w:val="bottom"/>
          </w:tcPr>
          <w:p>
            <w:pPr>
              <w:spacing w:after="0"/>
              <w:rPr>
                <w:sz w:val="1"/>
                <w:szCs w:val="1"/>
                <w:color w:val="auto"/>
              </w:rPr>
            </w:pPr>
          </w:p>
        </w:tc>
      </w:tr>
      <w:tr>
        <w:trPr>
          <w:trHeight w:val="149"/>
        </w:trPr>
        <w:tc>
          <w:tcPr>
            <w:tcW w:w="1860" w:type="dxa"/>
            <w:vAlign w:val="bottom"/>
          </w:tcPr>
          <w:p>
            <w:pPr>
              <w:spacing w:after="0"/>
              <w:rPr>
                <w:sz w:val="12"/>
                <w:szCs w:val="12"/>
                <w:color w:val="auto"/>
              </w:rPr>
            </w:pPr>
          </w:p>
        </w:tc>
        <w:tc>
          <w:tcPr>
            <w:tcW w:w="2320" w:type="dxa"/>
            <w:vAlign w:val="bottom"/>
          </w:tcPr>
          <w:p>
            <w:pPr>
              <w:spacing w:after="0"/>
              <w:rPr>
                <w:sz w:val="12"/>
                <w:szCs w:val="12"/>
                <w:color w:val="auto"/>
              </w:rPr>
            </w:pPr>
          </w:p>
        </w:tc>
        <w:tc>
          <w:tcPr>
            <w:tcW w:w="1740" w:type="dxa"/>
            <w:vAlign w:val="bottom"/>
            <w:vMerge w:val="continue"/>
          </w:tcPr>
          <w:p>
            <w:pPr>
              <w:spacing w:after="0"/>
              <w:rPr>
                <w:sz w:val="12"/>
                <w:szCs w:val="12"/>
                <w:color w:val="auto"/>
              </w:rPr>
            </w:pPr>
          </w:p>
        </w:tc>
        <w:tc>
          <w:tcPr>
            <w:tcW w:w="1320" w:type="dxa"/>
            <w:vAlign w:val="bottom"/>
          </w:tcPr>
          <w:p>
            <w:pPr>
              <w:jc w:val="center"/>
              <w:ind w:left="168"/>
              <w:spacing w:after="0" w:line="149" w:lineRule="exact"/>
              <w:rPr>
                <w:sz w:val="20"/>
                <w:szCs w:val="20"/>
                <w:color w:val="auto"/>
              </w:rPr>
            </w:pPr>
            <w:r>
              <w:rPr>
                <w:rFonts w:ascii="Arial" w:cs="Arial" w:eastAsia="Arial" w:hAnsi="Arial"/>
                <w:sz w:val="14"/>
                <w:szCs w:val="14"/>
                <w:b w:val="1"/>
                <w:bCs w:val="1"/>
                <w:color w:val="auto"/>
                <w:w w:val="88"/>
              </w:rPr>
              <w:t>shares or units of</w:t>
            </w:r>
          </w:p>
        </w:tc>
        <w:tc>
          <w:tcPr>
            <w:tcW w:w="0" w:type="dxa"/>
            <w:vAlign w:val="bottom"/>
          </w:tcPr>
          <w:p>
            <w:pPr>
              <w:spacing w:after="0"/>
              <w:rPr>
                <w:sz w:val="1"/>
                <w:szCs w:val="1"/>
                <w:color w:val="auto"/>
              </w:rPr>
            </w:pPr>
          </w:p>
        </w:tc>
      </w:tr>
      <w:tr>
        <w:trPr>
          <w:trHeight w:val="148"/>
        </w:trPr>
        <w:tc>
          <w:tcPr>
            <w:tcW w:w="1860" w:type="dxa"/>
            <w:vAlign w:val="bottom"/>
          </w:tcPr>
          <w:p>
            <w:pPr>
              <w:spacing w:after="0"/>
              <w:rPr>
                <w:sz w:val="12"/>
                <w:szCs w:val="12"/>
                <w:color w:val="auto"/>
              </w:rPr>
            </w:pPr>
          </w:p>
        </w:tc>
        <w:tc>
          <w:tcPr>
            <w:tcW w:w="2320" w:type="dxa"/>
            <w:vAlign w:val="bottom"/>
          </w:tcPr>
          <w:p>
            <w:pPr>
              <w:spacing w:after="0"/>
              <w:rPr>
                <w:sz w:val="12"/>
                <w:szCs w:val="12"/>
                <w:color w:val="auto"/>
              </w:rPr>
            </w:pPr>
          </w:p>
        </w:tc>
        <w:tc>
          <w:tcPr>
            <w:tcW w:w="174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1"/>
              </w:rPr>
              <w:t>units of stock that</w:t>
            </w:r>
          </w:p>
        </w:tc>
        <w:tc>
          <w:tcPr>
            <w:tcW w:w="1320" w:type="dxa"/>
            <w:vAlign w:val="bottom"/>
          </w:tcPr>
          <w:p>
            <w:pPr>
              <w:jc w:val="center"/>
              <w:ind w:left="168"/>
              <w:spacing w:after="0" w:line="149" w:lineRule="exact"/>
              <w:rPr>
                <w:sz w:val="20"/>
                <w:szCs w:val="20"/>
                <w:color w:val="auto"/>
              </w:rPr>
            </w:pPr>
            <w:r>
              <w:rPr>
                <w:rFonts w:ascii="Arial" w:cs="Arial" w:eastAsia="Arial" w:hAnsi="Arial"/>
                <w:sz w:val="14"/>
                <w:szCs w:val="14"/>
                <w:b w:val="1"/>
                <w:bCs w:val="1"/>
                <w:color w:val="auto"/>
                <w:w w:val="90"/>
              </w:rPr>
              <w:t>stock that</w:t>
            </w:r>
          </w:p>
        </w:tc>
        <w:tc>
          <w:tcPr>
            <w:tcW w:w="0" w:type="dxa"/>
            <w:vAlign w:val="bottom"/>
          </w:tcPr>
          <w:p>
            <w:pPr>
              <w:spacing w:after="0"/>
              <w:rPr>
                <w:sz w:val="1"/>
                <w:szCs w:val="1"/>
                <w:color w:val="auto"/>
              </w:rPr>
            </w:pPr>
          </w:p>
        </w:tc>
      </w:tr>
      <w:tr>
        <w:trPr>
          <w:trHeight w:val="148"/>
        </w:trPr>
        <w:tc>
          <w:tcPr>
            <w:tcW w:w="1860" w:type="dxa"/>
            <w:vAlign w:val="bottom"/>
            <w:vMerge w:val="restart"/>
          </w:tcPr>
          <w:p>
            <w:pPr>
              <w:spacing w:after="0"/>
              <w:rPr>
                <w:sz w:val="20"/>
                <w:szCs w:val="20"/>
                <w:color w:val="auto"/>
              </w:rPr>
            </w:pPr>
            <w:r>
              <w:rPr>
                <w:rFonts w:ascii="Arial" w:cs="Arial" w:eastAsia="Arial" w:hAnsi="Arial"/>
                <w:sz w:val="18"/>
                <w:szCs w:val="18"/>
                <w:b w:val="1"/>
                <w:bCs w:val="1"/>
                <w:color w:val="auto"/>
              </w:rPr>
              <w:t>Name</w:t>
            </w:r>
          </w:p>
        </w:tc>
        <w:tc>
          <w:tcPr>
            <w:tcW w:w="2320" w:type="dxa"/>
            <w:vAlign w:val="bottom"/>
          </w:tcPr>
          <w:p>
            <w:pPr>
              <w:spacing w:after="0"/>
              <w:rPr>
                <w:sz w:val="12"/>
                <w:szCs w:val="12"/>
                <w:color w:val="auto"/>
              </w:rPr>
            </w:pPr>
          </w:p>
        </w:tc>
        <w:tc>
          <w:tcPr>
            <w:tcW w:w="174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1"/>
              </w:rPr>
              <w:t>have not vested</w:t>
            </w:r>
            <w:r>
              <w:rPr>
                <w:rFonts w:ascii="Arial" w:cs="Arial" w:eastAsia="Arial" w:hAnsi="Arial"/>
                <w:sz w:val="12"/>
                <w:szCs w:val="12"/>
                <w:b w:val="1"/>
                <w:bCs w:val="1"/>
                <w:color w:val="auto"/>
                <w:w w:val="91"/>
              </w:rPr>
              <w:t>(1)</w:t>
            </w:r>
          </w:p>
        </w:tc>
        <w:tc>
          <w:tcPr>
            <w:tcW w:w="1320" w:type="dxa"/>
            <w:vAlign w:val="bottom"/>
          </w:tcPr>
          <w:p>
            <w:pPr>
              <w:jc w:val="center"/>
              <w:ind w:left="168"/>
              <w:spacing w:after="0" w:line="149" w:lineRule="exact"/>
              <w:rPr>
                <w:sz w:val="20"/>
                <w:szCs w:val="20"/>
                <w:color w:val="auto"/>
              </w:rPr>
            </w:pPr>
            <w:r>
              <w:rPr>
                <w:rFonts w:ascii="Arial" w:cs="Arial" w:eastAsia="Arial" w:hAnsi="Arial"/>
                <w:sz w:val="14"/>
                <w:szCs w:val="14"/>
                <w:b w:val="1"/>
                <w:bCs w:val="1"/>
                <w:color w:val="auto"/>
                <w:w w:val="89"/>
              </w:rPr>
              <w:t>have not vested</w:t>
            </w:r>
            <w:r>
              <w:rPr>
                <w:rFonts w:ascii="Arial" w:cs="Arial" w:eastAsia="Arial" w:hAnsi="Arial"/>
                <w:sz w:val="12"/>
                <w:szCs w:val="12"/>
                <w:b w:val="1"/>
                <w:bCs w:val="1"/>
                <w:color w:val="auto"/>
                <w:w w:val="89"/>
              </w:rPr>
              <w:t>(2)</w:t>
            </w:r>
          </w:p>
        </w:tc>
        <w:tc>
          <w:tcPr>
            <w:tcW w:w="0" w:type="dxa"/>
            <w:vAlign w:val="bottom"/>
          </w:tcPr>
          <w:p>
            <w:pPr>
              <w:spacing w:after="0"/>
              <w:rPr>
                <w:sz w:val="1"/>
                <w:szCs w:val="1"/>
                <w:color w:val="auto"/>
              </w:rPr>
            </w:pPr>
          </w:p>
        </w:tc>
      </w:tr>
      <w:tr>
        <w:trPr>
          <w:trHeight w:val="200"/>
        </w:trPr>
        <w:tc>
          <w:tcPr>
            <w:tcW w:w="1860" w:type="dxa"/>
            <w:vAlign w:val="bottom"/>
            <w:vMerge w:val="continue"/>
          </w:tcPr>
          <w:p>
            <w:pPr>
              <w:spacing w:after="0"/>
              <w:rPr>
                <w:sz w:val="17"/>
                <w:szCs w:val="17"/>
                <w:color w:val="auto"/>
              </w:rPr>
            </w:pPr>
          </w:p>
        </w:tc>
        <w:tc>
          <w:tcPr>
            <w:tcW w:w="2320" w:type="dxa"/>
            <w:vAlign w:val="bottom"/>
          </w:tcPr>
          <w:p>
            <w:pPr>
              <w:ind w:left="1400"/>
              <w:spacing w:after="0"/>
              <w:rPr>
                <w:sz w:val="20"/>
                <w:szCs w:val="20"/>
                <w:color w:val="auto"/>
              </w:rPr>
            </w:pPr>
            <w:r>
              <w:rPr>
                <w:rFonts w:ascii="Arial" w:cs="Arial" w:eastAsia="Arial" w:hAnsi="Arial"/>
                <w:sz w:val="14"/>
                <w:szCs w:val="14"/>
                <w:b w:val="1"/>
                <w:bCs w:val="1"/>
                <w:color w:val="auto"/>
              </w:rPr>
              <w:t>Grant Date</w:t>
            </w:r>
          </w:p>
        </w:tc>
        <w:tc>
          <w:tcPr>
            <w:tcW w:w="1740" w:type="dxa"/>
            <w:vAlign w:val="bottom"/>
          </w:tcPr>
          <w:p>
            <w:pPr>
              <w:jc w:val="center"/>
              <w:spacing w:after="0"/>
              <w:rPr>
                <w:sz w:val="20"/>
                <w:szCs w:val="20"/>
                <w:color w:val="auto"/>
              </w:rPr>
            </w:pPr>
            <w:r>
              <w:rPr>
                <w:rFonts w:ascii="Arial" w:cs="Arial" w:eastAsia="Arial" w:hAnsi="Arial"/>
                <w:sz w:val="14"/>
                <w:szCs w:val="14"/>
                <w:b w:val="1"/>
                <w:bCs w:val="1"/>
                <w:color w:val="auto"/>
              </w:rPr>
              <w:t>(#)</w:t>
            </w:r>
          </w:p>
        </w:tc>
        <w:tc>
          <w:tcPr>
            <w:tcW w:w="1320" w:type="dxa"/>
            <w:vAlign w:val="bottom"/>
          </w:tcPr>
          <w:p>
            <w:pPr>
              <w:jc w:val="center"/>
              <w:ind w:left="168"/>
              <w:spacing w:after="0"/>
              <w:rPr>
                <w:sz w:val="20"/>
                <w:szCs w:val="20"/>
                <w:color w:val="auto"/>
              </w:rPr>
            </w:pPr>
            <w:r>
              <w:rPr>
                <w:rFonts w:ascii="Arial" w:cs="Arial" w:eastAsia="Arial" w:hAnsi="Arial"/>
                <w:sz w:val="14"/>
                <w:szCs w:val="14"/>
                <w:b w:val="1"/>
                <w:bCs w:val="1"/>
                <w:color w:val="auto"/>
                <w:w w:val="93"/>
              </w:rPr>
              <w:t>($)</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2645410</wp:posOffset>
            </wp:positionH>
            <wp:positionV relativeFrom="paragraph">
              <wp:posOffset>-497205</wp:posOffset>
            </wp:positionV>
            <wp:extent cx="4423410" cy="825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3">
                      <a:extLst>
                        <a:ext uri="{28A0092B-C50C-407E-A947-70E740481C1C}"/>
                      </a:extLst>
                    </a:blip>
                    <a:srcRect/>
                    <a:stretch>
                      <a:fillRect/>
                    </a:stretch>
                  </pic:blipFill>
                  <pic:spPr bwMode="auto">
                    <a:xfrm>
                      <a:off x="0" y="0"/>
                      <a:ext cx="4423410" cy="825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2"/>
          <w:szCs w:val="12"/>
          <w:b w:val="1"/>
          <w:bCs w:val="1"/>
          <w:color w:val="auto"/>
        </w:rPr>
        <w:t>Equity incentive plan</w:t>
      </w:r>
    </w:p>
    <w:p>
      <w:pPr>
        <w:spacing w:after="0" w:line="27" w:lineRule="exact"/>
        <w:rPr>
          <w:sz w:val="20"/>
          <w:szCs w:val="20"/>
          <w:color w:val="auto"/>
        </w:rPr>
      </w:pPr>
    </w:p>
    <w:p>
      <w:pPr>
        <w:jc w:val="both"/>
        <w:ind w:firstLine="57"/>
        <w:spacing w:after="0" w:line="286" w:lineRule="auto"/>
        <w:rPr>
          <w:sz w:val="20"/>
          <w:szCs w:val="20"/>
          <w:color w:val="auto"/>
        </w:rPr>
      </w:pPr>
      <w:r>
        <w:rPr>
          <w:rFonts w:ascii="Arial" w:cs="Arial" w:eastAsia="Arial" w:hAnsi="Arial"/>
          <w:sz w:val="12"/>
          <w:szCs w:val="12"/>
          <w:b w:val="1"/>
          <w:bCs w:val="1"/>
          <w:color w:val="auto"/>
        </w:rPr>
        <w:t>awards: number of unearned units that have not vested</w:t>
      </w:r>
      <w:r>
        <w:rPr>
          <w:rFonts w:ascii="Arial" w:cs="Arial" w:eastAsia="Arial" w:hAnsi="Arial"/>
          <w:sz w:val="10"/>
          <w:szCs w:val="10"/>
          <w:b w:val="1"/>
          <w:bCs w:val="1"/>
          <w:color w:val="auto"/>
        </w:rPr>
        <w:t>(1)</w:t>
      </w:r>
      <w:r>
        <w:rPr>
          <w:rFonts w:ascii="Arial" w:cs="Arial" w:eastAsia="Arial" w:hAnsi="Arial"/>
          <w:sz w:val="12"/>
          <w:szCs w:val="12"/>
          <w:b w:val="1"/>
          <w:bCs w:val="1"/>
          <w:color w:val="auto"/>
        </w:rPr>
        <w:t xml:space="preserve"> (#)</w:t>
      </w:r>
    </w:p>
    <w:p>
      <w:pPr>
        <w:spacing w:after="0" w:line="20" w:lineRule="exact"/>
        <w:rPr>
          <w:sz w:val="20"/>
          <w:szCs w:val="20"/>
          <w:color w:val="auto"/>
        </w:rPr>
      </w:pPr>
      <w:r>
        <w:rPr>
          <w:sz w:val="20"/>
          <w:szCs w:val="20"/>
          <w:color w:val="auto"/>
        </w:rPr>
        <w:br w:type="column"/>
      </w:r>
    </w:p>
    <w:p>
      <w:pPr>
        <w:spacing w:after="0" w:line="35" w:lineRule="exact"/>
        <w:rPr>
          <w:sz w:val="20"/>
          <w:szCs w:val="20"/>
          <w:color w:val="auto"/>
        </w:rPr>
      </w:pPr>
    </w:p>
    <w:p>
      <w:pPr>
        <w:jc w:val="center"/>
        <w:ind w:right="60"/>
        <w:spacing w:after="0"/>
        <w:rPr>
          <w:sz w:val="20"/>
          <w:szCs w:val="20"/>
          <w:color w:val="auto"/>
        </w:rPr>
      </w:pPr>
      <w:r>
        <w:rPr>
          <w:rFonts w:ascii="Arial" w:cs="Arial" w:eastAsia="Arial" w:hAnsi="Arial"/>
          <w:sz w:val="13"/>
          <w:szCs w:val="13"/>
          <w:b w:val="1"/>
          <w:bCs w:val="1"/>
          <w:color w:val="auto"/>
        </w:rPr>
        <w:t>Equity incentive plan</w:t>
      </w:r>
    </w:p>
    <w:p>
      <w:pPr>
        <w:spacing w:after="0" w:line="3" w:lineRule="exact"/>
        <w:rPr>
          <w:sz w:val="20"/>
          <w:szCs w:val="20"/>
          <w:color w:val="auto"/>
        </w:rPr>
      </w:pPr>
    </w:p>
    <w:p>
      <w:pPr>
        <w:jc w:val="center"/>
        <w:ind w:right="60"/>
        <w:spacing w:after="0"/>
        <w:rPr>
          <w:sz w:val="20"/>
          <w:szCs w:val="20"/>
          <w:color w:val="auto"/>
        </w:rPr>
      </w:pPr>
      <w:r>
        <w:rPr>
          <w:rFonts w:ascii="Arial" w:cs="Arial" w:eastAsia="Arial" w:hAnsi="Arial"/>
          <w:sz w:val="14"/>
          <w:szCs w:val="14"/>
          <w:b w:val="1"/>
          <w:bCs w:val="1"/>
          <w:color w:val="auto"/>
        </w:rPr>
        <w:t>awards: market or</w:t>
      </w:r>
    </w:p>
    <w:p>
      <w:pPr>
        <w:jc w:val="center"/>
        <w:ind w:right="60"/>
        <w:spacing w:after="0" w:line="221" w:lineRule="auto"/>
        <w:rPr>
          <w:sz w:val="20"/>
          <w:szCs w:val="20"/>
          <w:color w:val="auto"/>
        </w:rPr>
      </w:pPr>
      <w:r>
        <w:rPr>
          <w:rFonts w:ascii="Arial" w:cs="Arial" w:eastAsia="Arial" w:hAnsi="Arial"/>
          <w:sz w:val="14"/>
          <w:szCs w:val="14"/>
          <w:b w:val="1"/>
          <w:bCs w:val="1"/>
          <w:color w:val="auto"/>
        </w:rPr>
        <w:t>payout value</w:t>
      </w:r>
    </w:p>
    <w:p>
      <w:pPr>
        <w:jc w:val="center"/>
        <w:ind w:right="60"/>
        <w:spacing w:after="0" w:line="221" w:lineRule="auto"/>
        <w:rPr>
          <w:sz w:val="20"/>
          <w:szCs w:val="20"/>
          <w:color w:val="auto"/>
        </w:rPr>
      </w:pPr>
      <w:r>
        <w:rPr>
          <w:rFonts w:ascii="Arial" w:cs="Arial" w:eastAsia="Arial" w:hAnsi="Arial"/>
          <w:sz w:val="14"/>
          <w:szCs w:val="14"/>
          <w:b w:val="1"/>
          <w:bCs w:val="1"/>
          <w:color w:val="auto"/>
        </w:rPr>
        <w:t>of unearned</w:t>
      </w:r>
    </w:p>
    <w:p>
      <w:pPr>
        <w:spacing w:after="0" w:line="1" w:lineRule="exact"/>
        <w:rPr>
          <w:sz w:val="20"/>
          <w:szCs w:val="20"/>
          <w:color w:val="auto"/>
        </w:rPr>
      </w:pPr>
    </w:p>
    <w:p>
      <w:pPr>
        <w:jc w:val="center"/>
        <w:ind w:right="60"/>
        <w:spacing w:after="0"/>
        <w:rPr>
          <w:sz w:val="20"/>
          <w:szCs w:val="20"/>
          <w:color w:val="auto"/>
        </w:rPr>
      </w:pPr>
      <w:r>
        <w:rPr>
          <w:rFonts w:ascii="Arial" w:cs="Arial" w:eastAsia="Arial" w:hAnsi="Arial"/>
          <w:sz w:val="14"/>
          <w:szCs w:val="14"/>
          <w:b w:val="1"/>
          <w:bCs w:val="1"/>
          <w:color w:val="auto"/>
        </w:rPr>
        <w:t>units ($)</w:t>
      </w:r>
    </w:p>
    <w:p>
      <w:pPr>
        <w:spacing w:after="0" w:line="49" w:lineRule="exact"/>
        <w:rPr>
          <w:sz w:val="20"/>
          <w:szCs w:val="20"/>
          <w:color w:val="auto"/>
        </w:rPr>
      </w:pPr>
    </w:p>
    <w:p>
      <w:pPr>
        <w:sectPr>
          <w:pgSz w:w="11900" w:h="16838" w:orient="portrait"/>
          <w:cols w:equalWidth="0" w:num="3">
            <w:col w:w="7440" w:space="500"/>
            <w:col w:w="1300" w:space="520"/>
            <w:col w:w="1380"/>
          </w:cols>
          <w:pgMar w:left="320" w:top="459" w:right="439" w:bottom="1440" w:gutter="0" w:footer="0" w:header="0"/>
          <w:type w:val="continuous"/>
        </w:sectPr>
      </w:pPr>
    </w:p>
    <w:tbl>
      <w:tblPr>
        <w:tblLayout w:type="fixed"/>
        <w:tblInd w:w="120" w:type="dxa"/>
        <w:tblCellMar>
          <w:top w:w="0" w:type="dxa"/>
          <w:left w:w="0" w:type="dxa"/>
          <w:bottom w:w="0" w:type="dxa"/>
          <w:right w:w="0" w:type="dxa"/>
        </w:tblCellMar>
      </w:tblPr>
      <w:tr>
        <w:trPr>
          <w:trHeight w:val="222"/>
        </w:trPr>
        <w:tc>
          <w:tcPr>
            <w:tcW w:w="3130" w:type="dxa"/>
            <w:vAlign w:val="bottom"/>
            <w:tcBorders>
              <w:top w:val="single" w:sz="8" w:color="407CCA"/>
            </w:tcBorders>
            <w:shd w:val="clear" w:color="auto" w:fill="CCEEFF"/>
          </w:tcPr>
          <w:p>
            <w:pPr>
              <w:ind w:left="80"/>
              <w:spacing w:after="0"/>
              <w:rPr>
                <w:sz w:val="20"/>
                <w:szCs w:val="20"/>
                <w:color w:val="auto"/>
              </w:rPr>
            </w:pPr>
            <w:r>
              <w:rPr>
                <w:rFonts w:ascii="Arial" w:cs="Arial" w:eastAsia="Arial" w:hAnsi="Arial"/>
                <w:sz w:val="18"/>
                <w:szCs w:val="18"/>
                <w:b w:val="1"/>
                <w:bCs w:val="1"/>
                <w:color w:val="auto"/>
              </w:rPr>
              <w:t>Gary D. Kain</w:t>
            </w:r>
          </w:p>
        </w:tc>
        <w:tc>
          <w:tcPr>
            <w:tcW w:w="730" w:type="dxa"/>
            <w:vAlign w:val="bottom"/>
            <w:tcBorders>
              <w:top w:val="single" w:sz="8" w:color="407CCA"/>
            </w:tcBorders>
            <w:shd w:val="clear" w:color="auto" w:fill="CCEEFF"/>
          </w:tcPr>
          <w:p>
            <w:pPr>
              <w:spacing w:after="0"/>
              <w:rPr>
                <w:sz w:val="19"/>
                <w:szCs w:val="19"/>
                <w:color w:val="auto"/>
              </w:rPr>
            </w:pPr>
          </w:p>
        </w:tc>
        <w:tc>
          <w:tcPr>
            <w:tcW w:w="180" w:type="dxa"/>
            <w:vAlign w:val="bottom"/>
            <w:tcBorders>
              <w:top w:val="single" w:sz="8" w:color="407CCA"/>
            </w:tcBorders>
            <w:shd w:val="clear" w:color="auto" w:fill="CCEEFF"/>
          </w:tcPr>
          <w:p>
            <w:pPr>
              <w:spacing w:after="0"/>
              <w:rPr>
                <w:sz w:val="19"/>
                <w:szCs w:val="19"/>
                <w:color w:val="auto"/>
              </w:rPr>
            </w:pPr>
          </w:p>
        </w:tc>
        <w:tc>
          <w:tcPr>
            <w:tcW w:w="2100" w:type="dxa"/>
            <w:vAlign w:val="bottom"/>
            <w:tcBorders>
              <w:top w:val="single" w:sz="8" w:color="407CCA"/>
            </w:tcBorders>
            <w:vMerge w:val="restart"/>
            <w:shd w:val="clear" w:color="auto" w:fill="CCEEFF"/>
          </w:tcPr>
          <w:p>
            <w:pPr>
              <w:jc w:val="right"/>
              <w:ind w:right="310"/>
              <w:spacing w:after="0"/>
              <w:rPr>
                <w:sz w:val="20"/>
                <w:szCs w:val="20"/>
                <w:color w:val="auto"/>
              </w:rPr>
            </w:pPr>
            <w:r>
              <w:rPr>
                <w:rFonts w:ascii="Arial" w:cs="Arial" w:eastAsia="Arial" w:hAnsi="Arial"/>
                <w:sz w:val="18"/>
                <w:szCs w:val="18"/>
                <w:color w:val="auto"/>
              </w:rPr>
              <w:t>44,679</w:t>
            </w:r>
            <w:r>
              <w:rPr>
                <w:rFonts w:ascii="Arial" w:cs="Arial" w:eastAsia="Arial" w:hAnsi="Arial"/>
                <w:sz w:val="15"/>
                <w:szCs w:val="15"/>
                <w:color w:val="auto"/>
              </w:rPr>
              <w:t>(3)</w:t>
            </w:r>
          </w:p>
        </w:tc>
        <w:tc>
          <w:tcPr>
            <w:tcW w:w="3500" w:type="dxa"/>
            <w:vAlign w:val="bottom"/>
            <w:tcBorders>
              <w:top w:val="single" w:sz="8" w:color="407CCA"/>
            </w:tcBorders>
            <w:vMerge w:val="restart"/>
            <w:shd w:val="clear" w:color="auto" w:fill="CCEEFF"/>
          </w:tcPr>
          <w:p>
            <w:pPr>
              <w:jc w:val="right"/>
              <w:ind w:right="2230"/>
              <w:spacing w:after="0"/>
              <w:rPr>
                <w:sz w:val="20"/>
                <w:szCs w:val="20"/>
                <w:color w:val="auto"/>
              </w:rPr>
            </w:pPr>
            <w:r>
              <w:rPr>
                <w:rFonts w:ascii="Arial" w:cs="Arial" w:eastAsia="Arial" w:hAnsi="Arial"/>
                <w:sz w:val="18"/>
                <w:szCs w:val="18"/>
                <w:color w:val="auto"/>
              </w:rPr>
              <w:t>$789,925</w:t>
            </w:r>
          </w:p>
        </w:tc>
        <w:tc>
          <w:tcPr>
            <w:tcW w:w="1380" w:type="dxa"/>
            <w:vAlign w:val="bottom"/>
            <w:tcBorders>
              <w:top w:val="single" w:sz="8" w:color="407CCA"/>
            </w:tcBorders>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02"/>
        </w:trPr>
        <w:tc>
          <w:tcPr>
            <w:tcW w:w="3130" w:type="dxa"/>
            <w:vAlign w:val="bottom"/>
            <w:shd w:val="clear" w:color="auto" w:fill="CCEEFF"/>
          </w:tcPr>
          <w:p>
            <w:pPr>
              <w:spacing w:after="0"/>
              <w:rPr>
                <w:sz w:val="17"/>
                <w:szCs w:val="17"/>
                <w:color w:val="auto"/>
              </w:rPr>
            </w:pPr>
          </w:p>
        </w:tc>
        <w:tc>
          <w:tcPr>
            <w:tcW w:w="910" w:type="dxa"/>
            <w:vAlign w:val="bottom"/>
            <w:gridSpan w:val="2"/>
            <w:shd w:val="clear" w:color="auto" w:fill="CCEEFF"/>
          </w:tcPr>
          <w:p>
            <w:pPr>
              <w:jc w:val="right"/>
              <w:ind w:right="120"/>
              <w:spacing w:after="0" w:line="201" w:lineRule="exact"/>
              <w:rPr>
                <w:sz w:val="20"/>
                <w:szCs w:val="20"/>
                <w:color w:val="auto"/>
              </w:rPr>
            </w:pPr>
            <w:r>
              <w:rPr>
                <w:rFonts w:ascii="Arial" w:cs="Arial" w:eastAsia="Arial" w:hAnsi="Arial"/>
                <w:sz w:val="18"/>
                <w:szCs w:val="18"/>
                <w:color w:val="auto"/>
              </w:rPr>
              <w:t>3/1/17</w:t>
            </w:r>
          </w:p>
        </w:tc>
        <w:tc>
          <w:tcPr>
            <w:tcW w:w="2100" w:type="dxa"/>
            <w:vAlign w:val="bottom"/>
            <w:vMerge w:val="continue"/>
            <w:shd w:val="clear" w:color="auto" w:fill="CCEEFF"/>
          </w:tcPr>
          <w:p>
            <w:pPr>
              <w:spacing w:after="0"/>
              <w:rPr>
                <w:sz w:val="17"/>
                <w:szCs w:val="17"/>
                <w:color w:val="auto"/>
              </w:rPr>
            </w:pPr>
          </w:p>
        </w:tc>
        <w:tc>
          <w:tcPr>
            <w:tcW w:w="3500" w:type="dxa"/>
            <w:vAlign w:val="bottom"/>
            <w:vMerge w:val="continue"/>
            <w:shd w:val="clear" w:color="auto" w:fill="CCEEFF"/>
          </w:tcPr>
          <w:p>
            <w:pPr>
              <w:spacing w:after="0"/>
              <w:rPr>
                <w:sz w:val="17"/>
                <w:szCs w:val="17"/>
                <w:color w:val="auto"/>
              </w:rPr>
            </w:pPr>
          </w:p>
        </w:tc>
        <w:tc>
          <w:tcPr>
            <w:tcW w:w="138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3130" w:type="dxa"/>
            <w:vAlign w:val="bottom"/>
            <w:shd w:val="clear" w:color="auto" w:fill="CCEEFF"/>
          </w:tcPr>
          <w:p>
            <w:pPr>
              <w:spacing w:after="0"/>
              <w:rPr>
                <w:sz w:val="18"/>
                <w:szCs w:val="18"/>
                <w:color w:val="auto"/>
              </w:rPr>
            </w:pPr>
          </w:p>
        </w:tc>
        <w:tc>
          <w:tcPr>
            <w:tcW w:w="91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3/1/17</w:t>
            </w:r>
          </w:p>
        </w:tc>
        <w:tc>
          <w:tcPr>
            <w:tcW w:w="2100" w:type="dxa"/>
            <w:vAlign w:val="bottom"/>
            <w:shd w:val="clear" w:color="auto" w:fill="CCEEFF"/>
          </w:tcPr>
          <w:p>
            <w:pPr>
              <w:spacing w:after="0"/>
              <w:rPr>
                <w:sz w:val="18"/>
                <w:szCs w:val="18"/>
                <w:color w:val="auto"/>
              </w:rPr>
            </w:pPr>
          </w:p>
        </w:tc>
        <w:tc>
          <w:tcPr>
            <w:tcW w:w="3500" w:type="dxa"/>
            <w:vAlign w:val="bottom"/>
            <w:shd w:val="clear" w:color="auto" w:fill="CCEEFF"/>
          </w:tcPr>
          <w:p>
            <w:pPr>
              <w:jc w:val="right"/>
              <w:ind w:right="410"/>
              <w:spacing w:after="0"/>
              <w:rPr>
                <w:sz w:val="20"/>
                <w:szCs w:val="20"/>
                <w:color w:val="auto"/>
              </w:rPr>
            </w:pPr>
            <w:r>
              <w:rPr>
                <w:rFonts w:ascii="Arial" w:cs="Arial" w:eastAsia="Arial" w:hAnsi="Arial"/>
                <w:sz w:val="18"/>
                <w:szCs w:val="18"/>
                <w:color w:val="auto"/>
              </w:rPr>
              <w:t>264,817</w:t>
            </w:r>
            <w:r>
              <w:rPr>
                <w:rFonts w:ascii="Arial" w:cs="Arial" w:eastAsia="Arial" w:hAnsi="Arial"/>
                <w:sz w:val="15"/>
                <w:szCs w:val="15"/>
                <w:color w:val="auto"/>
              </w:rPr>
              <w:t>(4)</w:t>
            </w:r>
          </w:p>
        </w:tc>
        <w:tc>
          <w:tcPr>
            <w:tcW w:w="13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$4,681,965</w:t>
            </w:r>
          </w:p>
        </w:tc>
        <w:tc>
          <w:tcPr>
            <w:tcW w:w="0" w:type="dxa"/>
            <w:vAlign w:val="bottom"/>
          </w:tcPr>
          <w:p>
            <w:pPr>
              <w:spacing w:after="0"/>
              <w:rPr>
                <w:sz w:val="1"/>
                <w:szCs w:val="1"/>
                <w:color w:val="auto"/>
              </w:rPr>
            </w:pPr>
          </w:p>
        </w:tc>
      </w:tr>
      <w:tr>
        <w:trPr>
          <w:trHeight w:val="216"/>
        </w:trPr>
        <w:tc>
          <w:tcPr>
            <w:tcW w:w="3130" w:type="dxa"/>
            <w:vAlign w:val="bottom"/>
            <w:shd w:val="clear" w:color="auto" w:fill="CCEEFF"/>
          </w:tcPr>
          <w:p>
            <w:pPr>
              <w:spacing w:after="0"/>
              <w:rPr>
                <w:sz w:val="18"/>
                <w:szCs w:val="18"/>
                <w:color w:val="auto"/>
              </w:rPr>
            </w:pPr>
          </w:p>
        </w:tc>
        <w:tc>
          <w:tcPr>
            <w:tcW w:w="91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3/1/18</w:t>
            </w:r>
          </w:p>
        </w:tc>
        <w:tc>
          <w:tcPr>
            <w:tcW w:w="2100" w:type="dxa"/>
            <w:vAlign w:val="bottom"/>
            <w:shd w:val="clear" w:color="auto" w:fill="CCEEFF"/>
          </w:tcPr>
          <w:p>
            <w:pPr>
              <w:jc w:val="right"/>
              <w:ind w:right="310"/>
              <w:spacing w:after="0"/>
              <w:rPr>
                <w:sz w:val="20"/>
                <w:szCs w:val="20"/>
                <w:color w:val="auto"/>
              </w:rPr>
            </w:pPr>
            <w:r>
              <w:rPr>
                <w:rFonts w:ascii="Arial" w:cs="Arial" w:eastAsia="Arial" w:hAnsi="Arial"/>
                <w:sz w:val="18"/>
                <w:szCs w:val="18"/>
                <w:color w:val="auto"/>
              </w:rPr>
              <w:t>86,649</w:t>
            </w:r>
            <w:r>
              <w:rPr>
                <w:rFonts w:ascii="Arial" w:cs="Arial" w:eastAsia="Arial" w:hAnsi="Arial"/>
                <w:sz w:val="15"/>
                <w:szCs w:val="15"/>
                <w:color w:val="auto"/>
              </w:rPr>
              <w:t>(3)</w:t>
            </w:r>
          </w:p>
        </w:tc>
        <w:tc>
          <w:tcPr>
            <w:tcW w:w="3500" w:type="dxa"/>
            <w:vAlign w:val="bottom"/>
            <w:shd w:val="clear" w:color="auto" w:fill="CCEEFF"/>
          </w:tcPr>
          <w:p>
            <w:pPr>
              <w:jc w:val="right"/>
              <w:ind w:right="2230"/>
              <w:spacing w:after="0"/>
              <w:rPr>
                <w:sz w:val="20"/>
                <w:szCs w:val="20"/>
                <w:color w:val="auto"/>
              </w:rPr>
            </w:pPr>
            <w:r>
              <w:rPr>
                <w:rFonts w:ascii="Arial" w:cs="Arial" w:eastAsia="Arial" w:hAnsi="Arial"/>
                <w:sz w:val="18"/>
                <w:szCs w:val="18"/>
                <w:color w:val="auto"/>
              </w:rPr>
              <w:t>$1,531,954</w:t>
            </w:r>
          </w:p>
        </w:tc>
        <w:tc>
          <w:tcPr>
            <w:tcW w:w="13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130" w:type="dxa"/>
            <w:vAlign w:val="bottom"/>
            <w:shd w:val="clear" w:color="auto" w:fill="CCEEFF"/>
          </w:tcPr>
          <w:p>
            <w:pPr>
              <w:spacing w:after="0"/>
              <w:rPr>
                <w:sz w:val="18"/>
                <w:szCs w:val="18"/>
                <w:color w:val="auto"/>
              </w:rPr>
            </w:pPr>
          </w:p>
        </w:tc>
        <w:tc>
          <w:tcPr>
            <w:tcW w:w="91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3/1/18</w:t>
            </w:r>
          </w:p>
        </w:tc>
        <w:tc>
          <w:tcPr>
            <w:tcW w:w="2100" w:type="dxa"/>
            <w:vAlign w:val="bottom"/>
            <w:shd w:val="clear" w:color="auto" w:fill="CCEEFF"/>
          </w:tcPr>
          <w:p>
            <w:pPr>
              <w:spacing w:after="0"/>
              <w:rPr>
                <w:sz w:val="18"/>
                <w:szCs w:val="18"/>
                <w:color w:val="auto"/>
              </w:rPr>
            </w:pPr>
          </w:p>
        </w:tc>
        <w:tc>
          <w:tcPr>
            <w:tcW w:w="3500" w:type="dxa"/>
            <w:vAlign w:val="bottom"/>
            <w:shd w:val="clear" w:color="auto" w:fill="CCEEFF"/>
          </w:tcPr>
          <w:p>
            <w:pPr>
              <w:jc w:val="right"/>
              <w:ind w:right="410"/>
              <w:spacing w:after="0"/>
              <w:rPr>
                <w:sz w:val="20"/>
                <w:szCs w:val="20"/>
                <w:color w:val="auto"/>
              </w:rPr>
            </w:pPr>
            <w:r>
              <w:rPr>
                <w:rFonts w:ascii="Arial" w:cs="Arial" w:eastAsia="Arial" w:hAnsi="Arial"/>
                <w:sz w:val="18"/>
                <w:szCs w:val="18"/>
                <w:color w:val="auto"/>
              </w:rPr>
              <w:t>185,667</w:t>
            </w:r>
            <w:r>
              <w:rPr>
                <w:rFonts w:ascii="Arial" w:cs="Arial" w:eastAsia="Arial" w:hAnsi="Arial"/>
                <w:sz w:val="15"/>
                <w:szCs w:val="15"/>
                <w:color w:val="auto"/>
              </w:rPr>
              <w:t>(4)</w:t>
            </w:r>
          </w:p>
        </w:tc>
        <w:tc>
          <w:tcPr>
            <w:tcW w:w="13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$3,282,593</w:t>
            </w:r>
          </w:p>
        </w:tc>
        <w:tc>
          <w:tcPr>
            <w:tcW w:w="0" w:type="dxa"/>
            <w:vAlign w:val="bottom"/>
          </w:tcPr>
          <w:p>
            <w:pPr>
              <w:spacing w:after="0"/>
              <w:rPr>
                <w:sz w:val="1"/>
                <w:szCs w:val="1"/>
                <w:color w:val="auto"/>
              </w:rPr>
            </w:pPr>
          </w:p>
        </w:tc>
      </w:tr>
      <w:tr>
        <w:trPr>
          <w:trHeight w:val="216"/>
        </w:trPr>
        <w:tc>
          <w:tcPr>
            <w:tcW w:w="3130" w:type="dxa"/>
            <w:vAlign w:val="bottom"/>
            <w:shd w:val="clear" w:color="auto" w:fill="CCEEFF"/>
          </w:tcPr>
          <w:p>
            <w:pPr>
              <w:spacing w:after="0"/>
              <w:rPr>
                <w:sz w:val="18"/>
                <w:szCs w:val="18"/>
                <w:color w:val="auto"/>
              </w:rPr>
            </w:pPr>
          </w:p>
        </w:tc>
        <w:tc>
          <w:tcPr>
            <w:tcW w:w="91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3/1/19</w:t>
            </w:r>
          </w:p>
        </w:tc>
        <w:tc>
          <w:tcPr>
            <w:tcW w:w="2100" w:type="dxa"/>
            <w:vAlign w:val="bottom"/>
            <w:shd w:val="clear" w:color="auto" w:fill="CCEEFF"/>
          </w:tcPr>
          <w:p>
            <w:pPr>
              <w:jc w:val="right"/>
              <w:ind w:right="310"/>
              <w:spacing w:after="0"/>
              <w:rPr>
                <w:sz w:val="20"/>
                <w:szCs w:val="20"/>
                <w:color w:val="auto"/>
              </w:rPr>
            </w:pPr>
            <w:r>
              <w:rPr>
                <w:rFonts w:ascii="Arial" w:cs="Arial" w:eastAsia="Arial" w:hAnsi="Arial"/>
                <w:sz w:val="18"/>
                <w:szCs w:val="18"/>
                <w:color w:val="auto"/>
              </w:rPr>
              <w:t>169,187</w:t>
            </w:r>
            <w:r>
              <w:rPr>
                <w:rFonts w:ascii="Arial" w:cs="Arial" w:eastAsia="Arial" w:hAnsi="Arial"/>
                <w:sz w:val="15"/>
                <w:szCs w:val="15"/>
                <w:color w:val="auto"/>
              </w:rPr>
              <w:t>(3)</w:t>
            </w:r>
          </w:p>
        </w:tc>
        <w:tc>
          <w:tcPr>
            <w:tcW w:w="3500" w:type="dxa"/>
            <w:vAlign w:val="bottom"/>
            <w:shd w:val="clear" w:color="auto" w:fill="CCEEFF"/>
          </w:tcPr>
          <w:p>
            <w:pPr>
              <w:jc w:val="right"/>
              <w:ind w:right="2230"/>
              <w:spacing w:after="0"/>
              <w:rPr>
                <w:sz w:val="20"/>
                <w:szCs w:val="20"/>
                <w:color w:val="auto"/>
              </w:rPr>
            </w:pPr>
            <w:r>
              <w:rPr>
                <w:rFonts w:ascii="Arial" w:cs="Arial" w:eastAsia="Arial" w:hAnsi="Arial"/>
                <w:sz w:val="18"/>
                <w:szCs w:val="18"/>
                <w:color w:val="auto"/>
              </w:rPr>
              <w:t>$2,991,226</w:t>
            </w:r>
          </w:p>
        </w:tc>
        <w:tc>
          <w:tcPr>
            <w:tcW w:w="13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3130" w:type="dxa"/>
            <w:vAlign w:val="bottom"/>
            <w:shd w:val="clear" w:color="auto" w:fill="CCEEFF"/>
          </w:tcPr>
          <w:p>
            <w:pPr>
              <w:spacing w:after="0"/>
              <w:rPr>
                <w:sz w:val="20"/>
                <w:szCs w:val="20"/>
                <w:color w:val="auto"/>
              </w:rPr>
            </w:pPr>
          </w:p>
        </w:tc>
        <w:tc>
          <w:tcPr>
            <w:tcW w:w="91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3/1/19</w:t>
            </w:r>
          </w:p>
        </w:tc>
        <w:tc>
          <w:tcPr>
            <w:tcW w:w="2100" w:type="dxa"/>
            <w:vAlign w:val="bottom"/>
            <w:shd w:val="clear" w:color="auto" w:fill="CCEEFF"/>
          </w:tcPr>
          <w:p>
            <w:pPr>
              <w:spacing w:after="0"/>
              <w:rPr>
                <w:sz w:val="20"/>
                <w:szCs w:val="20"/>
                <w:color w:val="auto"/>
              </w:rPr>
            </w:pPr>
          </w:p>
        </w:tc>
        <w:tc>
          <w:tcPr>
            <w:tcW w:w="3500" w:type="dxa"/>
            <w:vAlign w:val="bottom"/>
            <w:shd w:val="clear" w:color="auto" w:fill="CCEEFF"/>
          </w:tcPr>
          <w:p>
            <w:pPr>
              <w:jc w:val="right"/>
              <w:ind w:right="410"/>
              <w:spacing w:after="0"/>
              <w:rPr>
                <w:sz w:val="20"/>
                <w:szCs w:val="20"/>
                <w:color w:val="auto"/>
              </w:rPr>
            </w:pPr>
            <w:r>
              <w:rPr>
                <w:rFonts w:ascii="Arial" w:cs="Arial" w:eastAsia="Arial" w:hAnsi="Arial"/>
                <w:sz w:val="18"/>
                <w:szCs w:val="18"/>
                <w:color w:val="auto"/>
              </w:rPr>
              <w:t>338,376</w:t>
            </w:r>
            <w:r>
              <w:rPr>
                <w:rFonts w:ascii="Arial" w:cs="Arial" w:eastAsia="Arial" w:hAnsi="Arial"/>
                <w:sz w:val="15"/>
                <w:szCs w:val="15"/>
                <w:color w:val="auto"/>
              </w:rPr>
              <w:t>(5)</w:t>
            </w:r>
          </w:p>
        </w:tc>
        <w:tc>
          <w:tcPr>
            <w:tcW w:w="13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$5,982,488</w:t>
            </w:r>
          </w:p>
        </w:tc>
        <w:tc>
          <w:tcPr>
            <w:tcW w:w="0" w:type="dxa"/>
            <w:vAlign w:val="bottom"/>
          </w:tcPr>
          <w:p>
            <w:pPr>
              <w:spacing w:after="0"/>
              <w:rPr>
                <w:sz w:val="1"/>
                <w:szCs w:val="1"/>
                <w:color w:val="auto"/>
              </w:rPr>
            </w:pPr>
          </w:p>
        </w:tc>
      </w:tr>
      <w:tr>
        <w:trPr>
          <w:trHeight w:val="269"/>
        </w:trPr>
        <w:tc>
          <w:tcPr>
            <w:tcW w:w="4040" w:type="dxa"/>
            <w:vAlign w:val="bottom"/>
            <w:gridSpan w:val="3"/>
          </w:tcPr>
          <w:p>
            <w:pPr>
              <w:ind w:left="80"/>
              <w:spacing w:after="0"/>
              <w:rPr>
                <w:sz w:val="20"/>
                <w:szCs w:val="20"/>
                <w:color w:val="auto"/>
              </w:rPr>
            </w:pPr>
            <w:r>
              <w:rPr>
                <w:rFonts w:ascii="Arial" w:cs="Arial" w:eastAsia="Arial" w:hAnsi="Arial"/>
                <w:sz w:val="18"/>
                <w:szCs w:val="18"/>
                <w:b w:val="1"/>
                <w:bCs w:val="1"/>
                <w:color w:val="auto"/>
              </w:rPr>
              <w:t>Peter J. Federico</w:t>
            </w:r>
          </w:p>
        </w:tc>
        <w:tc>
          <w:tcPr>
            <w:tcW w:w="2100" w:type="dxa"/>
            <w:vAlign w:val="bottom"/>
          </w:tcPr>
          <w:p>
            <w:pPr>
              <w:spacing w:after="0"/>
              <w:rPr>
                <w:sz w:val="23"/>
                <w:szCs w:val="23"/>
                <w:color w:val="auto"/>
              </w:rPr>
            </w:pPr>
          </w:p>
        </w:tc>
        <w:tc>
          <w:tcPr>
            <w:tcW w:w="3500" w:type="dxa"/>
            <w:vAlign w:val="bottom"/>
          </w:tcPr>
          <w:p>
            <w:pPr>
              <w:spacing w:after="0"/>
              <w:rPr>
                <w:sz w:val="23"/>
                <w:szCs w:val="23"/>
                <w:color w:val="auto"/>
              </w:rPr>
            </w:pPr>
          </w:p>
        </w:tc>
        <w:tc>
          <w:tcPr>
            <w:tcW w:w="138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16"/>
        </w:trPr>
        <w:tc>
          <w:tcPr>
            <w:tcW w:w="4040" w:type="dxa"/>
            <w:vAlign w:val="bottom"/>
            <w:gridSpan w:val="3"/>
          </w:tcPr>
          <w:p>
            <w:pPr>
              <w:jc w:val="right"/>
              <w:ind w:right="120"/>
              <w:spacing w:after="0"/>
              <w:rPr>
                <w:sz w:val="20"/>
                <w:szCs w:val="20"/>
                <w:color w:val="auto"/>
              </w:rPr>
            </w:pPr>
            <w:r>
              <w:rPr>
                <w:rFonts w:ascii="Arial" w:cs="Arial" w:eastAsia="Arial" w:hAnsi="Arial"/>
                <w:sz w:val="18"/>
                <w:szCs w:val="18"/>
                <w:color w:val="auto"/>
              </w:rPr>
              <w:t>3/1/17</w:t>
            </w:r>
          </w:p>
        </w:tc>
        <w:tc>
          <w:tcPr>
            <w:tcW w:w="2100" w:type="dxa"/>
            <w:vAlign w:val="bottom"/>
          </w:tcPr>
          <w:p>
            <w:pPr>
              <w:jc w:val="right"/>
              <w:ind w:right="310"/>
              <w:spacing w:after="0"/>
              <w:rPr>
                <w:sz w:val="20"/>
                <w:szCs w:val="20"/>
                <w:color w:val="auto"/>
              </w:rPr>
            </w:pPr>
            <w:r>
              <w:rPr>
                <w:rFonts w:ascii="Arial" w:cs="Arial" w:eastAsia="Arial" w:hAnsi="Arial"/>
                <w:sz w:val="18"/>
                <w:szCs w:val="18"/>
                <w:color w:val="auto"/>
              </w:rPr>
              <w:t>14,891</w:t>
            </w:r>
            <w:r>
              <w:rPr>
                <w:rFonts w:ascii="Arial" w:cs="Arial" w:eastAsia="Arial" w:hAnsi="Arial"/>
                <w:sz w:val="15"/>
                <w:szCs w:val="15"/>
                <w:color w:val="auto"/>
              </w:rPr>
              <w:t>(3)</w:t>
            </w:r>
          </w:p>
        </w:tc>
        <w:tc>
          <w:tcPr>
            <w:tcW w:w="3500" w:type="dxa"/>
            <w:vAlign w:val="bottom"/>
          </w:tcPr>
          <w:p>
            <w:pPr>
              <w:jc w:val="right"/>
              <w:ind w:right="2230"/>
              <w:spacing w:after="0"/>
              <w:rPr>
                <w:sz w:val="20"/>
                <w:szCs w:val="20"/>
                <w:color w:val="auto"/>
              </w:rPr>
            </w:pPr>
            <w:r>
              <w:rPr>
                <w:rFonts w:ascii="Arial" w:cs="Arial" w:eastAsia="Arial" w:hAnsi="Arial"/>
                <w:sz w:val="18"/>
                <w:szCs w:val="18"/>
                <w:color w:val="auto"/>
              </w:rPr>
              <w:t>$263,273</w:t>
            </w:r>
          </w:p>
        </w:tc>
        <w:tc>
          <w:tcPr>
            <w:tcW w:w="13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040" w:type="dxa"/>
            <w:vAlign w:val="bottom"/>
            <w:gridSpan w:val="3"/>
          </w:tcPr>
          <w:p>
            <w:pPr>
              <w:jc w:val="right"/>
              <w:ind w:right="120"/>
              <w:spacing w:after="0"/>
              <w:rPr>
                <w:sz w:val="20"/>
                <w:szCs w:val="20"/>
                <w:color w:val="auto"/>
              </w:rPr>
            </w:pPr>
            <w:r>
              <w:rPr>
                <w:rFonts w:ascii="Arial" w:cs="Arial" w:eastAsia="Arial" w:hAnsi="Arial"/>
                <w:sz w:val="18"/>
                <w:szCs w:val="18"/>
                <w:color w:val="auto"/>
              </w:rPr>
              <w:t>3/1/17</w:t>
            </w:r>
          </w:p>
        </w:tc>
        <w:tc>
          <w:tcPr>
            <w:tcW w:w="2100" w:type="dxa"/>
            <w:vAlign w:val="bottom"/>
          </w:tcPr>
          <w:p>
            <w:pPr>
              <w:spacing w:after="0"/>
              <w:rPr>
                <w:sz w:val="18"/>
                <w:szCs w:val="18"/>
                <w:color w:val="auto"/>
              </w:rPr>
            </w:pPr>
          </w:p>
        </w:tc>
        <w:tc>
          <w:tcPr>
            <w:tcW w:w="3500" w:type="dxa"/>
            <w:vAlign w:val="bottom"/>
          </w:tcPr>
          <w:p>
            <w:pPr>
              <w:jc w:val="right"/>
              <w:ind w:right="410"/>
              <w:spacing w:after="0"/>
              <w:rPr>
                <w:sz w:val="20"/>
                <w:szCs w:val="20"/>
                <w:color w:val="auto"/>
              </w:rPr>
            </w:pPr>
            <w:r>
              <w:rPr>
                <w:rFonts w:ascii="Arial" w:cs="Arial" w:eastAsia="Arial" w:hAnsi="Arial"/>
                <w:sz w:val="18"/>
                <w:szCs w:val="18"/>
                <w:color w:val="auto"/>
              </w:rPr>
              <w:t>88,268</w:t>
            </w:r>
            <w:r>
              <w:rPr>
                <w:rFonts w:ascii="Arial" w:cs="Arial" w:eastAsia="Arial" w:hAnsi="Arial"/>
                <w:sz w:val="15"/>
                <w:szCs w:val="15"/>
                <w:color w:val="auto"/>
              </w:rPr>
              <w:t>(4)</w:t>
            </w:r>
          </w:p>
        </w:tc>
        <w:tc>
          <w:tcPr>
            <w:tcW w:w="1380" w:type="dxa"/>
            <w:vAlign w:val="bottom"/>
          </w:tcPr>
          <w:p>
            <w:pPr>
              <w:jc w:val="right"/>
              <w:spacing w:after="0"/>
              <w:rPr>
                <w:sz w:val="20"/>
                <w:szCs w:val="20"/>
                <w:color w:val="auto"/>
              </w:rPr>
            </w:pPr>
            <w:r>
              <w:rPr>
                <w:rFonts w:ascii="Arial" w:cs="Arial" w:eastAsia="Arial" w:hAnsi="Arial"/>
                <w:sz w:val="18"/>
                <w:szCs w:val="18"/>
                <w:color w:val="auto"/>
              </w:rPr>
              <w:t>$1,560,578</w:t>
            </w:r>
          </w:p>
        </w:tc>
        <w:tc>
          <w:tcPr>
            <w:tcW w:w="0" w:type="dxa"/>
            <w:vAlign w:val="bottom"/>
          </w:tcPr>
          <w:p>
            <w:pPr>
              <w:spacing w:after="0"/>
              <w:rPr>
                <w:sz w:val="1"/>
                <w:szCs w:val="1"/>
                <w:color w:val="auto"/>
              </w:rPr>
            </w:pPr>
          </w:p>
        </w:tc>
      </w:tr>
      <w:tr>
        <w:trPr>
          <w:trHeight w:val="216"/>
        </w:trPr>
        <w:tc>
          <w:tcPr>
            <w:tcW w:w="4040" w:type="dxa"/>
            <w:vAlign w:val="bottom"/>
            <w:gridSpan w:val="3"/>
          </w:tcPr>
          <w:p>
            <w:pPr>
              <w:jc w:val="right"/>
              <w:ind w:right="120"/>
              <w:spacing w:after="0"/>
              <w:rPr>
                <w:sz w:val="20"/>
                <w:szCs w:val="20"/>
                <w:color w:val="auto"/>
              </w:rPr>
            </w:pPr>
            <w:r>
              <w:rPr>
                <w:rFonts w:ascii="Arial" w:cs="Arial" w:eastAsia="Arial" w:hAnsi="Arial"/>
                <w:sz w:val="18"/>
                <w:szCs w:val="18"/>
                <w:color w:val="auto"/>
              </w:rPr>
              <w:t>3/1/18</w:t>
            </w:r>
          </w:p>
        </w:tc>
        <w:tc>
          <w:tcPr>
            <w:tcW w:w="2100" w:type="dxa"/>
            <w:vAlign w:val="bottom"/>
          </w:tcPr>
          <w:p>
            <w:pPr>
              <w:jc w:val="right"/>
              <w:ind w:right="310"/>
              <w:spacing w:after="0"/>
              <w:rPr>
                <w:sz w:val="20"/>
                <w:szCs w:val="20"/>
                <w:color w:val="auto"/>
              </w:rPr>
            </w:pPr>
            <w:r>
              <w:rPr>
                <w:rFonts w:ascii="Arial" w:cs="Arial" w:eastAsia="Arial" w:hAnsi="Arial"/>
                <w:sz w:val="18"/>
                <w:szCs w:val="18"/>
                <w:color w:val="auto"/>
              </w:rPr>
              <w:t>28,860</w:t>
            </w:r>
            <w:r>
              <w:rPr>
                <w:rFonts w:ascii="Arial" w:cs="Arial" w:eastAsia="Arial" w:hAnsi="Arial"/>
                <w:sz w:val="15"/>
                <w:szCs w:val="15"/>
                <w:color w:val="auto"/>
              </w:rPr>
              <w:t>(3)</w:t>
            </w:r>
          </w:p>
        </w:tc>
        <w:tc>
          <w:tcPr>
            <w:tcW w:w="3500" w:type="dxa"/>
            <w:vAlign w:val="bottom"/>
          </w:tcPr>
          <w:p>
            <w:pPr>
              <w:jc w:val="right"/>
              <w:ind w:right="2230"/>
              <w:spacing w:after="0"/>
              <w:rPr>
                <w:sz w:val="20"/>
                <w:szCs w:val="20"/>
                <w:color w:val="auto"/>
              </w:rPr>
            </w:pPr>
            <w:r>
              <w:rPr>
                <w:rFonts w:ascii="Arial" w:cs="Arial" w:eastAsia="Arial" w:hAnsi="Arial"/>
                <w:sz w:val="18"/>
                <w:szCs w:val="18"/>
                <w:color w:val="auto"/>
              </w:rPr>
              <w:t>$510,245</w:t>
            </w:r>
          </w:p>
        </w:tc>
        <w:tc>
          <w:tcPr>
            <w:tcW w:w="13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040" w:type="dxa"/>
            <w:vAlign w:val="bottom"/>
            <w:gridSpan w:val="3"/>
          </w:tcPr>
          <w:p>
            <w:pPr>
              <w:jc w:val="right"/>
              <w:ind w:right="120"/>
              <w:spacing w:after="0"/>
              <w:rPr>
                <w:sz w:val="20"/>
                <w:szCs w:val="20"/>
                <w:color w:val="auto"/>
              </w:rPr>
            </w:pPr>
            <w:r>
              <w:rPr>
                <w:rFonts w:ascii="Arial" w:cs="Arial" w:eastAsia="Arial" w:hAnsi="Arial"/>
                <w:sz w:val="18"/>
                <w:szCs w:val="18"/>
                <w:color w:val="auto"/>
              </w:rPr>
              <w:t>3/1/18</w:t>
            </w:r>
          </w:p>
        </w:tc>
        <w:tc>
          <w:tcPr>
            <w:tcW w:w="2100" w:type="dxa"/>
            <w:vAlign w:val="bottom"/>
          </w:tcPr>
          <w:p>
            <w:pPr>
              <w:spacing w:after="0"/>
              <w:rPr>
                <w:sz w:val="18"/>
                <w:szCs w:val="18"/>
                <w:color w:val="auto"/>
              </w:rPr>
            </w:pPr>
          </w:p>
        </w:tc>
        <w:tc>
          <w:tcPr>
            <w:tcW w:w="3500" w:type="dxa"/>
            <w:vAlign w:val="bottom"/>
          </w:tcPr>
          <w:p>
            <w:pPr>
              <w:jc w:val="right"/>
              <w:ind w:right="410"/>
              <w:spacing w:after="0"/>
              <w:rPr>
                <w:sz w:val="20"/>
                <w:szCs w:val="20"/>
                <w:color w:val="auto"/>
              </w:rPr>
            </w:pPr>
            <w:r>
              <w:rPr>
                <w:rFonts w:ascii="Arial" w:cs="Arial" w:eastAsia="Arial" w:hAnsi="Arial"/>
                <w:sz w:val="18"/>
                <w:szCs w:val="18"/>
                <w:color w:val="auto"/>
              </w:rPr>
              <w:t>61,888</w:t>
            </w:r>
            <w:r>
              <w:rPr>
                <w:rFonts w:ascii="Arial" w:cs="Arial" w:eastAsia="Arial" w:hAnsi="Arial"/>
                <w:sz w:val="15"/>
                <w:szCs w:val="15"/>
                <w:color w:val="auto"/>
              </w:rPr>
              <w:t>(4)</w:t>
            </w:r>
          </w:p>
        </w:tc>
        <w:tc>
          <w:tcPr>
            <w:tcW w:w="1380" w:type="dxa"/>
            <w:vAlign w:val="bottom"/>
          </w:tcPr>
          <w:p>
            <w:pPr>
              <w:jc w:val="right"/>
              <w:spacing w:after="0"/>
              <w:rPr>
                <w:sz w:val="20"/>
                <w:szCs w:val="20"/>
                <w:color w:val="auto"/>
              </w:rPr>
            </w:pPr>
            <w:r>
              <w:rPr>
                <w:rFonts w:ascii="Arial" w:cs="Arial" w:eastAsia="Arial" w:hAnsi="Arial"/>
                <w:sz w:val="18"/>
                <w:szCs w:val="18"/>
                <w:color w:val="auto"/>
              </w:rPr>
              <w:t>$1,094,180</w:t>
            </w:r>
          </w:p>
        </w:tc>
        <w:tc>
          <w:tcPr>
            <w:tcW w:w="0" w:type="dxa"/>
            <w:vAlign w:val="bottom"/>
          </w:tcPr>
          <w:p>
            <w:pPr>
              <w:spacing w:after="0"/>
              <w:rPr>
                <w:sz w:val="1"/>
                <w:szCs w:val="1"/>
                <w:color w:val="auto"/>
              </w:rPr>
            </w:pPr>
          </w:p>
        </w:tc>
      </w:tr>
      <w:tr>
        <w:trPr>
          <w:trHeight w:val="216"/>
        </w:trPr>
        <w:tc>
          <w:tcPr>
            <w:tcW w:w="4040" w:type="dxa"/>
            <w:vAlign w:val="bottom"/>
            <w:gridSpan w:val="3"/>
          </w:tcPr>
          <w:p>
            <w:pPr>
              <w:jc w:val="right"/>
              <w:ind w:right="120"/>
              <w:spacing w:after="0"/>
              <w:rPr>
                <w:sz w:val="20"/>
                <w:szCs w:val="20"/>
                <w:color w:val="auto"/>
              </w:rPr>
            </w:pPr>
            <w:r>
              <w:rPr>
                <w:rFonts w:ascii="Arial" w:cs="Arial" w:eastAsia="Arial" w:hAnsi="Arial"/>
                <w:sz w:val="18"/>
                <w:szCs w:val="18"/>
                <w:color w:val="auto"/>
              </w:rPr>
              <w:t>3/1/19</w:t>
            </w:r>
          </w:p>
        </w:tc>
        <w:tc>
          <w:tcPr>
            <w:tcW w:w="2100" w:type="dxa"/>
            <w:vAlign w:val="bottom"/>
          </w:tcPr>
          <w:p>
            <w:pPr>
              <w:jc w:val="right"/>
              <w:ind w:right="310"/>
              <w:spacing w:after="0"/>
              <w:rPr>
                <w:sz w:val="20"/>
                <w:szCs w:val="20"/>
                <w:color w:val="auto"/>
              </w:rPr>
            </w:pPr>
            <w:r>
              <w:rPr>
                <w:rFonts w:ascii="Arial" w:cs="Arial" w:eastAsia="Arial" w:hAnsi="Arial"/>
                <w:sz w:val="18"/>
                <w:szCs w:val="18"/>
                <w:color w:val="auto"/>
              </w:rPr>
              <w:t>56,395</w:t>
            </w:r>
            <w:r>
              <w:rPr>
                <w:rFonts w:ascii="Arial" w:cs="Arial" w:eastAsia="Arial" w:hAnsi="Arial"/>
                <w:sz w:val="15"/>
                <w:szCs w:val="15"/>
                <w:color w:val="auto"/>
              </w:rPr>
              <w:t>(3)</w:t>
            </w:r>
          </w:p>
        </w:tc>
        <w:tc>
          <w:tcPr>
            <w:tcW w:w="3500" w:type="dxa"/>
            <w:vAlign w:val="bottom"/>
          </w:tcPr>
          <w:p>
            <w:pPr>
              <w:jc w:val="right"/>
              <w:ind w:right="2230"/>
              <w:spacing w:after="0"/>
              <w:rPr>
                <w:sz w:val="20"/>
                <w:szCs w:val="20"/>
                <w:color w:val="auto"/>
              </w:rPr>
            </w:pPr>
            <w:r>
              <w:rPr>
                <w:rFonts w:ascii="Arial" w:cs="Arial" w:eastAsia="Arial" w:hAnsi="Arial"/>
                <w:sz w:val="18"/>
                <w:szCs w:val="18"/>
                <w:color w:val="auto"/>
              </w:rPr>
              <w:t>$997,064</w:t>
            </w:r>
          </w:p>
        </w:tc>
        <w:tc>
          <w:tcPr>
            <w:tcW w:w="13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4040" w:type="dxa"/>
            <w:vAlign w:val="bottom"/>
            <w:gridSpan w:val="3"/>
          </w:tcPr>
          <w:p>
            <w:pPr>
              <w:jc w:val="right"/>
              <w:ind w:right="120"/>
              <w:spacing w:after="0"/>
              <w:rPr>
                <w:sz w:val="20"/>
                <w:szCs w:val="20"/>
                <w:color w:val="auto"/>
              </w:rPr>
            </w:pPr>
            <w:r>
              <w:rPr>
                <w:rFonts w:ascii="Arial" w:cs="Arial" w:eastAsia="Arial" w:hAnsi="Arial"/>
                <w:sz w:val="18"/>
                <w:szCs w:val="18"/>
                <w:color w:val="auto"/>
              </w:rPr>
              <w:t>3/1/19</w:t>
            </w:r>
          </w:p>
        </w:tc>
        <w:tc>
          <w:tcPr>
            <w:tcW w:w="2100" w:type="dxa"/>
            <w:vAlign w:val="bottom"/>
          </w:tcPr>
          <w:p>
            <w:pPr>
              <w:spacing w:after="0"/>
              <w:rPr>
                <w:sz w:val="20"/>
                <w:szCs w:val="20"/>
                <w:color w:val="auto"/>
              </w:rPr>
            </w:pPr>
          </w:p>
        </w:tc>
        <w:tc>
          <w:tcPr>
            <w:tcW w:w="3500" w:type="dxa"/>
            <w:vAlign w:val="bottom"/>
          </w:tcPr>
          <w:p>
            <w:pPr>
              <w:jc w:val="right"/>
              <w:ind w:right="410"/>
              <w:spacing w:after="0"/>
              <w:rPr>
                <w:sz w:val="20"/>
                <w:szCs w:val="20"/>
                <w:color w:val="auto"/>
              </w:rPr>
            </w:pPr>
            <w:r>
              <w:rPr>
                <w:rFonts w:ascii="Arial" w:cs="Arial" w:eastAsia="Arial" w:hAnsi="Arial"/>
                <w:sz w:val="18"/>
                <w:szCs w:val="18"/>
                <w:color w:val="auto"/>
              </w:rPr>
              <w:t>56,395</w:t>
            </w:r>
            <w:r>
              <w:rPr>
                <w:rFonts w:ascii="Arial" w:cs="Arial" w:eastAsia="Arial" w:hAnsi="Arial"/>
                <w:sz w:val="15"/>
                <w:szCs w:val="15"/>
                <w:color w:val="auto"/>
              </w:rPr>
              <w:t>(5)</w:t>
            </w:r>
          </w:p>
        </w:tc>
        <w:tc>
          <w:tcPr>
            <w:tcW w:w="1380" w:type="dxa"/>
            <w:vAlign w:val="bottom"/>
          </w:tcPr>
          <w:p>
            <w:pPr>
              <w:jc w:val="right"/>
              <w:spacing w:after="0"/>
              <w:rPr>
                <w:sz w:val="20"/>
                <w:szCs w:val="20"/>
                <w:color w:val="auto"/>
              </w:rPr>
            </w:pPr>
            <w:r>
              <w:rPr>
                <w:rFonts w:ascii="Arial" w:cs="Arial" w:eastAsia="Arial" w:hAnsi="Arial"/>
                <w:sz w:val="18"/>
                <w:szCs w:val="18"/>
                <w:color w:val="auto"/>
              </w:rPr>
              <w:t>$997,064</w:t>
            </w:r>
          </w:p>
        </w:tc>
        <w:tc>
          <w:tcPr>
            <w:tcW w:w="0" w:type="dxa"/>
            <w:vAlign w:val="bottom"/>
          </w:tcPr>
          <w:p>
            <w:pPr>
              <w:spacing w:after="0"/>
              <w:rPr>
                <w:sz w:val="1"/>
                <w:szCs w:val="1"/>
                <w:color w:val="auto"/>
              </w:rPr>
            </w:pPr>
          </w:p>
        </w:tc>
      </w:tr>
      <w:tr>
        <w:trPr>
          <w:trHeight w:val="68"/>
        </w:trPr>
        <w:tc>
          <w:tcPr>
            <w:tcW w:w="3860" w:type="dxa"/>
            <w:vAlign w:val="bottom"/>
            <w:gridSpan w:val="2"/>
          </w:tcPr>
          <w:p>
            <w:pPr>
              <w:spacing w:after="0"/>
              <w:rPr>
                <w:sz w:val="5"/>
                <w:szCs w:val="5"/>
                <w:color w:val="auto"/>
              </w:rPr>
            </w:pPr>
          </w:p>
        </w:tc>
        <w:tc>
          <w:tcPr>
            <w:tcW w:w="180" w:type="dxa"/>
            <w:vAlign w:val="bottom"/>
          </w:tcPr>
          <w:p>
            <w:pPr>
              <w:spacing w:after="0"/>
              <w:rPr>
                <w:sz w:val="5"/>
                <w:szCs w:val="5"/>
                <w:color w:val="auto"/>
              </w:rPr>
            </w:pPr>
          </w:p>
        </w:tc>
        <w:tc>
          <w:tcPr>
            <w:tcW w:w="2100" w:type="dxa"/>
            <w:vAlign w:val="bottom"/>
          </w:tcPr>
          <w:p>
            <w:pPr>
              <w:spacing w:after="0"/>
              <w:rPr>
                <w:sz w:val="5"/>
                <w:szCs w:val="5"/>
                <w:color w:val="auto"/>
              </w:rPr>
            </w:pPr>
          </w:p>
        </w:tc>
        <w:tc>
          <w:tcPr>
            <w:tcW w:w="3500" w:type="dxa"/>
            <w:vAlign w:val="bottom"/>
          </w:tcPr>
          <w:p>
            <w:pPr>
              <w:spacing w:after="0"/>
              <w:rPr>
                <w:sz w:val="5"/>
                <w:szCs w:val="5"/>
                <w:color w:val="auto"/>
              </w:rPr>
            </w:pPr>
          </w:p>
        </w:tc>
        <w:tc>
          <w:tcPr>
            <w:tcW w:w="13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16"/>
        </w:trPr>
        <w:tc>
          <w:tcPr>
            <w:tcW w:w="313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Christopher J. Kuehl</w:t>
            </w:r>
          </w:p>
        </w:tc>
        <w:tc>
          <w:tcPr>
            <w:tcW w:w="73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2100" w:type="dxa"/>
            <w:vAlign w:val="bottom"/>
            <w:vMerge w:val="restart"/>
            <w:shd w:val="clear" w:color="auto" w:fill="CCEEFF"/>
          </w:tcPr>
          <w:p>
            <w:pPr>
              <w:jc w:val="right"/>
              <w:ind w:right="310"/>
              <w:spacing w:after="0"/>
              <w:rPr>
                <w:sz w:val="20"/>
                <w:szCs w:val="20"/>
                <w:color w:val="auto"/>
              </w:rPr>
            </w:pPr>
            <w:r>
              <w:rPr>
                <w:rFonts w:ascii="Arial" w:cs="Arial" w:eastAsia="Arial" w:hAnsi="Arial"/>
                <w:sz w:val="18"/>
                <w:szCs w:val="18"/>
                <w:color w:val="auto"/>
              </w:rPr>
              <w:t>8,274</w:t>
            </w:r>
            <w:r>
              <w:rPr>
                <w:rFonts w:ascii="Arial" w:cs="Arial" w:eastAsia="Arial" w:hAnsi="Arial"/>
                <w:sz w:val="15"/>
                <w:szCs w:val="15"/>
                <w:color w:val="auto"/>
              </w:rPr>
              <w:t>(3)</w:t>
            </w:r>
          </w:p>
        </w:tc>
        <w:tc>
          <w:tcPr>
            <w:tcW w:w="3500" w:type="dxa"/>
            <w:vAlign w:val="bottom"/>
            <w:vMerge w:val="restart"/>
            <w:shd w:val="clear" w:color="auto" w:fill="CCEEFF"/>
          </w:tcPr>
          <w:p>
            <w:pPr>
              <w:jc w:val="right"/>
              <w:ind w:right="2230"/>
              <w:spacing w:after="0"/>
              <w:rPr>
                <w:sz w:val="20"/>
                <w:szCs w:val="20"/>
                <w:color w:val="auto"/>
              </w:rPr>
            </w:pPr>
            <w:r>
              <w:rPr>
                <w:rFonts w:ascii="Arial" w:cs="Arial" w:eastAsia="Arial" w:hAnsi="Arial"/>
                <w:sz w:val="18"/>
                <w:szCs w:val="18"/>
                <w:color w:val="auto"/>
              </w:rPr>
              <w:t>$146,284</w:t>
            </w:r>
          </w:p>
        </w:tc>
        <w:tc>
          <w:tcPr>
            <w:tcW w:w="13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3130" w:type="dxa"/>
            <w:vAlign w:val="bottom"/>
            <w:shd w:val="clear" w:color="auto" w:fill="CCEEFF"/>
          </w:tcPr>
          <w:p>
            <w:pPr>
              <w:spacing w:after="0"/>
              <w:rPr>
                <w:sz w:val="17"/>
                <w:szCs w:val="17"/>
                <w:color w:val="auto"/>
              </w:rPr>
            </w:pPr>
          </w:p>
        </w:tc>
        <w:tc>
          <w:tcPr>
            <w:tcW w:w="910" w:type="dxa"/>
            <w:vAlign w:val="bottom"/>
            <w:gridSpan w:val="2"/>
            <w:shd w:val="clear" w:color="auto" w:fill="CCEEFF"/>
          </w:tcPr>
          <w:p>
            <w:pPr>
              <w:jc w:val="right"/>
              <w:ind w:right="120"/>
              <w:spacing w:after="0" w:line="201" w:lineRule="exact"/>
              <w:rPr>
                <w:sz w:val="20"/>
                <w:szCs w:val="20"/>
                <w:color w:val="auto"/>
              </w:rPr>
            </w:pPr>
            <w:r>
              <w:rPr>
                <w:rFonts w:ascii="Arial" w:cs="Arial" w:eastAsia="Arial" w:hAnsi="Arial"/>
                <w:sz w:val="18"/>
                <w:szCs w:val="18"/>
                <w:color w:val="auto"/>
              </w:rPr>
              <w:t>3/1/17</w:t>
            </w:r>
          </w:p>
        </w:tc>
        <w:tc>
          <w:tcPr>
            <w:tcW w:w="2100" w:type="dxa"/>
            <w:vAlign w:val="bottom"/>
            <w:vMerge w:val="continue"/>
            <w:shd w:val="clear" w:color="auto" w:fill="CCEEFF"/>
          </w:tcPr>
          <w:p>
            <w:pPr>
              <w:spacing w:after="0"/>
              <w:rPr>
                <w:sz w:val="17"/>
                <w:szCs w:val="17"/>
                <w:color w:val="auto"/>
              </w:rPr>
            </w:pPr>
          </w:p>
        </w:tc>
        <w:tc>
          <w:tcPr>
            <w:tcW w:w="3500" w:type="dxa"/>
            <w:vAlign w:val="bottom"/>
            <w:vMerge w:val="continue"/>
            <w:shd w:val="clear" w:color="auto" w:fill="CCEEFF"/>
          </w:tcPr>
          <w:p>
            <w:pPr>
              <w:spacing w:after="0"/>
              <w:rPr>
                <w:sz w:val="17"/>
                <w:szCs w:val="17"/>
                <w:color w:val="auto"/>
              </w:rPr>
            </w:pPr>
          </w:p>
        </w:tc>
        <w:tc>
          <w:tcPr>
            <w:tcW w:w="138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3130" w:type="dxa"/>
            <w:vAlign w:val="bottom"/>
            <w:shd w:val="clear" w:color="auto" w:fill="CCEEFF"/>
          </w:tcPr>
          <w:p>
            <w:pPr>
              <w:spacing w:after="0"/>
              <w:rPr>
                <w:sz w:val="20"/>
                <w:szCs w:val="20"/>
                <w:color w:val="auto"/>
              </w:rPr>
            </w:pPr>
          </w:p>
        </w:tc>
        <w:tc>
          <w:tcPr>
            <w:tcW w:w="91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3/1/17</w:t>
            </w:r>
          </w:p>
        </w:tc>
        <w:tc>
          <w:tcPr>
            <w:tcW w:w="2100" w:type="dxa"/>
            <w:vAlign w:val="bottom"/>
            <w:shd w:val="clear" w:color="auto" w:fill="CCEEFF"/>
          </w:tcPr>
          <w:p>
            <w:pPr>
              <w:spacing w:after="0"/>
              <w:rPr>
                <w:sz w:val="20"/>
                <w:szCs w:val="20"/>
                <w:color w:val="auto"/>
              </w:rPr>
            </w:pPr>
          </w:p>
        </w:tc>
        <w:tc>
          <w:tcPr>
            <w:tcW w:w="3500" w:type="dxa"/>
            <w:vAlign w:val="bottom"/>
            <w:shd w:val="clear" w:color="auto" w:fill="CCEEFF"/>
          </w:tcPr>
          <w:p>
            <w:pPr>
              <w:jc w:val="right"/>
              <w:ind w:right="410"/>
              <w:spacing w:after="0"/>
              <w:rPr>
                <w:sz w:val="20"/>
                <w:szCs w:val="20"/>
                <w:color w:val="auto"/>
              </w:rPr>
            </w:pPr>
            <w:r>
              <w:rPr>
                <w:rFonts w:ascii="Arial" w:cs="Arial" w:eastAsia="Arial" w:hAnsi="Arial"/>
                <w:sz w:val="18"/>
                <w:szCs w:val="18"/>
                <w:color w:val="auto"/>
              </w:rPr>
              <w:t>68,658</w:t>
            </w:r>
            <w:r>
              <w:rPr>
                <w:rFonts w:ascii="Arial" w:cs="Arial" w:eastAsia="Arial" w:hAnsi="Arial"/>
                <w:sz w:val="15"/>
                <w:szCs w:val="15"/>
                <w:color w:val="auto"/>
              </w:rPr>
              <w:t>(4)</w:t>
            </w:r>
          </w:p>
        </w:tc>
        <w:tc>
          <w:tcPr>
            <w:tcW w:w="13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$1,213,873</w:t>
            </w:r>
          </w:p>
        </w:tc>
        <w:tc>
          <w:tcPr>
            <w:tcW w:w="0" w:type="dxa"/>
            <w:vAlign w:val="bottom"/>
          </w:tcPr>
          <w:p>
            <w:pPr>
              <w:spacing w:after="0"/>
              <w:rPr>
                <w:sz w:val="1"/>
                <w:szCs w:val="1"/>
                <w:color w:val="auto"/>
              </w:rPr>
            </w:pPr>
          </w:p>
        </w:tc>
      </w:tr>
      <w:tr>
        <w:trPr>
          <w:trHeight w:val="202"/>
        </w:trPr>
        <w:tc>
          <w:tcPr>
            <w:tcW w:w="3130" w:type="dxa"/>
            <w:vAlign w:val="bottom"/>
            <w:shd w:val="clear" w:color="auto" w:fill="CCEEFF"/>
          </w:tcPr>
          <w:p>
            <w:pPr>
              <w:spacing w:after="0"/>
              <w:rPr>
                <w:sz w:val="17"/>
                <w:szCs w:val="17"/>
                <w:color w:val="auto"/>
              </w:rPr>
            </w:pPr>
          </w:p>
        </w:tc>
        <w:tc>
          <w:tcPr>
            <w:tcW w:w="910" w:type="dxa"/>
            <w:vAlign w:val="bottom"/>
            <w:gridSpan w:val="2"/>
            <w:shd w:val="clear" w:color="auto" w:fill="CCEEFF"/>
          </w:tcPr>
          <w:p>
            <w:pPr>
              <w:jc w:val="right"/>
              <w:ind w:right="120"/>
              <w:spacing w:after="0" w:line="201" w:lineRule="exact"/>
              <w:rPr>
                <w:sz w:val="20"/>
                <w:szCs w:val="20"/>
                <w:color w:val="auto"/>
              </w:rPr>
            </w:pPr>
            <w:r>
              <w:rPr>
                <w:rFonts w:ascii="Arial" w:cs="Arial" w:eastAsia="Arial" w:hAnsi="Arial"/>
                <w:sz w:val="18"/>
                <w:szCs w:val="18"/>
                <w:color w:val="auto"/>
              </w:rPr>
              <w:t>3/1/18</w:t>
            </w:r>
          </w:p>
        </w:tc>
        <w:tc>
          <w:tcPr>
            <w:tcW w:w="2100" w:type="dxa"/>
            <w:vAlign w:val="bottom"/>
            <w:shd w:val="clear" w:color="auto" w:fill="CCEEFF"/>
          </w:tcPr>
          <w:p>
            <w:pPr>
              <w:jc w:val="right"/>
              <w:ind w:right="310"/>
              <w:spacing w:after="0" w:line="201" w:lineRule="exact"/>
              <w:rPr>
                <w:sz w:val="20"/>
                <w:szCs w:val="20"/>
                <w:color w:val="auto"/>
              </w:rPr>
            </w:pPr>
            <w:r>
              <w:rPr>
                <w:rFonts w:ascii="Arial" w:cs="Arial" w:eastAsia="Arial" w:hAnsi="Arial"/>
                <w:sz w:val="18"/>
                <w:szCs w:val="18"/>
                <w:color w:val="auto"/>
              </w:rPr>
              <w:t>16,038</w:t>
            </w:r>
            <w:r>
              <w:rPr>
                <w:rFonts w:ascii="Arial" w:cs="Arial" w:eastAsia="Arial" w:hAnsi="Arial"/>
                <w:sz w:val="15"/>
                <w:szCs w:val="15"/>
                <w:color w:val="auto"/>
              </w:rPr>
              <w:t>(3)</w:t>
            </w:r>
          </w:p>
        </w:tc>
        <w:tc>
          <w:tcPr>
            <w:tcW w:w="3500" w:type="dxa"/>
            <w:vAlign w:val="bottom"/>
            <w:shd w:val="clear" w:color="auto" w:fill="CCEEFF"/>
          </w:tcPr>
          <w:p>
            <w:pPr>
              <w:jc w:val="right"/>
              <w:ind w:right="2230"/>
              <w:spacing w:after="0" w:line="201" w:lineRule="exact"/>
              <w:rPr>
                <w:sz w:val="20"/>
                <w:szCs w:val="20"/>
                <w:color w:val="auto"/>
              </w:rPr>
            </w:pPr>
            <w:r>
              <w:rPr>
                <w:rFonts w:ascii="Arial" w:cs="Arial" w:eastAsia="Arial" w:hAnsi="Arial"/>
                <w:sz w:val="18"/>
                <w:szCs w:val="18"/>
                <w:color w:val="auto"/>
              </w:rPr>
              <w:t>$283,552</w:t>
            </w:r>
          </w:p>
        </w:tc>
        <w:tc>
          <w:tcPr>
            <w:tcW w:w="138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3130" w:type="dxa"/>
            <w:vAlign w:val="bottom"/>
            <w:shd w:val="clear" w:color="auto" w:fill="CCEEFF"/>
          </w:tcPr>
          <w:p>
            <w:pPr>
              <w:spacing w:after="0"/>
              <w:rPr>
                <w:sz w:val="20"/>
                <w:szCs w:val="20"/>
                <w:color w:val="auto"/>
              </w:rPr>
            </w:pPr>
          </w:p>
        </w:tc>
        <w:tc>
          <w:tcPr>
            <w:tcW w:w="91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3/1/18</w:t>
            </w:r>
          </w:p>
        </w:tc>
        <w:tc>
          <w:tcPr>
            <w:tcW w:w="2100" w:type="dxa"/>
            <w:vAlign w:val="bottom"/>
            <w:shd w:val="clear" w:color="auto" w:fill="CCEEFF"/>
          </w:tcPr>
          <w:p>
            <w:pPr>
              <w:spacing w:after="0"/>
              <w:rPr>
                <w:sz w:val="20"/>
                <w:szCs w:val="20"/>
                <w:color w:val="auto"/>
              </w:rPr>
            </w:pPr>
          </w:p>
        </w:tc>
        <w:tc>
          <w:tcPr>
            <w:tcW w:w="3500" w:type="dxa"/>
            <w:vAlign w:val="bottom"/>
            <w:shd w:val="clear" w:color="auto" w:fill="CCEEFF"/>
          </w:tcPr>
          <w:p>
            <w:pPr>
              <w:jc w:val="right"/>
              <w:ind w:right="410"/>
              <w:spacing w:after="0"/>
              <w:rPr>
                <w:sz w:val="20"/>
                <w:szCs w:val="20"/>
                <w:color w:val="auto"/>
              </w:rPr>
            </w:pPr>
            <w:r>
              <w:rPr>
                <w:rFonts w:ascii="Arial" w:cs="Arial" w:eastAsia="Arial" w:hAnsi="Arial"/>
                <w:sz w:val="18"/>
                <w:szCs w:val="18"/>
                <w:color w:val="auto"/>
              </w:rPr>
              <w:t>48,133</w:t>
            </w:r>
            <w:r>
              <w:rPr>
                <w:rFonts w:ascii="Arial" w:cs="Arial" w:eastAsia="Arial" w:hAnsi="Arial"/>
                <w:sz w:val="15"/>
                <w:szCs w:val="15"/>
                <w:color w:val="auto"/>
              </w:rPr>
              <w:t>(4)</w:t>
            </w:r>
          </w:p>
        </w:tc>
        <w:tc>
          <w:tcPr>
            <w:tcW w:w="13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$850,991</w:t>
            </w:r>
          </w:p>
        </w:tc>
        <w:tc>
          <w:tcPr>
            <w:tcW w:w="0" w:type="dxa"/>
            <w:vAlign w:val="bottom"/>
          </w:tcPr>
          <w:p>
            <w:pPr>
              <w:spacing w:after="0"/>
              <w:rPr>
                <w:sz w:val="1"/>
                <w:szCs w:val="1"/>
                <w:color w:val="auto"/>
              </w:rPr>
            </w:pPr>
          </w:p>
        </w:tc>
      </w:tr>
      <w:tr>
        <w:trPr>
          <w:trHeight w:val="202"/>
        </w:trPr>
        <w:tc>
          <w:tcPr>
            <w:tcW w:w="3130" w:type="dxa"/>
            <w:vAlign w:val="bottom"/>
            <w:shd w:val="clear" w:color="auto" w:fill="CCEEFF"/>
          </w:tcPr>
          <w:p>
            <w:pPr>
              <w:spacing w:after="0"/>
              <w:rPr>
                <w:sz w:val="17"/>
                <w:szCs w:val="17"/>
                <w:color w:val="auto"/>
              </w:rPr>
            </w:pPr>
          </w:p>
        </w:tc>
        <w:tc>
          <w:tcPr>
            <w:tcW w:w="910" w:type="dxa"/>
            <w:vAlign w:val="bottom"/>
            <w:gridSpan w:val="2"/>
            <w:shd w:val="clear" w:color="auto" w:fill="CCEEFF"/>
          </w:tcPr>
          <w:p>
            <w:pPr>
              <w:jc w:val="right"/>
              <w:ind w:right="120"/>
              <w:spacing w:after="0" w:line="201" w:lineRule="exact"/>
              <w:rPr>
                <w:sz w:val="20"/>
                <w:szCs w:val="20"/>
                <w:color w:val="auto"/>
              </w:rPr>
            </w:pPr>
            <w:r>
              <w:rPr>
                <w:rFonts w:ascii="Arial" w:cs="Arial" w:eastAsia="Arial" w:hAnsi="Arial"/>
                <w:sz w:val="18"/>
                <w:szCs w:val="18"/>
                <w:color w:val="auto"/>
              </w:rPr>
              <w:t>3/1/19</w:t>
            </w:r>
          </w:p>
        </w:tc>
        <w:tc>
          <w:tcPr>
            <w:tcW w:w="2100" w:type="dxa"/>
            <w:vAlign w:val="bottom"/>
            <w:shd w:val="clear" w:color="auto" w:fill="CCEEFF"/>
          </w:tcPr>
          <w:p>
            <w:pPr>
              <w:jc w:val="right"/>
              <w:ind w:right="310"/>
              <w:spacing w:after="0" w:line="201" w:lineRule="exact"/>
              <w:rPr>
                <w:sz w:val="20"/>
                <w:szCs w:val="20"/>
                <w:color w:val="auto"/>
              </w:rPr>
            </w:pPr>
            <w:r>
              <w:rPr>
                <w:rFonts w:ascii="Arial" w:cs="Arial" w:eastAsia="Arial" w:hAnsi="Arial"/>
                <w:sz w:val="18"/>
                <w:szCs w:val="18"/>
                <w:color w:val="auto"/>
              </w:rPr>
              <w:t>43,864</w:t>
            </w:r>
            <w:r>
              <w:rPr>
                <w:rFonts w:ascii="Arial" w:cs="Arial" w:eastAsia="Arial" w:hAnsi="Arial"/>
                <w:sz w:val="15"/>
                <w:szCs w:val="15"/>
                <w:color w:val="auto"/>
              </w:rPr>
              <w:t>(3)</w:t>
            </w:r>
          </w:p>
        </w:tc>
        <w:tc>
          <w:tcPr>
            <w:tcW w:w="3500" w:type="dxa"/>
            <w:vAlign w:val="bottom"/>
            <w:shd w:val="clear" w:color="auto" w:fill="CCEEFF"/>
          </w:tcPr>
          <w:p>
            <w:pPr>
              <w:jc w:val="right"/>
              <w:ind w:right="2230"/>
              <w:spacing w:after="0" w:line="201" w:lineRule="exact"/>
              <w:rPr>
                <w:sz w:val="20"/>
                <w:szCs w:val="20"/>
                <w:color w:val="auto"/>
              </w:rPr>
            </w:pPr>
            <w:r>
              <w:rPr>
                <w:rFonts w:ascii="Arial" w:cs="Arial" w:eastAsia="Arial" w:hAnsi="Arial"/>
                <w:sz w:val="18"/>
                <w:szCs w:val="18"/>
                <w:color w:val="auto"/>
              </w:rPr>
              <w:t>$775,516</w:t>
            </w:r>
          </w:p>
        </w:tc>
        <w:tc>
          <w:tcPr>
            <w:tcW w:w="138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3130" w:type="dxa"/>
            <w:vAlign w:val="bottom"/>
            <w:shd w:val="clear" w:color="auto" w:fill="CCEEFF"/>
          </w:tcPr>
          <w:p>
            <w:pPr>
              <w:spacing w:after="0"/>
              <w:rPr>
                <w:sz w:val="20"/>
                <w:szCs w:val="20"/>
                <w:color w:val="auto"/>
              </w:rPr>
            </w:pPr>
          </w:p>
        </w:tc>
        <w:tc>
          <w:tcPr>
            <w:tcW w:w="91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3/1/19</w:t>
            </w:r>
          </w:p>
        </w:tc>
        <w:tc>
          <w:tcPr>
            <w:tcW w:w="2100" w:type="dxa"/>
            <w:vAlign w:val="bottom"/>
            <w:shd w:val="clear" w:color="auto" w:fill="CCEEFF"/>
          </w:tcPr>
          <w:p>
            <w:pPr>
              <w:spacing w:after="0"/>
              <w:rPr>
                <w:sz w:val="20"/>
                <w:szCs w:val="20"/>
                <w:color w:val="auto"/>
              </w:rPr>
            </w:pPr>
          </w:p>
        </w:tc>
        <w:tc>
          <w:tcPr>
            <w:tcW w:w="3500" w:type="dxa"/>
            <w:vAlign w:val="bottom"/>
            <w:shd w:val="clear" w:color="auto" w:fill="CCEEFF"/>
          </w:tcPr>
          <w:p>
            <w:pPr>
              <w:jc w:val="right"/>
              <w:ind w:right="410"/>
              <w:spacing w:after="0"/>
              <w:rPr>
                <w:sz w:val="20"/>
                <w:szCs w:val="20"/>
                <w:color w:val="auto"/>
              </w:rPr>
            </w:pPr>
            <w:r>
              <w:rPr>
                <w:rFonts w:ascii="Arial" w:cs="Arial" w:eastAsia="Arial" w:hAnsi="Arial"/>
                <w:sz w:val="18"/>
                <w:szCs w:val="18"/>
                <w:color w:val="auto"/>
              </w:rPr>
              <w:t>43,864</w:t>
            </w:r>
            <w:r>
              <w:rPr>
                <w:rFonts w:ascii="Arial" w:cs="Arial" w:eastAsia="Arial" w:hAnsi="Arial"/>
                <w:sz w:val="15"/>
                <w:szCs w:val="15"/>
                <w:color w:val="auto"/>
              </w:rPr>
              <w:t>(5)</w:t>
            </w:r>
          </w:p>
        </w:tc>
        <w:tc>
          <w:tcPr>
            <w:tcW w:w="13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$775,516</w:t>
            </w:r>
          </w:p>
        </w:tc>
        <w:tc>
          <w:tcPr>
            <w:tcW w:w="0" w:type="dxa"/>
            <w:vAlign w:val="bottom"/>
          </w:tcPr>
          <w:p>
            <w:pPr>
              <w:spacing w:after="0"/>
              <w:rPr>
                <w:sz w:val="1"/>
                <w:szCs w:val="1"/>
                <w:color w:val="auto"/>
              </w:rPr>
            </w:pPr>
          </w:p>
        </w:tc>
      </w:tr>
      <w:tr>
        <w:trPr>
          <w:trHeight w:val="202"/>
        </w:trPr>
        <w:tc>
          <w:tcPr>
            <w:tcW w:w="3130" w:type="dxa"/>
            <w:vAlign w:val="bottom"/>
          </w:tcPr>
          <w:p>
            <w:pPr>
              <w:ind w:left="80"/>
              <w:spacing w:after="0" w:line="201" w:lineRule="exact"/>
              <w:rPr>
                <w:sz w:val="20"/>
                <w:szCs w:val="20"/>
                <w:color w:val="auto"/>
              </w:rPr>
            </w:pPr>
            <w:r>
              <w:rPr>
                <w:rFonts w:ascii="Arial" w:cs="Arial" w:eastAsia="Arial" w:hAnsi="Arial"/>
                <w:sz w:val="18"/>
                <w:szCs w:val="18"/>
                <w:b w:val="1"/>
                <w:bCs w:val="1"/>
                <w:color w:val="auto"/>
              </w:rPr>
              <w:t>Bernice E. Bell</w:t>
            </w:r>
          </w:p>
        </w:tc>
        <w:tc>
          <w:tcPr>
            <w:tcW w:w="73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2100" w:type="dxa"/>
            <w:vAlign w:val="bottom"/>
          </w:tcPr>
          <w:p>
            <w:pPr>
              <w:spacing w:after="0"/>
              <w:rPr>
                <w:sz w:val="17"/>
                <w:szCs w:val="17"/>
                <w:color w:val="auto"/>
              </w:rPr>
            </w:pPr>
          </w:p>
        </w:tc>
        <w:tc>
          <w:tcPr>
            <w:tcW w:w="3500" w:type="dxa"/>
            <w:vAlign w:val="bottom"/>
          </w:tcPr>
          <w:p>
            <w:pPr>
              <w:spacing w:after="0"/>
              <w:rPr>
                <w:sz w:val="17"/>
                <w:szCs w:val="17"/>
                <w:color w:val="auto"/>
              </w:rPr>
            </w:pPr>
          </w:p>
        </w:tc>
        <w:tc>
          <w:tcPr>
            <w:tcW w:w="13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4040" w:type="dxa"/>
            <w:vAlign w:val="bottom"/>
            <w:gridSpan w:val="3"/>
          </w:tcPr>
          <w:p>
            <w:pPr>
              <w:jc w:val="right"/>
              <w:ind w:right="120"/>
              <w:spacing w:after="0"/>
              <w:rPr>
                <w:sz w:val="20"/>
                <w:szCs w:val="20"/>
                <w:color w:val="auto"/>
              </w:rPr>
            </w:pPr>
            <w:r>
              <w:rPr>
                <w:rFonts w:ascii="Arial" w:cs="Arial" w:eastAsia="Arial" w:hAnsi="Arial"/>
                <w:sz w:val="18"/>
                <w:szCs w:val="18"/>
                <w:color w:val="auto"/>
              </w:rPr>
              <w:t>3/1/17</w:t>
            </w:r>
          </w:p>
        </w:tc>
        <w:tc>
          <w:tcPr>
            <w:tcW w:w="2100" w:type="dxa"/>
            <w:vAlign w:val="bottom"/>
          </w:tcPr>
          <w:p>
            <w:pPr>
              <w:jc w:val="right"/>
              <w:ind w:right="310"/>
              <w:spacing w:after="0"/>
              <w:rPr>
                <w:sz w:val="20"/>
                <w:szCs w:val="20"/>
                <w:color w:val="auto"/>
              </w:rPr>
            </w:pPr>
            <w:r>
              <w:rPr>
                <w:rFonts w:ascii="Arial" w:cs="Arial" w:eastAsia="Arial" w:hAnsi="Arial"/>
                <w:sz w:val="18"/>
                <w:szCs w:val="18"/>
                <w:color w:val="auto"/>
              </w:rPr>
              <w:t>2,837</w:t>
            </w:r>
            <w:r>
              <w:rPr>
                <w:rFonts w:ascii="Arial" w:cs="Arial" w:eastAsia="Arial" w:hAnsi="Arial"/>
                <w:sz w:val="15"/>
                <w:szCs w:val="15"/>
                <w:color w:val="auto"/>
              </w:rPr>
              <w:t>(3)</w:t>
            </w:r>
          </w:p>
        </w:tc>
        <w:tc>
          <w:tcPr>
            <w:tcW w:w="3500" w:type="dxa"/>
            <w:vAlign w:val="bottom"/>
          </w:tcPr>
          <w:p>
            <w:pPr>
              <w:jc w:val="right"/>
              <w:ind w:right="2230"/>
              <w:spacing w:after="0"/>
              <w:rPr>
                <w:sz w:val="20"/>
                <w:szCs w:val="20"/>
                <w:color w:val="auto"/>
              </w:rPr>
            </w:pPr>
            <w:r>
              <w:rPr>
                <w:rFonts w:ascii="Arial" w:cs="Arial" w:eastAsia="Arial" w:hAnsi="Arial"/>
                <w:sz w:val="18"/>
                <w:szCs w:val="18"/>
                <w:color w:val="auto"/>
              </w:rPr>
              <w:t>$50,158</w:t>
            </w:r>
          </w:p>
        </w:tc>
        <w:tc>
          <w:tcPr>
            <w:tcW w:w="13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040" w:type="dxa"/>
            <w:vAlign w:val="bottom"/>
            <w:gridSpan w:val="3"/>
          </w:tcPr>
          <w:p>
            <w:pPr>
              <w:jc w:val="right"/>
              <w:ind w:right="120"/>
              <w:spacing w:after="0"/>
              <w:rPr>
                <w:sz w:val="20"/>
                <w:szCs w:val="20"/>
                <w:color w:val="auto"/>
              </w:rPr>
            </w:pPr>
            <w:r>
              <w:rPr>
                <w:rFonts w:ascii="Arial" w:cs="Arial" w:eastAsia="Arial" w:hAnsi="Arial"/>
                <w:sz w:val="18"/>
                <w:szCs w:val="18"/>
                <w:color w:val="auto"/>
              </w:rPr>
              <w:t>3/1/17</w:t>
            </w:r>
          </w:p>
        </w:tc>
        <w:tc>
          <w:tcPr>
            <w:tcW w:w="2100" w:type="dxa"/>
            <w:vAlign w:val="bottom"/>
          </w:tcPr>
          <w:p>
            <w:pPr>
              <w:spacing w:after="0"/>
              <w:rPr>
                <w:sz w:val="18"/>
                <w:szCs w:val="18"/>
                <w:color w:val="auto"/>
              </w:rPr>
            </w:pPr>
          </w:p>
        </w:tc>
        <w:tc>
          <w:tcPr>
            <w:tcW w:w="3500" w:type="dxa"/>
            <w:vAlign w:val="bottom"/>
          </w:tcPr>
          <w:p>
            <w:pPr>
              <w:jc w:val="right"/>
              <w:ind w:right="410"/>
              <w:spacing w:after="0"/>
              <w:rPr>
                <w:sz w:val="20"/>
                <w:szCs w:val="20"/>
                <w:color w:val="auto"/>
              </w:rPr>
            </w:pPr>
            <w:r>
              <w:rPr>
                <w:rFonts w:ascii="Arial" w:cs="Arial" w:eastAsia="Arial" w:hAnsi="Arial"/>
                <w:sz w:val="18"/>
                <w:szCs w:val="18"/>
                <w:color w:val="auto"/>
              </w:rPr>
              <w:t>5,884</w:t>
            </w:r>
            <w:r>
              <w:rPr>
                <w:rFonts w:ascii="Arial" w:cs="Arial" w:eastAsia="Arial" w:hAnsi="Arial"/>
                <w:sz w:val="15"/>
                <w:szCs w:val="15"/>
                <w:color w:val="auto"/>
              </w:rPr>
              <w:t>(4)</w:t>
            </w:r>
          </w:p>
        </w:tc>
        <w:tc>
          <w:tcPr>
            <w:tcW w:w="1380" w:type="dxa"/>
            <w:vAlign w:val="bottom"/>
          </w:tcPr>
          <w:p>
            <w:pPr>
              <w:jc w:val="right"/>
              <w:spacing w:after="0"/>
              <w:rPr>
                <w:sz w:val="20"/>
                <w:szCs w:val="20"/>
                <w:color w:val="auto"/>
              </w:rPr>
            </w:pPr>
            <w:r>
              <w:rPr>
                <w:rFonts w:ascii="Arial" w:cs="Arial" w:eastAsia="Arial" w:hAnsi="Arial"/>
                <w:sz w:val="18"/>
                <w:szCs w:val="18"/>
                <w:color w:val="auto"/>
              </w:rPr>
              <w:t>$104,029</w:t>
            </w:r>
          </w:p>
        </w:tc>
        <w:tc>
          <w:tcPr>
            <w:tcW w:w="0" w:type="dxa"/>
            <w:vAlign w:val="bottom"/>
          </w:tcPr>
          <w:p>
            <w:pPr>
              <w:spacing w:after="0"/>
              <w:rPr>
                <w:sz w:val="1"/>
                <w:szCs w:val="1"/>
                <w:color w:val="auto"/>
              </w:rPr>
            </w:pPr>
          </w:p>
        </w:tc>
      </w:tr>
      <w:tr>
        <w:trPr>
          <w:trHeight w:val="216"/>
        </w:trPr>
        <w:tc>
          <w:tcPr>
            <w:tcW w:w="4040" w:type="dxa"/>
            <w:vAlign w:val="bottom"/>
            <w:gridSpan w:val="3"/>
          </w:tcPr>
          <w:p>
            <w:pPr>
              <w:jc w:val="right"/>
              <w:ind w:right="120"/>
              <w:spacing w:after="0"/>
              <w:rPr>
                <w:sz w:val="20"/>
                <w:szCs w:val="20"/>
                <w:color w:val="auto"/>
              </w:rPr>
            </w:pPr>
            <w:r>
              <w:rPr>
                <w:rFonts w:ascii="Arial" w:cs="Arial" w:eastAsia="Arial" w:hAnsi="Arial"/>
                <w:sz w:val="18"/>
                <w:szCs w:val="18"/>
                <w:color w:val="auto"/>
              </w:rPr>
              <w:t>3/1/18</w:t>
            </w:r>
          </w:p>
        </w:tc>
        <w:tc>
          <w:tcPr>
            <w:tcW w:w="2100" w:type="dxa"/>
            <w:vAlign w:val="bottom"/>
          </w:tcPr>
          <w:p>
            <w:pPr>
              <w:jc w:val="right"/>
              <w:ind w:right="310"/>
              <w:spacing w:after="0"/>
              <w:rPr>
                <w:sz w:val="20"/>
                <w:szCs w:val="20"/>
                <w:color w:val="auto"/>
              </w:rPr>
            </w:pPr>
            <w:r>
              <w:rPr>
                <w:rFonts w:ascii="Arial" w:cs="Arial" w:eastAsia="Arial" w:hAnsi="Arial"/>
                <w:sz w:val="18"/>
                <w:szCs w:val="18"/>
                <w:color w:val="auto"/>
              </w:rPr>
              <w:t>5,501</w:t>
            </w:r>
            <w:r>
              <w:rPr>
                <w:rFonts w:ascii="Arial" w:cs="Arial" w:eastAsia="Arial" w:hAnsi="Arial"/>
                <w:sz w:val="15"/>
                <w:szCs w:val="15"/>
                <w:color w:val="auto"/>
              </w:rPr>
              <w:t>(3)</w:t>
            </w:r>
          </w:p>
        </w:tc>
        <w:tc>
          <w:tcPr>
            <w:tcW w:w="3500" w:type="dxa"/>
            <w:vAlign w:val="bottom"/>
          </w:tcPr>
          <w:p>
            <w:pPr>
              <w:jc w:val="right"/>
              <w:ind w:right="2230"/>
              <w:spacing w:after="0"/>
              <w:rPr>
                <w:sz w:val="20"/>
                <w:szCs w:val="20"/>
                <w:color w:val="auto"/>
              </w:rPr>
            </w:pPr>
            <w:r>
              <w:rPr>
                <w:rFonts w:ascii="Arial" w:cs="Arial" w:eastAsia="Arial" w:hAnsi="Arial"/>
                <w:sz w:val="18"/>
                <w:szCs w:val="18"/>
                <w:color w:val="auto"/>
              </w:rPr>
              <w:t>$97,258</w:t>
            </w:r>
          </w:p>
        </w:tc>
        <w:tc>
          <w:tcPr>
            <w:tcW w:w="13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040" w:type="dxa"/>
            <w:vAlign w:val="bottom"/>
            <w:gridSpan w:val="3"/>
          </w:tcPr>
          <w:p>
            <w:pPr>
              <w:jc w:val="right"/>
              <w:ind w:right="120"/>
              <w:spacing w:after="0"/>
              <w:rPr>
                <w:sz w:val="20"/>
                <w:szCs w:val="20"/>
                <w:color w:val="auto"/>
              </w:rPr>
            </w:pPr>
            <w:r>
              <w:rPr>
                <w:rFonts w:ascii="Arial" w:cs="Arial" w:eastAsia="Arial" w:hAnsi="Arial"/>
                <w:sz w:val="18"/>
                <w:szCs w:val="18"/>
                <w:color w:val="auto"/>
              </w:rPr>
              <w:t>3/1/18</w:t>
            </w:r>
          </w:p>
        </w:tc>
        <w:tc>
          <w:tcPr>
            <w:tcW w:w="2100" w:type="dxa"/>
            <w:vAlign w:val="bottom"/>
          </w:tcPr>
          <w:p>
            <w:pPr>
              <w:spacing w:after="0"/>
              <w:rPr>
                <w:sz w:val="18"/>
                <w:szCs w:val="18"/>
                <w:color w:val="auto"/>
              </w:rPr>
            </w:pPr>
          </w:p>
        </w:tc>
        <w:tc>
          <w:tcPr>
            <w:tcW w:w="3500" w:type="dxa"/>
            <w:vAlign w:val="bottom"/>
          </w:tcPr>
          <w:p>
            <w:pPr>
              <w:jc w:val="right"/>
              <w:ind w:right="410"/>
              <w:spacing w:after="0"/>
              <w:rPr>
                <w:sz w:val="20"/>
                <w:szCs w:val="20"/>
                <w:color w:val="auto"/>
              </w:rPr>
            </w:pPr>
            <w:r>
              <w:rPr>
                <w:rFonts w:ascii="Arial" w:cs="Arial" w:eastAsia="Arial" w:hAnsi="Arial"/>
                <w:sz w:val="18"/>
                <w:szCs w:val="18"/>
                <w:color w:val="auto"/>
              </w:rPr>
              <w:t>4,125</w:t>
            </w:r>
            <w:r>
              <w:rPr>
                <w:rFonts w:ascii="Arial" w:cs="Arial" w:eastAsia="Arial" w:hAnsi="Arial"/>
                <w:sz w:val="15"/>
                <w:szCs w:val="15"/>
                <w:color w:val="auto"/>
              </w:rPr>
              <w:t>(4)</w:t>
            </w:r>
          </w:p>
        </w:tc>
        <w:tc>
          <w:tcPr>
            <w:tcW w:w="1380" w:type="dxa"/>
            <w:vAlign w:val="bottom"/>
          </w:tcPr>
          <w:p>
            <w:pPr>
              <w:jc w:val="right"/>
              <w:spacing w:after="0"/>
              <w:rPr>
                <w:sz w:val="20"/>
                <w:szCs w:val="20"/>
                <w:color w:val="auto"/>
              </w:rPr>
            </w:pPr>
            <w:r>
              <w:rPr>
                <w:rFonts w:ascii="Arial" w:cs="Arial" w:eastAsia="Arial" w:hAnsi="Arial"/>
                <w:sz w:val="18"/>
                <w:szCs w:val="18"/>
                <w:color w:val="auto"/>
              </w:rPr>
              <w:t>$72,930</w:t>
            </w:r>
          </w:p>
        </w:tc>
        <w:tc>
          <w:tcPr>
            <w:tcW w:w="0" w:type="dxa"/>
            <w:vAlign w:val="bottom"/>
          </w:tcPr>
          <w:p>
            <w:pPr>
              <w:spacing w:after="0"/>
              <w:rPr>
                <w:sz w:val="1"/>
                <w:szCs w:val="1"/>
                <w:color w:val="auto"/>
              </w:rPr>
            </w:pPr>
          </w:p>
        </w:tc>
      </w:tr>
      <w:tr>
        <w:trPr>
          <w:trHeight w:val="216"/>
        </w:trPr>
        <w:tc>
          <w:tcPr>
            <w:tcW w:w="4040" w:type="dxa"/>
            <w:vAlign w:val="bottom"/>
            <w:gridSpan w:val="3"/>
          </w:tcPr>
          <w:p>
            <w:pPr>
              <w:jc w:val="right"/>
              <w:ind w:right="120"/>
              <w:spacing w:after="0"/>
              <w:rPr>
                <w:sz w:val="20"/>
                <w:szCs w:val="20"/>
                <w:color w:val="auto"/>
              </w:rPr>
            </w:pPr>
            <w:r>
              <w:rPr>
                <w:rFonts w:ascii="Arial" w:cs="Arial" w:eastAsia="Arial" w:hAnsi="Arial"/>
                <w:sz w:val="18"/>
                <w:szCs w:val="18"/>
                <w:color w:val="auto"/>
              </w:rPr>
              <w:t>3/1/19</w:t>
            </w:r>
          </w:p>
        </w:tc>
        <w:tc>
          <w:tcPr>
            <w:tcW w:w="2100" w:type="dxa"/>
            <w:vAlign w:val="bottom"/>
          </w:tcPr>
          <w:p>
            <w:pPr>
              <w:jc w:val="right"/>
              <w:ind w:right="310"/>
              <w:spacing w:after="0"/>
              <w:rPr>
                <w:sz w:val="20"/>
                <w:szCs w:val="20"/>
                <w:color w:val="auto"/>
              </w:rPr>
            </w:pPr>
            <w:r>
              <w:rPr>
                <w:rFonts w:ascii="Arial" w:cs="Arial" w:eastAsia="Arial" w:hAnsi="Arial"/>
                <w:sz w:val="18"/>
                <w:szCs w:val="18"/>
                <w:color w:val="auto"/>
              </w:rPr>
              <w:t>23,493</w:t>
            </w:r>
            <w:r>
              <w:rPr>
                <w:rFonts w:ascii="Arial" w:cs="Arial" w:eastAsia="Arial" w:hAnsi="Arial"/>
                <w:sz w:val="15"/>
                <w:szCs w:val="15"/>
                <w:color w:val="auto"/>
              </w:rPr>
              <w:t>(3)</w:t>
            </w:r>
          </w:p>
        </w:tc>
        <w:tc>
          <w:tcPr>
            <w:tcW w:w="3500" w:type="dxa"/>
            <w:vAlign w:val="bottom"/>
          </w:tcPr>
          <w:p>
            <w:pPr>
              <w:jc w:val="right"/>
              <w:ind w:right="2230"/>
              <w:spacing w:after="0"/>
              <w:rPr>
                <w:sz w:val="20"/>
                <w:szCs w:val="20"/>
                <w:color w:val="auto"/>
              </w:rPr>
            </w:pPr>
            <w:r>
              <w:rPr>
                <w:rFonts w:ascii="Arial" w:cs="Arial" w:eastAsia="Arial" w:hAnsi="Arial"/>
                <w:sz w:val="18"/>
                <w:szCs w:val="18"/>
                <w:color w:val="auto"/>
              </w:rPr>
              <w:t>$415,356</w:t>
            </w:r>
          </w:p>
        </w:tc>
        <w:tc>
          <w:tcPr>
            <w:tcW w:w="13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4040" w:type="dxa"/>
            <w:vAlign w:val="bottom"/>
            <w:gridSpan w:val="3"/>
          </w:tcPr>
          <w:p>
            <w:pPr>
              <w:jc w:val="right"/>
              <w:ind w:right="120"/>
              <w:spacing w:after="0"/>
              <w:rPr>
                <w:sz w:val="20"/>
                <w:szCs w:val="20"/>
                <w:color w:val="auto"/>
              </w:rPr>
            </w:pPr>
            <w:r>
              <w:rPr>
                <w:rFonts w:ascii="Arial" w:cs="Arial" w:eastAsia="Arial" w:hAnsi="Arial"/>
                <w:sz w:val="18"/>
                <w:szCs w:val="18"/>
                <w:color w:val="auto"/>
              </w:rPr>
              <w:t>3/1/19</w:t>
            </w:r>
          </w:p>
        </w:tc>
        <w:tc>
          <w:tcPr>
            <w:tcW w:w="2100" w:type="dxa"/>
            <w:vAlign w:val="bottom"/>
          </w:tcPr>
          <w:p>
            <w:pPr>
              <w:spacing w:after="0"/>
              <w:rPr>
                <w:sz w:val="20"/>
                <w:szCs w:val="20"/>
                <w:color w:val="auto"/>
              </w:rPr>
            </w:pPr>
          </w:p>
        </w:tc>
        <w:tc>
          <w:tcPr>
            <w:tcW w:w="3500" w:type="dxa"/>
            <w:vAlign w:val="bottom"/>
          </w:tcPr>
          <w:p>
            <w:pPr>
              <w:jc w:val="right"/>
              <w:ind w:right="410"/>
              <w:spacing w:after="0"/>
              <w:rPr>
                <w:sz w:val="20"/>
                <w:szCs w:val="20"/>
                <w:color w:val="auto"/>
              </w:rPr>
            </w:pPr>
            <w:r>
              <w:rPr>
                <w:rFonts w:ascii="Arial" w:cs="Arial" w:eastAsia="Arial" w:hAnsi="Arial"/>
                <w:sz w:val="18"/>
                <w:szCs w:val="18"/>
                <w:color w:val="auto"/>
              </w:rPr>
              <w:t>23,496</w:t>
            </w:r>
            <w:r>
              <w:rPr>
                <w:rFonts w:ascii="Arial" w:cs="Arial" w:eastAsia="Arial" w:hAnsi="Arial"/>
                <w:sz w:val="15"/>
                <w:szCs w:val="15"/>
                <w:color w:val="auto"/>
              </w:rPr>
              <w:t>(5)</w:t>
            </w:r>
          </w:p>
        </w:tc>
        <w:tc>
          <w:tcPr>
            <w:tcW w:w="1380" w:type="dxa"/>
            <w:vAlign w:val="bottom"/>
          </w:tcPr>
          <w:p>
            <w:pPr>
              <w:jc w:val="right"/>
              <w:spacing w:after="0"/>
              <w:rPr>
                <w:sz w:val="20"/>
                <w:szCs w:val="20"/>
                <w:color w:val="auto"/>
              </w:rPr>
            </w:pPr>
            <w:r>
              <w:rPr>
                <w:rFonts w:ascii="Arial" w:cs="Arial" w:eastAsia="Arial" w:hAnsi="Arial"/>
                <w:sz w:val="18"/>
                <w:szCs w:val="18"/>
                <w:color w:val="auto"/>
              </w:rPr>
              <w:t>$415,409</w:t>
            </w:r>
          </w:p>
        </w:tc>
        <w:tc>
          <w:tcPr>
            <w:tcW w:w="0" w:type="dxa"/>
            <w:vAlign w:val="bottom"/>
          </w:tcPr>
          <w:p>
            <w:pPr>
              <w:spacing w:after="0"/>
              <w:rPr>
                <w:sz w:val="1"/>
                <w:szCs w:val="1"/>
                <w:color w:val="auto"/>
              </w:rPr>
            </w:pPr>
          </w:p>
        </w:tc>
      </w:tr>
      <w:tr>
        <w:trPr>
          <w:trHeight w:val="68"/>
        </w:trPr>
        <w:tc>
          <w:tcPr>
            <w:tcW w:w="3860" w:type="dxa"/>
            <w:vAlign w:val="bottom"/>
            <w:gridSpan w:val="2"/>
          </w:tcPr>
          <w:p>
            <w:pPr>
              <w:spacing w:after="0"/>
              <w:rPr>
                <w:sz w:val="5"/>
                <w:szCs w:val="5"/>
                <w:color w:val="auto"/>
              </w:rPr>
            </w:pPr>
          </w:p>
        </w:tc>
        <w:tc>
          <w:tcPr>
            <w:tcW w:w="180" w:type="dxa"/>
            <w:vAlign w:val="bottom"/>
          </w:tcPr>
          <w:p>
            <w:pPr>
              <w:spacing w:after="0"/>
              <w:rPr>
                <w:sz w:val="5"/>
                <w:szCs w:val="5"/>
                <w:color w:val="auto"/>
              </w:rPr>
            </w:pPr>
          </w:p>
        </w:tc>
        <w:tc>
          <w:tcPr>
            <w:tcW w:w="2100" w:type="dxa"/>
            <w:vAlign w:val="bottom"/>
          </w:tcPr>
          <w:p>
            <w:pPr>
              <w:spacing w:after="0"/>
              <w:rPr>
                <w:sz w:val="5"/>
                <w:szCs w:val="5"/>
                <w:color w:val="auto"/>
              </w:rPr>
            </w:pPr>
          </w:p>
        </w:tc>
        <w:tc>
          <w:tcPr>
            <w:tcW w:w="3500" w:type="dxa"/>
            <w:vAlign w:val="bottom"/>
          </w:tcPr>
          <w:p>
            <w:pPr>
              <w:spacing w:after="0"/>
              <w:rPr>
                <w:sz w:val="5"/>
                <w:szCs w:val="5"/>
                <w:color w:val="auto"/>
              </w:rPr>
            </w:pPr>
          </w:p>
        </w:tc>
        <w:tc>
          <w:tcPr>
            <w:tcW w:w="13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16"/>
        </w:trPr>
        <w:tc>
          <w:tcPr>
            <w:tcW w:w="313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Aaron J. Pas</w:t>
            </w:r>
          </w:p>
        </w:tc>
        <w:tc>
          <w:tcPr>
            <w:tcW w:w="73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2100" w:type="dxa"/>
            <w:vAlign w:val="bottom"/>
            <w:vMerge w:val="restart"/>
            <w:shd w:val="clear" w:color="auto" w:fill="CCEEFF"/>
          </w:tcPr>
          <w:p>
            <w:pPr>
              <w:jc w:val="right"/>
              <w:ind w:right="310"/>
              <w:spacing w:after="0"/>
              <w:rPr>
                <w:sz w:val="20"/>
                <w:szCs w:val="20"/>
                <w:color w:val="auto"/>
              </w:rPr>
            </w:pPr>
            <w:r>
              <w:rPr>
                <w:rFonts w:ascii="Arial" w:cs="Arial" w:eastAsia="Arial" w:hAnsi="Arial"/>
                <w:sz w:val="18"/>
                <w:szCs w:val="18"/>
                <w:color w:val="auto"/>
              </w:rPr>
              <w:t>5,022</w:t>
            </w:r>
            <w:r>
              <w:rPr>
                <w:rFonts w:ascii="Arial" w:cs="Arial" w:eastAsia="Arial" w:hAnsi="Arial"/>
                <w:sz w:val="15"/>
                <w:szCs w:val="15"/>
                <w:color w:val="auto"/>
              </w:rPr>
              <w:t>(3)</w:t>
            </w:r>
          </w:p>
        </w:tc>
        <w:tc>
          <w:tcPr>
            <w:tcW w:w="3500" w:type="dxa"/>
            <w:vAlign w:val="bottom"/>
            <w:vMerge w:val="restart"/>
            <w:shd w:val="clear" w:color="auto" w:fill="CCEEFF"/>
          </w:tcPr>
          <w:p>
            <w:pPr>
              <w:jc w:val="right"/>
              <w:ind w:right="2230"/>
              <w:spacing w:after="0"/>
              <w:rPr>
                <w:sz w:val="20"/>
                <w:szCs w:val="20"/>
                <w:color w:val="auto"/>
              </w:rPr>
            </w:pPr>
            <w:r>
              <w:rPr>
                <w:rFonts w:ascii="Arial" w:cs="Arial" w:eastAsia="Arial" w:hAnsi="Arial"/>
                <w:sz w:val="18"/>
                <w:szCs w:val="18"/>
                <w:color w:val="auto"/>
              </w:rPr>
              <w:t>$88,789</w:t>
            </w:r>
          </w:p>
        </w:tc>
        <w:tc>
          <w:tcPr>
            <w:tcW w:w="13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3130" w:type="dxa"/>
            <w:vAlign w:val="bottom"/>
            <w:shd w:val="clear" w:color="auto" w:fill="CCEEFF"/>
          </w:tcPr>
          <w:p>
            <w:pPr>
              <w:spacing w:after="0"/>
              <w:rPr>
                <w:sz w:val="17"/>
                <w:szCs w:val="17"/>
                <w:color w:val="auto"/>
              </w:rPr>
            </w:pPr>
          </w:p>
        </w:tc>
        <w:tc>
          <w:tcPr>
            <w:tcW w:w="910" w:type="dxa"/>
            <w:vAlign w:val="bottom"/>
            <w:gridSpan w:val="2"/>
            <w:shd w:val="clear" w:color="auto" w:fill="CCEEFF"/>
          </w:tcPr>
          <w:p>
            <w:pPr>
              <w:jc w:val="right"/>
              <w:ind w:right="120"/>
              <w:spacing w:after="0" w:line="201" w:lineRule="exact"/>
              <w:rPr>
                <w:sz w:val="20"/>
                <w:szCs w:val="20"/>
                <w:color w:val="auto"/>
              </w:rPr>
            </w:pPr>
            <w:r>
              <w:rPr>
                <w:rFonts w:ascii="Arial" w:cs="Arial" w:eastAsia="Arial" w:hAnsi="Arial"/>
                <w:sz w:val="18"/>
                <w:szCs w:val="18"/>
                <w:color w:val="auto"/>
              </w:rPr>
              <w:t>3/1/17</w:t>
            </w:r>
          </w:p>
        </w:tc>
        <w:tc>
          <w:tcPr>
            <w:tcW w:w="2100" w:type="dxa"/>
            <w:vAlign w:val="bottom"/>
            <w:vMerge w:val="continue"/>
            <w:shd w:val="clear" w:color="auto" w:fill="CCEEFF"/>
          </w:tcPr>
          <w:p>
            <w:pPr>
              <w:spacing w:after="0"/>
              <w:rPr>
                <w:sz w:val="17"/>
                <w:szCs w:val="17"/>
                <w:color w:val="auto"/>
              </w:rPr>
            </w:pPr>
          </w:p>
        </w:tc>
        <w:tc>
          <w:tcPr>
            <w:tcW w:w="3500" w:type="dxa"/>
            <w:vAlign w:val="bottom"/>
            <w:vMerge w:val="continue"/>
            <w:shd w:val="clear" w:color="auto" w:fill="CCEEFF"/>
          </w:tcPr>
          <w:p>
            <w:pPr>
              <w:spacing w:after="0"/>
              <w:rPr>
                <w:sz w:val="17"/>
                <w:szCs w:val="17"/>
                <w:color w:val="auto"/>
              </w:rPr>
            </w:pPr>
          </w:p>
        </w:tc>
        <w:tc>
          <w:tcPr>
            <w:tcW w:w="138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3130" w:type="dxa"/>
            <w:vAlign w:val="bottom"/>
            <w:shd w:val="clear" w:color="auto" w:fill="CCEEFF"/>
          </w:tcPr>
          <w:p>
            <w:pPr>
              <w:spacing w:after="0"/>
              <w:rPr>
                <w:sz w:val="20"/>
                <w:szCs w:val="20"/>
                <w:color w:val="auto"/>
              </w:rPr>
            </w:pPr>
          </w:p>
        </w:tc>
        <w:tc>
          <w:tcPr>
            <w:tcW w:w="91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3/1/17</w:t>
            </w:r>
          </w:p>
        </w:tc>
        <w:tc>
          <w:tcPr>
            <w:tcW w:w="2100" w:type="dxa"/>
            <w:vAlign w:val="bottom"/>
            <w:shd w:val="clear" w:color="auto" w:fill="CCEEFF"/>
          </w:tcPr>
          <w:p>
            <w:pPr>
              <w:spacing w:after="0"/>
              <w:rPr>
                <w:sz w:val="20"/>
                <w:szCs w:val="20"/>
                <w:color w:val="auto"/>
              </w:rPr>
            </w:pPr>
          </w:p>
        </w:tc>
        <w:tc>
          <w:tcPr>
            <w:tcW w:w="3500" w:type="dxa"/>
            <w:vAlign w:val="bottom"/>
            <w:shd w:val="clear" w:color="auto" w:fill="CCEEFF"/>
          </w:tcPr>
          <w:p>
            <w:pPr>
              <w:jc w:val="right"/>
              <w:ind w:right="410"/>
              <w:spacing w:after="0"/>
              <w:rPr>
                <w:sz w:val="20"/>
                <w:szCs w:val="20"/>
                <w:color w:val="auto"/>
              </w:rPr>
            </w:pPr>
            <w:r>
              <w:rPr>
                <w:rFonts w:ascii="Arial" w:cs="Arial" w:eastAsia="Arial" w:hAnsi="Arial"/>
                <w:sz w:val="18"/>
                <w:szCs w:val="18"/>
                <w:color w:val="auto"/>
              </w:rPr>
              <w:t>10,421</w:t>
            </w:r>
            <w:r>
              <w:rPr>
                <w:rFonts w:ascii="Arial" w:cs="Arial" w:eastAsia="Arial" w:hAnsi="Arial"/>
                <w:sz w:val="15"/>
                <w:szCs w:val="15"/>
                <w:color w:val="auto"/>
              </w:rPr>
              <w:t>(4)</w:t>
            </w:r>
          </w:p>
        </w:tc>
        <w:tc>
          <w:tcPr>
            <w:tcW w:w="13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$184,243</w:t>
            </w:r>
          </w:p>
        </w:tc>
        <w:tc>
          <w:tcPr>
            <w:tcW w:w="0" w:type="dxa"/>
            <w:vAlign w:val="bottom"/>
          </w:tcPr>
          <w:p>
            <w:pPr>
              <w:spacing w:after="0"/>
              <w:rPr>
                <w:sz w:val="1"/>
                <w:szCs w:val="1"/>
                <w:color w:val="auto"/>
              </w:rPr>
            </w:pPr>
          </w:p>
        </w:tc>
      </w:tr>
      <w:tr>
        <w:trPr>
          <w:trHeight w:val="202"/>
        </w:trPr>
        <w:tc>
          <w:tcPr>
            <w:tcW w:w="3130" w:type="dxa"/>
            <w:vAlign w:val="bottom"/>
            <w:shd w:val="clear" w:color="auto" w:fill="CCEEFF"/>
          </w:tcPr>
          <w:p>
            <w:pPr>
              <w:spacing w:after="0"/>
              <w:rPr>
                <w:sz w:val="17"/>
                <w:szCs w:val="17"/>
                <w:color w:val="auto"/>
              </w:rPr>
            </w:pPr>
          </w:p>
        </w:tc>
        <w:tc>
          <w:tcPr>
            <w:tcW w:w="910" w:type="dxa"/>
            <w:vAlign w:val="bottom"/>
            <w:gridSpan w:val="2"/>
            <w:shd w:val="clear" w:color="auto" w:fill="CCEEFF"/>
          </w:tcPr>
          <w:p>
            <w:pPr>
              <w:jc w:val="right"/>
              <w:ind w:right="120"/>
              <w:spacing w:after="0" w:line="201" w:lineRule="exact"/>
              <w:rPr>
                <w:sz w:val="20"/>
                <w:szCs w:val="20"/>
                <w:color w:val="auto"/>
              </w:rPr>
            </w:pPr>
            <w:r>
              <w:rPr>
                <w:rFonts w:ascii="Arial" w:cs="Arial" w:eastAsia="Arial" w:hAnsi="Arial"/>
                <w:sz w:val="18"/>
                <w:szCs w:val="18"/>
                <w:color w:val="auto"/>
              </w:rPr>
              <w:t>3/1/18</w:t>
            </w:r>
          </w:p>
        </w:tc>
        <w:tc>
          <w:tcPr>
            <w:tcW w:w="2100" w:type="dxa"/>
            <w:vAlign w:val="bottom"/>
            <w:shd w:val="clear" w:color="auto" w:fill="CCEEFF"/>
          </w:tcPr>
          <w:p>
            <w:pPr>
              <w:jc w:val="right"/>
              <w:ind w:right="310"/>
              <w:spacing w:after="0" w:line="201" w:lineRule="exact"/>
              <w:rPr>
                <w:sz w:val="20"/>
                <w:szCs w:val="20"/>
                <w:color w:val="auto"/>
              </w:rPr>
            </w:pPr>
            <w:r>
              <w:rPr>
                <w:rFonts w:ascii="Arial" w:cs="Arial" w:eastAsia="Arial" w:hAnsi="Arial"/>
                <w:sz w:val="18"/>
                <w:szCs w:val="18"/>
                <w:color w:val="auto"/>
              </w:rPr>
              <w:t>9,741</w:t>
            </w:r>
            <w:r>
              <w:rPr>
                <w:rFonts w:ascii="Arial" w:cs="Arial" w:eastAsia="Arial" w:hAnsi="Arial"/>
                <w:sz w:val="15"/>
                <w:szCs w:val="15"/>
                <w:color w:val="auto"/>
              </w:rPr>
              <w:t>(3)</w:t>
            </w:r>
          </w:p>
        </w:tc>
        <w:tc>
          <w:tcPr>
            <w:tcW w:w="3500" w:type="dxa"/>
            <w:vAlign w:val="bottom"/>
            <w:shd w:val="clear" w:color="auto" w:fill="CCEEFF"/>
          </w:tcPr>
          <w:p>
            <w:pPr>
              <w:jc w:val="right"/>
              <w:ind w:right="2230"/>
              <w:spacing w:after="0" w:line="201" w:lineRule="exact"/>
              <w:rPr>
                <w:sz w:val="20"/>
                <w:szCs w:val="20"/>
                <w:color w:val="auto"/>
              </w:rPr>
            </w:pPr>
            <w:r>
              <w:rPr>
                <w:rFonts w:ascii="Arial" w:cs="Arial" w:eastAsia="Arial" w:hAnsi="Arial"/>
                <w:sz w:val="18"/>
                <w:szCs w:val="18"/>
                <w:color w:val="auto"/>
              </w:rPr>
              <w:t>$172,221</w:t>
            </w:r>
          </w:p>
        </w:tc>
        <w:tc>
          <w:tcPr>
            <w:tcW w:w="138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3130" w:type="dxa"/>
            <w:vAlign w:val="bottom"/>
            <w:shd w:val="clear" w:color="auto" w:fill="CCEEFF"/>
          </w:tcPr>
          <w:p>
            <w:pPr>
              <w:spacing w:after="0"/>
              <w:rPr>
                <w:sz w:val="20"/>
                <w:szCs w:val="20"/>
                <w:color w:val="auto"/>
              </w:rPr>
            </w:pPr>
          </w:p>
        </w:tc>
        <w:tc>
          <w:tcPr>
            <w:tcW w:w="91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3/1/18</w:t>
            </w:r>
          </w:p>
        </w:tc>
        <w:tc>
          <w:tcPr>
            <w:tcW w:w="2100" w:type="dxa"/>
            <w:vAlign w:val="bottom"/>
            <w:shd w:val="clear" w:color="auto" w:fill="CCEEFF"/>
          </w:tcPr>
          <w:p>
            <w:pPr>
              <w:spacing w:after="0"/>
              <w:rPr>
                <w:sz w:val="20"/>
                <w:szCs w:val="20"/>
                <w:color w:val="auto"/>
              </w:rPr>
            </w:pPr>
          </w:p>
        </w:tc>
        <w:tc>
          <w:tcPr>
            <w:tcW w:w="3500" w:type="dxa"/>
            <w:vAlign w:val="bottom"/>
            <w:shd w:val="clear" w:color="auto" w:fill="CCEEFF"/>
          </w:tcPr>
          <w:p>
            <w:pPr>
              <w:jc w:val="right"/>
              <w:ind w:right="410"/>
              <w:spacing w:after="0"/>
              <w:rPr>
                <w:sz w:val="20"/>
                <w:szCs w:val="20"/>
                <w:color w:val="auto"/>
              </w:rPr>
            </w:pPr>
            <w:r>
              <w:rPr>
                <w:rFonts w:ascii="Arial" w:cs="Arial" w:eastAsia="Arial" w:hAnsi="Arial"/>
                <w:sz w:val="18"/>
                <w:szCs w:val="18"/>
                <w:color w:val="auto"/>
              </w:rPr>
              <w:t>7,306</w:t>
            </w:r>
            <w:r>
              <w:rPr>
                <w:rFonts w:ascii="Arial" w:cs="Arial" w:eastAsia="Arial" w:hAnsi="Arial"/>
                <w:sz w:val="15"/>
                <w:szCs w:val="15"/>
                <w:color w:val="auto"/>
              </w:rPr>
              <w:t>(4)</w:t>
            </w:r>
          </w:p>
        </w:tc>
        <w:tc>
          <w:tcPr>
            <w:tcW w:w="13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$129,170</w:t>
            </w:r>
          </w:p>
        </w:tc>
        <w:tc>
          <w:tcPr>
            <w:tcW w:w="0" w:type="dxa"/>
            <w:vAlign w:val="bottom"/>
          </w:tcPr>
          <w:p>
            <w:pPr>
              <w:spacing w:after="0"/>
              <w:rPr>
                <w:sz w:val="1"/>
                <w:szCs w:val="1"/>
                <w:color w:val="auto"/>
              </w:rPr>
            </w:pPr>
          </w:p>
        </w:tc>
      </w:tr>
      <w:tr>
        <w:trPr>
          <w:trHeight w:val="202"/>
        </w:trPr>
        <w:tc>
          <w:tcPr>
            <w:tcW w:w="3130" w:type="dxa"/>
            <w:vAlign w:val="bottom"/>
            <w:shd w:val="clear" w:color="auto" w:fill="CCEEFF"/>
          </w:tcPr>
          <w:p>
            <w:pPr>
              <w:spacing w:after="0"/>
              <w:rPr>
                <w:sz w:val="17"/>
                <w:szCs w:val="17"/>
                <w:color w:val="auto"/>
              </w:rPr>
            </w:pPr>
          </w:p>
        </w:tc>
        <w:tc>
          <w:tcPr>
            <w:tcW w:w="910" w:type="dxa"/>
            <w:vAlign w:val="bottom"/>
            <w:gridSpan w:val="2"/>
            <w:shd w:val="clear" w:color="auto" w:fill="CCEEFF"/>
          </w:tcPr>
          <w:p>
            <w:pPr>
              <w:jc w:val="right"/>
              <w:ind w:right="120"/>
              <w:spacing w:after="0" w:line="201" w:lineRule="exact"/>
              <w:rPr>
                <w:sz w:val="20"/>
                <w:szCs w:val="20"/>
                <w:color w:val="auto"/>
              </w:rPr>
            </w:pPr>
            <w:r>
              <w:rPr>
                <w:rFonts w:ascii="Arial" w:cs="Arial" w:eastAsia="Arial" w:hAnsi="Arial"/>
                <w:sz w:val="18"/>
                <w:szCs w:val="18"/>
                <w:color w:val="auto"/>
              </w:rPr>
              <w:t>3/1/19</w:t>
            </w:r>
          </w:p>
        </w:tc>
        <w:tc>
          <w:tcPr>
            <w:tcW w:w="2100" w:type="dxa"/>
            <w:vAlign w:val="bottom"/>
            <w:shd w:val="clear" w:color="auto" w:fill="CCEEFF"/>
          </w:tcPr>
          <w:p>
            <w:pPr>
              <w:jc w:val="right"/>
              <w:ind w:right="310"/>
              <w:spacing w:after="0" w:line="201" w:lineRule="exact"/>
              <w:rPr>
                <w:sz w:val="20"/>
                <w:szCs w:val="20"/>
                <w:color w:val="auto"/>
              </w:rPr>
            </w:pPr>
            <w:r>
              <w:rPr>
                <w:rFonts w:ascii="Arial" w:cs="Arial" w:eastAsia="Arial" w:hAnsi="Arial"/>
                <w:sz w:val="18"/>
                <w:szCs w:val="18"/>
                <w:color w:val="auto"/>
              </w:rPr>
              <w:t>23,493</w:t>
            </w:r>
            <w:r>
              <w:rPr>
                <w:rFonts w:ascii="Arial" w:cs="Arial" w:eastAsia="Arial" w:hAnsi="Arial"/>
                <w:sz w:val="15"/>
                <w:szCs w:val="15"/>
                <w:color w:val="auto"/>
              </w:rPr>
              <w:t>(3)</w:t>
            </w:r>
          </w:p>
        </w:tc>
        <w:tc>
          <w:tcPr>
            <w:tcW w:w="3500" w:type="dxa"/>
            <w:vAlign w:val="bottom"/>
            <w:shd w:val="clear" w:color="auto" w:fill="CCEEFF"/>
          </w:tcPr>
          <w:p>
            <w:pPr>
              <w:jc w:val="right"/>
              <w:ind w:right="2230"/>
              <w:spacing w:after="0" w:line="201" w:lineRule="exact"/>
              <w:rPr>
                <w:sz w:val="20"/>
                <w:szCs w:val="20"/>
                <w:color w:val="auto"/>
              </w:rPr>
            </w:pPr>
            <w:r>
              <w:rPr>
                <w:rFonts w:ascii="Arial" w:cs="Arial" w:eastAsia="Arial" w:hAnsi="Arial"/>
                <w:sz w:val="18"/>
                <w:szCs w:val="18"/>
                <w:color w:val="auto"/>
              </w:rPr>
              <w:t>$415,356</w:t>
            </w:r>
          </w:p>
        </w:tc>
        <w:tc>
          <w:tcPr>
            <w:tcW w:w="138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3130" w:type="dxa"/>
            <w:vAlign w:val="bottom"/>
            <w:tcBorders>
              <w:bottom w:val="single" w:sz="8" w:color="407CCA"/>
            </w:tcBorders>
            <w:shd w:val="clear" w:color="auto" w:fill="CCEEFF"/>
          </w:tcPr>
          <w:p>
            <w:pPr>
              <w:spacing w:after="0"/>
              <w:rPr>
                <w:sz w:val="20"/>
                <w:szCs w:val="20"/>
                <w:color w:val="auto"/>
              </w:rPr>
            </w:pPr>
          </w:p>
        </w:tc>
        <w:tc>
          <w:tcPr>
            <w:tcW w:w="910" w:type="dxa"/>
            <w:vAlign w:val="bottom"/>
            <w:tcBorders>
              <w:bottom w:val="single" w:sz="8" w:color="407CCA"/>
            </w:tcBorders>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3/1/19</w:t>
            </w:r>
          </w:p>
        </w:tc>
        <w:tc>
          <w:tcPr>
            <w:tcW w:w="2100" w:type="dxa"/>
            <w:vAlign w:val="bottom"/>
            <w:tcBorders>
              <w:bottom w:val="single" w:sz="8" w:color="407CCA"/>
            </w:tcBorders>
            <w:shd w:val="clear" w:color="auto" w:fill="CCEEFF"/>
          </w:tcPr>
          <w:p>
            <w:pPr>
              <w:spacing w:after="0"/>
              <w:rPr>
                <w:sz w:val="20"/>
                <w:szCs w:val="20"/>
                <w:color w:val="auto"/>
              </w:rPr>
            </w:pPr>
          </w:p>
        </w:tc>
        <w:tc>
          <w:tcPr>
            <w:tcW w:w="3500" w:type="dxa"/>
            <w:vAlign w:val="bottom"/>
            <w:tcBorders>
              <w:bottom w:val="single" w:sz="8" w:color="407CCA"/>
            </w:tcBorders>
            <w:shd w:val="clear" w:color="auto" w:fill="CCEEFF"/>
          </w:tcPr>
          <w:p>
            <w:pPr>
              <w:jc w:val="right"/>
              <w:ind w:right="410"/>
              <w:spacing w:after="0"/>
              <w:rPr>
                <w:sz w:val="20"/>
                <w:szCs w:val="20"/>
                <w:color w:val="auto"/>
              </w:rPr>
            </w:pPr>
            <w:r>
              <w:rPr>
                <w:rFonts w:ascii="Arial" w:cs="Arial" w:eastAsia="Arial" w:hAnsi="Arial"/>
                <w:sz w:val="18"/>
                <w:szCs w:val="18"/>
                <w:color w:val="auto"/>
              </w:rPr>
              <w:t>23,496</w:t>
            </w:r>
            <w:r>
              <w:rPr>
                <w:rFonts w:ascii="Arial" w:cs="Arial" w:eastAsia="Arial" w:hAnsi="Arial"/>
                <w:sz w:val="15"/>
                <w:szCs w:val="15"/>
                <w:color w:val="auto"/>
              </w:rPr>
              <w:t>(5)</w:t>
            </w:r>
          </w:p>
        </w:tc>
        <w:tc>
          <w:tcPr>
            <w:tcW w:w="1380" w:type="dxa"/>
            <w:vAlign w:val="bottom"/>
            <w:tcBorders>
              <w:bottom w:val="single" w:sz="8" w:color="407CCA"/>
            </w:tcBorders>
            <w:shd w:val="clear" w:color="auto" w:fill="CCEEFF"/>
          </w:tcPr>
          <w:p>
            <w:pPr>
              <w:jc w:val="right"/>
              <w:spacing w:after="0"/>
              <w:rPr>
                <w:sz w:val="20"/>
                <w:szCs w:val="20"/>
                <w:color w:val="auto"/>
              </w:rPr>
            </w:pPr>
            <w:r>
              <w:rPr>
                <w:rFonts w:ascii="Arial" w:cs="Arial" w:eastAsia="Arial" w:hAnsi="Arial"/>
                <w:sz w:val="18"/>
                <w:szCs w:val="18"/>
                <w:color w:val="auto"/>
              </w:rPr>
              <w:t>$415,409</w:t>
            </w:r>
          </w:p>
        </w:tc>
        <w:tc>
          <w:tcPr>
            <w:tcW w:w="0" w:type="dxa"/>
            <w:vAlign w:val="bottom"/>
          </w:tcPr>
          <w:p>
            <w:pPr>
              <w:spacing w:after="0"/>
              <w:rPr>
                <w:sz w:val="1"/>
                <w:szCs w:val="1"/>
                <w:color w:val="auto"/>
              </w:rPr>
            </w:pPr>
          </w:p>
        </w:tc>
      </w:tr>
      <w:tr>
        <w:trPr>
          <w:trHeight w:val="129"/>
        </w:trPr>
        <w:tc>
          <w:tcPr>
            <w:tcW w:w="3130" w:type="dxa"/>
            <w:vAlign w:val="bottom"/>
            <w:tcBorders>
              <w:bottom w:val="single" w:sz="8" w:color="auto"/>
            </w:tcBorders>
          </w:tcPr>
          <w:p>
            <w:pPr>
              <w:spacing w:after="0"/>
              <w:rPr>
                <w:sz w:val="11"/>
                <w:szCs w:val="11"/>
                <w:color w:val="auto"/>
              </w:rPr>
            </w:pPr>
          </w:p>
        </w:tc>
        <w:tc>
          <w:tcPr>
            <w:tcW w:w="730" w:type="dxa"/>
            <w:vAlign w:val="bottom"/>
            <w:tcBorders>
              <w:bottom w:val="single" w:sz="8" w:color="auto"/>
            </w:tcBorders>
          </w:tcPr>
          <w:p>
            <w:pPr>
              <w:spacing w:after="0"/>
              <w:rPr>
                <w:sz w:val="11"/>
                <w:szCs w:val="11"/>
                <w:color w:val="auto"/>
              </w:rPr>
            </w:pPr>
          </w:p>
        </w:tc>
        <w:tc>
          <w:tcPr>
            <w:tcW w:w="180" w:type="dxa"/>
            <w:vAlign w:val="bottom"/>
          </w:tcPr>
          <w:p>
            <w:pPr>
              <w:spacing w:after="0"/>
              <w:rPr>
                <w:sz w:val="11"/>
                <w:szCs w:val="11"/>
                <w:color w:val="auto"/>
              </w:rPr>
            </w:pPr>
          </w:p>
        </w:tc>
        <w:tc>
          <w:tcPr>
            <w:tcW w:w="2100" w:type="dxa"/>
            <w:vAlign w:val="bottom"/>
          </w:tcPr>
          <w:p>
            <w:pPr>
              <w:spacing w:after="0"/>
              <w:rPr>
                <w:sz w:val="11"/>
                <w:szCs w:val="11"/>
                <w:color w:val="auto"/>
              </w:rPr>
            </w:pPr>
          </w:p>
        </w:tc>
        <w:tc>
          <w:tcPr>
            <w:tcW w:w="3500" w:type="dxa"/>
            <w:vAlign w:val="bottom"/>
          </w:tcPr>
          <w:p>
            <w:pPr>
              <w:spacing w:after="0"/>
              <w:rPr>
                <w:sz w:val="11"/>
                <w:szCs w:val="11"/>
                <w:color w:val="auto"/>
              </w:rPr>
            </w:pPr>
          </w:p>
        </w:tc>
        <w:tc>
          <w:tcPr>
            <w:tcW w:w="1380" w:type="dxa"/>
            <w:vAlign w:val="bottom"/>
          </w:tcPr>
          <w:p>
            <w:pPr>
              <w:spacing w:after="0"/>
              <w:rPr>
                <w:sz w:val="11"/>
                <w:szCs w:val="11"/>
                <w:color w:val="auto"/>
              </w:rPr>
            </w:pPr>
          </w:p>
        </w:tc>
        <w:tc>
          <w:tcPr>
            <w:tcW w:w="0" w:type="dxa"/>
            <w:vAlign w:val="bottom"/>
          </w:tcPr>
          <w:p>
            <w:pPr>
              <w:spacing w:after="0"/>
              <w:rPr>
                <w:sz w:val="1"/>
                <w:szCs w:val="1"/>
                <w:color w:val="auto"/>
              </w:rPr>
            </w:pPr>
          </w:p>
        </w:tc>
      </w:tr>
    </w:tbl>
    <w:p>
      <w:pPr>
        <w:spacing w:after="0" w:line="143" w:lineRule="exact"/>
        <w:rPr>
          <w:sz w:val="20"/>
          <w:szCs w:val="20"/>
          <w:color w:val="auto"/>
        </w:rPr>
      </w:pPr>
    </w:p>
    <w:p>
      <w:pPr>
        <w:ind w:left="880" w:right="180" w:hanging="764"/>
        <w:spacing w:after="0" w:line="253" w:lineRule="auto"/>
        <w:tabs>
          <w:tab w:leader="none" w:pos="880" w:val="left"/>
        </w:tabs>
        <w:numPr>
          <w:ilvl w:val="0"/>
          <w:numId w:val="46"/>
        </w:numPr>
        <w:rPr>
          <w:rFonts w:ascii="Arial" w:cs="Arial" w:eastAsia="Arial" w:hAnsi="Arial"/>
          <w:sz w:val="14"/>
          <w:szCs w:val="14"/>
          <w:color w:val="auto"/>
        </w:rPr>
      </w:pPr>
      <w:r>
        <w:rPr>
          <w:rFonts w:ascii="Arial" w:cs="Arial" w:eastAsia="Arial" w:hAnsi="Arial"/>
          <w:sz w:val="14"/>
          <w:szCs w:val="14"/>
          <w:color w:val="auto"/>
        </w:rPr>
        <w:t>Includes accrued dividend equivalent units. Reflects performance achievement of 138.3% of target for March 1, 2017 performance-based vesting RSUs. Assumes performance achievement at 100% of target for March 1, 2018 and 2019 performance-based vesting RSUs.</w:t>
      </w:r>
    </w:p>
    <w:p>
      <w:pPr>
        <w:spacing w:after="0" w:line="106" w:lineRule="exact"/>
        <w:rPr>
          <w:sz w:val="20"/>
          <w:szCs w:val="20"/>
          <w:color w:val="auto"/>
        </w:rPr>
      </w:pPr>
    </w:p>
    <w:p>
      <w:pPr>
        <w:ind w:left="7960"/>
        <w:spacing w:after="0"/>
        <w:tabs>
          <w:tab w:leader="none" w:pos="109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63</w:t>
      </w:r>
    </w:p>
    <w:p>
      <w:pPr>
        <w:sectPr>
          <w:pgSz w:w="11900" w:h="16838" w:orient="portrait"/>
          <w:cols w:equalWidth="0" w:num="1">
            <w:col w:w="11140"/>
          </w:cols>
          <w:pgMar w:left="320" w:top="459" w:right="439" w:bottom="1440" w:gutter="0" w:footer="0" w:header="0"/>
          <w:type w:val="continuous"/>
        </w:sectPr>
      </w:pPr>
    </w:p>
    <w:bookmarkStart w:id="76" w:name="page77"/>
    <w:bookmarkEnd w:id="7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4">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46990</wp:posOffset>
            </wp:positionV>
            <wp:extent cx="6995160" cy="825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5">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24" w:lineRule="exact"/>
        <w:rPr>
          <w:sz w:val="20"/>
          <w:szCs w:val="20"/>
          <w:color w:val="auto"/>
        </w:rPr>
      </w:pPr>
    </w:p>
    <w:p>
      <w:pPr>
        <w:ind w:left="880" w:hanging="764"/>
        <w:spacing w:after="0"/>
        <w:tabs>
          <w:tab w:leader="none" w:pos="880" w:val="left"/>
        </w:tabs>
        <w:numPr>
          <w:ilvl w:val="0"/>
          <w:numId w:val="47"/>
        </w:numPr>
        <w:rPr>
          <w:rFonts w:ascii="Arial" w:cs="Arial" w:eastAsia="Arial" w:hAnsi="Arial"/>
          <w:sz w:val="14"/>
          <w:szCs w:val="14"/>
          <w:color w:val="auto"/>
        </w:rPr>
      </w:pPr>
      <w:r>
        <w:rPr>
          <w:rFonts w:ascii="Arial" w:cs="Arial" w:eastAsia="Arial" w:hAnsi="Arial"/>
          <w:sz w:val="14"/>
          <w:szCs w:val="14"/>
          <w:color w:val="auto"/>
        </w:rPr>
        <w:t>Market value computed by multiplying the closing market price of our stock on December 31, 2019, or $17.68, by the number of units.</w:t>
      </w:r>
    </w:p>
    <w:p>
      <w:pPr>
        <w:ind w:left="880" w:hanging="764"/>
        <w:spacing w:after="0" w:line="221" w:lineRule="auto"/>
        <w:tabs>
          <w:tab w:leader="none" w:pos="880" w:val="left"/>
        </w:tabs>
        <w:numPr>
          <w:ilvl w:val="0"/>
          <w:numId w:val="47"/>
        </w:numPr>
        <w:rPr>
          <w:rFonts w:ascii="Arial" w:cs="Arial" w:eastAsia="Arial" w:hAnsi="Arial"/>
          <w:sz w:val="14"/>
          <w:szCs w:val="14"/>
          <w:color w:val="auto"/>
        </w:rPr>
      </w:pPr>
      <w:r>
        <w:rPr>
          <w:rFonts w:ascii="Arial" w:cs="Arial" w:eastAsia="Arial" w:hAnsi="Arial"/>
          <w:sz w:val="14"/>
          <w:szCs w:val="14"/>
          <w:color w:val="auto"/>
        </w:rPr>
        <w:t>Time-based vesting RSUs vest ratably over a three-year and one-half month period that commenced on the Grant Date with the next vesting date on March 15, 2020.</w:t>
      </w:r>
    </w:p>
    <w:p>
      <w:pPr>
        <w:ind w:left="880" w:right="140" w:hanging="764"/>
        <w:spacing w:after="0" w:line="221" w:lineRule="auto"/>
        <w:tabs>
          <w:tab w:leader="none" w:pos="880" w:val="left"/>
        </w:tabs>
        <w:numPr>
          <w:ilvl w:val="0"/>
          <w:numId w:val="47"/>
        </w:numPr>
        <w:rPr>
          <w:rFonts w:ascii="Arial" w:cs="Arial" w:eastAsia="Arial" w:hAnsi="Arial"/>
          <w:sz w:val="14"/>
          <w:szCs w:val="14"/>
          <w:color w:val="auto"/>
        </w:rPr>
      </w:pPr>
      <w:r>
        <w:rPr>
          <w:rFonts w:ascii="Arial" w:cs="Arial" w:eastAsia="Arial" w:hAnsi="Arial"/>
          <w:sz w:val="14"/>
          <w:szCs w:val="14"/>
          <w:color w:val="auto"/>
        </w:rPr>
        <w:t>Performance-based vesting RSUs which, subject to meeting the performance conditions calculated over a three-year period, vest three years and one-half month from the Grant Date.</w:t>
      </w:r>
    </w:p>
    <w:p>
      <w:pPr>
        <w:ind w:left="880" w:right="80" w:hanging="764"/>
        <w:spacing w:after="0" w:line="237" w:lineRule="auto"/>
        <w:tabs>
          <w:tab w:leader="none" w:pos="880" w:val="left"/>
        </w:tabs>
        <w:numPr>
          <w:ilvl w:val="0"/>
          <w:numId w:val="47"/>
        </w:numPr>
        <w:rPr>
          <w:rFonts w:ascii="Arial" w:cs="Arial" w:eastAsia="Arial" w:hAnsi="Arial"/>
          <w:sz w:val="14"/>
          <w:szCs w:val="14"/>
          <w:color w:val="auto"/>
        </w:rPr>
      </w:pPr>
      <w:r>
        <w:rPr>
          <w:rFonts w:ascii="Arial" w:cs="Arial" w:eastAsia="Arial" w:hAnsi="Arial"/>
          <w:sz w:val="14"/>
          <w:szCs w:val="14"/>
          <w:color w:val="auto"/>
        </w:rPr>
        <w:t>Performance-based vesting RSUs which, subject to meeting the performance conditions calculated over a three-year period, vest two years and eleven and one-half months from the Grant Date.</w:t>
      </w:r>
    </w:p>
    <w:p>
      <w:pPr>
        <w:spacing w:after="0" w:line="399" w:lineRule="exact"/>
        <w:rPr>
          <w:sz w:val="20"/>
          <w:szCs w:val="20"/>
          <w:color w:val="auto"/>
        </w:rPr>
      </w:pPr>
    </w:p>
    <w:p>
      <w:pPr>
        <w:ind w:left="3500"/>
        <w:spacing w:after="0"/>
        <w:rPr>
          <w:sz w:val="20"/>
          <w:szCs w:val="20"/>
          <w:color w:val="auto"/>
        </w:rPr>
      </w:pPr>
      <w:r>
        <w:rPr>
          <w:rFonts w:ascii="Arial" w:cs="Arial" w:eastAsia="Arial" w:hAnsi="Arial"/>
          <w:sz w:val="18"/>
          <w:szCs w:val="18"/>
          <w:b w:val="1"/>
          <w:bCs w:val="1"/>
          <w:color w:val="auto"/>
        </w:rPr>
        <w:t>Option Exercises and Stock Vested for Fiscal Year 2019</w:t>
      </w:r>
    </w:p>
    <w:p>
      <w:pPr>
        <w:spacing w:after="0" w:line="121"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The following table provides information about stock awards under the 2016 Plan that vested in 2019 for each NEO.</w:t>
      </w:r>
    </w:p>
    <w:p>
      <w:pPr>
        <w:spacing w:after="0" w:line="260" w:lineRule="exact"/>
        <w:rPr>
          <w:sz w:val="20"/>
          <w:szCs w:val="20"/>
          <w:color w:val="auto"/>
        </w:rPr>
      </w:pPr>
    </w:p>
    <w:tbl>
      <w:tblPr>
        <w:tblLayout w:type="fixed"/>
        <w:tblInd w:w="120" w:type="dxa"/>
        <w:tblCellMar>
          <w:top w:w="0" w:type="dxa"/>
          <w:left w:w="0" w:type="dxa"/>
          <w:bottom w:w="0" w:type="dxa"/>
          <w:right w:w="0" w:type="dxa"/>
        </w:tblCellMar>
      </w:tblPr>
      <w:tr>
        <w:trPr>
          <w:trHeight w:val="148"/>
        </w:trPr>
        <w:tc>
          <w:tcPr>
            <w:tcW w:w="6440" w:type="dxa"/>
            <w:vAlign w:val="bottom"/>
            <w:tcBorders>
              <w:top w:val="single" w:sz="8" w:color="407CCA"/>
            </w:tcBorders>
          </w:tcPr>
          <w:p>
            <w:pPr>
              <w:spacing w:after="0"/>
              <w:rPr>
                <w:sz w:val="12"/>
                <w:szCs w:val="12"/>
                <w:color w:val="auto"/>
              </w:rPr>
            </w:pPr>
          </w:p>
        </w:tc>
        <w:tc>
          <w:tcPr>
            <w:tcW w:w="2220" w:type="dxa"/>
            <w:vAlign w:val="bottom"/>
            <w:tcBorders>
              <w:top w:val="single" w:sz="8" w:color="407CCA"/>
              <w:bottom w:val="single" w:sz="8" w:color="407CCA"/>
            </w:tcBorders>
          </w:tcPr>
          <w:p>
            <w:pPr>
              <w:spacing w:after="0"/>
              <w:rPr>
                <w:sz w:val="12"/>
                <w:szCs w:val="12"/>
                <w:color w:val="auto"/>
              </w:rPr>
            </w:pPr>
          </w:p>
        </w:tc>
        <w:tc>
          <w:tcPr>
            <w:tcW w:w="2360" w:type="dxa"/>
            <w:vAlign w:val="bottom"/>
            <w:tcBorders>
              <w:top w:val="single" w:sz="8" w:color="407CCA"/>
              <w:bottom w:val="single" w:sz="8" w:color="407CCA"/>
            </w:tcBorders>
          </w:tcPr>
          <w:p>
            <w:pPr>
              <w:jc w:val="right"/>
              <w:ind w:right="1418"/>
              <w:spacing w:after="0"/>
              <w:rPr>
                <w:sz w:val="20"/>
                <w:szCs w:val="20"/>
                <w:color w:val="auto"/>
              </w:rPr>
            </w:pPr>
            <w:r>
              <w:rPr>
                <w:rFonts w:ascii="Arial" w:cs="Arial" w:eastAsia="Arial" w:hAnsi="Arial"/>
                <w:sz w:val="13"/>
                <w:szCs w:val="13"/>
                <w:b w:val="1"/>
                <w:bCs w:val="1"/>
                <w:color w:val="auto"/>
                <w:w w:val="97"/>
              </w:rPr>
              <w:t>Stock Awards</w:t>
            </w:r>
          </w:p>
        </w:tc>
        <w:tc>
          <w:tcPr>
            <w:tcW w:w="0" w:type="dxa"/>
            <w:vAlign w:val="bottom"/>
          </w:tcPr>
          <w:p>
            <w:pPr>
              <w:spacing w:after="0"/>
              <w:rPr>
                <w:sz w:val="1"/>
                <w:szCs w:val="1"/>
                <w:color w:val="auto"/>
              </w:rPr>
            </w:pPr>
          </w:p>
        </w:tc>
      </w:tr>
      <w:tr>
        <w:trPr>
          <w:trHeight w:val="110"/>
        </w:trPr>
        <w:tc>
          <w:tcPr>
            <w:tcW w:w="6440" w:type="dxa"/>
            <w:vAlign w:val="bottom"/>
            <w:vMerge w:val="restart"/>
          </w:tcPr>
          <w:p>
            <w:pPr>
              <w:ind w:left="80"/>
              <w:spacing w:after="0"/>
              <w:rPr>
                <w:sz w:val="20"/>
                <w:szCs w:val="20"/>
                <w:color w:val="auto"/>
              </w:rPr>
            </w:pPr>
            <w:r>
              <w:rPr>
                <w:rFonts w:ascii="Arial" w:cs="Arial" w:eastAsia="Arial" w:hAnsi="Arial"/>
                <w:sz w:val="18"/>
                <w:szCs w:val="18"/>
                <w:b w:val="1"/>
                <w:bCs w:val="1"/>
                <w:color w:val="auto"/>
              </w:rPr>
              <w:t>Name</w:t>
            </w:r>
          </w:p>
        </w:tc>
        <w:tc>
          <w:tcPr>
            <w:tcW w:w="2220" w:type="dxa"/>
            <w:vAlign w:val="bottom"/>
          </w:tcPr>
          <w:p>
            <w:pPr>
              <w:jc w:val="right"/>
              <w:ind w:right="158"/>
              <w:spacing w:after="0" w:line="110" w:lineRule="exact"/>
              <w:rPr>
                <w:sz w:val="20"/>
                <w:szCs w:val="20"/>
                <w:color w:val="auto"/>
              </w:rPr>
            </w:pPr>
            <w:r>
              <w:rPr>
                <w:rFonts w:ascii="Arial" w:cs="Arial" w:eastAsia="Arial" w:hAnsi="Arial"/>
                <w:sz w:val="12"/>
                <w:szCs w:val="12"/>
                <w:b w:val="1"/>
                <w:bCs w:val="1"/>
                <w:color w:val="auto"/>
              </w:rPr>
              <w:t>Number of shares</w:t>
            </w:r>
          </w:p>
        </w:tc>
        <w:tc>
          <w:tcPr>
            <w:tcW w:w="23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67"/>
        </w:trPr>
        <w:tc>
          <w:tcPr>
            <w:tcW w:w="6440" w:type="dxa"/>
            <w:vAlign w:val="bottom"/>
            <w:tcBorders>
              <w:bottom w:val="single" w:sz="8" w:color="407CCA"/>
            </w:tcBorders>
            <w:vMerge w:val="continue"/>
          </w:tcPr>
          <w:p>
            <w:pPr>
              <w:spacing w:after="0"/>
              <w:rPr>
                <w:sz w:val="14"/>
                <w:szCs w:val="14"/>
                <w:color w:val="auto"/>
              </w:rPr>
            </w:pPr>
          </w:p>
        </w:tc>
        <w:tc>
          <w:tcPr>
            <w:tcW w:w="2220" w:type="dxa"/>
            <w:vAlign w:val="bottom"/>
            <w:tcBorders>
              <w:bottom w:val="single" w:sz="8" w:color="407CCA"/>
            </w:tcBorders>
          </w:tcPr>
          <w:p>
            <w:pPr>
              <w:jc w:val="right"/>
              <w:ind w:right="18"/>
              <w:spacing w:after="0"/>
              <w:rPr>
                <w:sz w:val="20"/>
                <w:szCs w:val="20"/>
                <w:color w:val="auto"/>
              </w:rPr>
            </w:pPr>
            <w:r>
              <w:rPr>
                <w:rFonts w:ascii="Arial" w:cs="Arial" w:eastAsia="Arial" w:hAnsi="Arial"/>
                <w:sz w:val="13"/>
                <w:szCs w:val="13"/>
                <w:b w:val="1"/>
                <w:bCs w:val="1"/>
                <w:color w:val="auto"/>
              </w:rPr>
              <w:t>acquired on vesting (#)</w:t>
            </w:r>
          </w:p>
        </w:tc>
        <w:tc>
          <w:tcPr>
            <w:tcW w:w="2360" w:type="dxa"/>
            <w:vAlign w:val="bottom"/>
            <w:tcBorders>
              <w:bottom w:val="single" w:sz="8" w:color="407CCA"/>
            </w:tcBorders>
          </w:tcPr>
          <w:p>
            <w:pPr>
              <w:jc w:val="right"/>
              <w:spacing w:after="0"/>
              <w:rPr>
                <w:sz w:val="20"/>
                <w:szCs w:val="20"/>
                <w:color w:val="auto"/>
              </w:rPr>
            </w:pPr>
            <w:r>
              <w:rPr>
                <w:rFonts w:ascii="Arial" w:cs="Arial" w:eastAsia="Arial" w:hAnsi="Arial"/>
                <w:sz w:val="13"/>
                <w:szCs w:val="13"/>
                <w:b w:val="1"/>
                <w:bCs w:val="1"/>
                <w:color w:val="auto"/>
              </w:rPr>
              <w:t>Value realized on vesting ($)</w:t>
            </w:r>
          </w:p>
        </w:tc>
        <w:tc>
          <w:tcPr>
            <w:tcW w:w="0" w:type="dxa"/>
            <w:vAlign w:val="bottom"/>
          </w:tcPr>
          <w:p>
            <w:pPr>
              <w:spacing w:after="0"/>
              <w:rPr>
                <w:sz w:val="1"/>
                <w:szCs w:val="1"/>
                <w:color w:val="auto"/>
              </w:rPr>
            </w:pPr>
          </w:p>
        </w:tc>
      </w:tr>
      <w:tr>
        <w:trPr>
          <w:trHeight w:val="209"/>
        </w:trPr>
        <w:tc>
          <w:tcPr>
            <w:tcW w:w="6440" w:type="dxa"/>
            <w:vAlign w:val="bottom"/>
            <w:shd w:val="clear" w:color="auto" w:fill="CCEEFF"/>
          </w:tcPr>
          <w:p>
            <w:pPr>
              <w:ind w:left="80"/>
              <w:spacing w:after="0"/>
              <w:rPr>
                <w:sz w:val="20"/>
                <w:szCs w:val="20"/>
                <w:color w:val="auto"/>
              </w:rPr>
            </w:pPr>
            <w:r>
              <w:rPr>
                <w:rFonts w:ascii="Arial" w:cs="Arial" w:eastAsia="Arial" w:hAnsi="Arial"/>
                <w:sz w:val="18"/>
                <w:szCs w:val="18"/>
                <w:color w:val="auto"/>
              </w:rPr>
              <w:t>Gary D. Kain</w:t>
            </w:r>
          </w:p>
        </w:tc>
        <w:tc>
          <w:tcPr>
            <w:tcW w:w="2220" w:type="dxa"/>
            <w:vAlign w:val="bottom"/>
            <w:shd w:val="clear" w:color="auto" w:fill="CCEEFF"/>
          </w:tcPr>
          <w:p>
            <w:pPr>
              <w:jc w:val="right"/>
              <w:ind w:right="338"/>
              <w:spacing w:after="0"/>
              <w:rPr>
                <w:sz w:val="20"/>
                <w:szCs w:val="20"/>
                <w:color w:val="auto"/>
              </w:rPr>
            </w:pPr>
            <w:r>
              <w:rPr>
                <w:rFonts w:ascii="Arial" w:cs="Arial" w:eastAsia="Arial" w:hAnsi="Arial"/>
                <w:sz w:val="18"/>
                <w:szCs w:val="18"/>
                <w:color w:val="auto"/>
              </w:rPr>
              <w:t>107,129</w:t>
            </w:r>
          </w:p>
        </w:tc>
        <w:tc>
          <w:tcPr>
            <w:tcW w:w="2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$1,901,253</w:t>
            </w:r>
          </w:p>
        </w:tc>
        <w:tc>
          <w:tcPr>
            <w:tcW w:w="0" w:type="dxa"/>
            <w:vAlign w:val="bottom"/>
          </w:tcPr>
          <w:p>
            <w:pPr>
              <w:spacing w:after="0"/>
              <w:rPr>
                <w:sz w:val="1"/>
                <w:szCs w:val="1"/>
                <w:color w:val="auto"/>
              </w:rPr>
            </w:pPr>
          </w:p>
        </w:tc>
      </w:tr>
      <w:tr>
        <w:trPr>
          <w:trHeight w:val="216"/>
        </w:trPr>
        <w:tc>
          <w:tcPr>
            <w:tcW w:w="6440" w:type="dxa"/>
            <w:vAlign w:val="bottom"/>
          </w:tcPr>
          <w:p>
            <w:pPr>
              <w:ind w:left="80"/>
              <w:spacing w:after="0"/>
              <w:rPr>
                <w:sz w:val="20"/>
                <w:szCs w:val="20"/>
                <w:color w:val="auto"/>
              </w:rPr>
            </w:pPr>
            <w:r>
              <w:rPr>
                <w:rFonts w:ascii="Arial" w:cs="Arial" w:eastAsia="Arial" w:hAnsi="Arial"/>
                <w:sz w:val="18"/>
                <w:szCs w:val="18"/>
                <w:color w:val="auto"/>
              </w:rPr>
              <w:t>Peter J. Federico</w:t>
            </w:r>
          </w:p>
        </w:tc>
        <w:tc>
          <w:tcPr>
            <w:tcW w:w="2220" w:type="dxa"/>
            <w:vAlign w:val="bottom"/>
          </w:tcPr>
          <w:p>
            <w:pPr>
              <w:jc w:val="right"/>
              <w:ind w:right="338"/>
              <w:spacing w:after="0"/>
              <w:rPr>
                <w:sz w:val="20"/>
                <w:szCs w:val="20"/>
                <w:color w:val="auto"/>
              </w:rPr>
            </w:pPr>
            <w:r>
              <w:rPr>
                <w:rFonts w:ascii="Arial" w:cs="Arial" w:eastAsia="Arial" w:hAnsi="Arial"/>
                <w:sz w:val="18"/>
                <w:szCs w:val="18"/>
                <w:color w:val="auto"/>
              </w:rPr>
              <w:t>50,852</w:t>
            </w:r>
          </w:p>
        </w:tc>
        <w:tc>
          <w:tcPr>
            <w:tcW w:w="2360" w:type="dxa"/>
            <w:vAlign w:val="bottom"/>
          </w:tcPr>
          <w:p>
            <w:pPr>
              <w:jc w:val="right"/>
              <w:spacing w:after="0"/>
              <w:rPr>
                <w:sz w:val="20"/>
                <w:szCs w:val="20"/>
                <w:color w:val="auto"/>
              </w:rPr>
            </w:pPr>
            <w:r>
              <w:rPr>
                <w:rFonts w:ascii="Arial" w:cs="Arial" w:eastAsia="Arial" w:hAnsi="Arial"/>
                <w:sz w:val="18"/>
                <w:szCs w:val="18"/>
                <w:color w:val="auto"/>
              </w:rPr>
              <w:t>$898,474</w:t>
            </w:r>
          </w:p>
        </w:tc>
        <w:tc>
          <w:tcPr>
            <w:tcW w:w="0" w:type="dxa"/>
            <w:vAlign w:val="bottom"/>
          </w:tcPr>
          <w:p>
            <w:pPr>
              <w:spacing w:after="0"/>
              <w:rPr>
                <w:sz w:val="1"/>
                <w:szCs w:val="1"/>
                <w:color w:val="auto"/>
              </w:rPr>
            </w:pPr>
          </w:p>
        </w:tc>
      </w:tr>
      <w:tr>
        <w:trPr>
          <w:trHeight w:val="216"/>
        </w:trPr>
        <w:tc>
          <w:tcPr>
            <w:tcW w:w="6440" w:type="dxa"/>
            <w:vAlign w:val="bottom"/>
            <w:shd w:val="clear" w:color="auto" w:fill="CCEEFF"/>
          </w:tcPr>
          <w:p>
            <w:pPr>
              <w:ind w:left="80"/>
              <w:spacing w:after="0"/>
              <w:rPr>
                <w:sz w:val="20"/>
                <w:szCs w:val="20"/>
                <w:color w:val="auto"/>
              </w:rPr>
            </w:pPr>
            <w:r>
              <w:rPr>
                <w:rFonts w:ascii="Arial" w:cs="Arial" w:eastAsia="Arial" w:hAnsi="Arial"/>
                <w:sz w:val="18"/>
                <w:szCs w:val="18"/>
                <w:color w:val="auto"/>
              </w:rPr>
              <w:t>Christopher J. Kuehl</w:t>
            </w:r>
          </w:p>
        </w:tc>
        <w:tc>
          <w:tcPr>
            <w:tcW w:w="2220" w:type="dxa"/>
            <w:vAlign w:val="bottom"/>
            <w:shd w:val="clear" w:color="auto" w:fill="CCEEFF"/>
          </w:tcPr>
          <w:p>
            <w:pPr>
              <w:jc w:val="right"/>
              <w:ind w:right="338"/>
              <w:spacing w:after="0"/>
              <w:rPr>
                <w:sz w:val="20"/>
                <w:szCs w:val="20"/>
                <w:color w:val="auto"/>
              </w:rPr>
            </w:pPr>
            <w:r>
              <w:rPr>
                <w:rFonts w:ascii="Arial" w:cs="Arial" w:eastAsia="Arial" w:hAnsi="Arial"/>
                <w:sz w:val="18"/>
                <w:szCs w:val="18"/>
                <w:color w:val="auto"/>
              </w:rPr>
              <w:t>43,496</w:t>
            </w:r>
          </w:p>
        </w:tc>
        <w:tc>
          <w:tcPr>
            <w:tcW w:w="2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$764,754</w:t>
            </w:r>
          </w:p>
        </w:tc>
        <w:tc>
          <w:tcPr>
            <w:tcW w:w="0" w:type="dxa"/>
            <w:vAlign w:val="bottom"/>
          </w:tcPr>
          <w:p>
            <w:pPr>
              <w:spacing w:after="0"/>
              <w:rPr>
                <w:sz w:val="1"/>
                <w:szCs w:val="1"/>
                <w:color w:val="auto"/>
              </w:rPr>
            </w:pPr>
          </w:p>
        </w:tc>
      </w:tr>
      <w:tr>
        <w:trPr>
          <w:trHeight w:val="216"/>
        </w:trPr>
        <w:tc>
          <w:tcPr>
            <w:tcW w:w="6440" w:type="dxa"/>
            <w:vAlign w:val="bottom"/>
          </w:tcPr>
          <w:p>
            <w:pPr>
              <w:ind w:left="80"/>
              <w:spacing w:after="0"/>
              <w:rPr>
                <w:sz w:val="20"/>
                <w:szCs w:val="20"/>
                <w:color w:val="auto"/>
              </w:rPr>
            </w:pPr>
            <w:r>
              <w:rPr>
                <w:rFonts w:ascii="Arial" w:cs="Arial" w:eastAsia="Arial" w:hAnsi="Arial"/>
                <w:sz w:val="18"/>
                <w:szCs w:val="18"/>
                <w:color w:val="auto"/>
              </w:rPr>
              <w:t>Bernice E. Bell</w:t>
            </w:r>
          </w:p>
        </w:tc>
        <w:tc>
          <w:tcPr>
            <w:tcW w:w="2220" w:type="dxa"/>
            <w:vAlign w:val="bottom"/>
          </w:tcPr>
          <w:p>
            <w:pPr>
              <w:jc w:val="right"/>
              <w:ind w:right="338"/>
              <w:spacing w:after="0"/>
              <w:rPr>
                <w:sz w:val="20"/>
                <w:szCs w:val="20"/>
                <w:color w:val="auto"/>
              </w:rPr>
            </w:pPr>
            <w:r>
              <w:rPr>
                <w:rFonts w:ascii="Arial" w:cs="Arial" w:eastAsia="Arial" w:hAnsi="Arial"/>
                <w:sz w:val="18"/>
                <w:szCs w:val="18"/>
                <w:color w:val="auto"/>
              </w:rPr>
              <w:t>6,959</w:t>
            </w:r>
          </w:p>
        </w:tc>
        <w:tc>
          <w:tcPr>
            <w:tcW w:w="2360" w:type="dxa"/>
            <w:vAlign w:val="bottom"/>
          </w:tcPr>
          <w:p>
            <w:pPr>
              <w:jc w:val="right"/>
              <w:spacing w:after="0"/>
              <w:rPr>
                <w:sz w:val="20"/>
                <w:szCs w:val="20"/>
                <w:color w:val="auto"/>
              </w:rPr>
            </w:pPr>
            <w:r>
              <w:rPr>
                <w:rFonts w:ascii="Arial" w:cs="Arial" w:eastAsia="Arial" w:hAnsi="Arial"/>
                <w:sz w:val="18"/>
                <w:szCs w:val="18"/>
                <w:color w:val="auto"/>
              </w:rPr>
              <w:t>$123,395</w:t>
            </w:r>
          </w:p>
        </w:tc>
        <w:tc>
          <w:tcPr>
            <w:tcW w:w="0" w:type="dxa"/>
            <w:vAlign w:val="bottom"/>
          </w:tcPr>
          <w:p>
            <w:pPr>
              <w:spacing w:after="0"/>
              <w:rPr>
                <w:sz w:val="1"/>
                <w:szCs w:val="1"/>
                <w:color w:val="auto"/>
              </w:rPr>
            </w:pPr>
          </w:p>
        </w:tc>
      </w:tr>
      <w:tr>
        <w:trPr>
          <w:trHeight w:val="216"/>
        </w:trPr>
        <w:tc>
          <w:tcPr>
            <w:tcW w:w="6440" w:type="dxa"/>
            <w:vAlign w:val="bottom"/>
            <w:tcBorders>
              <w:bottom w:val="single" w:sz="8" w:color="407CCA"/>
            </w:tcBorders>
            <w:shd w:val="clear" w:color="auto" w:fill="CCEEFF"/>
          </w:tcPr>
          <w:p>
            <w:pPr>
              <w:ind w:left="80"/>
              <w:spacing w:after="0"/>
              <w:rPr>
                <w:sz w:val="20"/>
                <w:szCs w:val="20"/>
                <w:color w:val="auto"/>
              </w:rPr>
            </w:pPr>
            <w:r>
              <w:rPr>
                <w:rFonts w:ascii="Arial" w:cs="Arial" w:eastAsia="Arial" w:hAnsi="Arial"/>
                <w:sz w:val="18"/>
                <w:szCs w:val="18"/>
                <w:color w:val="auto"/>
              </w:rPr>
              <w:t>Aaron J. Pas</w:t>
            </w:r>
          </w:p>
        </w:tc>
        <w:tc>
          <w:tcPr>
            <w:tcW w:w="2220" w:type="dxa"/>
            <w:vAlign w:val="bottom"/>
            <w:tcBorders>
              <w:bottom w:val="single" w:sz="8" w:color="407CCA"/>
            </w:tcBorders>
            <w:shd w:val="clear" w:color="auto" w:fill="CCEEFF"/>
          </w:tcPr>
          <w:p>
            <w:pPr>
              <w:jc w:val="right"/>
              <w:ind w:right="338"/>
              <w:spacing w:after="0"/>
              <w:rPr>
                <w:sz w:val="20"/>
                <w:szCs w:val="20"/>
                <w:color w:val="auto"/>
              </w:rPr>
            </w:pPr>
            <w:r>
              <w:rPr>
                <w:rFonts w:ascii="Arial" w:cs="Arial" w:eastAsia="Arial" w:hAnsi="Arial"/>
                <w:sz w:val="18"/>
                <w:szCs w:val="18"/>
                <w:color w:val="auto"/>
              </w:rPr>
              <w:t>12,307</w:t>
            </w:r>
          </w:p>
        </w:tc>
        <w:tc>
          <w:tcPr>
            <w:tcW w:w="2360" w:type="dxa"/>
            <w:vAlign w:val="bottom"/>
            <w:tcBorders>
              <w:bottom w:val="single" w:sz="8" w:color="407CCA"/>
            </w:tcBorders>
            <w:shd w:val="clear" w:color="auto" w:fill="CCEEFF"/>
          </w:tcPr>
          <w:p>
            <w:pPr>
              <w:jc w:val="right"/>
              <w:spacing w:after="0"/>
              <w:rPr>
                <w:sz w:val="20"/>
                <w:szCs w:val="20"/>
                <w:color w:val="auto"/>
              </w:rPr>
            </w:pPr>
            <w:r>
              <w:rPr>
                <w:rFonts w:ascii="Arial" w:cs="Arial" w:eastAsia="Arial" w:hAnsi="Arial"/>
                <w:sz w:val="18"/>
                <w:szCs w:val="18"/>
                <w:color w:val="auto"/>
              </w:rPr>
              <w:t>$218,231</w:t>
            </w:r>
          </w:p>
        </w:tc>
        <w:tc>
          <w:tcPr>
            <w:tcW w:w="0" w:type="dxa"/>
            <w:vAlign w:val="bottom"/>
          </w:tcPr>
          <w:p>
            <w:pPr>
              <w:spacing w:after="0"/>
              <w:rPr>
                <w:sz w:val="1"/>
                <w:szCs w:val="1"/>
                <w:color w:val="auto"/>
              </w:rPr>
            </w:pPr>
          </w:p>
        </w:tc>
      </w:tr>
    </w:tbl>
    <w:p>
      <w:pPr>
        <w:spacing w:after="0" w:line="306"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Severance and Change of Control Payments</w:t>
      </w:r>
    </w:p>
    <w:p>
      <w:pPr>
        <w:spacing w:after="0" w:line="121"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Employment Agreements</w:t>
      </w:r>
    </w:p>
    <w:p>
      <w:pPr>
        <w:spacing w:after="0" w:line="117" w:lineRule="exact"/>
        <w:rPr>
          <w:sz w:val="20"/>
          <w:szCs w:val="20"/>
          <w:color w:val="auto"/>
        </w:rPr>
      </w:pPr>
    </w:p>
    <w:p>
      <w:pPr>
        <w:ind w:left="120" w:right="460" w:firstLine="881"/>
        <w:spacing w:after="0" w:line="277" w:lineRule="auto"/>
        <w:rPr>
          <w:sz w:val="20"/>
          <w:szCs w:val="20"/>
          <w:color w:val="auto"/>
        </w:rPr>
      </w:pPr>
      <w:r>
        <w:rPr>
          <w:rFonts w:ascii="Arial" w:cs="Arial" w:eastAsia="Arial" w:hAnsi="Arial"/>
          <w:sz w:val="18"/>
          <w:szCs w:val="18"/>
          <w:color w:val="auto"/>
        </w:rPr>
        <w:t>Each of the employment agreements with Ms. Bell and Messrs. Kain, Federico, Kuehl, and Pas contains provisions for payments upon certain events as set forth below.</w:t>
      </w:r>
    </w:p>
    <w:p>
      <w:pPr>
        <w:spacing w:after="0" w:line="170"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Termination by the Board Without Cause or Termination by the Executive for Good Reason</w:t>
      </w:r>
    </w:p>
    <w:p>
      <w:pPr>
        <w:spacing w:after="0" w:line="117" w:lineRule="exact"/>
        <w:rPr>
          <w:sz w:val="20"/>
          <w:szCs w:val="20"/>
          <w:color w:val="auto"/>
        </w:rPr>
      </w:pPr>
    </w:p>
    <w:p>
      <w:pPr>
        <w:ind w:left="120" w:right="260" w:firstLine="881"/>
        <w:spacing w:after="0" w:line="286" w:lineRule="auto"/>
        <w:rPr>
          <w:sz w:val="20"/>
          <w:szCs w:val="20"/>
          <w:color w:val="auto"/>
        </w:rPr>
      </w:pPr>
      <w:r>
        <w:rPr>
          <w:rFonts w:ascii="Arial" w:cs="Arial" w:eastAsia="Arial" w:hAnsi="Arial"/>
          <w:sz w:val="16"/>
          <w:szCs w:val="16"/>
          <w:color w:val="auto"/>
        </w:rPr>
        <w:t>If the employment of Ms. Bell or Messrs. Kain, Federico, Kuehl, or Pas terminates by reason of a Termination Without Cause or Termination For Good Reason, each as defined in their employment agreements, and such termination does not occur during the 21-month period (24 months in the case of Ms. Bell or Mr. Pas) following a Change of Control, each such executive would be entitled to the following payments from the Company, as applicable, in addition to the payments listed below under “All Terminations” (a) an amount equal to the product of (i) 2.5 for Mr. Kain,</w:t>
      </w:r>
    </w:p>
    <w:p>
      <w:pPr>
        <w:spacing w:after="0" w:line="1" w:lineRule="exact"/>
        <w:rPr>
          <w:sz w:val="20"/>
          <w:szCs w:val="20"/>
          <w:color w:val="auto"/>
        </w:rPr>
      </w:pPr>
    </w:p>
    <w:p>
      <w:pPr>
        <w:ind w:left="120" w:right="20"/>
        <w:spacing w:after="0" w:line="268" w:lineRule="auto"/>
        <w:rPr>
          <w:sz w:val="20"/>
          <w:szCs w:val="20"/>
          <w:color w:val="auto"/>
        </w:rPr>
      </w:pPr>
      <w:r>
        <w:rPr>
          <w:rFonts w:ascii="Arial" w:cs="Arial" w:eastAsia="Arial" w:hAnsi="Arial"/>
          <w:sz w:val="17"/>
          <w:szCs w:val="17"/>
          <w:color w:val="auto"/>
        </w:rPr>
        <w:t>1.5 for Mr. Federico or 1.0 for Ms. Bell or Messrs. Kuehl and Pas, multiplied by (ii) the sum of (A) the executive’s annual base salary at the time of such termination, plus (B) the target value of the executive’s annual cash bonus for the year in which such termination occurs (the “Severance Amount”), paid over 30 months for Mr. Kain, 18 months for Mr. Federico, and 12 months to Ms. Bell and Messrs. Kuehl and Pas, respectively; (b) a pro rata portion of the annual cash bonus the executive would have been entitled to receive if he or she had remained employed through December 31 of the year in which such termination occurs; (c) reimbursements under COBRA, or substitute payments, for the executive and his or her eligible dependents for up to 18 months (12 months in the case of Ms. Bell and Mr. Pas); and (d) acceleration of any outstanding unvested equity awards. In addition, if Mr. Kuehl remains unemployed on the first anniversary of such termination, he would be entitled to an amount equal to the product of 0.5, multiplied by the sum of his annual base salary at the time of such termination, plus the target value of his annual cash bonus for the year in which such termination occurred, paid over the following six months.</w:t>
      </w:r>
    </w:p>
    <w:p>
      <w:pPr>
        <w:spacing w:after="0" w:line="109"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64</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40"/>
          </w:cols>
          <w:pgMar w:left="320" w:top="459" w:right="439" w:bottom="1440" w:gutter="0" w:footer="0" w:header="0"/>
        </w:sectPr>
      </w:pPr>
    </w:p>
    <w:bookmarkStart w:id="77" w:name="page78"/>
    <w:bookmarkEnd w:id="7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6">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9180"/>
        <w:spacing w:after="0"/>
        <w:rPr>
          <w:sz w:val="20"/>
          <w:szCs w:val="20"/>
          <w:color w:val="auto"/>
        </w:rPr>
      </w:pPr>
      <w:r>
        <w:rPr>
          <w:rFonts w:ascii="Arial" w:cs="Arial" w:eastAsia="Arial" w:hAnsi="Arial"/>
          <w:sz w:val="13"/>
          <w:szCs w:val="13"/>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28575</wp:posOffset>
            </wp:positionV>
            <wp:extent cx="6995160" cy="825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7">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99"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Termination by the Board Without Cause or Termination by the Executive For Good Reason Following a Change of Control</w:t>
      </w:r>
    </w:p>
    <w:p>
      <w:pPr>
        <w:spacing w:after="0" w:line="117" w:lineRule="exact"/>
        <w:rPr>
          <w:sz w:val="20"/>
          <w:szCs w:val="20"/>
          <w:color w:val="auto"/>
        </w:rPr>
      </w:pPr>
    </w:p>
    <w:p>
      <w:pPr>
        <w:ind w:left="120" w:right="560" w:firstLine="881"/>
        <w:spacing w:after="0" w:line="291" w:lineRule="auto"/>
        <w:rPr>
          <w:sz w:val="20"/>
          <w:szCs w:val="20"/>
          <w:color w:val="auto"/>
        </w:rPr>
      </w:pPr>
      <w:r>
        <w:rPr>
          <w:rFonts w:ascii="Arial" w:cs="Arial" w:eastAsia="Arial" w:hAnsi="Arial"/>
          <w:sz w:val="16"/>
          <w:szCs w:val="16"/>
          <w:color w:val="auto"/>
        </w:rPr>
        <w:t>If the employment of Ms. Bell or Messrs. Kain, Federico, Kuehl, or Pas terminates by reason of a Termination Without Cause or Termination For Good Reason, and such termination occurs during the 21-month period following a Change of Control (24-months in the case of</w:t>
      </w:r>
    </w:p>
    <w:p>
      <w:pPr>
        <w:ind w:left="120" w:right="20"/>
        <w:spacing w:after="0" w:line="251" w:lineRule="auto"/>
        <w:rPr>
          <w:sz w:val="20"/>
          <w:szCs w:val="20"/>
          <w:color w:val="auto"/>
        </w:rPr>
      </w:pPr>
      <w:r>
        <w:rPr>
          <w:rFonts w:ascii="Arial" w:cs="Arial" w:eastAsia="Arial" w:hAnsi="Arial"/>
          <w:sz w:val="18"/>
          <w:szCs w:val="18"/>
          <w:color w:val="auto"/>
        </w:rPr>
        <w:t>Ms. Bell and Mr. Pas), as defined in their employment agreements, each such executive would be entitled to the following (as applicable), in addition to the payments listed below under “All Terminations”: (a) an amount equal to the product of (i) 2.5 (for Mr. Kain), 1.5 (for Messrs. Federico or Kuehl) or 1.0 (for Ms. Bell and Mr. Pas), multiplied by (ii) the sum of (A) the executive’s annual base salary at the time of such termination, plus (B) the target value of the executive’s annual cash bonus for the year in which such termination occurs, paid in a lump sum; (b) a pro rata portion of the target value of his or her annual cash bonus for the year in which such termination occurs (as determined by the Compensation Committee but assuming that all qualitative and subjective performance metrics were achieved at their target level); (c) COBRA reimbursements (or substitute payments) for the executive and his or her eligible dependents for up to 18 months (12 months in the case of Ms. Bell and Mr. Pas); and (d) acceleration of any outstanding unvested equity awards.</w:t>
      </w:r>
    </w:p>
    <w:p>
      <w:pPr>
        <w:spacing w:after="0" w:line="198"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Death or Disability</w:t>
      </w:r>
    </w:p>
    <w:p>
      <w:pPr>
        <w:spacing w:after="0" w:line="117" w:lineRule="exact"/>
        <w:rPr>
          <w:sz w:val="20"/>
          <w:szCs w:val="20"/>
          <w:color w:val="auto"/>
        </w:rPr>
      </w:pPr>
    </w:p>
    <w:p>
      <w:pPr>
        <w:ind w:left="120" w:right="20" w:firstLine="881"/>
        <w:spacing w:after="0" w:line="254" w:lineRule="auto"/>
        <w:rPr>
          <w:sz w:val="20"/>
          <w:szCs w:val="20"/>
          <w:color w:val="auto"/>
        </w:rPr>
      </w:pPr>
      <w:r>
        <w:rPr>
          <w:rFonts w:ascii="Arial" w:cs="Arial" w:eastAsia="Arial" w:hAnsi="Arial"/>
          <w:sz w:val="18"/>
          <w:szCs w:val="18"/>
          <w:color w:val="auto"/>
        </w:rPr>
        <w:t>If the employment period of Ms. Bell or Messrs. Kain, Federico, Kuehl, or Pas terminates early by reason of death or disability, each executive (or his or her estate or eligible dependents, if applicable) is entitled to receive, in addition to the payments listed below under “All Terminations”: (i) a pro rata portion of the annual cash bonus the executive would have been entitled to receive if he or she had remained employed through December 31 of the year in which such termination occurs (as determined by the Compensation Committee but assuming that the executive achieved all qualitative and subjective performance metrics at their target level), payable in a lump sum; (ii) COBRA reimbursements (or substitute payments) for the executive and his or her eligible dependents for up to 18 months (12 months in the case of Ms. Bell and Mr. Pas); and (iii) acceleration of any outstanding unvested equity awards.</w:t>
      </w:r>
    </w:p>
    <w:p>
      <w:pPr>
        <w:spacing w:after="0" w:line="195"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All Terminations</w:t>
      </w:r>
    </w:p>
    <w:p>
      <w:pPr>
        <w:spacing w:after="0" w:line="117" w:lineRule="exact"/>
        <w:rPr>
          <w:sz w:val="20"/>
          <w:szCs w:val="20"/>
          <w:color w:val="auto"/>
        </w:rPr>
      </w:pPr>
    </w:p>
    <w:p>
      <w:pPr>
        <w:ind w:left="120" w:right="120" w:firstLine="881"/>
        <w:spacing w:after="0" w:line="257" w:lineRule="auto"/>
        <w:rPr>
          <w:sz w:val="20"/>
          <w:szCs w:val="20"/>
          <w:color w:val="auto"/>
        </w:rPr>
      </w:pPr>
      <w:r>
        <w:rPr>
          <w:rFonts w:ascii="Arial" w:cs="Arial" w:eastAsia="Arial" w:hAnsi="Arial"/>
          <w:sz w:val="18"/>
          <w:szCs w:val="18"/>
          <w:color w:val="auto"/>
        </w:rPr>
        <w:t>If the employment period of Ms. Bell and Messrs. Kain, Federico, Kuehl, or Pas terminates early for any reason, each executive is entitled to receive (i) any earned but unpaid base salary; (ii) any annual cash bonus that has been earned for a calendar year prior to termination but is unpaid (but only if not a Termination For Cause or a voluntary termination by the executive for any reason other than Good Reason); (iii) any unpaid reimbursable expenses that have been incurred by the executive; (iv) any plan benefits which by their terms extend beyond termination of employment; and (v) any COBRA benefits generally available to employees.</w:t>
      </w:r>
    </w:p>
    <w:p>
      <w:pPr>
        <w:spacing w:after="0" w:line="188" w:lineRule="exact"/>
        <w:rPr>
          <w:sz w:val="20"/>
          <w:szCs w:val="20"/>
          <w:color w:val="auto"/>
        </w:rPr>
      </w:pPr>
    </w:p>
    <w:p>
      <w:pPr>
        <w:ind w:left="120" w:right="280" w:firstLine="881"/>
        <w:spacing w:after="0" w:line="259" w:lineRule="auto"/>
        <w:rPr>
          <w:sz w:val="20"/>
          <w:szCs w:val="20"/>
          <w:color w:val="auto"/>
        </w:rPr>
      </w:pPr>
      <w:r>
        <w:rPr>
          <w:rFonts w:ascii="Arial" w:cs="Arial" w:eastAsia="Arial" w:hAnsi="Arial"/>
          <w:sz w:val="18"/>
          <w:szCs w:val="18"/>
          <w:color w:val="auto"/>
        </w:rPr>
        <w:t>In addition, each of the employment agreements contains a non-competition provision that prevents the officer from participating as an officer, employee, director, partner, stockholder, consultant or otherwise, in any type of business that engages in the Company’s business for a certain restricted period. Each of the employment agreements also contains a provision preventing the executive from soliciting any of our employees or interfering in a similar manner with our business during such restricted period.</w:t>
      </w:r>
    </w:p>
    <w:p>
      <w:pPr>
        <w:spacing w:after="0" w:line="187"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Equity Plans</w:t>
      </w:r>
    </w:p>
    <w:p>
      <w:pPr>
        <w:spacing w:after="0" w:line="117" w:lineRule="exact"/>
        <w:rPr>
          <w:sz w:val="20"/>
          <w:szCs w:val="20"/>
          <w:color w:val="auto"/>
        </w:rPr>
      </w:pPr>
    </w:p>
    <w:p>
      <w:pPr>
        <w:jc w:val="both"/>
        <w:ind w:left="120" w:right="520" w:firstLine="881"/>
        <w:spacing w:after="0" w:line="263" w:lineRule="auto"/>
        <w:rPr>
          <w:sz w:val="20"/>
          <w:szCs w:val="20"/>
          <w:color w:val="auto"/>
        </w:rPr>
      </w:pPr>
      <w:r>
        <w:rPr>
          <w:rFonts w:ascii="Arial" w:cs="Arial" w:eastAsia="Arial" w:hAnsi="Arial"/>
          <w:sz w:val="18"/>
          <w:szCs w:val="18"/>
          <w:color w:val="auto"/>
        </w:rPr>
        <w:t>The 2016 Plan includes “double-trigger” acceleration provisions with respect to the vesting of awards in connection with a Change of Control of the Company (as defined in the 2016 Plan). Under the 2016 Plan, the vesting of awards may accelerate in connection with a Change of Control where either (1) within a specified</w:t>
      </w:r>
    </w:p>
    <w:p>
      <w:pPr>
        <w:spacing w:after="0" w:line="112" w:lineRule="exact"/>
        <w:rPr>
          <w:sz w:val="20"/>
          <w:szCs w:val="20"/>
          <w:color w:val="auto"/>
        </w:rPr>
      </w:pPr>
    </w:p>
    <w:p>
      <w:pPr>
        <w:ind w:left="7960"/>
        <w:spacing w:after="0"/>
        <w:tabs>
          <w:tab w:leader="none" w:pos="109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65</w:t>
      </w:r>
    </w:p>
    <w:p>
      <w:pPr>
        <w:sectPr>
          <w:pgSz w:w="11900" w:h="16838" w:orient="portrait"/>
          <w:cols w:equalWidth="0" w:num="1">
            <w:col w:w="11140"/>
          </w:cols>
          <w:pgMar w:left="320" w:top="459" w:right="439" w:bottom="1440" w:gutter="0" w:footer="0" w:header="0"/>
        </w:sectPr>
      </w:pPr>
    </w:p>
    <w:bookmarkStart w:id="78" w:name="page79"/>
    <w:bookmarkEnd w:id="7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8">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9">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120" w:right="280"/>
        <w:spacing w:after="0" w:line="342" w:lineRule="auto"/>
        <w:rPr>
          <w:sz w:val="20"/>
          <w:szCs w:val="20"/>
          <w:color w:val="auto"/>
        </w:rPr>
      </w:pPr>
      <w:r>
        <w:rPr>
          <w:rFonts w:ascii="Arial" w:cs="Arial" w:eastAsia="Arial" w:hAnsi="Arial"/>
          <w:sz w:val="16"/>
          <w:szCs w:val="16"/>
          <w:color w:val="auto"/>
        </w:rPr>
        <w:t>period the participant experiences a qualifying termination of employment or service, as applicable, in a manner described in the award agreement or (2) the award is not continued, assumed, or converted into a replacement award in a manner described in the applicable award agreement.</w:t>
      </w:r>
    </w:p>
    <w:p>
      <w:pPr>
        <w:spacing w:after="0" w:line="124" w:lineRule="exact"/>
        <w:rPr>
          <w:sz w:val="20"/>
          <w:szCs w:val="20"/>
          <w:color w:val="auto"/>
        </w:rPr>
      </w:pPr>
    </w:p>
    <w:p>
      <w:pPr>
        <w:ind w:left="120" w:firstLine="881"/>
        <w:spacing w:after="0" w:line="272" w:lineRule="auto"/>
        <w:rPr>
          <w:sz w:val="20"/>
          <w:szCs w:val="20"/>
          <w:color w:val="auto"/>
        </w:rPr>
      </w:pPr>
      <w:r>
        <w:rPr>
          <w:rFonts w:ascii="Arial" w:cs="Arial" w:eastAsia="Arial" w:hAnsi="Arial"/>
          <w:sz w:val="17"/>
          <w:szCs w:val="17"/>
          <w:color w:val="auto"/>
        </w:rPr>
        <w:t>The following table summarizes the estimated payments to be made under the employment or letter agreement for each NEO at, following, or in connection with any termination of employment, including by the Company without cause or by the executive for good reason, death or disability and upon a change of control. In accordance with SEC regulations, the following table does not include any amount to be provided to an NEO under any arrangement that does not discriminate in scope, terms or operation in favor of the NEO and that are available generally to all salaried employees. Also, the following table does not duplicate information already provided in the outstanding equity awards at fiscal year-end table, except to the extent that the amount payable to the NEO would be enhanced by the termination event. The amounts in the following table are hypothetical and based on SEC regulations. Actual payments will depend on the circumstances and timing of any termination.</w:t>
      </w:r>
    </w:p>
    <w:p>
      <w:pPr>
        <w:spacing w:after="0" w:line="177" w:lineRule="exact"/>
        <w:rPr>
          <w:sz w:val="20"/>
          <w:szCs w:val="20"/>
          <w:color w:val="auto"/>
        </w:rPr>
      </w:pPr>
    </w:p>
    <w:p>
      <w:pPr>
        <w:ind w:left="120" w:right="20" w:firstLine="881"/>
        <w:spacing w:after="0" w:line="263" w:lineRule="auto"/>
        <w:rPr>
          <w:sz w:val="20"/>
          <w:szCs w:val="20"/>
          <w:color w:val="auto"/>
        </w:rPr>
      </w:pPr>
      <w:r>
        <w:rPr>
          <w:rFonts w:ascii="Arial" w:cs="Arial" w:eastAsia="Arial" w:hAnsi="Arial"/>
          <w:sz w:val="18"/>
          <w:szCs w:val="18"/>
          <w:color w:val="auto"/>
        </w:rPr>
        <w:t>In accordance with SEC regulations, for purposes of the quantitative disclosure in the following table, we have assumed that the termination took place on December 31, 2019, and that the price per share of our common stock is the closing market price as of December 31, 2019, which was $17.68.</w:t>
      </w:r>
    </w:p>
    <w:p>
      <w:pPr>
        <w:spacing w:after="0" w:line="112"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66</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20"/>
          </w:cols>
          <w:pgMar w:left="320" w:top="459" w:right="459" w:bottom="1440" w:gutter="0" w:footer="0" w:header="0"/>
        </w:sectPr>
      </w:pPr>
    </w:p>
    <w:bookmarkStart w:id="79" w:name="page80"/>
    <w:bookmarkEnd w:id="7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0">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9180"/>
        <w:spacing w:after="0"/>
        <w:rPr>
          <w:sz w:val="20"/>
          <w:szCs w:val="20"/>
          <w:color w:val="auto"/>
        </w:rPr>
      </w:pPr>
      <w:r>
        <w:rPr>
          <w:rFonts w:ascii="Arial" w:cs="Arial" w:eastAsia="Arial" w:hAnsi="Arial"/>
          <w:sz w:val="13"/>
          <w:szCs w:val="13"/>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28575</wp:posOffset>
            </wp:positionV>
            <wp:extent cx="6995160" cy="8255"/>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1">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95" w:lineRule="exact"/>
        <w:rPr>
          <w:sz w:val="20"/>
          <w:szCs w:val="20"/>
          <w:color w:val="auto"/>
        </w:rPr>
      </w:pPr>
    </w:p>
    <w:p>
      <w:pPr>
        <w:ind w:left="120"/>
        <w:spacing w:after="0"/>
        <w:rPr>
          <w:sz w:val="20"/>
          <w:szCs w:val="20"/>
          <w:color w:val="auto"/>
        </w:rPr>
      </w:pPr>
      <w:r>
        <w:rPr>
          <w:rFonts w:ascii="Arial" w:cs="Arial" w:eastAsia="Arial" w:hAnsi="Arial"/>
          <w:sz w:val="17"/>
          <w:szCs w:val="17"/>
          <w:b w:val="1"/>
          <w:bCs w:val="1"/>
          <w:color w:val="auto"/>
        </w:rPr>
        <w:t>The information below constitutes forward-looking statements for purposes of the Private Litigation Securities Reform Act of 1995.</w:t>
      </w:r>
    </w:p>
    <w:p>
      <w:pPr>
        <w:spacing w:after="0" w:line="262" w:lineRule="exact"/>
        <w:rPr>
          <w:sz w:val="20"/>
          <w:szCs w:val="20"/>
          <w:color w:val="auto"/>
        </w:rPr>
      </w:pPr>
    </w:p>
    <w:tbl>
      <w:tblPr>
        <w:tblLayout w:type="fixed"/>
        <w:tblInd w:w="120" w:type="dxa"/>
        <w:tblCellMar>
          <w:top w:w="0" w:type="dxa"/>
          <w:left w:w="0" w:type="dxa"/>
          <w:bottom w:w="0" w:type="dxa"/>
          <w:right w:w="0" w:type="dxa"/>
        </w:tblCellMar>
      </w:tblPr>
      <w:tr>
        <w:trPr>
          <w:trHeight w:val="130"/>
        </w:trPr>
        <w:tc>
          <w:tcPr>
            <w:tcW w:w="3860" w:type="dxa"/>
            <w:vAlign w:val="bottom"/>
            <w:tcBorders>
              <w:top w:val="single" w:sz="8" w:color="407CCA"/>
            </w:tcBorders>
          </w:tcPr>
          <w:p>
            <w:pPr>
              <w:spacing w:after="0"/>
              <w:rPr>
                <w:sz w:val="11"/>
                <w:szCs w:val="11"/>
                <w:color w:val="auto"/>
              </w:rPr>
            </w:pPr>
          </w:p>
        </w:tc>
        <w:tc>
          <w:tcPr>
            <w:tcW w:w="1940" w:type="dxa"/>
            <w:vAlign w:val="bottom"/>
            <w:tcBorders>
              <w:top w:val="single" w:sz="8" w:color="407CCA"/>
            </w:tcBorders>
          </w:tcPr>
          <w:p>
            <w:pPr>
              <w:spacing w:after="0"/>
              <w:rPr>
                <w:sz w:val="11"/>
                <w:szCs w:val="11"/>
                <w:color w:val="auto"/>
              </w:rPr>
            </w:pPr>
          </w:p>
        </w:tc>
        <w:tc>
          <w:tcPr>
            <w:tcW w:w="2020" w:type="dxa"/>
            <w:vAlign w:val="bottom"/>
            <w:tcBorders>
              <w:top w:val="single" w:sz="8" w:color="407CCA"/>
            </w:tcBorders>
          </w:tcPr>
          <w:p>
            <w:pPr>
              <w:jc w:val="center"/>
              <w:ind w:right="76"/>
              <w:spacing w:after="0" w:line="131" w:lineRule="exact"/>
              <w:rPr>
                <w:sz w:val="20"/>
                <w:szCs w:val="20"/>
                <w:color w:val="auto"/>
              </w:rPr>
            </w:pPr>
            <w:r>
              <w:rPr>
                <w:rFonts w:ascii="Arial" w:cs="Arial" w:eastAsia="Arial" w:hAnsi="Arial"/>
                <w:sz w:val="13"/>
                <w:szCs w:val="13"/>
                <w:b w:val="1"/>
                <w:bCs w:val="1"/>
                <w:color w:val="auto"/>
                <w:w w:val="87"/>
              </w:rPr>
              <w:t>Termination by</w:t>
            </w:r>
          </w:p>
        </w:tc>
        <w:tc>
          <w:tcPr>
            <w:tcW w:w="1720" w:type="dxa"/>
            <w:vAlign w:val="bottom"/>
            <w:tcBorders>
              <w:top w:val="single" w:sz="8" w:color="407CCA"/>
            </w:tcBorders>
          </w:tcPr>
          <w:p>
            <w:pPr>
              <w:spacing w:after="0"/>
              <w:rPr>
                <w:sz w:val="11"/>
                <w:szCs w:val="11"/>
                <w:color w:val="auto"/>
              </w:rPr>
            </w:pPr>
          </w:p>
        </w:tc>
        <w:tc>
          <w:tcPr>
            <w:tcW w:w="1480" w:type="dxa"/>
            <w:vAlign w:val="bottom"/>
            <w:tcBorders>
              <w:top w:val="single" w:sz="8" w:color="407CCA"/>
            </w:tcBorders>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3860" w:type="dxa"/>
            <w:vAlign w:val="bottom"/>
          </w:tcPr>
          <w:p>
            <w:pPr>
              <w:spacing w:after="0"/>
              <w:rPr>
                <w:sz w:val="11"/>
                <w:szCs w:val="11"/>
                <w:color w:val="auto"/>
              </w:rPr>
            </w:pPr>
          </w:p>
        </w:tc>
        <w:tc>
          <w:tcPr>
            <w:tcW w:w="1940" w:type="dxa"/>
            <w:vAlign w:val="bottom"/>
          </w:tcPr>
          <w:p>
            <w:pPr>
              <w:spacing w:after="0"/>
              <w:rPr>
                <w:sz w:val="11"/>
                <w:szCs w:val="11"/>
                <w:color w:val="auto"/>
              </w:rPr>
            </w:pPr>
          </w:p>
        </w:tc>
        <w:tc>
          <w:tcPr>
            <w:tcW w:w="2020" w:type="dxa"/>
            <w:vAlign w:val="bottom"/>
          </w:tcPr>
          <w:p>
            <w:pPr>
              <w:jc w:val="center"/>
              <w:ind w:right="96"/>
              <w:spacing w:after="0" w:line="135" w:lineRule="exact"/>
              <w:rPr>
                <w:sz w:val="20"/>
                <w:szCs w:val="20"/>
                <w:color w:val="auto"/>
              </w:rPr>
            </w:pPr>
            <w:r>
              <w:rPr>
                <w:rFonts w:ascii="Arial" w:cs="Arial" w:eastAsia="Arial" w:hAnsi="Arial"/>
                <w:sz w:val="13"/>
                <w:szCs w:val="13"/>
                <w:b w:val="1"/>
                <w:bCs w:val="1"/>
                <w:color w:val="auto"/>
                <w:w w:val="89"/>
              </w:rPr>
              <w:t>Company Without</w:t>
            </w:r>
          </w:p>
        </w:tc>
        <w:tc>
          <w:tcPr>
            <w:tcW w:w="1720" w:type="dxa"/>
            <w:vAlign w:val="bottom"/>
          </w:tcPr>
          <w:p>
            <w:pPr>
              <w:spacing w:after="0"/>
              <w:rPr>
                <w:sz w:val="11"/>
                <w:szCs w:val="11"/>
                <w:color w:val="auto"/>
              </w:rPr>
            </w:pPr>
          </w:p>
        </w:tc>
        <w:tc>
          <w:tcPr>
            <w:tcW w:w="14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3860" w:type="dxa"/>
            <w:vAlign w:val="bottom"/>
          </w:tcPr>
          <w:p>
            <w:pPr>
              <w:spacing w:after="0"/>
              <w:rPr>
                <w:sz w:val="11"/>
                <w:szCs w:val="11"/>
                <w:color w:val="auto"/>
              </w:rPr>
            </w:pPr>
          </w:p>
        </w:tc>
        <w:tc>
          <w:tcPr>
            <w:tcW w:w="1940" w:type="dxa"/>
            <w:vAlign w:val="bottom"/>
          </w:tcPr>
          <w:p>
            <w:pPr>
              <w:spacing w:after="0"/>
              <w:rPr>
                <w:sz w:val="11"/>
                <w:szCs w:val="11"/>
                <w:color w:val="auto"/>
              </w:rPr>
            </w:pPr>
          </w:p>
        </w:tc>
        <w:tc>
          <w:tcPr>
            <w:tcW w:w="2020" w:type="dxa"/>
            <w:vAlign w:val="bottom"/>
          </w:tcPr>
          <w:p>
            <w:pPr>
              <w:jc w:val="center"/>
              <w:ind w:right="96"/>
              <w:spacing w:after="0" w:line="135" w:lineRule="exact"/>
              <w:rPr>
                <w:sz w:val="20"/>
                <w:szCs w:val="20"/>
                <w:color w:val="auto"/>
              </w:rPr>
            </w:pPr>
            <w:r>
              <w:rPr>
                <w:rFonts w:ascii="Arial" w:cs="Arial" w:eastAsia="Arial" w:hAnsi="Arial"/>
                <w:sz w:val="13"/>
                <w:szCs w:val="13"/>
                <w:b w:val="1"/>
                <w:bCs w:val="1"/>
                <w:color w:val="auto"/>
                <w:w w:val="86"/>
              </w:rPr>
              <w:t>Cause or</w:t>
            </w:r>
          </w:p>
        </w:tc>
        <w:tc>
          <w:tcPr>
            <w:tcW w:w="1720" w:type="dxa"/>
            <w:vAlign w:val="bottom"/>
          </w:tcPr>
          <w:p>
            <w:pPr>
              <w:spacing w:after="0"/>
              <w:rPr>
                <w:sz w:val="11"/>
                <w:szCs w:val="11"/>
                <w:color w:val="auto"/>
              </w:rPr>
            </w:pPr>
          </w:p>
        </w:tc>
        <w:tc>
          <w:tcPr>
            <w:tcW w:w="1480" w:type="dxa"/>
            <w:vAlign w:val="bottom"/>
          </w:tcPr>
          <w:p>
            <w:pPr>
              <w:jc w:val="center"/>
              <w:ind w:left="196"/>
              <w:spacing w:after="0" w:line="135" w:lineRule="exact"/>
              <w:rPr>
                <w:sz w:val="20"/>
                <w:szCs w:val="20"/>
                <w:color w:val="auto"/>
              </w:rPr>
            </w:pPr>
            <w:r>
              <w:rPr>
                <w:rFonts w:ascii="Arial" w:cs="Arial" w:eastAsia="Arial" w:hAnsi="Arial"/>
                <w:sz w:val="13"/>
                <w:szCs w:val="13"/>
                <w:b w:val="1"/>
                <w:bCs w:val="1"/>
                <w:color w:val="auto"/>
                <w:w w:val="90"/>
              </w:rPr>
              <w:t>Termination by</w:t>
            </w:r>
          </w:p>
        </w:tc>
        <w:tc>
          <w:tcPr>
            <w:tcW w:w="0" w:type="dxa"/>
            <w:vAlign w:val="bottom"/>
          </w:tcPr>
          <w:p>
            <w:pPr>
              <w:spacing w:after="0"/>
              <w:rPr>
                <w:sz w:val="1"/>
                <w:szCs w:val="1"/>
                <w:color w:val="auto"/>
              </w:rPr>
            </w:pPr>
          </w:p>
        </w:tc>
      </w:tr>
      <w:tr>
        <w:trPr>
          <w:trHeight w:val="135"/>
        </w:trPr>
        <w:tc>
          <w:tcPr>
            <w:tcW w:w="3860" w:type="dxa"/>
            <w:vAlign w:val="bottom"/>
          </w:tcPr>
          <w:p>
            <w:pPr>
              <w:spacing w:after="0"/>
              <w:rPr>
                <w:sz w:val="11"/>
                <w:szCs w:val="11"/>
                <w:color w:val="auto"/>
              </w:rPr>
            </w:pPr>
          </w:p>
        </w:tc>
        <w:tc>
          <w:tcPr>
            <w:tcW w:w="1940" w:type="dxa"/>
            <w:vAlign w:val="bottom"/>
          </w:tcPr>
          <w:p>
            <w:pPr>
              <w:jc w:val="center"/>
              <w:ind w:right="535"/>
              <w:spacing w:after="0" w:line="135" w:lineRule="exact"/>
              <w:rPr>
                <w:sz w:val="20"/>
                <w:szCs w:val="20"/>
                <w:color w:val="auto"/>
              </w:rPr>
            </w:pPr>
            <w:r>
              <w:rPr>
                <w:rFonts w:ascii="Arial" w:cs="Arial" w:eastAsia="Arial" w:hAnsi="Arial"/>
                <w:sz w:val="13"/>
                <w:szCs w:val="13"/>
                <w:b w:val="1"/>
                <w:bCs w:val="1"/>
                <w:color w:val="auto"/>
                <w:w w:val="90"/>
              </w:rPr>
              <w:t>Termination by</w:t>
            </w:r>
          </w:p>
        </w:tc>
        <w:tc>
          <w:tcPr>
            <w:tcW w:w="2020" w:type="dxa"/>
            <w:vAlign w:val="bottom"/>
          </w:tcPr>
          <w:p>
            <w:pPr>
              <w:jc w:val="center"/>
              <w:ind w:right="76"/>
              <w:spacing w:after="0" w:line="135" w:lineRule="exact"/>
              <w:rPr>
                <w:sz w:val="20"/>
                <w:szCs w:val="20"/>
                <w:color w:val="auto"/>
              </w:rPr>
            </w:pPr>
            <w:r>
              <w:rPr>
                <w:rFonts w:ascii="Arial" w:cs="Arial" w:eastAsia="Arial" w:hAnsi="Arial"/>
                <w:sz w:val="13"/>
                <w:szCs w:val="13"/>
                <w:b w:val="1"/>
                <w:bCs w:val="1"/>
                <w:color w:val="auto"/>
                <w:w w:val="87"/>
              </w:rPr>
              <w:t>Termination by</w:t>
            </w:r>
          </w:p>
        </w:tc>
        <w:tc>
          <w:tcPr>
            <w:tcW w:w="1720" w:type="dxa"/>
            <w:vAlign w:val="bottom"/>
          </w:tcPr>
          <w:p>
            <w:pPr>
              <w:spacing w:after="0"/>
              <w:rPr>
                <w:sz w:val="11"/>
                <w:szCs w:val="11"/>
                <w:color w:val="auto"/>
              </w:rPr>
            </w:pPr>
          </w:p>
        </w:tc>
        <w:tc>
          <w:tcPr>
            <w:tcW w:w="1480" w:type="dxa"/>
            <w:vAlign w:val="bottom"/>
          </w:tcPr>
          <w:p>
            <w:pPr>
              <w:jc w:val="center"/>
              <w:ind w:left="196"/>
              <w:spacing w:after="0" w:line="135" w:lineRule="exact"/>
              <w:rPr>
                <w:sz w:val="20"/>
                <w:szCs w:val="20"/>
                <w:color w:val="auto"/>
              </w:rPr>
            </w:pPr>
            <w:r>
              <w:rPr>
                <w:rFonts w:ascii="Arial" w:cs="Arial" w:eastAsia="Arial" w:hAnsi="Arial"/>
                <w:sz w:val="13"/>
                <w:szCs w:val="13"/>
                <w:b w:val="1"/>
                <w:bCs w:val="1"/>
                <w:color w:val="auto"/>
                <w:w w:val="87"/>
              </w:rPr>
              <w:t>Company for Cause</w:t>
            </w:r>
          </w:p>
        </w:tc>
        <w:tc>
          <w:tcPr>
            <w:tcW w:w="0" w:type="dxa"/>
            <w:vAlign w:val="bottom"/>
          </w:tcPr>
          <w:p>
            <w:pPr>
              <w:spacing w:after="0"/>
              <w:rPr>
                <w:sz w:val="1"/>
                <w:szCs w:val="1"/>
                <w:color w:val="auto"/>
              </w:rPr>
            </w:pPr>
          </w:p>
        </w:tc>
      </w:tr>
      <w:tr>
        <w:trPr>
          <w:trHeight w:val="135"/>
        </w:trPr>
        <w:tc>
          <w:tcPr>
            <w:tcW w:w="3860" w:type="dxa"/>
            <w:vAlign w:val="bottom"/>
          </w:tcPr>
          <w:p>
            <w:pPr>
              <w:spacing w:after="0"/>
              <w:rPr>
                <w:sz w:val="11"/>
                <w:szCs w:val="11"/>
                <w:color w:val="auto"/>
              </w:rPr>
            </w:pPr>
          </w:p>
        </w:tc>
        <w:tc>
          <w:tcPr>
            <w:tcW w:w="1940" w:type="dxa"/>
            <w:vAlign w:val="bottom"/>
          </w:tcPr>
          <w:p>
            <w:pPr>
              <w:jc w:val="center"/>
              <w:ind w:right="535"/>
              <w:spacing w:after="0" w:line="135" w:lineRule="exact"/>
              <w:rPr>
                <w:sz w:val="20"/>
                <w:szCs w:val="20"/>
                <w:color w:val="auto"/>
              </w:rPr>
            </w:pPr>
            <w:r>
              <w:rPr>
                <w:rFonts w:ascii="Arial" w:cs="Arial" w:eastAsia="Arial" w:hAnsi="Arial"/>
                <w:sz w:val="13"/>
                <w:szCs w:val="13"/>
                <w:b w:val="1"/>
                <w:bCs w:val="1"/>
                <w:color w:val="auto"/>
                <w:w w:val="89"/>
              </w:rPr>
              <w:t>Company Without</w:t>
            </w:r>
          </w:p>
        </w:tc>
        <w:tc>
          <w:tcPr>
            <w:tcW w:w="2020" w:type="dxa"/>
            <w:vAlign w:val="bottom"/>
          </w:tcPr>
          <w:p>
            <w:pPr>
              <w:jc w:val="center"/>
              <w:ind w:right="96"/>
              <w:spacing w:after="0" w:line="135" w:lineRule="exact"/>
              <w:rPr>
                <w:sz w:val="20"/>
                <w:szCs w:val="20"/>
                <w:color w:val="auto"/>
              </w:rPr>
            </w:pPr>
            <w:r>
              <w:rPr>
                <w:rFonts w:ascii="Arial" w:cs="Arial" w:eastAsia="Arial" w:hAnsi="Arial"/>
                <w:sz w:val="13"/>
                <w:szCs w:val="13"/>
                <w:b w:val="1"/>
                <w:bCs w:val="1"/>
                <w:color w:val="auto"/>
                <w:w w:val="88"/>
              </w:rPr>
              <w:t>Executive for</w:t>
            </w:r>
          </w:p>
        </w:tc>
        <w:tc>
          <w:tcPr>
            <w:tcW w:w="1720" w:type="dxa"/>
            <w:vAlign w:val="bottom"/>
          </w:tcPr>
          <w:p>
            <w:pPr>
              <w:spacing w:after="0"/>
              <w:rPr>
                <w:sz w:val="11"/>
                <w:szCs w:val="11"/>
                <w:color w:val="auto"/>
              </w:rPr>
            </w:pPr>
          </w:p>
        </w:tc>
        <w:tc>
          <w:tcPr>
            <w:tcW w:w="1480" w:type="dxa"/>
            <w:vAlign w:val="bottom"/>
          </w:tcPr>
          <w:p>
            <w:pPr>
              <w:jc w:val="center"/>
              <w:ind w:left="196"/>
              <w:spacing w:after="0" w:line="135" w:lineRule="exact"/>
              <w:rPr>
                <w:sz w:val="20"/>
                <w:szCs w:val="20"/>
                <w:color w:val="auto"/>
              </w:rPr>
            </w:pPr>
            <w:r>
              <w:rPr>
                <w:rFonts w:ascii="Arial" w:cs="Arial" w:eastAsia="Arial" w:hAnsi="Arial"/>
                <w:sz w:val="13"/>
                <w:szCs w:val="13"/>
                <w:b w:val="1"/>
                <w:bCs w:val="1"/>
                <w:color w:val="auto"/>
                <w:w w:val="88"/>
              </w:rPr>
              <w:t>or Voluntary</w:t>
            </w:r>
          </w:p>
        </w:tc>
        <w:tc>
          <w:tcPr>
            <w:tcW w:w="0" w:type="dxa"/>
            <w:vAlign w:val="bottom"/>
          </w:tcPr>
          <w:p>
            <w:pPr>
              <w:spacing w:after="0"/>
              <w:rPr>
                <w:sz w:val="1"/>
                <w:szCs w:val="1"/>
                <w:color w:val="auto"/>
              </w:rPr>
            </w:pPr>
          </w:p>
        </w:tc>
      </w:tr>
      <w:tr>
        <w:trPr>
          <w:trHeight w:val="135"/>
        </w:trPr>
        <w:tc>
          <w:tcPr>
            <w:tcW w:w="3860" w:type="dxa"/>
            <w:vAlign w:val="bottom"/>
            <w:vMerge w:val="restart"/>
          </w:tcPr>
          <w:p>
            <w:pPr>
              <w:spacing w:after="0"/>
              <w:rPr>
                <w:sz w:val="20"/>
                <w:szCs w:val="20"/>
                <w:color w:val="auto"/>
              </w:rPr>
            </w:pPr>
            <w:r>
              <w:rPr>
                <w:rFonts w:ascii="Arial" w:cs="Arial" w:eastAsia="Arial" w:hAnsi="Arial"/>
                <w:sz w:val="18"/>
                <w:szCs w:val="18"/>
                <w:b w:val="1"/>
                <w:bCs w:val="1"/>
                <w:color w:val="auto"/>
              </w:rPr>
              <w:t>NEO Benefits and Payments</w:t>
            </w:r>
          </w:p>
        </w:tc>
        <w:tc>
          <w:tcPr>
            <w:tcW w:w="1940" w:type="dxa"/>
            <w:vAlign w:val="bottom"/>
          </w:tcPr>
          <w:p>
            <w:pPr>
              <w:jc w:val="center"/>
              <w:ind w:right="515"/>
              <w:spacing w:after="0" w:line="135" w:lineRule="exact"/>
              <w:rPr>
                <w:sz w:val="20"/>
                <w:szCs w:val="20"/>
                <w:color w:val="auto"/>
              </w:rPr>
            </w:pPr>
            <w:r>
              <w:rPr>
                <w:rFonts w:ascii="Arial" w:cs="Arial" w:eastAsia="Arial" w:hAnsi="Arial"/>
                <w:sz w:val="13"/>
                <w:szCs w:val="13"/>
                <w:b w:val="1"/>
                <w:bCs w:val="1"/>
                <w:color w:val="auto"/>
                <w:w w:val="88"/>
              </w:rPr>
              <w:t>Cause or Termination</w:t>
            </w:r>
          </w:p>
        </w:tc>
        <w:tc>
          <w:tcPr>
            <w:tcW w:w="2020" w:type="dxa"/>
            <w:vAlign w:val="bottom"/>
          </w:tcPr>
          <w:p>
            <w:pPr>
              <w:jc w:val="center"/>
              <w:ind w:right="96"/>
              <w:spacing w:after="0" w:line="135" w:lineRule="exact"/>
              <w:rPr>
                <w:sz w:val="20"/>
                <w:szCs w:val="20"/>
                <w:color w:val="auto"/>
              </w:rPr>
            </w:pPr>
            <w:r>
              <w:rPr>
                <w:rFonts w:ascii="Arial" w:cs="Arial" w:eastAsia="Arial" w:hAnsi="Arial"/>
                <w:sz w:val="13"/>
                <w:szCs w:val="13"/>
                <w:b w:val="1"/>
                <w:bCs w:val="1"/>
                <w:color w:val="auto"/>
                <w:w w:val="84"/>
              </w:rPr>
              <w:t>Good Reason, each in</w:t>
            </w:r>
          </w:p>
        </w:tc>
        <w:tc>
          <w:tcPr>
            <w:tcW w:w="1720" w:type="dxa"/>
            <w:vAlign w:val="bottom"/>
          </w:tcPr>
          <w:p>
            <w:pPr>
              <w:spacing w:after="0"/>
              <w:rPr>
                <w:sz w:val="11"/>
                <w:szCs w:val="11"/>
                <w:color w:val="auto"/>
              </w:rPr>
            </w:pPr>
          </w:p>
        </w:tc>
        <w:tc>
          <w:tcPr>
            <w:tcW w:w="1480" w:type="dxa"/>
            <w:vAlign w:val="bottom"/>
          </w:tcPr>
          <w:p>
            <w:pPr>
              <w:jc w:val="center"/>
              <w:ind w:left="196"/>
              <w:spacing w:after="0" w:line="135" w:lineRule="exact"/>
              <w:rPr>
                <w:sz w:val="20"/>
                <w:szCs w:val="20"/>
                <w:color w:val="auto"/>
              </w:rPr>
            </w:pPr>
            <w:r>
              <w:rPr>
                <w:rFonts w:ascii="Arial" w:cs="Arial" w:eastAsia="Arial" w:hAnsi="Arial"/>
                <w:sz w:val="13"/>
                <w:szCs w:val="13"/>
                <w:b w:val="1"/>
                <w:bCs w:val="1"/>
                <w:color w:val="auto"/>
                <w:w w:val="90"/>
              </w:rPr>
              <w:t>Termination by</w:t>
            </w:r>
          </w:p>
        </w:tc>
        <w:tc>
          <w:tcPr>
            <w:tcW w:w="0" w:type="dxa"/>
            <w:vAlign w:val="bottom"/>
          </w:tcPr>
          <w:p>
            <w:pPr>
              <w:spacing w:after="0"/>
              <w:rPr>
                <w:sz w:val="1"/>
                <w:szCs w:val="1"/>
                <w:color w:val="auto"/>
              </w:rPr>
            </w:pPr>
          </w:p>
        </w:tc>
      </w:tr>
      <w:tr>
        <w:trPr>
          <w:trHeight w:val="153"/>
        </w:trPr>
        <w:tc>
          <w:tcPr>
            <w:tcW w:w="3860" w:type="dxa"/>
            <w:vAlign w:val="bottom"/>
            <w:vMerge w:val="continue"/>
          </w:tcPr>
          <w:p>
            <w:pPr>
              <w:spacing w:after="0"/>
              <w:rPr>
                <w:sz w:val="13"/>
                <w:szCs w:val="13"/>
                <w:color w:val="auto"/>
              </w:rPr>
            </w:pPr>
          </w:p>
        </w:tc>
        <w:tc>
          <w:tcPr>
            <w:tcW w:w="1940" w:type="dxa"/>
            <w:vAlign w:val="bottom"/>
          </w:tcPr>
          <w:p>
            <w:pPr>
              <w:jc w:val="center"/>
              <w:ind w:right="535"/>
              <w:spacing w:after="0"/>
              <w:rPr>
                <w:sz w:val="20"/>
                <w:szCs w:val="20"/>
                <w:color w:val="auto"/>
              </w:rPr>
            </w:pPr>
            <w:r>
              <w:rPr>
                <w:rFonts w:ascii="Arial" w:cs="Arial" w:eastAsia="Arial" w:hAnsi="Arial"/>
                <w:sz w:val="13"/>
                <w:szCs w:val="13"/>
                <w:b w:val="1"/>
                <w:bCs w:val="1"/>
                <w:color w:val="auto"/>
                <w:w w:val="87"/>
              </w:rPr>
              <w:t>by Executive for</w:t>
            </w:r>
          </w:p>
        </w:tc>
        <w:tc>
          <w:tcPr>
            <w:tcW w:w="2020" w:type="dxa"/>
            <w:vAlign w:val="bottom"/>
          </w:tcPr>
          <w:p>
            <w:pPr>
              <w:jc w:val="center"/>
              <w:ind w:right="76"/>
              <w:spacing w:after="0"/>
              <w:rPr>
                <w:sz w:val="20"/>
                <w:szCs w:val="20"/>
                <w:color w:val="auto"/>
              </w:rPr>
            </w:pPr>
            <w:r>
              <w:rPr>
                <w:rFonts w:ascii="Arial" w:cs="Arial" w:eastAsia="Arial" w:hAnsi="Arial"/>
                <w:sz w:val="13"/>
                <w:szCs w:val="13"/>
                <w:b w:val="1"/>
                <w:bCs w:val="1"/>
                <w:color w:val="auto"/>
                <w:w w:val="85"/>
              </w:rPr>
              <w:t>connection with a</w:t>
            </w:r>
          </w:p>
        </w:tc>
        <w:tc>
          <w:tcPr>
            <w:tcW w:w="1720" w:type="dxa"/>
            <w:vAlign w:val="bottom"/>
            <w:vMerge w:val="restart"/>
          </w:tcPr>
          <w:p>
            <w:pPr>
              <w:jc w:val="right"/>
              <w:ind w:right="272"/>
              <w:spacing w:after="0"/>
              <w:rPr>
                <w:sz w:val="20"/>
                <w:szCs w:val="20"/>
                <w:color w:val="auto"/>
              </w:rPr>
            </w:pPr>
            <w:r>
              <w:rPr>
                <w:rFonts w:ascii="Arial" w:cs="Arial" w:eastAsia="Arial" w:hAnsi="Arial"/>
                <w:sz w:val="13"/>
                <w:szCs w:val="13"/>
                <w:b w:val="1"/>
                <w:bCs w:val="1"/>
                <w:color w:val="auto"/>
              </w:rPr>
              <w:t>Death or Disability</w:t>
            </w:r>
          </w:p>
        </w:tc>
        <w:tc>
          <w:tcPr>
            <w:tcW w:w="1480" w:type="dxa"/>
            <w:vAlign w:val="bottom"/>
          </w:tcPr>
          <w:p>
            <w:pPr>
              <w:jc w:val="center"/>
              <w:ind w:left="196"/>
              <w:spacing w:after="0"/>
              <w:rPr>
                <w:sz w:val="20"/>
                <w:szCs w:val="20"/>
                <w:color w:val="auto"/>
              </w:rPr>
            </w:pPr>
            <w:r>
              <w:rPr>
                <w:rFonts w:ascii="Arial" w:cs="Arial" w:eastAsia="Arial" w:hAnsi="Arial"/>
                <w:sz w:val="13"/>
                <w:szCs w:val="13"/>
                <w:b w:val="1"/>
                <w:bCs w:val="1"/>
                <w:color w:val="auto"/>
                <w:w w:val="86"/>
              </w:rPr>
              <w:t>Executive without</w:t>
            </w:r>
          </w:p>
        </w:tc>
        <w:tc>
          <w:tcPr>
            <w:tcW w:w="0" w:type="dxa"/>
            <w:vAlign w:val="bottom"/>
          </w:tcPr>
          <w:p>
            <w:pPr>
              <w:spacing w:after="0"/>
              <w:rPr>
                <w:sz w:val="1"/>
                <w:szCs w:val="1"/>
                <w:color w:val="auto"/>
              </w:rPr>
            </w:pPr>
          </w:p>
        </w:tc>
      </w:tr>
      <w:tr>
        <w:trPr>
          <w:trHeight w:val="117"/>
        </w:trPr>
        <w:tc>
          <w:tcPr>
            <w:tcW w:w="3860" w:type="dxa"/>
            <w:vAlign w:val="bottom"/>
            <w:vMerge w:val="restart"/>
          </w:tcPr>
          <w:p>
            <w:pPr>
              <w:spacing w:after="0"/>
              <w:rPr>
                <w:sz w:val="20"/>
                <w:szCs w:val="20"/>
                <w:color w:val="auto"/>
              </w:rPr>
            </w:pPr>
            <w:r>
              <w:rPr>
                <w:rFonts w:ascii="Arial" w:cs="Arial" w:eastAsia="Arial" w:hAnsi="Arial"/>
                <w:sz w:val="18"/>
                <w:szCs w:val="18"/>
                <w:b w:val="1"/>
                <w:bCs w:val="1"/>
                <w:color w:val="auto"/>
              </w:rPr>
              <w:t>upon Termination</w:t>
            </w:r>
          </w:p>
        </w:tc>
        <w:tc>
          <w:tcPr>
            <w:tcW w:w="1940" w:type="dxa"/>
            <w:vAlign w:val="bottom"/>
          </w:tcPr>
          <w:p>
            <w:pPr>
              <w:jc w:val="center"/>
              <w:ind w:right="535"/>
              <w:spacing w:after="0" w:line="117" w:lineRule="exact"/>
              <w:rPr>
                <w:sz w:val="20"/>
                <w:szCs w:val="20"/>
                <w:color w:val="auto"/>
              </w:rPr>
            </w:pPr>
            <w:r>
              <w:rPr>
                <w:rFonts w:ascii="Arial" w:cs="Arial" w:eastAsia="Arial" w:hAnsi="Arial"/>
                <w:sz w:val="13"/>
                <w:szCs w:val="13"/>
                <w:b w:val="1"/>
                <w:bCs w:val="1"/>
                <w:color w:val="auto"/>
                <w:w w:val="85"/>
              </w:rPr>
              <w:t>Good Reason</w:t>
            </w:r>
          </w:p>
        </w:tc>
        <w:tc>
          <w:tcPr>
            <w:tcW w:w="2020" w:type="dxa"/>
            <w:vAlign w:val="bottom"/>
          </w:tcPr>
          <w:p>
            <w:pPr>
              <w:jc w:val="center"/>
              <w:ind w:right="96"/>
              <w:spacing w:after="0" w:line="117" w:lineRule="exact"/>
              <w:rPr>
                <w:sz w:val="20"/>
                <w:szCs w:val="20"/>
                <w:color w:val="auto"/>
              </w:rPr>
            </w:pPr>
            <w:r>
              <w:rPr>
                <w:rFonts w:ascii="Arial" w:cs="Arial" w:eastAsia="Arial" w:hAnsi="Arial"/>
                <w:sz w:val="13"/>
                <w:szCs w:val="13"/>
                <w:b w:val="1"/>
                <w:bCs w:val="1"/>
                <w:color w:val="auto"/>
                <w:w w:val="88"/>
              </w:rPr>
              <w:t>Change in Control</w:t>
            </w:r>
          </w:p>
        </w:tc>
        <w:tc>
          <w:tcPr>
            <w:tcW w:w="1720" w:type="dxa"/>
            <w:vAlign w:val="bottom"/>
            <w:vMerge w:val="continue"/>
          </w:tcPr>
          <w:p>
            <w:pPr>
              <w:spacing w:after="0"/>
              <w:rPr>
                <w:sz w:val="10"/>
                <w:szCs w:val="10"/>
                <w:color w:val="auto"/>
              </w:rPr>
            </w:pPr>
          </w:p>
        </w:tc>
        <w:tc>
          <w:tcPr>
            <w:tcW w:w="1480" w:type="dxa"/>
            <w:vAlign w:val="bottom"/>
          </w:tcPr>
          <w:p>
            <w:pPr>
              <w:jc w:val="center"/>
              <w:ind w:left="196"/>
              <w:spacing w:after="0" w:line="117" w:lineRule="exact"/>
              <w:rPr>
                <w:sz w:val="20"/>
                <w:szCs w:val="20"/>
                <w:color w:val="auto"/>
              </w:rPr>
            </w:pPr>
            <w:r>
              <w:rPr>
                <w:rFonts w:ascii="Arial" w:cs="Arial" w:eastAsia="Arial" w:hAnsi="Arial"/>
                <w:sz w:val="13"/>
                <w:szCs w:val="13"/>
                <w:b w:val="1"/>
                <w:bCs w:val="1"/>
                <w:color w:val="auto"/>
                <w:w w:val="85"/>
              </w:rPr>
              <w:t>Good Reason</w:t>
            </w:r>
          </w:p>
        </w:tc>
        <w:tc>
          <w:tcPr>
            <w:tcW w:w="0" w:type="dxa"/>
            <w:vAlign w:val="bottom"/>
          </w:tcPr>
          <w:p>
            <w:pPr>
              <w:spacing w:after="0"/>
              <w:rPr>
                <w:sz w:val="1"/>
                <w:szCs w:val="1"/>
                <w:color w:val="auto"/>
              </w:rPr>
            </w:pPr>
          </w:p>
        </w:tc>
      </w:tr>
      <w:tr>
        <w:trPr>
          <w:trHeight w:val="153"/>
        </w:trPr>
        <w:tc>
          <w:tcPr>
            <w:tcW w:w="3860" w:type="dxa"/>
            <w:vAlign w:val="bottom"/>
            <w:tcBorders>
              <w:bottom w:val="single" w:sz="8" w:color="407CCA"/>
            </w:tcBorders>
            <w:vMerge w:val="continue"/>
          </w:tcPr>
          <w:p>
            <w:pPr>
              <w:spacing w:after="0"/>
              <w:rPr>
                <w:sz w:val="13"/>
                <w:szCs w:val="13"/>
                <w:color w:val="auto"/>
              </w:rPr>
            </w:pPr>
          </w:p>
        </w:tc>
        <w:tc>
          <w:tcPr>
            <w:tcW w:w="1940" w:type="dxa"/>
            <w:vAlign w:val="bottom"/>
            <w:tcBorders>
              <w:bottom w:val="single" w:sz="8" w:color="407CCA"/>
            </w:tcBorders>
          </w:tcPr>
          <w:p>
            <w:pPr>
              <w:jc w:val="right"/>
              <w:ind w:right="1115"/>
              <w:spacing w:after="0"/>
              <w:rPr>
                <w:sz w:val="20"/>
                <w:szCs w:val="20"/>
                <w:color w:val="auto"/>
              </w:rPr>
            </w:pPr>
            <w:r>
              <w:rPr>
                <w:rFonts w:ascii="Arial" w:cs="Arial" w:eastAsia="Arial" w:hAnsi="Arial"/>
                <w:sz w:val="13"/>
                <w:szCs w:val="13"/>
                <w:b w:val="1"/>
                <w:bCs w:val="1"/>
                <w:color w:val="auto"/>
              </w:rPr>
              <w:t>($)</w:t>
            </w:r>
          </w:p>
        </w:tc>
        <w:tc>
          <w:tcPr>
            <w:tcW w:w="2020" w:type="dxa"/>
            <w:vAlign w:val="bottom"/>
            <w:tcBorders>
              <w:bottom w:val="single" w:sz="8" w:color="407CCA"/>
            </w:tcBorders>
          </w:tcPr>
          <w:p>
            <w:pPr>
              <w:jc w:val="right"/>
              <w:ind w:right="936"/>
              <w:spacing w:after="0"/>
              <w:rPr>
                <w:sz w:val="20"/>
                <w:szCs w:val="20"/>
                <w:color w:val="auto"/>
              </w:rPr>
            </w:pPr>
            <w:r>
              <w:rPr>
                <w:rFonts w:ascii="Arial" w:cs="Arial" w:eastAsia="Arial" w:hAnsi="Arial"/>
                <w:sz w:val="13"/>
                <w:szCs w:val="13"/>
                <w:b w:val="1"/>
                <w:bCs w:val="1"/>
                <w:color w:val="auto"/>
              </w:rPr>
              <w:t>($)</w:t>
            </w:r>
          </w:p>
        </w:tc>
        <w:tc>
          <w:tcPr>
            <w:tcW w:w="1720" w:type="dxa"/>
            <w:vAlign w:val="bottom"/>
            <w:tcBorders>
              <w:bottom w:val="single" w:sz="8" w:color="407CCA"/>
            </w:tcBorders>
          </w:tcPr>
          <w:p>
            <w:pPr>
              <w:jc w:val="right"/>
              <w:ind w:right="692"/>
              <w:spacing w:after="0"/>
              <w:rPr>
                <w:sz w:val="20"/>
                <w:szCs w:val="20"/>
                <w:color w:val="auto"/>
              </w:rPr>
            </w:pPr>
            <w:r>
              <w:rPr>
                <w:rFonts w:ascii="Arial" w:cs="Arial" w:eastAsia="Arial" w:hAnsi="Arial"/>
                <w:sz w:val="13"/>
                <w:szCs w:val="13"/>
                <w:b w:val="1"/>
                <w:bCs w:val="1"/>
                <w:color w:val="auto"/>
              </w:rPr>
              <w:t>($)</w:t>
            </w:r>
          </w:p>
        </w:tc>
        <w:tc>
          <w:tcPr>
            <w:tcW w:w="1480" w:type="dxa"/>
            <w:vAlign w:val="bottom"/>
            <w:tcBorders>
              <w:bottom w:val="single" w:sz="8" w:color="407CCA"/>
            </w:tcBorders>
          </w:tcPr>
          <w:p>
            <w:pPr>
              <w:jc w:val="center"/>
              <w:ind w:left="196"/>
              <w:spacing w:after="0"/>
              <w:rPr>
                <w:sz w:val="20"/>
                <w:szCs w:val="20"/>
                <w:color w:val="auto"/>
              </w:rPr>
            </w:pPr>
            <w:r>
              <w:rPr>
                <w:rFonts w:ascii="Arial" w:cs="Arial" w:eastAsia="Arial" w:hAnsi="Arial"/>
                <w:sz w:val="13"/>
                <w:szCs w:val="13"/>
                <w:b w:val="1"/>
                <w:bCs w:val="1"/>
                <w:color w:val="auto"/>
              </w:rPr>
              <w:t>($)</w:t>
            </w:r>
          </w:p>
        </w:tc>
        <w:tc>
          <w:tcPr>
            <w:tcW w:w="0" w:type="dxa"/>
            <w:vAlign w:val="bottom"/>
          </w:tcPr>
          <w:p>
            <w:pPr>
              <w:spacing w:after="0"/>
              <w:rPr>
                <w:sz w:val="1"/>
                <w:szCs w:val="1"/>
                <w:color w:val="auto"/>
              </w:rPr>
            </w:pPr>
          </w:p>
        </w:tc>
      </w:tr>
      <w:tr>
        <w:trPr>
          <w:trHeight w:val="210"/>
        </w:trPr>
        <w:tc>
          <w:tcPr>
            <w:tcW w:w="386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Gary D. Kain</w:t>
            </w:r>
          </w:p>
        </w:tc>
        <w:tc>
          <w:tcPr>
            <w:tcW w:w="1940" w:type="dxa"/>
            <w:vAlign w:val="bottom"/>
            <w:shd w:val="clear" w:color="auto" w:fill="CCEEFF"/>
          </w:tcPr>
          <w:p>
            <w:pPr>
              <w:spacing w:after="0"/>
              <w:rPr>
                <w:sz w:val="18"/>
                <w:szCs w:val="18"/>
                <w:color w:val="auto"/>
              </w:rPr>
            </w:pPr>
          </w:p>
        </w:tc>
        <w:tc>
          <w:tcPr>
            <w:tcW w:w="2020" w:type="dxa"/>
            <w:vAlign w:val="bottom"/>
            <w:shd w:val="clear" w:color="auto" w:fill="CCEEFF"/>
          </w:tcPr>
          <w:p>
            <w:pPr>
              <w:spacing w:after="0"/>
              <w:rPr>
                <w:sz w:val="18"/>
                <w:szCs w:val="18"/>
                <w:color w:val="auto"/>
              </w:rPr>
            </w:pPr>
          </w:p>
        </w:tc>
        <w:tc>
          <w:tcPr>
            <w:tcW w:w="1720" w:type="dxa"/>
            <w:vAlign w:val="bottom"/>
            <w:shd w:val="clear" w:color="auto" w:fill="CCEEFF"/>
          </w:tcPr>
          <w:p>
            <w:pPr>
              <w:spacing w:after="0"/>
              <w:rPr>
                <w:sz w:val="18"/>
                <w:szCs w:val="18"/>
                <w:color w:val="auto"/>
              </w:rPr>
            </w:pPr>
          </w:p>
        </w:tc>
        <w:tc>
          <w:tcPr>
            <w:tcW w:w="14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860" w:type="dxa"/>
            <w:vAlign w:val="bottom"/>
          </w:tcPr>
          <w:p>
            <w:pPr>
              <w:spacing w:after="0"/>
              <w:rPr>
                <w:sz w:val="20"/>
                <w:szCs w:val="20"/>
                <w:color w:val="auto"/>
              </w:rPr>
            </w:pPr>
            <w:r>
              <w:rPr>
                <w:rFonts w:ascii="Arial" w:cs="Arial" w:eastAsia="Arial" w:hAnsi="Arial"/>
                <w:sz w:val="18"/>
                <w:szCs w:val="18"/>
                <w:color w:val="auto"/>
              </w:rPr>
              <w:t>Severance Amount</w:t>
            </w:r>
          </w:p>
        </w:tc>
        <w:tc>
          <w:tcPr>
            <w:tcW w:w="1940" w:type="dxa"/>
            <w:vAlign w:val="bottom"/>
          </w:tcPr>
          <w:p>
            <w:pPr>
              <w:jc w:val="right"/>
              <w:ind w:right="415"/>
              <w:spacing w:after="0"/>
              <w:rPr>
                <w:sz w:val="20"/>
                <w:szCs w:val="20"/>
                <w:color w:val="auto"/>
              </w:rPr>
            </w:pPr>
            <w:r>
              <w:rPr>
                <w:rFonts w:ascii="Arial" w:cs="Arial" w:eastAsia="Arial" w:hAnsi="Arial"/>
                <w:sz w:val="18"/>
                <w:szCs w:val="18"/>
                <w:color w:val="auto"/>
              </w:rPr>
              <w:t>15,750,000</w:t>
            </w:r>
            <w:r>
              <w:rPr>
                <w:rFonts w:ascii="Arial" w:cs="Arial" w:eastAsia="Arial" w:hAnsi="Arial"/>
                <w:sz w:val="15"/>
                <w:szCs w:val="15"/>
                <w:color w:val="auto"/>
              </w:rPr>
              <w:t>(1)</w:t>
            </w:r>
          </w:p>
        </w:tc>
        <w:tc>
          <w:tcPr>
            <w:tcW w:w="2020" w:type="dxa"/>
            <w:vAlign w:val="bottom"/>
          </w:tcPr>
          <w:p>
            <w:pPr>
              <w:jc w:val="right"/>
              <w:ind w:right="236"/>
              <w:spacing w:after="0"/>
              <w:rPr>
                <w:sz w:val="20"/>
                <w:szCs w:val="20"/>
                <w:color w:val="auto"/>
              </w:rPr>
            </w:pPr>
            <w:r>
              <w:rPr>
                <w:rFonts w:ascii="Arial" w:cs="Arial" w:eastAsia="Arial" w:hAnsi="Arial"/>
                <w:sz w:val="18"/>
                <w:szCs w:val="18"/>
                <w:color w:val="auto"/>
              </w:rPr>
              <w:t>15,750,000</w:t>
            </w:r>
            <w:r>
              <w:rPr>
                <w:rFonts w:ascii="Arial" w:cs="Arial" w:eastAsia="Arial" w:hAnsi="Arial"/>
                <w:sz w:val="15"/>
                <w:szCs w:val="15"/>
                <w:color w:val="auto"/>
              </w:rPr>
              <w:t>(2)</w:t>
            </w:r>
          </w:p>
        </w:tc>
        <w:tc>
          <w:tcPr>
            <w:tcW w:w="1720" w:type="dxa"/>
            <w:vAlign w:val="bottom"/>
          </w:tcPr>
          <w:p>
            <w:pPr>
              <w:jc w:val="right"/>
              <w:ind w:right="712"/>
              <w:spacing w:after="0"/>
              <w:rPr>
                <w:sz w:val="20"/>
                <w:szCs w:val="20"/>
                <w:color w:val="auto"/>
              </w:rPr>
            </w:pPr>
            <w:r>
              <w:rPr>
                <w:rFonts w:ascii="Arial" w:cs="Arial" w:eastAsia="Arial" w:hAnsi="Arial"/>
                <w:sz w:val="18"/>
                <w:szCs w:val="18"/>
                <w:color w:val="auto"/>
              </w:rPr>
              <w:t>–</w:t>
            </w:r>
          </w:p>
        </w:tc>
        <w:tc>
          <w:tcPr>
            <w:tcW w:w="1480" w:type="dxa"/>
            <w:vAlign w:val="bottom"/>
          </w:tcPr>
          <w:p>
            <w:pPr>
              <w:ind w:left="10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860" w:type="dxa"/>
            <w:vAlign w:val="bottom"/>
            <w:shd w:val="clear" w:color="auto" w:fill="CCEEFF"/>
          </w:tcPr>
          <w:p>
            <w:pPr>
              <w:spacing w:after="0"/>
              <w:rPr>
                <w:sz w:val="20"/>
                <w:szCs w:val="20"/>
                <w:color w:val="auto"/>
              </w:rPr>
            </w:pPr>
            <w:r>
              <w:rPr>
                <w:rFonts w:ascii="Arial" w:cs="Arial" w:eastAsia="Arial" w:hAnsi="Arial"/>
                <w:sz w:val="18"/>
                <w:szCs w:val="18"/>
                <w:color w:val="auto"/>
              </w:rPr>
              <w:t>Base Salary</w:t>
            </w:r>
          </w:p>
        </w:tc>
        <w:tc>
          <w:tcPr>
            <w:tcW w:w="1940" w:type="dxa"/>
            <w:vAlign w:val="bottom"/>
            <w:shd w:val="clear" w:color="auto" w:fill="CCEEFF"/>
          </w:tcPr>
          <w:p>
            <w:pPr>
              <w:jc w:val="right"/>
              <w:ind w:right="1115"/>
              <w:spacing w:after="0"/>
              <w:rPr>
                <w:sz w:val="20"/>
                <w:szCs w:val="20"/>
                <w:color w:val="auto"/>
              </w:rPr>
            </w:pPr>
            <w:r>
              <w:rPr>
                <w:rFonts w:ascii="Arial" w:cs="Arial" w:eastAsia="Arial" w:hAnsi="Arial"/>
                <w:sz w:val="18"/>
                <w:szCs w:val="18"/>
                <w:color w:val="auto"/>
              </w:rPr>
              <w:t>–</w:t>
            </w:r>
          </w:p>
        </w:tc>
        <w:tc>
          <w:tcPr>
            <w:tcW w:w="2020" w:type="dxa"/>
            <w:vAlign w:val="bottom"/>
            <w:shd w:val="clear" w:color="auto" w:fill="CCEEFF"/>
          </w:tcPr>
          <w:p>
            <w:pPr>
              <w:jc w:val="right"/>
              <w:ind w:right="936"/>
              <w:spacing w:after="0"/>
              <w:rPr>
                <w:sz w:val="20"/>
                <w:szCs w:val="20"/>
                <w:color w:val="auto"/>
              </w:rPr>
            </w:pPr>
            <w:r>
              <w:rPr>
                <w:rFonts w:ascii="Arial" w:cs="Arial" w:eastAsia="Arial" w:hAnsi="Arial"/>
                <w:sz w:val="18"/>
                <w:szCs w:val="18"/>
                <w:color w:val="auto"/>
              </w:rPr>
              <w:t>–</w:t>
            </w:r>
          </w:p>
        </w:tc>
        <w:tc>
          <w:tcPr>
            <w:tcW w:w="1720" w:type="dxa"/>
            <w:vAlign w:val="bottom"/>
            <w:shd w:val="clear" w:color="auto" w:fill="CCEEFF"/>
          </w:tcPr>
          <w:p>
            <w:pPr>
              <w:jc w:val="right"/>
              <w:ind w:right="712"/>
              <w:spacing w:after="0"/>
              <w:rPr>
                <w:sz w:val="20"/>
                <w:szCs w:val="20"/>
                <w:color w:val="auto"/>
              </w:rPr>
            </w:pPr>
            <w:r>
              <w:rPr>
                <w:rFonts w:ascii="Arial" w:cs="Arial" w:eastAsia="Arial" w:hAnsi="Arial"/>
                <w:sz w:val="18"/>
                <w:szCs w:val="18"/>
                <w:color w:val="auto"/>
              </w:rPr>
              <w:t>–</w:t>
            </w:r>
          </w:p>
        </w:tc>
        <w:tc>
          <w:tcPr>
            <w:tcW w:w="1480" w:type="dxa"/>
            <w:vAlign w:val="bottom"/>
            <w:shd w:val="clear" w:color="auto" w:fill="CCEEFF"/>
          </w:tcPr>
          <w:p>
            <w:pPr>
              <w:ind w:left="10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860" w:type="dxa"/>
            <w:vAlign w:val="bottom"/>
          </w:tcPr>
          <w:p>
            <w:pPr>
              <w:spacing w:after="0"/>
              <w:rPr>
                <w:sz w:val="20"/>
                <w:szCs w:val="20"/>
                <w:color w:val="auto"/>
              </w:rPr>
            </w:pPr>
            <w:r>
              <w:rPr>
                <w:rFonts w:ascii="Arial" w:cs="Arial" w:eastAsia="Arial" w:hAnsi="Arial"/>
                <w:sz w:val="18"/>
                <w:szCs w:val="18"/>
                <w:color w:val="auto"/>
              </w:rPr>
              <w:t>Cash Bonus</w:t>
            </w:r>
            <w:r>
              <w:rPr>
                <w:rFonts w:ascii="Arial" w:cs="Arial" w:eastAsia="Arial" w:hAnsi="Arial"/>
                <w:sz w:val="15"/>
                <w:szCs w:val="15"/>
                <w:color w:val="auto"/>
              </w:rPr>
              <w:t>(3)</w:t>
            </w:r>
          </w:p>
        </w:tc>
        <w:tc>
          <w:tcPr>
            <w:tcW w:w="1940" w:type="dxa"/>
            <w:vAlign w:val="bottom"/>
          </w:tcPr>
          <w:p>
            <w:pPr>
              <w:jc w:val="right"/>
              <w:ind w:right="595"/>
              <w:spacing w:after="0"/>
              <w:rPr>
                <w:sz w:val="20"/>
                <w:szCs w:val="20"/>
                <w:color w:val="auto"/>
              </w:rPr>
            </w:pPr>
            <w:r>
              <w:rPr>
                <w:rFonts w:ascii="Arial" w:cs="Arial" w:eastAsia="Arial" w:hAnsi="Arial"/>
                <w:sz w:val="18"/>
                <w:szCs w:val="18"/>
                <w:color w:val="auto"/>
              </w:rPr>
              <w:t>7,047,000</w:t>
            </w:r>
          </w:p>
        </w:tc>
        <w:tc>
          <w:tcPr>
            <w:tcW w:w="2020" w:type="dxa"/>
            <w:vAlign w:val="bottom"/>
          </w:tcPr>
          <w:p>
            <w:pPr>
              <w:jc w:val="right"/>
              <w:ind w:right="416"/>
              <w:spacing w:after="0"/>
              <w:rPr>
                <w:sz w:val="20"/>
                <w:szCs w:val="20"/>
                <w:color w:val="auto"/>
              </w:rPr>
            </w:pPr>
            <w:r>
              <w:rPr>
                <w:rFonts w:ascii="Arial" w:cs="Arial" w:eastAsia="Arial" w:hAnsi="Arial"/>
                <w:sz w:val="18"/>
                <w:szCs w:val="18"/>
                <w:color w:val="auto"/>
              </w:rPr>
              <w:t>7,047,000</w:t>
            </w:r>
          </w:p>
        </w:tc>
        <w:tc>
          <w:tcPr>
            <w:tcW w:w="1720" w:type="dxa"/>
            <w:vAlign w:val="bottom"/>
          </w:tcPr>
          <w:p>
            <w:pPr>
              <w:jc w:val="right"/>
              <w:ind w:right="272"/>
              <w:spacing w:after="0"/>
              <w:rPr>
                <w:sz w:val="20"/>
                <w:szCs w:val="20"/>
                <w:color w:val="auto"/>
              </w:rPr>
            </w:pPr>
            <w:r>
              <w:rPr>
                <w:rFonts w:ascii="Arial" w:cs="Arial" w:eastAsia="Arial" w:hAnsi="Arial"/>
                <w:sz w:val="18"/>
                <w:szCs w:val="18"/>
                <w:color w:val="auto"/>
              </w:rPr>
              <w:t>7,047,000</w:t>
            </w:r>
          </w:p>
        </w:tc>
        <w:tc>
          <w:tcPr>
            <w:tcW w:w="1480" w:type="dxa"/>
            <w:vAlign w:val="bottom"/>
          </w:tcPr>
          <w:p>
            <w:pPr>
              <w:ind w:left="10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860" w:type="dxa"/>
            <w:vAlign w:val="bottom"/>
            <w:shd w:val="clear" w:color="auto" w:fill="CCEEFF"/>
          </w:tcPr>
          <w:p>
            <w:pPr>
              <w:spacing w:after="0"/>
              <w:rPr>
                <w:sz w:val="20"/>
                <w:szCs w:val="20"/>
                <w:color w:val="auto"/>
              </w:rPr>
            </w:pPr>
            <w:r>
              <w:rPr>
                <w:rFonts w:ascii="Arial" w:cs="Arial" w:eastAsia="Arial" w:hAnsi="Arial"/>
                <w:sz w:val="18"/>
                <w:szCs w:val="18"/>
                <w:color w:val="auto"/>
              </w:rPr>
              <w:t>Accelerated Equity Awards</w:t>
            </w:r>
            <w:r>
              <w:rPr>
                <w:rFonts w:ascii="Arial" w:cs="Arial" w:eastAsia="Arial" w:hAnsi="Arial"/>
                <w:sz w:val="15"/>
                <w:szCs w:val="15"/>
                <w:color w:val="auto"/>
              </w:rPr>
              <w:t>(4)</w:t>
            </w:r>
          </w:p>
        </w:tc>
        <w:tc>
          <w:tcPr>
            <w:tcW w:w="1940" w:type="dxa"/>
            <w:vAlign w:val="bottom"/>
            <w:shd w:val="clear" w:color="auto" w:fill="CCEEFF"/>
          </w:tcPr>
          <w:p>
            <w:pPr>
              <w:jc w:val="right"/>
              <w:ind w:right="595"/>
              <w:spacing w:after="0"/>
              <w:rPr>
                <w:sz w:val="20"/>
                <w:szCs w:val="20"/>
                <w:color w:val="auto"/>
              </w:rPr>
            </w:pPr>
            <w:r>
              <w:rPr>
                <w:rFonts w:ascii="Arial" w:cs="Arial" w:eastAsia="Arial" w:hAnsi="Arial"/>
                <w:sz w:val="18"/>
                <w:szCs w:val="18"/>
                <w:color w:val="auto"/>
              </w:rPr>
              <w:t>19,260,150</w:t>
            </w:r>
          </w:p>
        </w:tc>
        <w:tc>
          <w:tcPr>
            <w:tcW w:w="2020" w:type="dxa"/>
            <w:vAlign w:val="bottom"/>
            <w:shd w:val="clear" w:color="auto" w:fill="CCEEFF"/>
          </w:tcPr>
          <w:p>
            <w:pPr>
              <w:jc w:val="right"/>
              <w:ind w:right="416"/>
              <w:spacing w:after="0"/>
              <w:rPr>
                <w:sz w:val="20"/>
                <w:szCs w:val="20"/>
                <w:color w:val="auto"/>
              </w:rPr>
            </w:pPr>
            <w:r>
              <w:rPr>
                <w:rFonts w:ascii="Arial" w:cs="Arial" w:eastAsia="Arial" w:hAnsi="Arial"/>
                <w:sz w:val="18"/>
                <w:szCs w:val="18"/>
                <w:color w:val="auto"/>
              </w:rPr>
              <w:t>19,260,150</w:t>
            </w:r>
          </w:p>
        </w:tc>
        <w:tc>
          <w:tcPr>
            <w:tcW w:w="1720" w:type="dxa"/>
            <w:vAlign w:val="bottom"/>
            <w:shd w:val="clear" w:color="auto" w:fill="CCEEFF"/>
          </w:tcPr>
          <w:p>
            <w:pPr>
              <w:jc w:val="right"/>
              <w:ind w:right="272"/>
              <w:spacing w:after="0"/>
              <w:rPr>
                <w:sz w:val="20"/>
                <w:szCs w:val="20"/>
                <w:color w:val="auto"/>
              </w:rPr>
            </w:pPr>
            <w:r>
              <w:rPr>
                <w:rFonts w:ascii="Arial" w:cs="Arial" w:eastAsia="Arial" w:hAnsi="Arial"/>
                <w:sz w:val="18"/>
                <w:szCs w:val="18"/>
                <w:color w:val="auto"/>
              </w:rPr>
              <w:t>19,260,150</w:t>
            </w:r>
          </w:p>
        </w:tc>
        <w:tc>
          <w:tcPr>
            <w:tcW w:w="1480" w:type="dxa"/>
            <w:vAlign w:val="bottom"/>
            <w:shd w:val="clear" w:color="auto" w:fill="CCEEFF"/>
          </w:tcPr>
          <w:p>
            <w:pPr>
              <w:ind w:left="10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860" w:type="dxa"/>
            <w:vAlign w:val="bottom"/>
            <w:tcBorders>
              <w:bottom w:val="single" w:sz="8" w:color="407CCA"/>
            </w:tcBorders>
          </w:tcPr>
          <w:p>
            <w:pPr>
              <w:spacing w:after="0"/>
              <w:rPr>
                <w:sz w:val="20"/>
                <w:szCs w:val="20"/>
                <w:color w:val="auto"/>
              </w:rPr>
            </w:pPr>
            <w:r>
              <w:rPr>
                <w:rFonts w:ascii="Arial" w:cs="Arial" w:eastAsia="Arial" w:hAnsi="Arial"/>
                <w:sz w:val="18"/>
                <w:szCs w:val="18"/>
                <w:color w:val="auto"/>
              </w:rPr>
              <w:t>Insurance Benefits</w:t>
            </w:r>
            <w:r>
              <w:rPr>
                <w:rFonts w:ascii="Arial" w:cs="Arial" w:eastAsia="Arial" w:hAnsi="Arial"/>
                <w:sz w:val="15"/>
                <w:szCs w:val="15"/>
                <w:color w:val="auto"/>
              </w:rPr>
              <w:t>(5)</w:t>
            </w:r>
          </w:p>
        </w:tc>
        <w:tc>
          <w:tcPr>
            <w:tcW w:w="1940" w:type="dxa"/>
            <w:vAlign w:val="bottom"/>
            <w:tcBorders>
              <w:bottom w:val="single" w:sz="8" w:color="407CCA"/>
            </w:tcBorders>
          </w:tcPr>
          <w:p>
            <w:pPr>
              <w:jc w:val="right"/>
              <w:ind w:right="595"/>
              <w:spacing w:after="0"/>
              <w:rPr>
                <w:sz w:val="20"/>
                <w:szCs w:val="20"/>
                <w:color w:val="auto"/>
              </w:rPr>
            </w:pPr>
            <w:r>
              <w:rPr>
                <w:rFonts w:ascii="Arial" w:cs="Arial" w:eastAsia="Arial" w:hAnsi="Arial"/>
                <w:sz w:val="18"/>
                <w:szCs w:val="18"/>
                <w:color w:val="auto"/>
              </w:rPr>
              <w:t>48,285</w:t>
            </w:r>
          </w:p>
        </w:tc>
        <w:tc>
          <w:tcPr>
            <w:tcW w:w="2020" w:type="dxa"/>
            <w:vAlign w:val="bottom"/>
            <w:tcBorders>
              <w:bottom w:val="single" w:sz="8" w:color="407CCA"/>
            </w:tcBorders>
          </w:tcPr>
          <w:p>
            <w:pPr>
              <w:jc w:val="right"/>
              <w:ind w:right="416"/>
              <w:spacing w:after="0"/>
              <w:rPr>
                <w:sz w:val="20"/>
                <w:szCs w:val="20"/>
                <w:color w:val="auto"/>
              </w:rPr>
            </w:pPr>
            <w:r>
              <w:rPr>
                <w:rFonts w:ascii="Arial" w:cs="Arial" w:eastAsia="Arial" w:hAnsi="Arial"/>
                <w:sz w:val="18"/>
                <w:szCs w:val="18"/>
                <w:color w:val="auto"/>
              </w:rPr>
              <w:t>48,285</w:t>
            </w:r>
          </w:p>
        </w:tc>
        <w:tc>
          <w:tcPr>
            <w:tcW w:w="1720" w:type="dxa"/>
            <w:vAlign w:val="bottom"/>
            <w:tcBorders>
              <w:bottom w:val="single" w:sz="8" w:color="407CCA"/>
            </w:tcBorders>
          </w:tcPr>
          <w:p>
            <w:pPr>
              <w:jc w:val="right"/>
              <w:ind w:right="272"/>
              <w:spacing w:after="0"/>
              <w:rPr>
                <w:sz w:val="20"/>
                <w:szCs w:val="20"/>
                <w:color w:val="auto"/>
              </w:rPr>
            </w:pPr>
            <w:r>
              <w:rPr>
                <w:rFonts w:ascii="Arial" w:cs="Arial" w:eastAsia="Arial" w:hAnsi="Arial"/>
                <w:sz w:val="18"/>
                <w:szCs w:val="18"/>
                <w:color w:val="auto"/>
              </w:rPr>
              <w:t>48,285</w:t>
            </w:r>
          </w:p>
        </w:tc>
        <w:tc>
          <w:tcPr>
            <w:tcW w:w="1480" w:type="dxa"/>
            <w:vAlign w:val="bottom"/>
            <w:tcBorders>
              <w:bottom w:val="single" w:sz="8" w:color="407CCA"/>
            </w:tcBorders>
          </w:tcPr>
          <w:p>
            <w:pPr>
              <w:ind w:left="10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9"/>
        </w:trPr>
        <w:tc>
          <w:tcPr>
            <w:tcW w:w="3860" w:type="dxa"/>
            <w:vAlign w:val="bottom"/>
            <w:tcBorders>
              <w:bottom w:val="single" w:sz="8" w:color="407CCA"/>
            </w:tcBorders>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1940" w:type="dxa"/>
            <w:vAlign w:val="bottom"/>
            <w:tcBorders>
              <w:bottom w:val="single" w:sz="8" w:color="407CCA"/>
            </w:tcBorders>
            <w:shd w:val="clear" w:color="auto" w:fill="CCEEFF"/>
          </w:tcPr>
          <w:p>
            <w:pPr>
              <w:jc w:val="right"/>
              <w:ind w:right="595"/>
              <w:spacing w:after="0"/>
              <w:rPr>
                <w:sz w:val="20"/>
                <w:szCs w:val="20"/>
                <w:color w:val="auto"/>
              </w:rPr>
            </w:pPr>
            <w:r>
              <w:rPr>
                <w:rFonts w:ascii="Arial" w:cs="Arial" w:eastAsia="Arial" w:hAnsi="Arial"/>
                <w:sz w:val="18"/>
                <w:szCs w:val="18"/>
                <w:color w:val="auto"/>
              </w:rPr>
              <w:t>42,105,435</w:t>
            </w:r>
          </w:p>
        </w:tc>
        <w:tc>
          <w:tcPr>
            <w:tcW w:w="2020" w:type="dxa"/>
            <w:vAlign w:val="bottom"/>
            <w:tcBorders>
              <w:bottom w:val="single" w:sz="8" w:color="407CCA"/>
            </w:tcBorders>
            <w:shd w:val="clear" w:color="auto" w:fill="CCEEFF"/>
          </w:tcPr>
          <w:p>
            <w:pPr>
              <w:jc w:val="right"/>
              <w:ind w:right="416"/>
              <w:spacing w:after="0"/>
              <w:rPr>
                <w:sz w:val="20"/>
                <w:szCs w:val="20"/>
                <w:color w:val="auto"/>
              </w:rPr>
            </w:pPr>
            <w:r>
              <w:rPr>
                <w:rFonts w:ascii="Arial" w:cs="Arial" w:eastAsia="Arial" w:hAnsi="Arial"/>
                <w:sz w:val="18"/>
                <w:szCs w:val="18"/>
                <w:color w:val="auto"/>
              </w:rPr>
              <w:t>42,105,435</w:t>
            </w:r>
          </w:p>
        </w:tc>
        <w:tc>
          <w:tcPr>
            <w:tcW w:w="1720" w:type="dxa"/>
            <w:vAlign w:val="bottom"/>
            <w:tcBorders>
              <w:bottom w:val="single" w:sz="8" w:color="407CCA"/>
            </w:tcBorders>
            <w:shd w:val="clear" w:color="auto" w:fill="CCEEFF"/>
          </w:tcPr>
          <w:p>
            <w:pPr>
              <w:jc w:val="right"/>
              <w:ind w:right="272"/>
              <w:spacing w:after="0"/>
              <w:rPr>
                <w:sz w:val="20"/>
                <w:szCs w:val="20"/>
                <w:color w:val="auto"/>
              </w:rPr>
            </w:pPr>
            <w:r>
              <w:rPr>
                <w:rFonts w:ascii="Arial" w:cs="Arial" w:eastAsia="Arial" w:hAnsi="Arial"/>
                <w:sz w:val="18"/>
                <w:szCs w:val="18"/>
                <w:color w:val="auto"/>
              </w:rPr>
              <w:t>26,355,435</w:t>
            </w:r>
          </w:p>
        </w:tc>
        <w:tc>
          <w:tcPr>
            <w:tcW w:w="1480" w:type="dxa"/>
            <w:vAlign w:val="bottom"/>
            <w:tcBorders>
              <w:bottom w:val="single" w:sz="8" w:color="407CCA"/>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63"/>
        </w:trPr>
        <w:tc>
          <w:tcPr>
            <w:tcW w:w="3860" w:type="dxa"/>
            <w:vAlign w:val="bottom"/>
          </w:tcPr>
          <w:p>
            <w:pPr>
              <w:spacing w:after="0"/>
              <w:rPr>
                <w:sz w:val="20"/>
                <w:szCs w:val="20"/>
                <w:color w:val="auto"/>
              </w:rPr>
            </w:pPr>
            <w:r>
              <w:rPr>
                <w:rFonts w:ascii="Arial" w:cs="Arial" w:eastAsia="Arial" w:hAnsi="Arial"/>
                <w:sz w:val="18"/>
                <w:szCs w:val="18"/>
                <w:b w:val="1"/>
                <w:bCs w:val="1"/>
                <w:color w:val="auto"/>
              </w:rPr>
              <w:t>Peter J. Federico</w:t>
            </w:r>
          </w:p>
        </w:tc>
        <w:tc>
          <w:tcPr>
            <w:tcW w:w="1940" w:type="dxa"/>
            <w:vAlign w:val="bottom"/>
          </w:tcPr>
          <w:p>
            <w:pPr>
              <w:spacing w:after="0"/>
              <w:rPr>
                <w:sz w:val="22"/>
                <w:szCs w:val="22"/>
                <w:color w:val="auto"/>
              </w:rPr>
            </w:pPr>
          </w:p>
        </w:tc>
        <w:tc>
          <w:tcPr>
            <w:tcW w:w="2020" w:type="dxa"/>
            <w:vAlign w:val="bottom"/>
          </w:tcPr>
          <w:p>
            <w:pPr>
              <w:spacing w:after="0"/>
              <w:rPr>
                <w:sz w:val="22"/>
                <w:szCs w:val="22"/>
                <w:color w:val="auto"/>
              </w:rPr>
            </w:pPr>
          </w:p>
        </w:tc>
        <w:tc>
          <w:tcPr>
            <w:tcW w:w="1720" w:type="dxa"/>
            <w:vAlign w:val="bottom"/>
          </w:tcPr>
          <w:p>
            <w:pPr>
              <w:spacing w:after="0"/>
              <w:rPr>
                <w:sz w:val="22"/>
                <w:szCs w:val="22"/>
                <w:color w:val="auto"/>
              </w:rPr>
            </w:pPr>
          </w:p>
        </w:tc>
        <w:tc>
          <w:tcPr>
            <w:tcW w:w="148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16"/>
        </w:trPr>
        <w:tc>
          <w:tcPr>
            <w:tcW w:w="3860" w:type="dxa"/>
            <w:vAlign w:val="bottom"/>
            <w:shd w:val="clear" w:color="auto" w:fill="CCEEFF"/>
          </w:tcPr>
          <w:p>
            <w:pPr>
              <w:spacing w:after="0"/>
              <w:rPr>
                <w:sz w:val="20"/>
                <w:szCs w:val="20"/>
                <w:color w:val="auto"/>
              </w:rPr>
            </w:pPr>
            <w:r>
              <w:rPr>
                <w:rFonts w:ascii="Arial" w:cs="Arial" w:eastAsia="Arial" w:hAnsi="Arial"/>
                <w:sz w:val="18"/>
                <w:szCs w:val="18"/>
                <w:color w:val="auto"/>
              </w:rPr>
              <w:t>Severance Amount</w:t>
            </w:r>
          </w:p>
        </w:tc>
        <w:tc>
          <w:tcPr>
            <w:tcW w:w="1940" w:type="dxa"/>
            <w:vAlign w:val="bottom"/>
            <w:shd w:val="clear" w:color="auto" w:fill="CCEEFF"/>
          </w:tcPr>
          <w:p>
            <w:pPr>
              <w:jc w:val="right"/>
              <w:ind w:right="415"/>
              <w:spacing w:after="0"/>
              <w:rPr>
                <w:sz w:val="20"/>
                <w:szCs w:val="20"/>
                <w:color w:val="auto"/>
              </w:rPr>
            </w:pPr>
            <w:r>
              <w:rPr>
                <w:rFonts w:ascii="Arial" w:cs="Arial" w:eastAsia="Arial" w:hAnsi="Arial"/>
                <w:sz w:val="18"/>
                <w:szCs w:val="18"/>
                <w:color w:val="auto"/>
              </w:rPr>
              <w:t>4,050,000</w:t>
            </w:r>
            <w:r>
              <w:rPr>
                <w:rFonts w:ascii="Arial" w:cs="Arial" w:eastAsia="Arial" w:hAnsi="Arial"/>
                <w:sz w:val="15"/>
                <w:szCs w:val="15"/>
                <w:color w:val="auto"/>
              </w:rPr>
              <w:t>(1)</w:t>
            </w:r>
          </w:p>
        </w:tc>
        <w:tc>
          <w:tcPr>
            <w:tcW w:w="2020" w:type="dxa"/>
            <w:vAlign w:val="bottom"/>
            <w:shd w:val="clear" w:color="auto" w:fill="CCEEFF"/>
          </w:tcPr>
          <w:p>
            <w:pPr>
              <w:jc w:val="right"/>
              <w:ind w:right="236"/>
              <w:spacing w:after="0"/>
              <w:rPr>
                <w:sz w:val="20"/>
                <w:szCs w:val="20"/>
                <w:color w:val="auto"/>
              </w:rPr>
            </w:pPr>
            <w:r>
              <w:rPr>
                <w:rFonts w:ascii="Arial" w:cs="Arial" w:eastAsia="Arial" w:hAnsi="Arial"/>
                <w:sz w:val="18"/>
                <w:szCs w:val="18"/>
                <w:color w:val="auto"/>
              </w:rPr>
              <w:t>4,050,000</w:t>
            </w:r>
            <w:r>
              <w:rPr>
                <w:rFonts w:ascii="Arial" w:cs="Arial" w:eastAsia="Arial" w:hAnsi="Arial"/>
                <w:sz w:val="15"/>
                <w:szCs w:val="15"/>
                <w:color w:val="auto"/>
              </w:rPr>
              <w:t>(2)</w:t>
            </w:r>
          </w:p>
        </w:tc>
        <w:tc>
          <w:tcPr>
            <w:tcW w:w="1720" w:type="dxa"/>
            <w:vAlign w:val="bottom"/>
            <w:shd w:val="clear" w:color="auto" w:fill="CCEEFF"/>
          </w:tcPr>
          <w:p>
            <w:pPr>
              <w:jc w:val="right"/>
              <w:ind w:right="712"/>
              <w:spacing w:after="0"/>
              <w:rPr>
                <w:sz w:val="20"/>
                <w:szCs w:val="20"/>
                <w:color w:val="auto"/>
              </w:rPr>
            </w:pPr>
            <w:r>
              <w:rPr>
                <w:rFonts w:ascii="Arial" w:cs="Arial" w:eastAsia="Arial" w:hAnsi="Arial"/>
                <w:sz w:val="18"/>
                <w:szCs w:val="18"/>
                <w:color w:val="auto"/>
              </w:rPr>
              <w:t>–</w:t>
            </w:r>
          </w:p>
        </w:tc>
        <w:tc>
          <w:tcPr>
            <w:tcW w:w="1480" w:type="dxa"/>
            <w:vAlign w:val="bottom"/>
            <w:shd w:val="clear" w:color="auto" w:fill="CCEEFF"/>
          </w:tcPr>
          <w:p>
            <w:pPr>
              <w:ind w:left="10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860" w:type="dxa"/>
            <w:vAlign w:val="bottom"/>
          </w:tcPr>
          <w:p>
            <w:pPr>
              <w:spacing w:after="0"/>
              <w:rPr>
                <w:sz w:val="20"/>
                <w:szCs w:val="20"/>
                <w:color w:val="auto"/>
              </w:rPr>
            </w:pPr>
            <w:r>
              <w:rPr>
                <w:rFonts w:ascii="Arial" w:cs="Arial" w:eastAsia="Arial" w:hAnsi="Arial"/>
                <w:sz w:val="18"/>
                <w:szCs w:val="18"/>
                <w:color w:val="auto"/>
              </w:rPr>
              <w:t>Base Salary</w:t>
            </w:r>
          </w:p>
        </w:tc>
        <w:tc>
          <w:tcPr>
            <w:tcW w:w="1940" w:type="dxa"/>
            <w:vAlign w:val="bottom"/>
          </w:tcPr>
          <w:p>
            <w:pPr>
              <w:jc w:val="right"/>
              <w:ind w:right="1115"/>
              <w:spacing w:after="0"/>
              <w:rPr>
                <w:sz w:val="20"/>
                <w:szCs w:val="20"/>
                <w:color w:val="auto"/>
              </w:rPr>
            </w:pPr>
            <w:r>
              <w:rPr>
                <w:rFonts w:ascii="Arial" w:cs="Arial" w:eastAsia="Arial" w:hAnsi="Arial"/>
                <w:sz w:val="18"/>
                <w:szCs w:val="18"/>
                <w:color w:val="auto"/>
              </w:rPr>
              <w:t>–</w:t>
            </w:r>
          </w:p>
        </w:tc>
        <w:tc>
          <w:tcPr>
            <w:tcW w:w="2020" w:type="dxa"/>
            <w:vAlign w:val="bottom"/>
          </w:tcPr>
          <w:p>
            <w:pPr>
              <w:jc w:val="right"/>
              <w:ind w:right="936"/>
              <w:spacing w:after="0"/>
              <w:rPr>
                <w:sz w:val="20"/>
                <w:szCs w:val="20"/>
                <w:color w:val="auto"/>
              </w:rPr>
            </w:pPr>
            <w:r>
              <w:rPr>
                <w:rFonts w:ascii="Arial" w:cs="Arial" w:eastAsia="Arial" w:hAnsi="Arial"/>
                <w:sz w:val="18"/>
                <w:szCs w:val="18"/>
                <w:color w:val="auto"/>
              </w:rPr>
              <w:t>–</w:t>
            </w:r>
          </w:p>
        </w:tc>
        <w:tc>
          <w:tcPr>
            <w:tcW w:w="1720" w:type="dxa"/>
            <w:vAlign w:val="bottom"/>
          </w:tcPr>
          <w:p>
            <w:pPr>
              <w:jc w:val="right"/>
              <w:ind w:right="712"/>
              <w:spacing w:after="0"/>
              <w:rPr>
                <w:sz w:val="20"/>
                <w:szCs w:val="20"/>
                <w:color w:val="auto"/>
              </w:rPr>
            </w:pPr>
            <w:r>
              <w:rPr>
                <w:rFonts w:ascii="Arial" w:cs="Arial" w:eastAsia="Arial" w:hAnsi="Arial"/>
                <w:sz w:val="18"/>
                <w:szCs w:val="18"/>
                <w:color w:val="auto"/>
              </w:rPr>
              <w:t>–</w:t>
            </w:r>
          </w:p>
        </w:tc>
        <w:tc>
          <w:tcPr>
            <w:tcW w:w="1480" w:type="dxa"/>
            <w:vAlign w:val="bottom"/>
          </w:tcPr>
          <w:p>
            <w:pPr>
              <w:ind w:left="10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860" w:type="dxa"/>
            <w:vAlign w:val="bottom"/>
            <w:shd w:val="clear" w:color="auto" w:fill="CCEEFF"/>
          </w:tcPr>
          <w:p>
            <w:pPr>
              <w:spacing w:after="0"/>
              <w:rPr>
                <w:sz w:val="20"/>
                <w:szCs w:val="20"/>
                <w:color w:val="auto"/>
              </w:rPr>
            </w:pPr>
            <w:r>
              <w:rPr>
                <w:rFonts w:ascii="Arial" w:cs="Arial" w:eastAsia="Arial" w:hAnsi="Arial"/>
                <w:sz w:val="18"/>
                <w:szCs w:val="18"/>
                <w:color w:val="auto"/>
              </w:rPr>
              <w:t>Cash Bonus</w:t>
            </w:r>
            <w:r>
              <w:rPr>
                <w:rFonts w:ascii="Arial" w:cs="Arial" w:eastAsia="Arial" w:hAnsi="Arial"/>
                <w:sz w:val="15"/>
                <w:szCs w:val="15"/>
                <w:color w:val="auto"/>
              </w:rPr>
              <w:t>(3)</w:t>
            </w:r>
          </w:p>
        </w:tc>
        <w:tc>
          <w:tcPr>
            <w:tcW w:w="1940" w:type="dxa"/>
            <w:vAlign w:val="bottom"/>
            <w:shd w:val="clear" w:color="auto" w:fill="CCEEFF"/>
          </w:tcPr>
          <w:p>
            <w:pPr>
              <w:jc w:val="right"/>
              <w:ind w:right="595"/>
              <w:spacing w:after="0"/>
              <w:rPr>
                <w:sz w:val="20"/>
                <w:szCs w:val="20"/>
                <w:color w:val="auto"/>
              </w:rPr>
            </w:pPr>
            <w:r>
              <w:rPr>
                <w:rFonts w:ascii="Arial" w:cs="Arial" w:eastAsia="Arial" w:hAnsi="Arial"/>
                <w:sz w:val="18"/>
                <w:szCs w:val="18"/>
                <w:color w:val="auto"/>
              </w:rPr>
              <w:t>2,349,000</w:t>
            </w:r>
          </w:p>
        </w:tc>
        <w:tc>
          <w:tcPr>
            <w:tcW w:w="2020" w:type="dxa"/>
            <w:vAlign w:val="bottom"/>
            <w:shd w:val="clear" w:color="auto" w:fill="CCEEFF"/>
          </w:tcPr>
          <w:p>
            <w:pPr>
              <w:jc w:val="right"/>
              <w:ind w:right="416"/>
              <w:spacing w:after="0"/>
              <w:rPr>
                <w:sz w:val="20"/>
                <w:szCs w:val="20"/>
                <w:color w:val="auto"/>
              </w:rPr>
            </w:pPr>
            <w:r>
              <w:rPr>
                <w:rFonts w:ascii="Arial" w:cs="Arial" w:eastAsia="Arial" w:hAnsi="Arial"/>
                <w:sz w:val="18"/>
                <w:szCs w:val="18"/>
                <w:color w:val="auto"/>
              </w:rPr>
              <w:t>2,349,000</w:t>
            </w:r>
          </w:p>
        </w:tc>
        <w:tc>
          <w:tcPr>
            <w:tcW w:w="1720" w:type="dxa"/>
            <w:vAlign w:val="bottom"/>
            <w:shd w:val="clear" w:color="auto" w:fill="CCEEFF"/>
          </w:tcPr>
          <w:p>
            <w:pPr>
              <w:jc w:val="right"/>
              <w:ind w:right="272"/>
              <w:spacing w:after="0"/>
              <w:rPr>
                <w:sz w:val="20"/>
                <w:szCs w:val="20"/>
                <w:color w:val="auto"/>
              </w:rPr>
            </w:pPr>
            <w:r>
              <w:rPr>
                <w:rFonts w:ascii="Arial" w:cs="Arial" w:eastAsia="Arial" w:hAnsi="Arial"/>
                <w:sz w:val="18"/>
                <w:szCs w:val="18"/>
                <w:color w:val="auto"/>
              </w:rPr>
              <w:t>2,349,000</w:t>
            </w:r>
          </w:p>
        </w:tc>
        <w:tc>
          <w:tcPr>
            <w:tcW w:w="1480" w:type="dxa"/>
            <w:vAlign w:val="bottom"/>
            <w:shd w:val="clear" w:color="auto" w:fill="CCEEFF"/>
          </w:tcPr>
          <w:p>
            <w:pPr>
              <w:ind w:left="10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860" w:type="dxa"/>
            <w:vAlign w:val="bottom"/>
          </w:tcPr>
          <w:p>
            <w:pPr>
              <w:spacing w:after="0"/>
              <w:rPr>
                <w:sz w:val="20"/>
                <w:szCs w:val="20"/>
                <w:color w:val="auto"/>
              </w:rPr>
            </w:pPr>
            <w:r>
              <w:rPr>
                <w:rFonts w:ascii="Arial" w:cs="Arial" w:eastAsia="Arial" w:hAnsi="Arial"/>
                <w:sz w:val="18"/>
                <w:szCs w:val="18"/>
                <w:color w:val="auto"/>
              </w:rPr>
              <w:t>Accelerated Equity Awards</w:t>
            </w:r>
            <w:r>
              <w:rPr>
                <w:rFonts w:ascii="Arial" w:cs="Arial" w:eastAsia="Arial" w:hAnsi="Arial"/>
                <w:sz w:val="15"/>
                <w:szCs w:val="15"/>
                <w:color w:val="auto"/>
              </w:rPr>
              <w:t>(4)</w:t>
            </w:r>
          </w:p>
        </w:tc>
        <w:tc>
          <w:tcPr>
            <w:tcW w:w="1940" w:type="dxa"/>
            <w:vAlign w:val="bottom"/>
          </w:tcPr>
          <w:p>
            <w:pPr>
              <w:jc w:val="right"/>
              <w:ind w:right="595"/>
              <w:spacing w:after="0"/>
              <w:rPr>
                <w:sz w:val="20"/>
                <w:szCs w:val="20"/>
                <w:color w:val="auto"/>
              </w:rPr>
            </w:pPr>
            <w:r>
              <w:rPr>
                <w:rFonts w:ascii="Arial" w:cs="Arial" w:eastAsia="Arial" w:hAnsi="Arial"/>
                <w:sz w:val="18"/>
                <w:szCs w:val="18"/>
                <w:color w:val="auto"/>
              </w:rPr>
              <w:t>5,422,403</w:t>
            </w:r>
          </w:p>
        </w:tc>
        <w:tc>
          <w:tcPr>
            <w:tcW w:w="2020" w:type="dxa"/>
            <w:vAlign w:val="bottom"/>
          </w:tcPr>
          <w:p>
            <w:pPr>
              <w:jc w:val="right"/>
              <w:ind w:right="416"/>
              <w:spacing w:after="0"/>
              <w:rPr>
                <w:sz w:val="20"/>
                <w:szCs w:val="20"/>
                <w:color w:val="auto"/>
              </w:rPr>
            </w:pPr>
            <w:r>
              <w:rPr>
                <w:rFonts w:ascii="Arial" w:cs="Arial" w:eastAsia="Arial" w:hAnsi="Arial"/>
                <w:sz w:val="18"/>
                <w:szCs w:val="18"/>
                <w:color w:val="auto"/>
              </w:rPr>
              <w:t>5,422,403</w:t>
            </w:r>
          </w:p>
        </w:tc>
        <w:tc>
          <w:tcPr>
            <w:tcW w:w="1720" w:type="dxa"/>
            <w:vAlign w:val="bottom"/>
          </w:tcPr>
          <w:p>
            <w:pPr>
              <w:jc w:val="right"/>
              <w:ind w:right="272"/>
              <w:spacing w:after="0"/>
              <w:rPr>
                <w:sz w:val="20"/>
                <w:szCs w:val="20"/>
                <w:color w:val="auto"/>
              </w:rPr>
            </w:pPr>
            <w:r>
              <w:rPr>
                <w:rFonts w:ascii="Arial" w:cs="Arial" w:eastAsia="Arial" w:hAnsi="Arial"/>
                <w:sz w:val="18"/>
                <w:szCs w:val="18"/>
                <w:color w:val="auto"/>
              </w:rPr>
              <w:t>5,422,403</w:t>
            </w:r>
          </w:p>
        </w:tc>
        <w:tc>
          <w:tcPr>
            <w:tcW w:w="1480" w:type="dxa"/>
            <w:vAlign w:val="bottom"/>
          </w:tcPr>
          <w:p>
            <w:pPr>
              <w:ind w:left="10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860" w:type="dxa"/>
            <w:vAlign w:val="bottom"/>
            <w:tcBorders>
              <w:bottom w:val="single" w:sz="8" w:color="407CCA"/>
            </w:tcBorders>
            <w:shd w:val="clear" w:color="auto" w:fill="CCEEFF"/>
          </w:tcPr>
          <w:p>
            <w:pPr>
              <w:spacing w:after="0"/>
              <w:rPr>
                <w:sz w:val="20"/>
                <w:szCs w:val="20"/>
                <w:color w:val="auto"/>
              </w:rPr>
            </w:pPr>
            <w:r>
              <w:rPr>
                <w:rFonts w:ascii="Arial" w:cs="Arial" w:eastAsia="Arial" w:hAnsi="Arial"/>
                <w:sz w:val="18"/>
                <w:szCs w:val="18"/>
                <w:color w:val="auto"/>
              </w:rPr>
              <w:t>Insurance Benefits</w:t>
            </w:r>
            <w:r>
              <w:rPr>
                <w:rFonts w:ascii="Arial" w:cs="Arial" w:eastAsia="Arial" w:hAnsi="Arial"/>
                <w:sz w:val="15"/>
                <w:szCs w:val="15"/>
                <w:color w:val="auto"/>
              </w:rPr>
              <w:t>(5)</w:t>
            </w:r>
          </w:p>
        </w:tc>
        <w:tc>
          <w:tcPr>
            <w:tcW w:w="1940" w:type="dxa"/>
            <w:vAlign w:val="bottom"/>
            <w:tcBorders>
              <w:bottom w:val="single" w:sz="8" w:color="407CCA"/>
            </w:tcBorders>
            <w:shd w:val="clear" w:color="auto" w:fill="CCEEFF"/>
          </w:tcPr>
          <w:p>
            <w:pPr>
              <w:jc w:val="right"/>
              <w:ind w:right="595"/>
              <w:spacing w:after="0"/>
              <w:rPr>
                <w:sz w:val="20"/>
                <w:szCs w:val="20"/>
                <w:color w:val="auto"/>
              </w:rPr>
            </w:pPr>
            <w:r>
              <w:rPr>
                <w:rFonts w:ascii="Arial" w:cs="Arial" w:eastAsia="Arial" w:hAnsi="Arial"/>
                <w:sz w:val="18"/>
                <w:szCs w:val="18"/>
                <w:color w:val="auto"/>
              </w:rPr>
              <w:t>48,285</w:t>
            </w:r>
          </w:p>
        </w:tc>
        <w:tc>
          <w:tcPr>
            <w:tcW w:w="2020" w:type="dxa"/>
            <w:vAlign w:val="bottom"/>
            <w:tcBorders>
              <w:bottom w:val="single" w:sz="8" w:color="407CCA"/>
            </w:tcBorders>
            <w:shd w:val="clear" w:color="auto" w:fill="CCEEFF"/>
          </w:tcPr>
          <w:p>
            <w:pPr>
              <w:jc w:val="right"/>
              <w:ind w:right="416"/>
              <w:spacing w:after="0"/>
              <w:rPr>
                <w:sz w:val="20"/>
                <w:szCs w:val="20"/>
                <w:color w:val="auto"/>
              </w:rPr>
            </w:pPr>
            <w:r>
              <w:rPr>
                <w:rFonts w:ascii="Arial" w:cs="Arial" w:eastAsia="Arial" w:hAnsi="Arial"/>
                <w:sz w:val="18"/>
                <w:szCs w:val="18"/>
                <w:color w:val="auto"/>
              </w:rPr>
              <w:t>48,285</w:t>
            </w:r>
          </w:p>
        </w:tc>
        <w:tc>
          <w:tcPr>
            <w:tcW w:w="1720" w:type="dxa"/>
            <w:vAlign w:val="bottom"/>
            <w:tcBorders>
              <w:bottom w:val="single" w:sz="8" w:color="407CCA"/>
            </w:tcBorders>
            <w:shd w:val="clear" w:color="auto" w:fill="CCEEFF"/>
          </w:tcPr>
          <w:p>
            <w:pPr>
              <w:jc w:val="right"/>
              <w:ind w:right="272"/>
              <w:spacing w:after="0"/>
              <w:rPr>
                <w:sz w:val="20"/>
                <w:szCs w:val="20"/>
                <w:color w:val="auto"/>
              </w:rPr>
            </w:pPr>
            <w:r>
              <w:rPr>
                <w:rFonts w:ascii="Arial" w:cs="Arial" w:eastAsia="Arial" w:hAnsi="Arial"/>
                <w:sz w:val="18"/>
                <w:szCs w:val="18"/>
                <w:color w:val="auto"/>
              </w:rPr>
              <w:t>48,285</w:t>
            </w:r>
          </w:p>
        </w:tc>
        <w:tc>
          <w:tcPr>
            <w:tcW w:w="1480" w:type="dxa"/>
            <w:vAlign w:val="bottom"/>
            <w:tcBorders>
              <w:bottom w:val="single" w:sz="8" w:color="407CCA"/>
            </w:tcBorders>
            <w:shd w:val="clear" w:color="auto" w:fill="CCEEFF"/>
          </w:tcPr>
          <w:p>
            <w:pPr>
              <w:ind w:left="10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9"/>
        </w:trPr>
        <w:tc>
          <w:tcPr>
            <w:tcW w:w="3860" w:type="dxa"/>
            <w:vAlign w:val="bottom"/>
            <w:tcBorders>
              <w:bottom w:val="single" w:sz="8" w:color="407CCA"/>
            </w:tcBorders>
          </w:tcPr>
          <w:p>
            <w:pPr>
              <w:spacing w:after="0"/>
              <w:rPr>
                <w:sz w:val="20"/>
                <w:szCs w:val="20"/>
                <w:color w:val="auto"/>
              </w:rPr>
            </w:pPr>
            <w:r>
              <w:rPr>
                <w:rFonts w:ascii="Arial" w:cs="Arial" w:eastAsia="Arial" w:hAnsi="Arial"/>
                <w:sz w:val="18"/>
                <w:szCs w:val="18"/>
                <w:b w:val="1"/>
                <w:bCs w:val="1"/>
                <w:color w:val="auto"/>
              </w:rPr>
              <w:t>TOTAL:</w:t>
            </w:r>
          </w:p>
        </w:tc>
        <w:tc>
          <w:tcPr>
            <w:tcW w:w="1940" w:type="dxa"/>
            <w:vAlign w:val="bottom"/>
            <w:tcBorders>
              <w:bottom w:val="single" w:sz="8" w:color="407CCA"/>
            </w:tcBorders>
          </w:tcPr>
          <w:p>
            <w:pPr>
              <w:jc w:val="right"/>
              <w:ind w:right="595"/>
              <w:spacing w:after="0"/>
              <w:rPr>
                <w:sz w:val="20"/>
                <w:szCs w:val="20"/>
                <w:color w:val="auto"/>
              </w:rPr>
            </w:pPr>
            <w:r>
              <w:rPr>
                <w:rFonts w:ascii="Arial" w:cs="Arial" w:eastAsia="Arial" w:hAnsi="Arial"/>
                <w:sz w:val="18"/>
                <w:szCs w:val="18"/>
                <w:color w:val="auto"/>
              </w:rPr>
              <w:t>11,869,688</w:t>
            </w:r>
          </w:p>
        </w:tc>
        <w:tc>
          <w:tcPr>
            <w:tcW w:w="2020" w:type="dxa"/>
            <w:vAlign w:val="bottom"/>
            <w:tcBorders>
              <w:bottom w:val="single" w:sz="8" w:color="407CCA"/>
            </w:tcBorders>
          </w:tcPr>
          <w:p>
            <w:pPr>
              <w:jc w:val="right"/>
              <w:ind w:right="416"/>
              <w:spacing w:after="0"/>
              <w:rPr>
                <w:sz w:val="20"/>
                <w:szCs w:val="20"/>
                <w:color w:val="auto"/>
              </w:rPr>
            </w:pPr>
            <w:r>
              <w:rPr>
                <w:rFonts w:ascii="Arial" w:cs="Arial" w:eastAsia="Arial" w:hAnsi="Arial"/>
                <w:sz w:val="18"/>
                <w:szCs w:val="18"/>
                <w:color w:val="auto"/>
              </w:rPr>
              <w:t>11,869,688</w:t>
            </w:r>
          </w:p>
        </w:tc>
        <w:tc>
          <w:tcPr>
            <w:tcW w:w="1720" w:type="dxa"/>
            <w:vAlign w:val="bottom"/>
            <w:tcBorders>
              <w:bottom w:val="single" w:sz="8" w:color="407CCA"/>
            </w:tcBorders>
          </w:tcPr>
          <w:p>
            <w:pPr>
              <w:jc w:val="right"/>
              <w:ind w:right="272"/>
              <w:spacing w:after="0"/>
              <w:rPr>
                <w:sz w:val="20"/>
                <w:szCs w:val="20"/>
                <w:color w:val="auto"/>
              </w:rPr>
            </w:pPr>
            <w:r>
              <w:rPr>
                <w:rFonts w:ascii="Arial" w:cs="Arial" w:eastAsia="Arial" w:hAnsi="Arial"/>
                <w:sz w:val="18"/>
                <w:szCs w:val="18"/>
                <w:color w:val="auto"/>
              </w:rPr>
              <w:t>7,819,688</w:t>
            </w:r>
          </w:p>
        </w:tc>
        <w:tc>
          <w:tcPr>
            <w:tcW w:w="1480" w:type="dxa"/>
            <w:vAlign w:val="bottom"/>
            <w:tcBorders>
              <w:bottom w:val="single" w:sz="8" w:color="407CCA"/>
            </w:tcBorders>
          </w:tcPr>
          <w:p>
            <w:pPr>
              <w:spacing w:after="0"/>
              <w:rPr>
                <w:sz w:val="18"/>
                <w:szCs w:val="18"/>
                <w:color w:val="auto"/>
              </w:rPr>
            </w:pPr>
          </w:p>
        </w:tc>
        <w:tc>
          <w:tcPr>
            <w:tcW w:w="0" w:type="dxa"/>
            <w:vAlign w:val="bottom"/>
          </w:tcPr>
          <w:p>
            <w:pPr>
              <w:spacing w:after="0"/>
              <w:rPr>
                <w:sz w:val="1"/>
                <w:szCs w:val="1"/>
                <w:color w:val="auto"/>
              </w:rPr>
            </w:pPr>
          </w:p>
        </w:tc>
      </w:tr>
      <w:tr>
        <w:trPr>
          <w:trHeight w:val="304"/>
        </w:trPr>
        <w:tc>
          <w:tcPr>
            <w:tcW w:w="386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Christopher J. Kuehl</w:t>
            </w:r>
          </w:p>
        </w:tc>
        <w:tc>
          <w:tcPr>
            <w:tcW w:w="1940" w:type="dxa"/>
            <w:vAlign w:val="bottom"/>
            <w:shd w:val="clear" w:color="auto" w:fill="CCEEFF"/>
          </w:tcPr>
          <w:p>
            <w:pPr>
              <w:spacing w:after="0"/>
              <w:rPr>
                <w:sz w:val="24"/>
                <w:szCs w:val="24"/>
                <w:color w:val="auto"/>
              </w:rPr>
            </w:pPr>
          </w:p>
        </w:tc>
        <w:tc>
          <w:tcPr>
            <w:tcW w:w="2020" w:type="dxa"/>
            <w:vAlign w:val="bottom"/>
            <w:shd w:val="clear" w:color="auto" w:fill="CCEEFF"/>
          </w:tcPr>
          <w:p>
            <w:pPr>
              <w:spacing w:after="0"/>
              <w:rPr>
                <w:sz w:val="24"/>
                <w:szCs w:val="24"/>
                <w:color w:val="auto"/>
              </w:rPr>
            </w:pPr>
          </w:p>
        </w:tc>
        <w:tc>
          <w:tcPr>
            <w:tcW w:w="1720" w:type="dxa"/>
            <w:vAlign w:val="bottom"/>
            <w:shd w:val="clear" w:color="auto" w:fill="CCEEFF"/>
          </w:tcPr>
          <w:p>
            <w:pPr>
              <w:spacing w:after="0"/>
              <w:rPr>
                <w:sz w:val="24"/>
                <w:szCs w:val="24"/>
                <w:color w:val="auto"/>
              </w:rPr>
            </w:pPr>
          </w:p>
        </w:tc>
        <w:tc>
          <w:tcPr>
            <w:tcW w:w="148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3860" w:type="dxa"/>
            <w:vAlign w:val="bottom"/>
          </w:tcPr>
          <w:p>
            <w:pPr>
              <w:spacing w:after="0"/>
              <w:rPr>
                <w:sz w:val="20"/>
                <w:szCs w:val="20"/>
                <w:color w:val="auto"/>
              </w:rPr>
            </w:pPr>
            <w:r>
              <w:rPr>
                <w:rFonts w:ascii="Arial" w:cs="Arial" w:eastAsia="Arial" w:hAnsi="Arial"/>
                <w:sz w:val="18"/>
                <w:szCs w:val="18"/>
                <w:color w:val="auto"/>
              </w:rPr>
              <w:t>Severance Amount</w:t>
            </w:r>
          </w:p>
        </w:tc>
        <w:tc>
          <w:tcPr>
            <w:tcW w:w="1940" w:type="dxa"/>
            <w:vAlign w:val="bottom"/>
          </w:tcPr>
          <w:p>
            <w:pPr>
              <w:jc w:val="right"/>
              <w:ind w:right="255"/>
              <w:spacing w:after="0"/>
              <w:rPr>
                <w:sz w:val="20"/>
                <w:szCs w:val="20"/>
                <w:color w:val="auto"/>
              </w:rPr>
            </w:pPr>
            <w:r>
              <w:rPr>
                <w:rFonts w:ascii="Arial" w:cs="Arial" w:eastAsia="Arial" w:hAnsi="Arial"/>
                <w:sz w:val="18"/>
                <w:szCs w:val="18"/>
                <w:color w:val="auto"/>
              </w:rPr>
              <w:t>2,502,000</w:t>
            </w:r>
            <w:r>
              <w:rPr>
                <w:rFonts w:ascii="Arial" w:cs="Arial" w:eastAsia="Arial" w:hAnsi="Arial"/>
                <w:sz w:val="15"/>
                <w:szCs w:val="15"/>
                <w:color w:val="auto"/>
              </w:rPr>
              <w:t>(1)(6)</w:t>
            </w:r>
          </w:p>
        </w:tc>
        <w:tc>
          <w:tcPr>
            <w:tcW w:w="2020" w:type="dxa"/>
            <w:vAlign w:val="bottom"/>
          </w:tcPr>
          <w:p>
            <w:pPr>
              <w:jc w:val="right"/>
              <w:ind w:right="236"/>
              <w:spacing w:after="0"/>
              <w:rPr>
                <w:sz w:val="20"/>
                <w:szCs w:val="20"/>
                <w:color w:val="auto"/>
              </w:rPr>
            </w:pPr>
            <w:r>
              <w:rPr>
                <w:rFonts w:ascii="Arial" w:cs="Arial" w:eastAsia="Arial" w:hAnsi="Arial"/>
                <w:sz w:val="18"/>
                <w:szCs w:val="18"/>
                <w:color w:val="auto"/>
              </w:rPr>
              <w:t>3,753,000</w:t>
            </w:r>
            <w:r>
              <w:rPr>
                <w:rFonts w:ascii="Arial" w:cs="Arial" w:eastAsia="Arial" w:hAnsi="Arial"/>
                <w:sz w:val="15"/>
                <w:szCs w:val="15"/>
                <w:color w:val="auto"/>
              </w:rPr>
              <w:t>(2)</w:t>
            </w:r>
          </w:p>
        </w:tc>
        <w:tc>
          <w:tcPr>
            <w:tcW w:w="1720" w:type="dxa"/>
            <w:vAlign w:val="bottom"/>
          </w:tcPr>
          <w:p>
            <w:pPr>
              <w:jc w:val="right"/>
              <w:ind w:right="712"/>
              <w:spacing w:after="0"/>
              <w:rPr>
                <w:sz w:val="20"/>
                <w:szCs w:val="20"/>
                <w:color w:val="auto"/>
              </w:rPr>
            </w:pPr>
            <w:r>
              <w:rPr>
                <w:rFonts w:ascii="Arial" w:cs="Arial" w:eastAsia="Arial" w:hAnsi="Arial"/>
                <w:sz w:val="18"/>
                <w:szCs w:val="18"/>
                <w:color w:val="auto"/>
              </w:rPr>
              <w:t>–</w:t>
            </w:r>
          </w:p>
        </w:tc>
        <w:tc>
          <w:tcPr>
            <w:tcW w:w="1480" w:type="dxa"/>
            <w:vAlign w:val="bottom"/>
          </w:tcPr>
          <w:p>
            <w:pPr>
              <w:ind w:left="10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860" w:type="dxa"/>
            <w:vAlign w:val="bottom"/>
            <w:shd w:val="clear" w:color="auto" w:fill="CCEEFF"/>
          </w:tcPr>
          <w:p>
            <w:pPr>
              <w:spacing w:after="0"/>
              <w:rPr>
                <w:sz w:val="20"/>
                <w:szCs w:val="20"/>
                <w:color w:val="auto"/>
              </w:rPr>
            </w:pPr>
            <w:r>
              <w:rPr>
                <w:rFonts w:ascii="Arial" w:cs="Arial" w:eastAsia="Arial" w:hAnsi="Arial"/>
                <w:sz w:val="18"/>
                <w:szCs w:val="18"/>
                <w:color w:val="auto"/>
              </w:rPr>
              <w:t>Base Salary</w:t>
            </w:r>
          </w:p>
        </w:tc>
        <w:tc>
          <w:tcPr>
            <w:tcW w:w="1940" w:type="dxa"/>
            <w:vAlign w:val="bottom"/>
            <w:shd w:val="clear" w:color="auto" w:fill="CCEEFF"/>
          </w:tcPr>
          <w:p>
            <w:pPr>
              <w:jc w:val="right"/>
              <w:ind w:right="1115"/>
              <w:spacing w:after="0"/>
              <w:rPr>
                <w:sz w:val="20"/>
                <w:szCs w:val="20"/>
                <w:color w:val="auto"/>
              </w:rPr>
            </w:pPr>
            <w:r>
              <w:rPr>
                <w:rFonts w:ascii="Arial" w:cs="Arial" w:eastAsia="Arial" w:hAnsi="Arial"/>
                <w:sz w:val="18"/>
                <w:szCs w:val="18"/>
                <w:color w:val="auto"/>
              </w:rPr>
              <w:t>–</w:t>
            </w:r>
          </w:p>
        </w:tc>
        <w:tc>
          <w:tcPr>
            <w:tcW w:w="2020" w:type="dxa"/>
            <w:vAlign w:val="bottom"/>
            <w:shd w:val="clear" w:color="auto" w:fill="CCEEFF"/>
          </w:tcPr>
          <w:p>
            <w:pPr>
              <w:jc w:val="right"/>
              <w:ind w:right="936"/>
              <w:spacing w:after="0"/>
              <w:rPr>
                <w:sz w:val="20"/>
                <w:szCs w:val="20"/>
                <w:color w:val="auto"/>
              </w:rPr>
            </w:pPr>
            <w:r>
              <w:rPr>
                <w:rFonts w:ascii="Arial" w:cs="Arial" w:eastAsia="Arial" w:hAnsi="Arial"/>
                <w:sz w:val="18"/>
                <w:szCs w:val="18"/>
                <w:color w:val="auto"/>
              </w:rPr>
              <w:t>–</w:t>
            </w:r>
          </w:p>
        </w:tc>
        <w:tc>
          <w:tcPr>
            <w:tcW w:w="1720" w:type="dxa"/>
            <w:vAlign w:val="bottom"/>
            <w:shd w:val="clear" w:color="auto" w:fill="CCEEFF"/>
          </w:tcPr>
          <w:p>
            <w:pPr>
              <w:jc w:val="right"/>
              <w:ind w:right="712"/>
              <w:spacing w:after="0"/>
              <w:rPr>
                <w:sz w:val="20"/>
                <w:szCs w:val="20"/>
                <w:color w:val="auto"/>
              </w:rPr>
            </w:pPr>
            <w:r>
              <w:rPr>
                <w:rFonts w:ascii="Arial" w:cs="Arial" w:eastAsia="Arial" w:hAnsi="Arial"/>
                <w:sz w:val="18"/>
                <w:szCs w:val="18"/>
                <w:color w:val="auto"/>
              </w:rPr>
              <w:t>–</w:t>
            </w:r>
          </w:p>
        </w:tc>
        <w:tc>
          <w:tcPr>
            <w:tcW w:w="1480" w:type="dxa"/>
            <w:vAlign w:val="bottom"/>
            <w:shd w:val="clear" w:color="auto" w:fill="CCEEFF"/>
          </w:tcPr>
          <w:p>
            <w:pPr>
              <w:ind w:left="10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860" w:type="dxa"/>
            <w:vAlign w:val="bottom"/>
          </w:tcPr>
          <w:p>
            <w:pPr>
              <w:spacing w:after="0"/>
              <w:rPr>
                <w:sz w:val="20"/>
                <w:szCs w:val="20"/>
                <w:color w:val="auto"/>
              </w:rPr>
            </w:pPr>
            <w:r>
              <w:rPr>
                <w:rFonts w:ascii="Arial" w:cs="Arial" w:eastAsia="Arial" w:hAnsi="Arial"/>
                <w:sz w:val="18"/>
                <w:szCs w:val="18"/>
                <w:color w:val="auto"/>
              </w:rPr>
              <w:t>Cash Bonus</w:t>
            </w:r>
            <w:r>
              <w:rPr>
                <w:rFonts w:ascii="Arial" w:cs="Arial" w:eastAsia="Arial" w:hAnsi="Arial"/>
                <w:sz w:val="15"/>
                <w:szCs w:val="15"/>
                <w:color w:val="auto"/>
              </w:rPr>
              <w:t>(3)</w:t>
            </w:r>
          </w:p>
        </w:tc>
        <w:tc>
          <w:tcPr>
            <w:tcW w:w="1940" w:type="dxa"/>
            <w:vAlign w:val="bottom"/>
          </w:tcPr>
          <w:p>
            <w:pPr>
              <w:jc w:val="right"/>
              <w:ind w:right="595"/>
              <w:spacing w:after="0"/>
              <w:rPr>
                <w:sz w:val="20"/>
                <w:szCs w:val="20"/>
                <w:color w:val="auto"/>
              </w:rPr>
            </w:pPr>
            <w:r>
              <w:rPr>
                <w:rFonts w:ascii="Arial" w:cs="Arial" w:eastAsia="Arial" w:hAnsi="Arial"/>
                <w:sz w:val="18"/>
                <w:szCs w:val="18"/>
                <w:color w:val="auto"/>
              </w:rPr>
              <w:t>1,992,888</w:t>
            </w:r>
          </w:p>
        </w:tc>
        <w:tc>
          <w:tcPr>
            <w:tcW w:w="2020" w:type="dxa"/>
            <w:vAlign w:val="bottom"/>
          </w:tcPr>
          <w:p>
            <w:pPr>
              <w:jc w:val="right"/>
              <w:ind w:right="416"/>
              <w:spacing w:after="0"/>
              <w:rPr>
                <w:sz w:val="20"/>
                <w:szCs w:val="20"/>
                <w:color w:val="auto"/>
              </w:rPr>
            </w:pPr>
            <w:r>
              <w:rPr>
                <w:rFonts w:ascii="Arial" w:cs="Arial" w:eastAsia="Arial" w:hAnsi="Arial"/>
                <w:sz w:val="18"/>
                <w:szCs w:val="18"/>
                <w:color w:val="auto"/>
              </w:rPr>
              <w:t>1,992,888</w:t>
            </w:r>
          </w:p>
        </w:tc>
        <w:tc>
          <w:tcPr>
            <w:tcW w:w="1720" w:type="dxa"/>
            <w:vAlign w:val="bottom"/>
          </w:tcPr>
          <w:p>
            <w:pPr>
              <w:jc w:val="right"/>
              <w:ind w:right="272"/>
              <w:spacing w:after="0"/>
              <w:rPr>
                <w:sz w:val="20"/>
                <w:szCs w:val="20"/>
                <w:color w:val="auto"/>
              </w:rPr>
            </w:pPr>
            <w:r>
              <w:rPr>
                <w:rFonts w:ascii="Arial" w:cs="Arial" w:eastAsia="Arial" w:hAnsi="Arial"/>
                <w:sz w:val="18"/>
                <w:szCs w:val="18"/>
                <w:color w:val="auto"/>
              </w:rPr>
              <w:t>1,992,888</w:t>
            </w:r>
          </w:p>
        </w:tc>
        <w:tc>
          <w:tcPr>
            <w:tcW w:w="1480" w:type="dxa"/>
            <w:vAlign w:val="bottom"/>
          </w:tcPr>
          <w:p>
            <w:pPr>
              <w:ind w:left="10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860" w:type="dxa"/>
            <w:vAlign w:val="bottom"/>
            <w:shd w:val="clear" w:color="auto" w:fill="CCEEFF"/>
          </w:tcPr>
          <w:p>
            <w:pPr>
              <w:spacing w:after="0"/>
              <w:rPr>
                <w:sz w:val="20"/>
                <w:szCs w:val="20"/>
                <w:color w:val="auto"/>
              </w:rPr>
            </w:pPr>
            <w:r>
              <w:rPr>
                <w:rFonts w:ascii="Arial" w:cs="Arial" w:eastAsia="Arial" w:hAnsi="Arial"/>
                <w:sz w:val="18"/>
                <w:szCs w:val="18"/>
                <w:color w:val="auto"/>
              </w:rPr>
              <w:t>Accelerated Equity Awards</w:t>
            </w:r>
            <w:r>
              <w:rPr>
                <w:rFonts w:ascii="Arial" w:cs="Arial" w:eastAsia="Arial" w:hAnsi="Arial"/>
                <w:sz w:val="15"/>
                <w:szCs w:val="15"/>
                <w:color w:val="auto"/>
              </w:rPr>
              <w:t>(4)</w:t>
            </w:r>
          </w:p>
        </w:tc>
        <w:tc>
          <w:tcPr>
            <w:tcW w:w="1940" w:type="dxa"/>
            <w:vAlign w:val="bottom"/>
            <w:shd w:val="clear" w:color="auto" w:fill="CCEEFF"/>
          </w:tcPr>
          <w:p>
            <w:pPr>
              <w:jc w:val="right"/>
              <w:ind w:right="595"/>
              <w:spacing w:after="0"/>
              <w:rPr>
                <w:sz w:val="20"/>
                <w:szCs w:val="20"/>
                <w:color w:val="auto"/>
              </w:rPr>
            </w:pPr>
            <w:r>
              <w:rPr>
                <w:rFonts w:ascii="Arial" w:cs="Arial" w:eastAsia="Arial" w:hAnsi="Arial"/>
                <w:sz w:val="18"/>
                <w:szCs w:val="18"/>
                <w:color w:val="auto"/>
              </w:rPr>
              <w:t>4,045,732</w:t>
            </w:r>
          </w:p>
        </w:tc>
        <w:tc>
          <w:tcPr>
            <w:tcW w:w="2020" w:type="dxa"/>
            <w:vAlign w:val="bottom"/>
            <w:shd w:val="clear" w:color="auto" w:fill="CCEEFF"/>
          </w:tcPr>
          <w:p>
            <w:pPr>
              <w:jc w:val="right"/>
              <w:ind w:right="416"/>
              <w:spacing w:after="0"/>
              <w:rPr>
                <w:sz w:val="20"/>
                <w:szCs w:val="20"/>
                <w:color w:val="auto"/>
              </w:rPr>
            </w:pPr>
            <w:r>
              <w:rPr>
                <w:rFonts w:ascii="Arial" w:cs="Arial" w:eastAsia="Arial" w:hAnsi="Arial"/>
                <w:sz w:val="18"/>
                <w:szCs w:val="18"/>
                <w:color w:val="auto"/>
              </w:rPr>
              <w:t>4,045,732</w:t>
            </w:r>
          </w:p>
        </w:tc>
        <w:tc>
          <w:tcPr>
            <w:tcW w:w="1720" w:type="dxa"/>
            <w:vAlign w:val="bottom"/>
            <w:shd w:val="clear" w:color="auto" w:fill="CCEEFF"/>
          </w:tcPr>
          <w:p>
            <w:pPr>
              <w:jc w:val="right"/>
              <w:ind w:right="272"/>
              <w:spacing w:after="0"/>
              <w:rPr>
                <w:sz w:val="20"/>
                <w:szCs w:val="20"/>
                <w:color w:val="auto"/>
              </w:rPr>
            </w:pPr>
            <w:r>
              <w:rPr>
                <w:rFonts w:ascii="Arial" w:cs="Arial" w:eastAsia="Arial" w:hAnsi="Arial"/>
                <w:sz w:val="18"/>
                <w:szCs w:val="18"/>
                <w:color w:val="auto"/>
              </w:rPr>
              <w:t>4,045,732</w:t>
            </w:r>
          </w:p>
        </w:tc>
        <w:tc>
          <w:tcPr>
            <w:tcW w:w="1480" w:type="dxa"/>
            <w:vAlign w:val="bottom"/>
            <w:shd w:val="clear" w:color="auto" w:fill="CCEEFF"/>
          </w:tcPr>
          <w:p>
            <w:pPr>
              <w:ind w:left="10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860" w:type="dxa"/>
            <w:vAlign w:val="bottom"/>
            <w:tcBorders>
              <w:bottom w:val="single" w:sz="8" w:color="407CCA"/>
            </w:tcBorders>
          </w:tcPr>
          <w:p>
            <w:pPr>
              <w:spacing w:after="0"/>
              <w:rPr>
                <w:sz w:val="20"/>
                <w:szCs w:val="20"/>
                <w:color w:val="auto"/>
              </w:rPr>
            </w:pPr>
            <w:r>
              <w:rPr>
                <w:rFonts w:ascii="Arial" w:cs="Arial" w:eastAsia="Arial" w:hAnsi="Arial"/>
                <w:sz w:val="18"/>
                <w:szCs w:val="18"/>
                <w:color w:val="auto"/>
              </w:rPr>
              <w:t>Insurance Benefits</w:t>
            </w:r>
            <w:r>
              <w:rPr>
                <w:rFonts w:ascii="Arial" w:cs="Arial" w:eastAsia="Arial" w:hAnsi="Arial"/>
                <w:sz w:val="15"/>
                <w:szCs w:val="15"/>
                <w:color w:val="auto"/>
              </w:rPr>
              <w:t>(5)</w:t>
            </w:r>
          </w:p>
        </w:tc>
        <w:tc>
          <w:tcPr>
            <w:tcW w:w="1940" w:type="dxa"/>
            <w:vAlign w:val="bottom"/>
            <w:tcBorders>
              <w:bottom w:val="single" w:sz="8" w:color="407CCA"/>
            </w:tcBorders>
          </w:tcPr>
          <w:p>
            <w:pPr>
              <w:jc w:val="right"/>
              <w:ind w:right="595"/>
              <w:spacing w:after="0"/>
              <w:rPr>
                <w:sz w:val="20"/>
                <w:szCs w:val="20"/>
                <w:color w:val="auto"/>
              </w:rPr>
            </w:pPr>
            <w:r>
              <w:rPr>
                <w:rFonts w:ascii="Arial" w:cs="Arial" w:eastAsia="Arial" w:hAnsi="Arial"/>
                <w:sz w:val="18"/>
                <w:szCs w:val="18"/>
                <w:color w:val="auto"/>
              </w:rPr>
              <w:t>48,285</w:t>
            </w:r>
          </w:p>
        </w:tc>
        <w:tc>
          <w:tcPr>
            <w:tcW w:w="2020" w:type="dxa"/>
            <w:vAlign w:val="bottom"/>
            <w:tcBorders>
              <w:bottom w:val="single" w:sz="8" w:color="407CCA"/>
            </w:tcBorders>
          </w:tcPr>
          <w:p>
            <w:pPr>
              <w:jc w:val="right"/>
              <w:ind w:right="416"/>
              <w:spacing w:after="0"/>
              <w:rPr>
                <w:sz w:val="20"/>
                <w:szCs w:val="20"/>
                <w:color w:val="auto"/>
              </w:rPr>
            </w:pPr>
            <w:r>
              <w:rPr>
                <w:rFonts w:ascii="Arial" w:cs="Arial" w:eastAsia="Arial" w:hAnsi="Arial"/>
                <w:sz w:val="18"/>
                <w:szCs w:val="18"/>
                <w:color w:val="auto"/>
              </w:rPr>
              <w:t>48,285</w:t>
            </w:r>
          </w:p>
        </w:tc>
        <w:tc>
          <w:tcPr>
            <w:tcW w:w="1720" w:type="dxa"/>
            <w:vAlign w:val="bottom"/>
            <w:tcBorders>
              <w:bottom w:val="single" w:sz="8" w:color="407CCA"/>
            </w:tcBorders>
          </w:tcPr>
          <w:p>
            <w:pPr>
              <w:jc w:val="right"/>
              <w:ind w:right="272"/>
              <w:spacing w:after="0"/>
              <w:rPr>
                <w:sz w:val="20"/>
                <w:szCs w:val="20"/>
                <w:color w:val="auto"/>
              </w:rPr>
            </w:pPr>
            <w:r>
              <w:rPr>
                <w:rFonts w:ascii="Arial" w:cs="Arial" w:eastAsia="Arial" w:hAnsi="Arial"/>
                <w:sz w:val="18"/>
                <w:szCs w:val="18"/>
                <w:color w:val="auto"/>
              </w:rPr>
              <w:t>48,285</w:t>
            </w:r>
          </w:p>
        </w:tc>
        <w:tc>
          <w:tcPr>
            <w:tcW w:w="1480" w:type="dxa"/>
            <w:vAlign w:val="bottom"/>
            <w:tcBorders>
              <w:bottom w:val="single" w:sz="8" w:color="407CCA"/>
            </w:tcBorders>
          </w:tcPr>
          <w:p>
            <w:pPr>
              <w:ind w:left="10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0"/>
        </w:trPr>
        <w:tc>
          <w:tcPr>
            <w:tcW w:w="3860" w:type="dxa"/>
            <w:vAlign w:val="bottom"/>
            <w:tcBorders>
              <w:bottom w:val="single" w:sz="8" w:color="407CCA"/>
            </w:tcBorders>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1940" w:type="dxa"/>
            <w:vAlign w:val="bottom"/>
            <w:tcBorders>
              <w:bottom w:val="single" w:sz="8" w:color="407CCA"/>
            </w:tcBorders>
            <w:shd w:val="clear" w:color="auto" w:fill="CCEEFF"/>
          </w:tcPr>
          <w:p>
            <w:pPr>
              <w:jc w:val="right"/>
              <w:ind w:right="595"/>
              <w:spacing w:after="0"/>
              <w:rPr>
                <w:sz w:val="20"/>
                <w:szCs w:val="20"/>
                <w:color w:val="auto"/>
              </w:rPr>
            </w:pPr>
            <w:r>
              <w:rPr>
                <w:rFonts w:ascii="Arial" w:cs="Arial" w:eastAsia="Arial" w:hAnsi="Arial"/>
                <w:sz w:val="18"/>
                <w:szCs w:val="18"/>
                <w:color w:val="auto"/>
              </w:rPr>
              <w:t>8,588,905</w:t>
            </w:r>
          </w:p>
        </w:tc>
        <w:tc>
          <w:tcPr>
            <w:tcW w:w="2020" w:type="dxa"/>
            <w:vAlign w:val="bottom"/>
            <w:tcBorders>
              <w:bottom w:val="single" w:sz="8" w:color="407CCA"/>
            </w:tcBorders>
            <w:shd w:val="clear" w:color="auto" w:fill="CCEEFF"/>
          </w:tcPr>
          <w:p>
            <w:pPr>
              <w:jc w:val="right"/>
              <w:ind w:right="416"/>
              <w:spacing w:after="0"/>
              <w:rPr>
                <w:sz w:val="20"/>
                <w:szCs w:val="20"/>
                <w:color w:val="auto"/>
              </w:rPr>
            </w:pPr>
            <w:r>
              <w:rPr>
                <w:rFonts w:ascii="Arial" w:cs="Arial" w:eastAsia="Arial" w:hAnsi="Arial"/>
                <w:sz w:val="18"/>
                <w:szCs w:val="18"/>
                <w:color w:val="auto"/>
              </w:rPr>
              <w:t>9,839,905</w:t>
            </w:r>
          </w:p>
        </w:tc>
        <w:tc>
          <w:tcPr>
            <w:tcW w:w="1720" w:type="dxa"/>
            <w:vAlign w:val="bottom"/>
            <w:tcBorders>
              <w:bottom w:val="single" w:sz="8" w:color="407CCA"/>
            </w:tcBorders>
            <w:shd w:val="clear" w:color="auto" w:fill="CCEEFF"/>
          </w:tcPr>
          <w:p>
            <w:pPr>
              <w:jc w:val="right"/>
              <w:ind w:right="272"/>
              <w:spacing w:after="0"/>
              <w:rPr>
                <w:sz w:val="20"/>
                <w:szCs w:val="20"/>
                <w:color w:val="auto"/>
              </w:rPr>
            </w:pPr>
            <w:r>
              <w:rPr>
                <w:rFonts w:ascii="Arial" w:cs="Arial" w:eastAsia="Arial" w:hAnsi="Arial"/>
                <w:sz w:val="18"/>
                <w:szCs w:val="18"/>
                <w:color w:val="auto"/>
              </w:rPr>
              <w:t>6,086,905</w:t>
            </w:r>
          </w:p>
        </w:tc>
        <w:tc>
          <w:tcPr>
            <w:tcW w:w="1480" w:type="dxa"/>
            <w:vAlign w:val="bottom"/>
            <w:tcBorders>
              <w:bottom w:val="single" w:sz="8" w:color="407CCA"/>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63"/>
        </w:trPr>
        <w:tc>
          <w:tcPr>
            <w:tcW w:w="3860" w:type="dxa"/>
            <w:vAlign w:val="bottom"/>
          </w:tcPr>
          <w:p>
            <w:pPr>
              <w:spacing w:after="0"/>
              <w:rPr>
                <w:sz w:val="20"/>
                <w:szCs w:val="20"/>
                <w:color w:val="auto"/>
              </w:rPr>
            </w:pPr>
            <w:r>
              <w:rPr>
                <w:rFonts w:ascii="Arial" w:cs="Arial" w:eastAsia="Arial" w:hAnsi="Arial"/>
                <w:sz w:val="18"/>
                <w:szCs w:val="18"/>
                <w:b w:val="1"/>
                <w:bCs w:val="1"/>
                <w:color w:val="auto"/>
              </w:rPr>
              <w:t>Aaron J. Pas</w:t>
            </w:r>
          </w:p>
        </w:tc>
        <w:tc>
          <w:tcPr>
            <w:tcW w:w="1940" w:type="dxa"/>
            <w:vAlign w:val="bottom"/>
          </w:tcPr>
          <w:p>
            <w:pPr>
              <w:spacing w:after="0"/>
              <w:rPr>
                <w:sz w:val="22"/>
                <w:szCs w:val="22"/>
                <w:color w:val="auto"/>
              </w:rPr>
            </w:pPr>
          </w:p>
        </w:tc>
        <w:tc>
          <w:tcPr>
            <w:tcW w:w="2020" w:type="dxa"/>
            <w:vAlign w:val="bottom"/>
          </w:tcPr>
          <w:p>
            <w:pPr>
              <w:spacing w:after="0"/>
              <w:rPr>
                <w:sz w:val="22"/>
                <w:szCs w:val="22"/>
                <w:color w:val="auto"/>
              </w:rPr>
            </w:pPr>
          </w:p>
        </w:tc>
        <w:tc>
          <w:tcPr>
            <w:tcW w:w="1720" w:type="dxa"/>
            <w:vAlign w:val="bottom"/>
          </w:tcPr>
          <w:p>
            <w:pPr>
              <w:spacing w:after="0"/>
              <w:rPr>
                <w:sz w:val="22"/>
                <w:szCs w:val="22"/>
                <w:color w:val="auto"/>
              </w:rPr>
            </w:pPr>
          </w:p>
        </w:tc>
        <w:tc>
          <w:tcPr>
            <w:tcW w:w="148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16"/>
        </w:trPr>
        <w:tc>
          <w:tcPr>
            <w:tcW w:w="3860" w:type="dxa"/>
            <w:vAlign w:val="bottom"/>
            <w:shd w:val="clear" w:color="auto" w:fill="CCEEFF"/>
          </w:tcPr>
          <w:p>
            <w:pPr>
              <w:spacing w:after="0"/>
              <w:rPr>
                <w:sz w:val="20"/>
                <w:szCs w:val="20"/>
                <w:color w:val="auto"/>
              </w:rPr>
            </w:pPr>
            <w:r>
              <w:rPr>
                <w:rFonts w:ascii="Arial" w:cs="Arial" w:eastAsia="Arial" w:hAnsi="Arial"/>
                <w:sz w:val="18"/>
                <w:szCs w:val="18"/>
                <w:color w:val="auto"/>
              </w:rPr>
              <w:t>Severance Amount</w:t>
            </w:r>
          </w:p>
        </w:tc>
        <w:tc>
          <w:tcPr>
            <w:tcW w:w="1940" w:type="dxa"/>
            <w:vAlign w:val="bottom"/>
            <w:shd w:val="clear" w:color="auto" w:fill="CCEEFF"/>
          </w:tcPr>
          <w:p>
            <w:pPr>
              <w:jc w:val="right"/>
              <w:ind w:right="415"/>
              <w:spacing w:after="0"/>
              <w:rPr>
                <w:sz w:val="20"/>
                <w:szCs w:val="20"/>
                <w:color w:val="auto"/>
              </w:rPr>
            </w:pPr>
            <w:r>
              <w:rPr>
                <w:rFonts w:ascii="Arial" w:cs="Arial" w:eastAsia="Arial" w:hAnsi="Arial"/>
                <w:sz w:val="18"/>
                <w:szCs w:val="18"/>
                <w:color w:val="auto"/>
              </w:rPr>
              <w:t>1,062,500</w:t>
            </w:r>
            <w:r>
              <w:rPr>
                <w:rFonts w:ascii="Arial" w:cs="Arial" w:eastAsia="Arial" w:hAnsi="Arial"/>
                <w:sz w:val="15"/>
                <w:szCs w:val="15"/>
                <w:color w:val="auto"/>
              </w:rPr>
              <w:t>(1)</w:t>
            </w:r>
          </w:p>
        </w:tc>
        <w:tc>
          <w:tcPr>
            <w:tcW w:w="2020" w:type="dxa"/>
            <w:vAlign w:val="bottom"/>
            <w:shd w:val="clear" w:color="auto" w:fill="CCEEFF"/>
          </w:tcPr>
          <w:p>
            <w:pPr>
              <w:jc w:val="right"/>
              <w:ind w:right="236"/>
              <w:spacing w:after="0"/>
              <w:rPr>
                <w:sz w:val="20"/>
                <w:szCs w:val="20"/>
                <w:color w:val="auto"/>
              </w:rPr>
            </w:pPr>
            <w:r>
              <w:rPr>
                <w:rFonts w:ascii="Arial" w:cs="Arial" w:eastAsia="Arial" w:hAnsi="Arial"/>
                <w:sz w:val="18"/>
                <w:szCs w:val="18"/>
                <w:color w:val="auto"/>
              </w:rPr>
              <w:t>1,062,500</w:t>
            </w:r>
            <w:r>
              <w:rPr>
                <w:rFonts w:ascii="Arial" w:cs="Arial" w:eastAsia="Arial" w:hAnsi="Arial"/>
                <w:sz w:val="15"/>
                <w:szCs w:val="15"/>
                <w:color w:val="auto"/>
              </w:rPr>
              <w:t>(2)</w:t>
            </w:r>
          </w:p>
        </w:tc>
        <w:tc>
          <w:tcPr>
            <w:tcW w:w="1720" w:type="dxa"/>
            <w:vAlign w:val="bottom"/>
            <w:shd w:val="clear" w:color="auto" w:fill="CCEEFF"/>
          </w:tcPr>
          <w:p>
            <w:pPr>
              <w:jc w:val="right"/>
              <w:ind w:right="712"/>
              <w:spacing w:after="0"/>
              <w:rPr>
                <w:sz w:val="20"/>
                <w:szCs w:val="20"/>
                <w:color w:val="auto"/>
              </w:rPr>
            </w:pPr>
            <w:r>
              <w:rPr>
                <w:rFonts w:ascii="Arial" w:cs="Arial" w:eastAsia="Arial" w:hAnsi="Arial"/>
                <w:sz w:val="18"/>
                <w:szCs w:val="18"/>
                <w:color w:val="auto"/>
              </w:rPr>
              <w:t>–</w:t>
            </w:r>
          </w:p>
        </w:tc>
        <w:tc>
          <w:tcPr>
            <w:tcW w:w="1480" w:type="dxa"/>
            <w:vAlign w:val="bottom"/>
            <w:shd w:val="clear" w:color="auto" w:fill="CCEEFF"/>
          </w:tcPr>
          <w:p>
            <w:pPr>
              <w:ind w:left="10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860" w:type="dxa"/>
            <w:vAlign w:val="bottom"/>
          </w:tcPr>
          <w:p>
            <w:pPr>
              <w:spacing w:after="0"/>
              <w:rPr>
                <w:sz w:val="20"/>
                <w:szCs w:val="20"/>
                <w:color w:val="auto"/>
              </w:rPr>
            </w:pPr>
            <w:r>
              <w:rPr>
                <w:rFonts w:ascii="Arial" w:cs="Arial" w:eastAsia="Arial" w:hAnsi="Arial"/>
                <w:sz w:val="18"/>
                <w:szCs w:val="18"/>
                <w:color w:val="auto"/>
              </w:rPr>
              <w:t>Base Salary</w:t>
            </w:r>
          </w:p>
        </w:tc>
        <w:tc>
          <w:tcPr>
            <w:tcW w:w="1940" w:type="dxa"/>
            <w:vAlign w:val="bottom"/>
          </w:tcPr>
          <w:p>
            <w:pPr>
              <w:jc w:val="right"/>
              <w:ind w:right="1115"/>
              <w:spacing w:after="0"/>
              <w:rPr>
                <w:sz w:val="20"/>
                <w:szCs w:val="20"/>
                <w:color w:val="auto"/>
              </w:rPr>
            </w:pPr>
            <w:r>
              <w:rPr>
                <w:rFonts w:ascii="Arial" w:cs="Arial" w:eastAsia="Arial" w:hAnsi="Arial"/>
                <w:sz w:val="18"/>
                <w:szCs w:val="18"/>
                <w:color w:val="auto"/>
              </w:rPr>
              <w:t>–</w:t>
            </w:r>
          </w:p>
        </w:tc>
        <w:tc>
          <w:tcPr>
            <w:tcW w:w="2020" w:type="dxa"/>
            <w:vAlign w:val="bottom"/>
          </w:tcPr>
          <w:p>
            <w:pPr>
              <w:jc w:val="right"/>
              <w:ind w:right="936"/>
              <w:spacing w:after="0"/>
              <w:rPr>
                <w:sz w:val="20"/>
                <w:szCs w:val="20"/>
                <w:color w:val="auto"/>
              </w:rPr>
            </w:pPr>
            <w:r>
              <w:rPr>
                <w:rFonts w:ascii="Arial" w:cs="Arial" w:eastAsia="Arial" w:hAnsi="Arial"/>
                <w:sz w:val="18"/>
                <w:szCs w:val="18"/>
                <w:color w:val="auto"/>
              </w:rPr>
              <w:t>–</w:t>
            </w:r>
          </w:p>
        </w:tc>
        <w:tc>
          <w:tcPr>
            <w:tcW w:w="1720" w:type="dxa"/>
            <w:vAlign w:val="bottom"/>
          </w:tcPr>
          <w:p>
            <w:pPr>
              <w:jc w:val="right"/>
              <w:ind w:right="712"/>
              <w:spacing w:after="0"/>
              <w:rPr>
                <w:sz w:val="20"/>
                <w:szCs w:val="20"/>
                <w:color w:val="auto"/>
              </w:rPr>
            </w:pPr>
            <w:r>
              <w:rPr>
                <w:rFonts w:ascii="Arial" w:cs="Arial" w:eastAsia="Arial" w:hAnsi="Arial"/>
                <w:sz w:val="18"/>
                <w:szCs w:val="18"/>
                <w:color w:val="auto"/>
              </w:rPr>
              <w:t>–</w:t>
            </w:r>
          </w:p>
        </w:tc>
        <w:tc>
          <w:tcPr>
            <w:tcW w:w="1480" w:type="dxa"/>
            <w:vAlign w:val="bottom"/>
          </w:tcPr>
          <w:p>
            <w:pPr>
              <w:ind w:left="10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860" w:type="dxa"/>
            <w:vAlign w:val="bottom"/>
            <w:shd w:val="clear" w:color="auto" w:fill="CCEEFF"/>
          </w:tcPr>
          <w:p>
            <w:pPr>
              <w:spacing w:after="0"/>
              <w:rPr>
                <w:sz w:val="20"/>
                <w:szCs w:val="20"/>
                <w:color w:val="auto"/>
              </w:rPr>
            </w:pPr>
            <w:r>
              <w:rPr>
                <w:rFonts w:ascii="Arial" w:cs="Arial" w:eastAsia="Arial" w:hAnsi="Arial"/>
                <w:sz w:val="18"/>
                <w:szCs w:val="18"/>
                <w:color w:val="auto"/>
              </w:rPr>
              <w:t>Cash Bonus</w:t>
            </w:r>
            <w:r>
              <w:rPr>
                <w:rFonts w:ascii="Arial" w:cs="Arial" w:eastAsia="Arial" w:hAnsi="Arial"/>
                <w:sz w:val="15"/>
                <w:szCs w:val="15"/>
                <w:color w:val="auto"/>
              </w:rPr>
              <w:t>(3)</w:t>
            </w:r>
          </w:p>
        </w:tc>
        <w:tc>
          <w:tcPr>
            <w:tcW w:w="1940" w:type="dxa"/>
            <w:vAlign w:val="bottom"/>
            <w:shd w:val="clear" w:color="auto" w:fill="CCEEFF"/>
          </w:tcPr>
          <w:p>
            <w:pPr>
              <w:jc w:val="right"/>
              <w:ind w:right="595"/>
              <w:spacing w:after="0"/>
              <w:rPr>
                <w:sz w:val="20"/>
                <w:szCs w:val="20"/>
                <w:color w:val="auto"/>
              </w:rPr>
            </w:pPr>
            <w:r>
              <w:rPr>
                <w:rFonts w:ascii="Arial" w:cs="Arial" w:eastAsia="Arial" w:hAnsi="Arial"/>
                <w:sz w:val="18"/>
                <w:szCs w:val="18"/>
                <w:color w:val="auto"/>
              </w:rPr>
              <w:t>754,163</w:t>
            </w:r>
          </w:p>
        </w:tc>
        <w:tc>
          <w:tcPr>
            <w:tcW w:w="2020" w:type="dxa"/>
            <w:vAlign w:val="bottom"/>
            <w:shd w:val="clear" w:color="auto" w:fill="CCEEFF"/>
          </w:tcPr>
          <w:p>
            <w:pPr>
              <w:jc w:val="right"/>
              <w:ind w:right="416"/>
              <w:spacing w:after="0"/>
              <w:rPr>
                <w:sz w:val="20"/>
                <w:szCs w:val="20"/>
                <w:color w:val="auto"/>
              </w:rPr>
            </w:pPr>
            <w:r>
              <w:rPr>
                <w:rFonts w:ascii="Arial" w:cs="Arial" w:eastAsia="Arial" w:hAnsi="Arial"/>
                <w:sz w:val="18"/>
                <w:szCs w:val="18"/>
                <w:color w:val="auto"/>
              </w:rPr>
              <w:t>754,163</w:t>
            </w:r>
          </w:p>
        </w:tc>
        <w:tc>
          <w:tcPr>
            <w:tcW w:w="1720" w:type="dxa"/>
            <w:vAlign w:val="bottom"/>
            <w:shd w:val="clear" w:color="auto" w:fill="CCEEFF"/>
          </w:tcPr>
          <w:p>
            <w:pPr>
              <w:jc w:val="right"/>
              <w:ind w:right="272"/>
              <w:spacing w:after="0"/>
              <w:rPr>
                <w:sz w:val="20"/>
                <w:szCs w:val="20"/>
                <w:color w:val="auto"/>
              </w:rPr>
            </w:pPr>
            <w:r>
              <w:rPr>
                <w:rFonts w:ascii="Arial" w:cs="Arial" w:eastAsia="Arial" w:hAnsi="Arial"/>
                <w:sz w:val="18"/>
                <w:szCs w:val="18"/>
                <w:color w:val="auto"/>
              </w:rPr>
              <w:t>754,163</w:t>
            </w:r>
          </w:p>
        </w:tc>
        <w:tc>
          <w:tcPr>
            <w:tcW w:w="1480" w:type="dxa"/>
            <w:vAlign w:val="bottom"/>
            <w:shd w:val="clear" w:color="auto" w:fill="CCEEFF"/>
          </w:tcPr>
          <w:p>
            <w:pPr>
              <w:ind w:left="10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860" w:type="dxa"/>
            <w:vAlign w:val="bottom"/>
          </w:tcPr>
          <w:p>
            <w:pPr>
              <w:spacing w:after="0"/>
              <w:rPr>
                <w:sz w:val="20"/>
                <w:szCs w:val="20"/>
                <w:color w:val="auto"/>
              </w:rPr>
            </w:pPr>
            <w:r>
              <w:rPr>
                <w:rFonts w:ascii="Arial" w:cs="Arial" w:eastAsia="Arial" w:hAnsi="Arial"/>
                <w:sz w:val="18"/>
                <w:szCs w:val="18"/>
                <w:color w:val="auto"/>
              </w:rPr>
              <w:t>Accelerated Equity Awards</w:t>
            </w:r>
            <w:r>
              <w:rPr>
                <w:rFonts w:ascii="Arial" w:cs="Arial" w:eastAsia="Arial" w:hAnsi="Arial"/>
                <w:sz w:val="15"/>
                <w:szCs w:val="15"/>
                <w:color w:val="auto"/>
              </w:rPr>
              <w:t>(4)</w:t>
            </w:r>
          </w:p>
        </w:tc>
        <w:tc>
          <w:tcPr>
            <w:tcW w:w="1940" w:type="dxa"/>
            <w:vAlign w:val="bottom"/>
          </w:tcPr>
          <w:p>
            <w:pPr>
              <w:jc w:val="right"/>
              <w:ind w:right="595"/>
              <w:spacing w:after="0"/>
              <w:rPr>
                <w:sz w:val="20"/>
                <w:szCs w:val="20"/>
                <w:color w:val="auto"/>
              </w:rPr>
            </w:pPr>
            <w:r>
              <w:rPr>
                <w:rFonts w:ascii="Arial" w:cs="Arial" w:eastAsia="Arial" w:hAnsi="Arial"/>
                <w:sz w:val="18"/>
                <w:szCs w:val="18"/>
                <w:color w:val="auto"/>
              </w:rPr>
              <w:t>1,405,189</w:t>
            </w:r>
          </w:p>
        </w:tc>
        <w:tc>
          <w:tcPr>
            <w:tcW w:w="2020" w:type="dxa"/>
            <w:vAlign w:val="bottom"/>
          </w:tcPr>
          <w:p>
            <w:pPr>
              <w:jc w:val="right"/>
              <w:ind w:right="416"/>
              <w:spacing w:after="0"/>
              <w:rPr>
                <w:sz w:val="20"/>
                <w:szCs w:val="20"/>
                <w:color w:val="auto"/>
              </w:rPr>
            </w:pPr>
            <w:r>
              <w:rPr>
                <w:rFonts w:ascii="Arial" w:cs="Arial" w:eastAsia="Arial" w:hAnsi="Arial"/>
                <w:sz w:val="18"/>
                <w:szCs w:val="18"/>
                <w:color w:val="auto"/>
              </w:rPr>
              <w:t>1,405,189</w:t>
            </w:r>
          </w:p>
        </w:tc>
        <w:tc>
          <w:tcPr>
            <w:tcW w:w="1720" w:type="dxa"/>
            <w:vAlign w:val="bottom"/>
          </w:tcPr>
          <w:p>
            <w:pPr>
              <w:jc w:val="right"/>
              <w:ind w:right="272"/>
              <w:spacing w:after="0"/>
              <w:rPr>
                <w:sz w:val="20"/>
                <w:szCs w:val="20"/>
                <w:color w:val="auto"/>
              </w:rPr>
            </w:pPr>
            <w:r>
              <w:rPr>
                <w:rFonts w:ascii="Arial" w:cs="Arial" w:eastAsia="Arial" w:hAnsi="Arial"/>
                <w:sz w:val="18"/>
                <w:szCs w:val="18"/>
                <w:color w:val="auto"/>
              </w:rPr>
              <w:t>1,405,189</w:t>
            </w:r>
          </w:p>
        </w:tc>
        <w:tc>
          <w:tcPr>
            <w:tcW w:w="1480" w:type="dxa"/>
            <w:vAlign w:val="bottom"/>
          </w:tcPr>
          <w:p>
            <w:pPr>
              <w:ind w:left="10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860" w:type="dxa"/>
            <w:vAlign w:val="bottom"/>
            <w:tcBorders>
              <w:bottom w:val="single" w:sz="8" w:color="407CCA"/>
            </w:tcBorders>
            <w:shd w:val="clear" w:color="auto" w:fill="CCEEFF"/>
          </w:tcPr>
          <w:p>
            <w:pPr>
              <w:spacing w:after="0"/>
              <w:rPr>
                <w:sz w:val="20"/>
                <w:szCs w:val="20"/>
                <w:color w:val="auto"/>
              </w:rPr>
            </w:pPr>
            <w:r>
              <w:rPr>
                <w:rFonts w:ascii="Arial" w:cs="Arial" w:eastAsia="Arial" w:hAnsi="Arial"/>
                <w:sz w:val="18"/>
                <w:szCs w:val="18"/>
                <w:color w:val="auto"/>
              </w:rPr>
              <w:t>Insurance Benefits</w:t>
            </w:r>
            <w:r>
              <w:rPr>
                <w:rFonts w:ascii="Arial" w:cs="Arial" w:eastAsia="Arial" w:hAnsi="Arial"/>
                <w:sz w:val="15"/>
                <w:szCs w:val="15"/>
                <w:color w:val="auto"/>
              </w:rPr>
              <w:t>(5)</w:t>
            </w:r>
          </w:p>
        </w:tc>
        <w:tc>
          <w:tcPr>
            <w:tcW w:w="1940" w:type="dxa"/>
            <w:vAlign w:val="bottom"/>
            <w:tcBorders>
              <w:bottom w:val="single" w:sz="8" w:color="407CCA"/>
            </w:tcBorders>
            <w:shd w:val="clear" w:color="auto" w:fill="CCEEFF"/>
          </w:tcPr>
          <w:p>
            <w:pPr>
              <w:jc w:val="right"/>
              <w:ind w:right="595"/>
              <w:spacing w:after="0"/>
              <w:rPr>
                <w:sz w:val="20"/>
                <w:szCs w:val="20"/>
                <w:color w:val="auto"/>
              </w:rPr>
            </w:pPr>
            <w:r>
              <w:rPr>
                <w:rFonts w:ascii="Arial" w:cs="Arial" w:eastAsia="Arial" w:hAnsi="Arial"/>
                <w:sz w:val="18"/>
                <w:szCs w:val="18"/>
                <w:color w:val="auto"/>
              </w:rPr>
              <w:t>32,190</w:t>
            </w:r>
          </w:p>
        </w:tc>
        <w:tc>
          <w:tcPr>
            <w:tcW w:w="2020" w:type="dxa"/>
            <w:vAlign w:val="bottom"/>
            <w:tcBorders>
              <w:bottom w:val="single" w:sz="8" w:color="407CCA"/>
            </w:tcBorders>
            <w:shd w:val="clear" w:color="auto" w:fill="CCEEFF"/>
          </w:tcPr>
          <w:p>
            <w:pPr>
              <w:jc w:val="right"/>
              <w:ind w:right="416"/>
              <w:spacing w:after="0"/>
              <w:rPr>
                <w:sz w:val="20"/>
                <w:szCs w:val="20"/>
                <w:color w:val="auto"/>
              </w:rPr>
            </w:pPr>
            <w:r>
              <w:rPr>
                <w:rFonts w:ascii="Arial" w:cs="Arial" w:eastAsia="Arial" w:hAnsi="Arial"/>
                <w:sz w:val="18"/>
                <w:szCs w:val="18"/>
                <w:color w:val="auto"/>
              </w:rPr>
              <w:t>32,190</w:t>
            </w:r>
          </w:p>
        </w:tc>
        <w:tc>
          <w:tcPr>
            <w:tcW w:w="1720" w:type="dxa"/>
            <w:vAlign w:val="bottom"/>
            <w:tcBorders>
              <w:bottom w:val="single" w:sz="8" w:color="407CCA"/>
            </w:tcBorders>
            <w:shd w:val="clear" w:color="auto" w:fill="CCEEFF"/>
          </w:tcPr>
          <w:p>
            <w:pPr>
              <w:jc w:val="right"/>
              <w:ind w:right="272"/>
              <w:spacing w:after="0"/>
              <w:rPr>
                <w:sz w:val="20"/>
                <w:szCs w:val="20"/>
                <w:color w:val="auto"/>
              </w:rPr>
            </w:pPr>
            <w:r>
              <w:rPr>
                <w:rFonts w:ascii="Arial" w:cs="Arial" w:eastAsia="Arial" w:hAnsi="Arial"/>
                <w:sz w:val="18"/>
                <w:szCs w:val="18"/>
                <w:color w:val="auto"/>
              </w:rPr>
              <w:t>32,190</w:t>
            </w:r>
          </w:p>
        </w:tc>
        <w:tc>
          <w:tcPr>
            <w:tcW w:w="1480" w:type="dxa"/>
            <w:vAlign w:val="bottom"/>
            <w:tcBorders>
              <w:bottom w:val="single" w:sz="8" w:color="407CCA"/>
            </w:tcBorders>
            <w:shd w:val="clear" w:color="auto" w:fill="CCEEFF"/>
          </w:tcPr>
          <w:p>
            <w:pPr>
              <w:ind w:left="10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0"/>
        </w:trPr>
        <w:tc>
          <w:tcPr>
            <w:tcW w:w="3860" w:type="dxa"/>
            <w:vAlign w:val="bottom"/>
            <w:tcBorders>
              <w:bottom w:val="single" w:sz="8" w:color="407CCA"/>
            </w:tcBorders>
          </w:tcPr>
          <w:p>
            <w:pPr>
              <w:spacing w:after="0"/>
              <w:rPr>
                <w:sz w:val="20"/>
                <w:szCs w:val="20"/>
                <w:color w:val="auto"/>
              </w:rPr>
            </w:pPr>
            <w:r>
              <w:rPr>
                <w:rFonts w:ascii="Arial" w:cs="Arial" w:eastAsia="Arial" w:hAnsi="Arial"/>
                <w:sz w:val="18"/>
                <w:szCs w:val="18"/>
                <w:b w:val="1"/>
                <w:bCs w:val="1"/>
                <w:color w:val="auto"/>
              </w:rPr>
              <w:t>TOTAL:</w:t>
            </w:r>
          </w:p>
        </w:tc>
        <w:tc>
          <w:tcPr>
            <w:tcW w:w="1940" w:type="dxa"/>
            <w:vAlign w:val="bottom"/>
            <w:tcBorders>
              <w:bottom w:val="single" w:sz="8" w:color="407CCA"/>
            </w:tcBorders>
          </w:tcPr>
          <w:p>
            <w:pPr>
              <w:jc w:val="right"/>
              <w:ind w:right="595"/>
              <w:spacing w:after="0"/>
              <w:rPr>
                <w:sz w:val="20"/>
                <w:szCs w:val="20"/>
                <w:color w:val="auto"/>
              </w:rPr>
            </w:pPr>
            <w:r>
              <w:rPr>
                <w:rFonts w:ascii="Arial" w:cs="Arial" w:eastAsia="Arial" w:hAnsi="Arial"/>
                <w:sz w:val="18"/>
                <w:szCs w:val="18"/>
                <w:color w:val="auto"/>
              </w:rPr>
              <w:t>3,254,042</w:t>
            </w:r>
          </w:p>
        </w:tc>
        <w:tc>
          <w:tcPr>
            <w:tcW w:w="2020" w:type="dxa"/>
            <w:vAlign w:val="bottom"/>
            <w:tcBorders>
              <w:bottom w:val="single" w:sz="8" w:color="407CCA"/>
            </w:tcBorders>
          </w:tcPr>
          <w:p>
            <w:pPr>
              <w:jc w:val="right"/>
              <w:ind w:right="416"/>
              <w:spacing w:after="0"/>
              <w:rPr>
                <w:sz w:val="20"/>
                <w:szCs w:val="20"/>
                <w:color w:val="auto"/>
              </w:rPr>
            </w:pPr>
            <w:r>
              <w:rPr>
                <w:rFonts w:ascii="Arial" w:cs="Arial" w:eastAsia="Arial" w:hAnsi="Arial"/>
                <w:sz w:val="18"/>
                <w:szCs w:val="18"/>
                <w:color w:val="auto"/>
              </w:rPr>
              <w:t>3,254,042</w:t>
            </w:r>
          </w:p>
        </w:tc>
        <w:tc>
          <w:tcPr>
            <w:tcW w:w="1720" w:type="dxa"/>
            <w:vAlign w:val="bottom"/>
            <w:tcBorders>
              <w:bottom w:val="single" w:sz="8" w:color="407CCA"/>
            </w:tcBorders>
          </w:tcPr>
          <w:p>
            <w:pPr>
              <w:jc w:val="right"/>
              <w:ind w:right="272"/>
              <w:spacing w:after="0"/>
              <w:rPr>
                <w:sz w:val="20"/>
                <w:szCs w:val="20"/>
                <w:color w:val="auto"/>
              </w:rPr>
            </w:pPr>
            <w:r>
              <w:rPr>
                <w:rFonts w:ascii="Arial" w:cs="Arial" w:eastAsia="Arial" w:hAnsi="Arial"/>
                <w:sz w:val="18"/>
                <w:szCs w:val="18"/>
                <w:color w:val="auto"/>
              </w:rPr>
              <w:t>2,191,542</w:t>
            </w:r>
          </w:p>
        </w:tc>
        <w:tc>
          <w:tcPr>
            <w:tcW w:w="1480" w:type="dxa"/>
            <w:vAlign w:val="bottom"/>
            <w:tcBorders>
              <w:bottom w:val="single" w:sz="8" w:color="407CCA"/>
            </w:tcBorders>
          </w:tcPr>
          <w:p>
            <w:pPr>
              <w:spacing w:after="0"/>
              <w:rPr>
                <w:sz w:val="18"/>
                <w:szCs w:val="18"/>
                <w:color w:val="auto"/>
              </w:rPr>
            </w:pPr>
          </w:p>
        </w:tc>
        <w:tc>
          <w:tcPr>
            <w:tcW w:w="0" w:type="dxa"/>
            <w:vAlign w:val="bottom"/>
          </w:tcPr>
          <w:p>
            <w:pPr>
              <w:spacing w:after="0"/>
              <w:rPr>
                <w:sz w:val="1"/>
                <w:szCs w:val="1"/>
                <w:color w:val="auto"/>
              </w:rPr>
            </w:pPr>
          </w:p>
        </w:tc>
      </w:tr>
      <w:tr>
        <w:trPr>
          <w:trHeight w:val="304"/>
        </w:trPr>
        <w:tc>
          <w:tcPr>
            <w:tcW w:w="386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Bernice E. Bell</w:t>
            </w:r>
          </w:p>
        </w:tc>
        <w:tc>
          <w:tcPr>
            <w:tcW w:w="1940" w:type="dxa"/>
            <w:vAlign w:val="bottom"/>
            <w:shd w:val="clear" w:color="auto" w:fill="CCEEFF"/>
          </w:tcPr>
          <w:p>
            <w:pPr>
              <w:spacing w:after="0"/>
              <w:rPr>
                <w:sz w:val="24"/>
                <w:szCs w:val="24"/>
                <w:color w:val="auto"/>
              </w:rPr>
            </w:pPr>
          </w:p>
        </w:tc>
        <w:tc>
          <w:tcPr>
            <w:tcW w:w="2020" w:type="dxa"/>
            <w:vAlign w:val="bottom"/>
            <w:shd w:val="clear" w:color="auto" w:fill="CCEEFF"/>
          </w:tcPr>
          <w:p>
            <w:pPr>
              <w:spacing w:after="0"/>
              <w:rPr>
                <w:sz w:val="24"/>
                <w:szCs w:val="24"/>
                <w:color w:val="auto"/>
              </w:rPr>
            </w:pPr>
          </w:p>
        </w:tc>
        <w:tc>
          <w:tcPr>
            <w:tcW w:w="1720" w:type="dxa"/>
            <w:vAlign w:val="bottom"/>
            <w:shd w:val="clear" w:color="auto" w:fill="CCEEFF"/>
          </w:tcPr>
          <w:p>
            <w:pPr>
              <w:spacing w:after="0"/>
              <w:rPr>
                <w:sz w:val="24"/>
                <w:szCs w:val="24"/>
                <w:color w:val="auto"/>
              </w:rPr>
            </w:pPr>
          </w:p>
        </w:tc>
        <w:tc>
          <w:tcPr>
            <w:tcW w:w="148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3860" w:type="dxa"/>
            <w:vAlign w:val="bottom"/>
          </w:tcPr>
          <w:p>
            <w:pPr>
              <w:spacing w:after="0"/>
              <w:rPr>
                <w:sz w:val="20"/>
                <w:szCs w:val="20"/>
                <w:color w:val="auto"/>
              </w:rPr>
            </w:pPr>
            <w:r>
              <w:rPr>
                <w:rFonts w:ascii="Arial" w:cs="Arial" w:eastAsia="Arial" w:hAnsi="Arial"/>
                <w:sz w:val="18"/>
                <w:szCs w:val="18"/>
                <w:color w:val="auto"/>
              </w:rPr>
              <w:t>Severance Amount</w:t>
            </w:r>
          </w:p>
        </w:tc>
        <w:tc>
          <w:tcPr>
            <w:tcW w:w="1940" w:type="dxa"/>
            <w:vAlign w:val="bottom"/>
          </w:tcPr>
          <w:p>
            <w:pPr>
              <w:jc w:val="right"/>
              <w:ind w:right="415"/>
              <w:spacing w:after="0"/>
              <w:rPr>
                <w:sz w:val="20"/>
                <w:szCs w:val="20"/>
                <w:color w:val="auto"/>
              </w:rPr>
            </w:pPr>
            <w:r>
              <w:rPr>
                <w:rFonts w:ascii="Arial" w:cs="Arial" w:eastAsia="Arial" w:hAnsi="Arial"/>
                <w:sz w:val="18"/>
                <w:szCs w:val="18"/>
                <w:color w:val="auto"/>
              </w:rPr>
              <w:t>1,000,000</w:t>
            </w:r>
            <w:r>
              <w:rPr>
                <w:rFonts w:ascii="Arial" w:cs="Arial" w:eastAsia="Arial" w:hAnsi="Arial"/>
                <w:sz w:val="15"/>
                <w:szCs w:val="15"/>
                <w:color w:val="auto"/>
              </w:rPr>
              <w:t>(1)</w:t>
            </w:r>
          </w:p>
        </w:tc>
        <w:tc>
          <w:tcPr>
            <w:tcW w:w="2020" w:type="dxa"/>
            <w:vAlign w:val="bottom"/>
          </w:tcPr>
          <w:p>
            <w:pPr>
              <w:jc w:val="right"/>
              <w:ind w:right="236"/>
              <w:spacing w:after="0"/>
              <w:rPr>
                <w:sz w:val="20"/>
                <w:szCs w:val="20"/>
                <w:color w:val="auto"/>
              </w:rPr>
            </w:pPr>
            <w:r>
              <w:rPr>
                <w:rFonts w:ascii="Arial" w:cs="Arial" w:eastAsia="Arial" w:hAnsi="Arial"/>
                <w:sz w:val="18"/>
                <w:szCs w:val="18"/>
                <w:color w:val="auto"/>
              </w:rPr>
              <w:t>1,000,000</w:t>
            </w:r>
            <w:r>
              <w:rPr>
                <w:rFonts w:ascii="Arial" w:cs="Arial" w:eastAsia="Arial" w:hAnsi="Arial"/>
                <w:sz w:val="15"/>
                <w:szCs w:val="15"/>
                <w:color w:val="auto"/>
              </w:rPr>
              <w:t>(2)</w:t>
            </w:r>
          </w:p>
        </w:tc>
        <w:tc>
          <w:tcPr>
            <w:tcW w:w="1720" w:type="dxa"/>
            <w:vAlign w:val="bottom"/>
          </w:tcPr>
          <w:p>
            <w:pPr>
              <w:jc w:val="right"/>
              <w:ind w:right="712"/>
              <w:spacing w:after="0"/>
              <w:rPr>
                <w:sz w:val="20"/>
                <w:szCs w:val="20"/>
                <w:color w:val="auto"/>
              </w:rPr>
            </w:pPr>
            <w:r>
              <w:rPr>
                <w:rFonts w:ascii="Arial" w:cs="Arial" w:eastAsia="Arial" w:hAnsi="Arial"/>
                <w:sz w:val="18"/>
                <w:szCs w:val="18"/>
                <w:color w:val="auto"/>
              </w:rPr>
              <w:t>–</w:t>
            </w:r>
          </w:p>
        </w:tc>
        <w:tc>
          <w:tcPr>
            <w:tcW w:w="1480" w:type="dxa"/>
            <w:vAlign w:val="bottom"/>
          </w:tcPr>
          <w:p>
            <w:pPr>
              <w:ind w:left="10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860" w:type="dxa"/>
            <w:vAlign w:val="bottom"/>
            <w:shd w:val="clear" w:color="auto" w:fill="CCEEFF"/>
          </w:tcPr>
          <w:p>
            <w:pPr>
              <w:spacing w:after="0"/>
              <w:rPr>
                <w:sz w:val="20"/>
                <w:szCs w:val="20"/>
                <w:color w:val="auto"/>
              </w:rPr>
            </w:pPr>
            <w:r>
              <w:rPr>
                <w:rFonts w:ascii="Arial" w:cs="Arial" w:eastAsia="Arial" w:hAnsi="Arial"/>
                <w:sz w:val="18"/>
                <w:szCs w:val="18"/>
                <w:color w:val="auto"/>
              </w:rPr>
              <w:t>Base Salary</w:t>
            </w:r>
          </w:p>
        </w:tc>
        <w:tc>
          <w:tcPr>
            <w:tcW w:w="1940" w:type="dxa"/>
            <w:vAlign w:val="bottom"/>
            <w:shd w:val="clear" w:color="auto" w:fill="CCEEFF"/>
          </w:tcPr>
          <w:p>
            <w:pPr>
              <w:jc w:val="right"/>
              <w:ind w:right="1115"/>
              <w:spacing w:after="0"/>
              <w:rPr>
                <w:sz w:val="20"/>
                <w:szCs w:val="20"/>
                <w:color w:val="auto"/>
              </w:rPr>
            </w:pPr>
            <w:r>
              <w:rPr>
                <w:rFonts w:ascii="Arial" w:cs="Arial" w:eastAsia="Arial" w:hAnsi="Arial"/>
                <w:sz w:val="18"/>
                <w:szCs w:val="18"/>
                <w:color w:val="auto"/>
              </w:rPr>
              <w:t>–</w:t>
            </w:r>
          </w:p>
        </w:tc>
        <w:tc>
          <w:tcPr>
            <w:tcW w:w="2020" w:type="dxa"/>
            <w:vAlign w:val="bottom"/>
            <w:shd w:val="clear" w:color="auto" w:fill="CCEEFF"/>
          </w:tcPr>
          <w:p>
            <w:pPr>
              <w:jc w:val="right"/>
              <w:ind w:right="936"/>
              <w:spacing w:after="0"/>
              <w:rPr>
                <w:sz w:val="20"/>
                <w:szCs w:val="20"/>
                <w:color w:val="auto"/>
              </w:rPr>
            </w:pPr>
            <w:r>
              <w:rPr>
                <w:rFonts w:ascii="Arial" w:cs="Arial" w:eastAsia="Arial" w:hAnsi="Arial"/>
                <w:sz w:val="18"/>
                <w:szCs w:val="18"/>
                <w:color w:val="auto"/>
              </w:rPr>
              <w:t>–</w:t>
            </w:r>
          </w:p>
        </w:tc>
        <w:tc>
          <w:tcPr>
            <w:tcW w:w="1720" w:type="dxa"/>
            <w:vAlign w:val="bottom"/>
            <w:shd w:val="clear" w:color="auto" w:fill="CCEEFF"/>
          </w:tcPr>
          <w:p>
            <w:pPr>
              <w:jc w:val="right"/>
              <w:ind w:right="712"/>
              <w:spacing w:after="0"/>
              <w:rPr>
                <w:sz w:val="20"/>
                <w:szCs w:val="20"/>
                <w:color w:val="auto"/>
              </w:rPr>
            </w:pPr>
            <w:r>
              <w:rPr>
                <w:rFonts w:ascii="Arial" w:cs="Arial" w:eastAsia="Arial" w:hAnsi="Arial"/>
                <w:sz w:val="18"/>
                <w:szCs w:val="18"/>
                <w:color w:val="auto"/>
              </w:rPr>
              <w:t>–</w:t>
            </w:r>
          </w:p>
        </w:tc>
        <w:tc>
          <w:tcPr>
            <w:tcW w:w="1480" w:type="dxa"/>
            <w:vAlign w:val="bottom"/>
            <w:shd w:val="clear" w:color="auto" w:fill="CCEEFF"/>
          </w:tcPr>
          <w:p>
            <w:pPr>
              <w:ind w:left="10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860" w:type="dxa"/>
            <w:vAlign w:val="bottom"/>
          </w:tcPr>
          <w:p>
            <w:pPr>
              <w:spacing w:after="0"/>
              <w:rPr>
                <w:sz w:val="20"/>
                <w:szCs w:val="20"/>
                <w:color w:val="auto"/>
              </w:rPr>
            </w:pPr>
            <w:r>
              <w:rPr>
                <w:rFonts w:ascii="Arial" w:cs="Arial" w:eastAsia="Arial" w:hAnsi="Arial"/>
                <w:sz w:val="18"/>
                <w:szCs w:val="18"/>
                <w:color w:val="auto"/>
              </w:rPr>
              <w:t>Cash Bonus</w:t>
            </w:r>
            <w:r>
              <w:rPr>
                <w:rFonts w:ascii="Arial" w:cs="Arial" w:eastAsia="Arial" w:hAnsi="Arial"/>
                <w:sz w:val="15"/>
                <w:szCs w:val="15"/>
                <w:color w:val="auto"/>
              </w:rPr>
              <w:t>(3)</w:t>
            </w:r>
          </w:p>
        </w:tc>
        <w:tc>
          <w:tcPr>
            <w:tcW w:w="1940" w:type="dxa"/>
            <w:vAlign w:val="bottom"/>
          </w:tcPr>
          <w:p>
            <w:pPr>
              <w:jc w:val="right"/>
              <w:ind w:right="595"/>
              <w:spacing w:after="0"/>
              <w:rPr>
                <w:sz w:val="20"/>
                <w:szCs w:val="20"/>
                <w:color w:val="auto"/>
              </w:rPr>
            </w:pPr>
            <w:r>
              <w:rPr>
                <w:rFonts w:ascii="Arial" w:cs="Arial" w:eastAsia="Arial" w:hAnsi="Arial"/>
                <w:sz w:val="18"/>
                <w:szCs w:val="18"/>
                <w:color w:val="auto"/>
              </w:rPr>
              <w:t>591,500</w:t>
            </w:r>
          </w:p>
        </w:tc>
        <w:tc>
          <w:tcPr>
            <w:tcW w:w="2020" w:type="dxa"/>
            <w:vAlign w:val="bottom"/>
          </w:tcPr>
          <w:p>
            <w:pPr>
              <w:jc w:val="right"/>
              <w:ind w:right="416"/>
              <w:spacing w:after="0"/>
              <w:rPr>
                <w:sz w:val="20"/>
                <w:szCs w:val="20"/>
                <w:color w:val="auto"/>
              </w:rPr>
            </w:pPr>
            <w:r>
              <w:rPr>
                <w:rFonts w:ascii="Arial" w:cs="Arial" w:eastAsia="Arial" w:hAnsi="Arial"/>
                <w:sz w:val="18"/>
                <w:szCs w:val="18"/>
                <w:color w:val="auto"/>
              </w:rPr>
              <w:t>591,500</w:t>
            </w:r>
          </w:p>
        </w:tc>
        <w:tc>
          <w:tcPr>
            <w:tcW w:w="1720" w:type="dxa"/>
            <w:vAlign w:val="bottom"/>
          </w:tcPr>
          <w:p>
            <w:pPr>
              <w:jc w:val="right"/>
              <w:ind w:right="272"/>
              <w:spacing w:after="0"/>
              <w:rPr>
                <w:sz w:val="20"/>
                <w:szCs w:val="20"/>
                <w:color w:val="auto"/>
              </w:rPr>
            </w:pPr>
            <w:r>
              <w:rPr>
                <w:rFonts w:ascii="Arial" w:cs="Arial" w:eastAsia="Arial" w:hAnsi="Arial"/>
                <w:sz w:val="18"/>
                <w:szCs w:val="18"/>
                <w:color w:val="auto"/>
              </w:rPr>
              <w:t>591,500</w:t>
            </w:r>
          </w:p>
        </w:tc>
        <w:tc>
          <w:tcPr>
            <w:tcW w:w="1480" w:type="dxa"/>
            <w:vAlign w:val="bottom"/>
          </w:tcPr>
          <w:p>
            <w:pPr>
              <w:ind w:left="10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860" w:type="dxa"/>
            <w:vAlign w:val="bottom"/>
            <w:shd w:val="clear" w:color="auto" w:fill="CCEEFF"/>
          </w:tcPr>
          <w:p>
            <w:pPr>
              <w:spacing w:after="0"/>
              <w:rPr>
                <w:sz w:val="20"/>
                <w:szCs w:val="20"/>
                <w:color w:val="auto"/>
              </w:rPr>
            </w:pPr>
            <w:r>
              <w:rPr>
                <w:rFonts w:ascii="Arial" w:cs="Arial" w:eastAsia="Arial" w:hAnsi="Arial"/>
                <w:sz w:val="18"/>
                <w:szCs w:val="18"/>
                <w:color w:val="auto"/>
              </w:rPr>
              <w:t>Accelerated Equity Awards</w:t>
            </w:r>
            <w:r>
              <w:rPr>
                <w:rFonts w:ascii="Arial" w:cs="Arial" w:eastAsia="Arial" w:hAnsi="Arial"/>
                <w:sz w:val="15"/>
                <w:szCs w:val="15"/>
                <w:color w:val="auto"/>
              </w:rPr>
              <w:t>(4)</w:t>
            </w:r>
          </w:p>
        </w:tc>
        <w:tc>
          <w:tcPr>
            <w:tcW w:w="1940" w:type="dxa"/>
            <w:vAlign w:val="bottom"/>
            <w:shd w:val="clear" w:color="auto" w:fill="CCEEFF"/>
          </w:tcPr>
          <w:p>
            <w:pPr>
              <w:jc w:val="right"/>
              <w:ind w:right="595"/>
              <w:spacing w:after="0"/>
              <w:rPr>
                <w:sz w:val="20"/>
                <w:szCs w:val="20"/>
                <w:color w:val="auto"/>
              </w:rPr>
            </w:pPr>
            <w:r>
              <w:rPr>
                <w:rFonts w:ascii="Arial" w:cs="Arial" w:eastAsia="Arial" w:hAnsi="Arial"/>
                <w:sz w:val="18"/>
                <w:szCs w:val="18"/>
                <w:color w:val="auto"/>
              </w:rPr>
              <w:t>1,155,140</w:t>
            </w:r>
          </w:p>
        </w:tc>
        <w:tc>
          <w:tcPr>
            <w:tcW w:w="2020" w:type="dxa"/>
            <w:vAlign w:val="bottom"/>
            <w:shd w:val="clear" w:color="auto" w:fill="CCEEFF"/>
          </w:tcPr>
          <w:p>
            <w:pPr>
              <w:jc w:val="right"/>
              <w:ind w:right="416"/>
              <w:spacing w:after="0"/>
              <w:rPr>
                <w:sz w:val="20"/>
                <w:szCs w:val="20"/>
                <w:color w:val="auto"/>
              </w:rPr>
            </w:pPr>
            <w:r>
              <w:rPr>
                <w:rFonts w:ascii="Arial" w:cs="Arial" w:eastAsia="Arial" w:hAnsi="Arial"/>
                <w:sz w:val="18"/>
                <w:szCs w:val="18"/>
                <w:color w:val="auto"/>
              </w:rPr>
              <w:t>1,155,140</w:t>
            </w:r>
          </w:p>
        </w:tc>
        <w:tc>
          <w:tcPr>
            <w:tcW w:w="1720" w:type="dxa"/>
            <w:vAlign w:val="bottom"/>
            <w:shd w:val="clear" w:color="auto" w:fill="CCEEFF"/>
          </w:tcPr>
          <w:p>
            <w:pPr>
              <w:jc w:val="right"/>
              <w:ind w:right="272"/>
              <w:spacing w:after="0"/>
              <w:rPr>
                <w:sz w:val="20"/>
                <w:szCs w:val="20"/>
                <w:color w:val="auto"/>
              </w:rPr>
            </w:pPr>
            <w:r>
              <w:rPr>
                <w:rFonts w:ascii="Arial" w:cs="Arial" w:eastAsia="Arial" w:hAnsi="Arial"/>
                <w:sz w:val="18"/>
                <w:szCs w:val="18"/>
                <w:color w:val="auto"/>
              </w:rPr>
              <w:t>1,155,140</w:t>
            </w:r>
          </w:p>
        </w:tc>
        <w:tc>
          <w:tcPr>
            <w:tcW w:w="1480" w:type="dxa"/>
            <w:vAlign w:val="bottom"/>
            <w:shd w:val="clear" w:color="auto" w:fill="CCEEFF"/>
          </w:tcPr>
          <w:p>
            <w:pPr>
              <w:ind w:left="10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860" w:type="dxa"/>
            <w:vAlign w:val="bottom"/>
            <w:tcBorders>
              <w:bottom w:val="single" w:sz="8" w:color="407CCA"/>
            </w:tcBorders>
          </w:tcPr>
          <w:p>
            <w:pPr>
              <w:spacing w:after="0"/>
              <w:rPr>
                <w:sz w:val="20"/>
                <w:szCs w:val="20"/>
                <w:color w:val="auto"/>
              </w:rPr>
            </w:pPr>
            <w:r>
              <w:rPr>
                <w:rFonts w:ascii="Arial" w:cs="Arial" w:eastAsia="Arial" w:hAnsi="Arial"/>
                <w:sz w:val="18"/>
                <w:szCs w:val="18"/>
                <w:color w:val="auto"/>
              </w:rPr>
              <w:t>Insurance Benefits</w:t>
            </w:r>
            <w:r>
              <w:rPr>
                <w:rFonts w:ascii="Arial" w:cs="Arial" w:eastAsia="Arial" w:hAnsi="Arial"/>
                <w:sz w:val="15"/>
                <w:szCs w:val="15"/>
                <w:color w:val="auto"/>
              </w:rPr>
              <w:t>(5)</w:t>
            </w:r>
          </w:p>
        </w:tc>
        <w:tc>
          <w:tcPr>
            <w:tcW w:w="1940" w:type="dxa"/>
            <w:vAlign w:val="bottom"/>
            <w:tcBorders>
              <w:bottom w:val="single" w:sz="8" w:color="407CCA"/>
            </w:tcBorders>
          </w:tcPr>
          <w:p>
            <w:pPr>
              <w:jc w:val="right"/>
              <w:ind w:right="595"/>
              <w:spacing w:after="0"/>
              <w:rPr>
                <w:sz w:val="20"/>
                <w:szCs w:val="20"/>
                <w:color w:val="auto"/>
              </w:rPr>
            </w:pPr>
            <w:r>
              <w:rPr>
                <w:rFonts w:ascii="Arial" w:cs="Arial" w:eastAsia="Arial" w:hAnsi="Arial"/>
                <w:sz w:val="18"/>
                <w:szCs w:val="18"/>
                <w:color w:val="auto"/>
              </w:rPr>
              <w:t>32,190</w:t>
            </w:r>
          </w:p>
        </w:tc>
        <w:tc>
          <w:tcPr>
            <w:tcW w:w="2020" w:type="dxa"/>
            <w:vAlign w:val="bottom"/>
            <w:tcBorders>
              <w:bottom w:val="single" w:sz="8" w:color="407CCA"/>
            </w:tcBorders>
          </w:tcPr>
          <w:p>
            <w:pPr>
              <w:jc w:val="right"/>
              <w:ind w:right="416"/>
              <w:spacing w:after="0"/>
              <w:rPr>
                <w:sz w:val="20"/>
                <w:szCs w:val="20"/>
                <w:color w:val="auto"/>
              </w:rPr>
            </w:pPr>
            <w:r>
              <w:rPr>
                <w:rFonts w:ascii="Arial" w:cs="Arial" w:eastAsia="Arial" w:hAnsi="Arial"/>
                <w:sz w:val="18"/>
                <w:szCs w:val="18"/>
                <w:color w:val="auto"/>
              </w:rPr>
              <w:t>32,190</w:t>
            </w:r>
          </w:p>
        </w:tc>
        <w:tc>
          <w:tcPr>
            <w:tcW w:w="1720" w:type="dxa"/>
            <w:vAlign w:val="bottom"/>
            <w:tcBorders>
              <w:bottom w:val="single" w:sz="8" w:color="407CCA"/>
            </w:tcBorders>
          </w:tcPr>
          <w:p>
            <w:pPr>
              <w:jc w:val="right"/>
              <w:ind w:right="272"/>
              <w:spacing w:after="0"/>
              <w:rPr>
                <w:sz w:val="20"/>
                <w:szCs w:val="20"/>
                <w:color w:val="auto"/>
              </w:rPr>
            </w:pPr>
            <w:r>
              <w:rPr>
                <w:rFonts w:ascii="Arial" w:cs="Arial" w:eastAsia="Arial" w:hAnsi="Arial"/>
                <w:sz w:val="18"/>
                <w:szCs w:val="18"/>
                <w:color w:val="auto"/>
              </w:rPr>
              <w:t>32,190</w:t>
            </w:r>
          </w:p>
        </w:tc>
        <w:tc>
          <w:tcPr>
            <w:tcW w:w="1480" w:type="dxa"/>
            <w:vAlign w:val="bottom"/>
            <w:tcBorders>
              <w:bottom w:val="single" w:sz="8" w:color="407CCA"/>
            </w:tcBorders>
          </w:tcPr>
          <w:p>
            <w:pPr>
              <w:ind w:left="10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0"/>
        </w:trPr>
        <w:tc>
          <w:tcPr>
            <w:tcW w:w="3860" w:type="dxa"/>
            <w:vAlign w:val="bottom"/>
            <w:tcBorders>
              <w:bottom w:val="single" w:sz="8" w:color="407CCA"/>
            </w:tcBorders>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1940" w:type="dxa"/>
            <w:vAlign w:val="bottom"/>
            <w:tcBorders>
              <w:bottom w:val="single" w:sz="8" w:color="407CCA"/>
            </w:tcBorders>
            <w:shd w:val="clear" w:color="auto" w:fill="CCEEFF"/>
          </w:tcPr>
          <w:p>
            <w:pPr>
              <w:jc w:val="right"/>
              <w:ind w:right="595"/>
              <w:spacing w:after="0"/>
              <w:rPr>
                <w:sz w:val="20"/>
                <w:szCs w:val="20"/>
                <w:color w:val="auto"/>
              </w:rPr>
            </w:pPr>
            <w:r>
              <w:rPr>
                <w:rFonts w:ascii="Arial" w:cs="Arial" w:eastAsia="Arial" w:hAnsi="Arial"/>
                <w:sz w:val="18"/>
                <w:szCs w:val="18"/>
                <w:color w:val="auto"/>
              </w:rPr>
              <w:t>2,778,830</w:t>
            </w:r>
          </w:p>
        </w:tc>
        <w:tc>
          <w:tcPr>
            <w:tcW w:w="2020" w:type="dxa"/>
            <w:vAlign w:val="bottom"/>
            <w:tcBorders>
              <w:bottom w:val="single" w:sz="8" w:color="407CCA"/>
            </w:tcBorders>
            <w:shd w:val="clear" w:color="auto" w:fill="CCEEFF"/>
          </w:tcPr>
          <w:p>
            <w:pPr>
              <w:jc w:val="right"/>
              <w:ind w:right="416"/>
              <w:spacing w:after="0"/>
              <w:rPr>
                <w:sz w:val="20"/>
                <w:szCs w:val="20"/>
                <w:color w:val="auto"/>
              </w:rPr>
            </w:pPr>
            <w:r>
              <w:rPr>
                <w:rFonts w:ascii="Arial" w:cs="Arial" w:eastAsia="Arial" w:hAnsi="Arial"/>
                <w:sz w:val="18"/>
                <w:szCs w:val="18"/>
                <w:color w:val="auto"/>
              </w:rPr>
              <w:t>2,778,830</w:t>
            </w:r>
          </w:p>
        </w:tc>
        <w:tc>
          <w:tcPr>
            <w:tcW w:w="1720" w:type="dxa"/>
            <w:vAlign w:val="bottom"/>
            <w:tcBorders>
              <w:bottom w:val="single" w:sz="8" w:color="407CCA"/>
            </w:tcBorders>
            <w:shd w:val="clear" w:color="auto" w:fill="CCEEFF"/>
          </w:tcPr>
          <w:p>
            <w:pPr>
              <w:jc w:val="right"/>
              <w:ind w:right="272"/>
              <w:spacing w:after="0"/>
              <w:rPr>
                <w:sz w:val="20"/>
                <w:szCs w:val="20"/>
                <w:color w:val="auto"/>
              </w:rPr>
            </w:pPr>
            <w:r>
              <w:rPr>
                <w:rFonts w:ascii="Arial" w:cs="Arial" w:eastAsia="Arial" w:hAnsi="Arial"/>
                <w:sz w:val="18"/>
                <w:szCs w:val="18"/>
                <w:color w:val="auto"/>
              </w:rPr>
              <w:t>1,778,830</w:t>
            </w:r>
          </w:p>
        </w:tc>
        <w:tc>
          <w:tcPr>
            <w:tcW w:w="1480" w:type="dxa"/>
            <w:vAlign w:val="bottom"/>
            <w:tcBorders>
              <w:bottom w:val="single" w:sz="8" w:color="407CCA"/>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128"/>
        </w:trPr>
        <w:tc>
          <w:tcPr>
            <w:tcW w:w="3860" w:type="dxa"/>
            <w:vAlign w:val="bottom"/>
            <w:tcBorders>
              <w:bottom w:val="single" w:sz="8" w:color="auto"/>
            </w:tcBorders>
          </w:tcPr>
          <w:p>
            <w:pPr>
              <w:spacing w:after="0"/>
              <w:rPr>
                <w:sz w:val="11"/>
                <w:szCs w:val="11"/>
                <w:color w:val="auto"/>
              </w:rPr>
            </w:pPr>
          </w:p>
        </w:tc>
        <w:tc>
          <w:tcPr>
            <w:tcW w:w="1940" w:type="dxa"/>
            <w:vAlign w:val="bottom"/>
          </w:tcPr>
          <w:p>
            <w:pPr>
              <w:spacing w:after="0"/>
              <w:rPr>
                <w:sz w:val="11"/>
                <w:szCs w:val="11"/>
                <w:color w:val="auto"/>
              </w:rPr>
            </w:pPr>
          </w:p>
        </w:tc>
        <w:tc>
          <w:tcPr>
            <w:tcW w:w="2020" w:type="dxa"/>
            <w:vAlign w:val="bottom"/>
          </w:tcPr>
          <w:p>
            <w:pPr>
              <w:spacing w:after="0"/>
              <w:rPr>
                <w:sz w:val="11"/>
                <w:szCs w:val="11"/>
                <w:color w:val="auto"/>
              </w:rPr>
            </w:pPr>
          </w:p>
        </w:tc>
        <w:tc>
          <w:tcPr>
            <w:tcW w:w="1720" w:type="dxa"/>
            <w:vAlign w:val="bottom"/>
          </w:tcPr>
          <w:p>
            <w:pPr>
              <w:spacing w:after="0"/>
              <w:rPr>
                <w:sz w:val="11"/>
                <w:szCs w:val="11"/>
                <w:color w:val="auto"/>
              </w:rPr>
            </w:pPr>
          </w:p>
        </w:tc>
        <w:tc>
          <w:tcPr>
            <w:tcW w:w="1480" w:type="dxa"/>
            <w:vAlign w:val="bottom"/>
          </w:tcPr>
          <w:p>
            <w:pPr>
              <w:spacing w:after="0"/>
              <w:rPr>
                <w:sz w:val="11"/>
                <w:szCs w:val="11"/>
                <w:color w:val="auto"/>
              </w:rPr>
            </w:pPr>
          </w:p>
        </w:tc>
        <w:tc>
          <w:tcPr>
            <w:tcW w:w="0" w:type="dxa"/>
            <w:vAlign w:val="bottom"/>
          </w:tcPr>
          <w:p>
            <w:pPr>
              <w:spacing w:after="0"/>
              <w:rPr>
                <w:sz w:val="1"/>
                <w:szCs w:val="1"/>
                <w:color w:val="auto"/>
              </w:rPr>
            </w:pPr>
          </w:p>
        </w:tc>
      </w:tr>
    </w:tbl>
    <w:p>
      <w:pPr>
        <w:spacing w:after="0" w:line="152" w:lineRule="exact"/>
        <w:rPr>
          <w:sz w:val="20"/>
          <w:szCs w:val="20"/>
          <w:color w:val="auto"/>
        </w:rPr>
      </w:pPr>
    </w:p>
    <w:p>
      <w:pPr>
        <w:ind w:left="880" w:right="20" w:hanging="764"/>
        <w:spacing w:after="0" w:line="293" w:lineRule="auto"/>
        <w:tabs>
          <w:tab w:leader="none" w:pos="880" w:val="left"/>
        </w:tabs>
        <w:numPr>
          <w:ilvl w:val="0"/>
          <w:numId w:val="48"/>
        </w:numPr>
        <w:rPr>
          <w:rFonts w:ascii="Arial" w:cs="Arial" w:eastAsia="Arial" w:hAnsi="Arial"/>
          <w:sz w:val="16"/>
          <w:szCs w:val="16"/>
          <w:color w:val="auto"/>
        </w:rPr>
      </w:pPr>
      <w:r>
        <w:rPr>
          <w:rFonts w:ascii="Arial" w:cs="Arial" w:eastAsia="Arial" w:hAnsi="Arial"/>
          <w:sz w:val="16"/>
          <w:szCs w:val="16"/>
          <w:color w:val="auto"/>
        </w:rPr>
        <w:t>Payable over a period of 30 months and 18 months for Messrs. Kain and Federico, respectively and over a period of 12 months for each of Messrs. Kuehl and Pas and Ms. Bell.</w:t>
      </w:r>
    </w:p>
    <w:p>
      <w:pPr>
        <w:spacing w:after="0" w:line="95" w:lineRule="exact"/>
        <w:rPr>
          <w:sz w:val="20"/>
          <w:szCs w:val="20"/>
          <w:color w:val="auto"/>
        </w:rPr>
      </w:pPr>
    </w:p>
    <w:p>
      <w:pPr>
        <w:ind w:left="7960"/>
        <w:spacing w:after="0"/>
        <w:tabs>
          <w:tab w:leader="none" w:pos="109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67</w:t>
      </w:r>
    </w:p>
    <w:p>
      <w:pPr>
        <w:sectPr>
          <w:pgSz w:w="11900" w:h="16838" w:orient="portrait"/>
          <w:cols w:equalWidth="0" w:num="1">
            <w:col w:w="11140"/>
          </w:cols>
          <w:pgMar w:left="320" w:top="459" w:right="439" w:bottom="1440" w:gutter="0" w:footer="0" w:header="0"/>
        </w:sectPr>
      </w:pPr>
    </w:p>
    <w:bookmarkStart w:id="80" w:name="page81"/>
    <w:bookmarkEnd w:id="8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2">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3">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92" w:lineRule="exact"/>
        <w:rPr>
          <w:sz w:val="20"/>
          <w:szCs w:val="20"/>
          <w:color w:val="auto"/>
        </w:rPr>
      </w:pPr>
    </w:p>
    <w:p>
      <w:pPr>
        <w:ind w:left="880" w:hanging="764"/>
        <w:spacing w:after="0"/>
        <w:tabs>
          <w:tab w:leader="none" w:pos="880" w:val="left"/>
        </w:tabs>
        <w:numPr>
          <w:ilvl w:val="0"/>
          <w:numId w:val="49"/>
        </w:numPr>
        <w:rPr>
          <w:rFonts w:ascii="Arial" w:cs="Arial" w:eastAsia="Arial" w:hAnsi="Arial"/>
          <w:sz w:val="16"/>
          <w:szCs w:val="16"/>
          <w:color w:val="auto"/>
        </w:rPr>
      </w:pPr>
      <w:r>
        <w:rPr>
          <w:rFonts w:ascii="Arial" w:cs="Arial" w:eastAsia="Arial" w:hAnsi="Arial"/>
          <w:sz w:val="16"/>
          <w:szCs w:val="16"/>
          <w:color w:val="auto"/>
        </w:rPr>
        <w:t>Payable in a lump sum on the first payroll date 60 days after termination.</w:t>
      </w:r>
    </w:p>
    <w:p>
      <w:pPr>
        <w:spacing w:after="0" w:line="22" w:lineRule="exact"/>
        <w:rPr>
          <w:rFonts w:ascii="Arial" w:cs="Arial" w:eastAsia="Arial" w:hAnsi="Arial"/>
          <w:sz w:val="16"/>
          <w:szCs w:val="16"/>
          <w:color w:val="auto"/>
        </w:rPr>
      </w:pPr>
    </w:p>
    <w:p>
      <w:pPr>
        <w:ind w:left="880" w:right="320" w:hanging="764"/>
        <w:spacing w:after="0" w:line="264" w:lineRule="auto"/>
        <w:tabs>
          <w:tab w:leader="none" w:pos="880" w:val="left"/>
        </w:tabs>
        <w:numPr>
          <w:ilvl w:val="0"/>
          <w:numId w:val="49"/>
        </w:numPr>
        <w:rPr>
          <w:rFonts w:ascii="Arial" w:cs="Arial" w:eastAsia="Arial" w:hAnsi="Arial"/>
          <w:sz w:val="16"/>
          <w:szCs w:val="16"/>
          <w:color w:val="auto"/>
        </w:rPr>
      </w:pPr>
      <w:r>
        <w:rPr>
          <w:rFonts w:ascii="Arial" w:cs="Arial" w:eastAsia="Arial" w:hAnsi="Arial"/>
          <w:sz w:val="16"/>
          <w:szCs w:val="16"/>
          <w:color w:val="auto"/>
        </w:rPr>
        <w:t>Payable in a lump sum by March 15 of the calendar year following the calendar year in which termination occurs. Reflects cash bonus NEO is entitled to receive for fiscal year 2019 based on achievement of corporate scorecard measures and personal performance, as applicable.</w:t>
      </w:r>
    </w:p>
    <w:p>
      <w:pPr>
        <w:ind w:left="880" w:right="120" w:hanging="764"/>
        <w:spacing w:after="0" w:line="264" w:lineRule="auto"/>
        <w:tabs>
          <w:tab w:leader="none" w:pos="880" w:val="left"/>
        </w:tabs>
        <w:numPr>
          <w:ilvl w:val="0"/>
          <w:numId w:val="49"/>
        </w:numPr>
        <w:rPr>
          <w:rFonts w:ascii="Arial" w:cs="Arial" w:eastAsia="Arial" w:hAnsi="Arial"/>
          <w:sz w:val="16"/>
          <w:szCs w:val="16"/>
          <w:color w:val="auto"/>
        </w:rPr>
      </w:pPr>
      <w:r>
        <w:rPr>
          <w:rFonts w:ascii="Arial" w:cs="Arial" w:eastAsia="Arial" w:hAnsi="Arial"/>
          <w:sz w:val="16"/>
          <w:szCs w:val="16"/>
          <w:color w:val="auto"/>
        </w:rPr>
        <w:t>Reflects performance achievement of 138.3% of target for March 1, 2018 performance-based vesting RSUs. Assumes performance achievement at 100% of target for March 1, 2018 and 2019 performance-based vesting RSUs.</w:t>
      </w:r>
    </w:p>
    <w:p>
      <w:pPr>
        <w:ind w:left="880" w:hanging="764"/>
        <w:spacing w:after="0"/>
        <w:tabs>
          <w:tab w:leader="none" w:pos="880" w:val="left"/>
        </w:tabs>
        <w:numPr>
          <w:ilvl w:val="0"/>
          <w:numId w:val="49"/>
        </w:numPr>
        <w:rPr>
          <w:rFonts w:ascii="Arial" w:cs="Arial" w:eastAsia="Arial" w:hAnsi="Arial"/>
          <w:sz w:val="16"/>
          <w:szCs w:val="16"/>
          <w:color w:val="auto"/>
        </w:rPr>
      </w:pPr>
      <w:r>
        <w:rPr>
          <w:rFonts w:ascii="Arial" w:cs="Arial" w:eastAsia="Arial" w:hAnsi="Arial"/>
          <w:sz w:val="16"/>
          <w:szCs w:val="16"/>
          <w:color w:val="auto"/>
        </w:rPr>
        <w:t>Insurance Benefits are based on the December 2019 monthly payment for Health, Dental and Vision coverage for each NEO.</w:t>
      </w:r>
    </w:p>
    <w:p>
      <w:pPr>
        <w:spacing w:after="0" w:line="18" w:lineRule="exact"/>
        <w:rPr>
          <w:rFonts w:ascii="Arial" w:cs="Arial" w:eastAsia="Arial" w:hAnsi="Arial"/>
          <w:sz w:val="16"/>
          <w:szCs w:val="16"/>
          <w:color w:val="auto"/>
        </w:rPr>
      </w:pPr>
    </w:p>
    <w:p>
      <w:pPr>
        <w:ind w:left="880" w:right="260" w:hanging="764"/>
        <w:spacing w:after="0" w:line="288" w:lineRule="auto"/>
        <w:tabs>
          <w:tab w:leader="none" w:pos="880" w:val="left"/>
        </w:tabs>
        <w:numPr>
          <w:ilvl w:val="0"/>
          <w:numId w:val="49"/>
        </w:numPr>
        <w:rPr>
          <w:rFonts w:ascii="Arial" w:cs="Arial" w:eastAsia="Arial" w:hAnsi="Arial"/>
          <w:sz w:val="16"/>
          <w:szCs w:val="16"/>
          <w:color w:val="auto"/>
        </w:rPr>
      </w:pPr>
      <w:r>
        <w:rPr>
          <w:rFonts w:ascii="Arial" w:cs="Arial" w:eastAsia="Arial" w:hAnsi="Arial"/>
          <w:sz w:val="16"/>
          <w:szCs w:val="16"/>
          <w:color w:val="auto"/>
        </w:rPr>
        <w:t>Mr. Kuehl would be entitled to an additional $1,251,000 if he were to remain unemployed as of December 31, 2020, payable equally over the period from January 1, 2021 to June 30, 2021, unless he were to become employed by another employer during this period in 2021.</w:t>
      </w:r>
    </w:p>
    <w:p>
      <w:pPr>
        <w:spacing w:after="0" w:line="171"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CEO Compensation Pay Ratio</w:t>
      </w:r>
    </w:p>
    <w:p>
      <w:pPr>
        <w:spacing w:after="0" w:line="117" w:lineRule="exact"/>
        <w:rPr>
          <w:sz w:val="20"/>
          <w:szCs w:val="20"/>
          <w:color w:val="auto"/>
        </w:rPr>
      </w:pPr>
    </w:p>
    <w:p>
      <w:pPr>
        <w:ind w:left="120" w:right="20" w:firstLine="881"/>
        <w:spacing w:after="0" w:line="259" w:lineRule="auto"/>
        <w:rPr>
          <w:sz w:val="20"/>
          <w:szCs w:val="20"/>
          <w:color w:val="auto"/>
        </w:rPr>
      </w:pPr>
      <w:r>
        <w:rPr>
          <w:rFonts w:ascii="Arial" w:cs="Arial" w:eastAsia="Arial" w:hAnsi="Arial"/>
          <w:sz w:val="18"/>
          <w:szCs w:val="18"/>
          <w:color w:val="auto"/>
        </w:rPr>
        <w:t>As required by Section 953(b) of the Dodd-Frank Wall Street Reform and Consumer Protection Act, and Item 402(u) of Regulation S-K, we determined that the 2019 total compensation of Gary Kain, our Chief Executive Officer and Chief Investment Officer of $16,130,400, as shown in the Summary Compensation Table above (the “CEO Compensation”), was approximately 67 times the total compensation of a median employee in 2019 calculated in the same manner of $240,598.</w:t>
      </w:r>
    </w:p>
    <w:p>
      <w:pPr>
        <w:spacing w:after="0" w:line="187" w:lineRule="exact"/>
        <w:rPr>
          <w:sz w:val="20"/>
          <w:szCs w:val="20"/>
          <w:color w:val="auto"/>
        </w:rPr>
      </w:pPr>
    </w:p>
    <w:p>
      <w:pPr>
        <w:ind w:left="120" w:firstLine="881"/>
        <w:spacing w:after="0" w:line="279" w:lineRule="auto"/>
        <w:rPr>
          <w:sz w:val="20"/>
          <w:szCs w:val="20"/>
          <w:color w:val="auto"/>
        </w:rPr>
      </w:pPr>
      <w:r>
        <w:rPr>
          <w:rFonts w:ascii="Arial" w:cs="Arial" w:eastAsia="Arial" w:hAnsi="Arial"/>
          <w:sz w:val="17"/>
          <w:szCs w:val="17"/>
          <w:color w:val="auto"/>
        </w:rPr>
        <w:t>We identified the median employee using the annual base salary and expected bonus, as of December 31, 2019, plus any long-term incentive stock awards granted in 2019 for all individuals, excluding our Chief Executive Officer, who were employed by us on December 31, 2019, the last day of our payroll year (whether employed on a full-time, part-time, or seasonal basis). After identifying the median employee, we calculated annual total compensation for such employee using the same methodology we used for determining the CEO Compensation.</w:t>
      </w:r>
    </w:p>
    <w:p>
      <w:pPr>
        <w:spacing w:after="0" w:line="99"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68</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20"/>
          </w:cols>
          <w:pgMar w:left="320" w:top="459" w:right="459" w:bottom="1440" w:gutter="0" w:footer="0" w:header="0"/>
        </w:sectPr>
      </w:pPr>
    </w:p>
    <w:bookmarkStart w:id="81" w:name="page82"/>
    <w:bookmarkEnd w:id="8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4">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7080"/>
        <w:spacing w:after="0"/>
        <w:rPr>
          <w:sz w:val="20"/>
          <w:szCs w:val="20"/>
          <w:color w:val="auto"/>
        </w:rPr>
      </w:pPr>
      <w:r>
        <w:rPr>
          <w:rFonts w:ascii="Arial" w:cs="Arial" w:eastAsia="Arial" w:hAnsi="Arial"/>
          <w:sz w:val="13"/>
          <w:szCs w:val="13"/>
          <w:color w:val="407CCA"/>
        </w:rPr>
        <w:t>INFORMATION REGARDING COMPANY VOTING SECURITIES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28575</wp:posOffset>
            </wp:positionV>
            <wp:extent cx="6995160" cy="8255"/>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5">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6" w:lineRule="exact"/>
        <w:rPr>
          <w:sz w:val="20"/>
          <w:szCs w:val="20"/>
          <w:color w:val="auto"/>
        </w:rPr>
      </w:pPr>
    </w:p>
    <w:p>
      <w:pPr>
        <w:ind w:left="2400"/>
        <w:spacing w:after="0"/>
        <w:rPr>
          <w:sz w:val="20"/>
          <w:szCs w:val="20"/>
          <w:color w:val="auto"/>
        </w:rPr>
      </w:pPr>
      <w:r>
        <w:rPr>
          <w:rFonts w:ascii="Arial" w:cs="Arial" w:eastAsia="Arial" w:hAnsi="Arial"/>
          <w:sz w:val="22"/>
          <w:szCs w:val="22"/>
          <w:b w:val="1"/>
          <w:bCs w:val="1"/>
          <w:color w:val="407CCA"/>
        </w:rPr>
        <w:t>INFORMATION REGARDING COMPANY VOTING SECURITIES</w:t>
      </w:r>
    </w:p>
    <w:p>
      <w:pPr>
        <w:spacing w:after="0" w:line="215"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Security Ownership of Management and Certain Beneficial Owners</w:t>
      </w:r>
    </w:p>
    <w:p>
      <w:pPr>
        <w:spacing w:after="0" w:line="121" w:lineRule="exact"/>
        <w:rPr>
          <w:sz w:val="20"/>
          <w:szCs w:val="20"/>
          <w:color w:val="auto"/>
        </w:rPr>
      </w:pPr>
    </w:p>
    <w:p>
      <w:pPr>
        <w:ind w:left="120" w:right="60" w:firstLine="881"/>
        <w:spacing w:after="0" w:line="257" w:lineRule="auto"/>
        <w:rPr>
          <w:sz w:val="20"/>
          <w:szCs w:val="20"/>
          <w:color w:val="auto"/>
        </w:rPr>
      </w:pPr>
      <w:r>
        <w:rPr>
          <w:rFonts w:ascii="Arial" w:cs="Arial" w:eastAsia="Arial" w:hAnsi="Arial"/>
          <w:sz w:val="18"/>
          <w:szCs w:val="18"/>
          <w:color w:val="auto"/>
        </w:rPr>
        <w:t>The following table sets forth, as of February 24, 2020 (unless otherwise indicated), the beneficial ownership of common stock of each current director, each nominee for director, each of our named executive officers, our executive officers and directors as a group, and each stockholder known to management to own beneficially more than 5% of the outstanding shares of our common stock. Unless otherwise indicated, we believe that the beneficial owners set forth in the table below have sole voting and investment power. As of February 24, 2020, there were 540,943,011 shares of our common stock outstanding.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145415</wp:posOffset>
            </wp:positionV>
            <wp:extent cx="6995160" cy="889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6">
                      <a:extLst>
                        <a:ext uri="{28A0092B-C50C-407E-A947-70E740481C1C}"/>
                      </a:extLst>
                    </a:blip>
                    <a:srcRect/>
                    <a:stretch>
                      <a:fillRect/>
                    </a:stretch>
                  </pic:blipFill>
                  <pic:spPr bwMode="auto">
                    <a:xfrm>
                      <a:off x="0" y="0"/>
                      <a:ext cx="6995160" cy="8890"/>
                    </a:xfrm>
                    <a:prstGeom prst="rect">
                      <a:avLst/>
                    </a:prstGeom>
                    <a:noFill/>
                  </pic:spPr>
                </pic:pic>
              </a:graphicData>
            </a:graphic>
          </wp:anchor>
        </w:drawing>
      </w:r>
    </w:p>
    <w:p>
      <w:pPr>
        <w:sectPr>
          <w:pgSz w:w="11900" w:h="16838" w:orient="portrait"/>
          <w:cols w:equalWidth="0" w:num="1">
            <w:col w:w="11140"/>
          </w:cols>
          <w:pgMar w:left="320" w:top="459" w:right="439" w:bottom="1440" w:gutter="0" w:footer="0" w:header="0"/>
        </w:sectPr>
      </w:pPr>
    </w:p>
    <w:p>
      <w:pPr>
        <w:spacing w:after="0" w:line="200" w:lineRule="exact"/>
        <w:rPr>
          <w:sz w:val="20"/>
          <w:szCs w:val="20"/>
          <w:color w:val="auto"/>
        </w:rPr>
      </w:pPr>
    </w:p>
    <w:p>
      <w:pPr>
        <w:spacing w:after="0" w:line="362" w:lineRule="exact"/>
        <w:rPr>
          <w:sz w:val="20"/>
          <w:szCs w:val="20"/>
          <w:color w:val="auto"/>
        </w:rPr>
      </w:pPr>
    </w:p>
    <w:p>
      <w:pPr>
        <w:ind w:left="120"/>
        <w:spacing w:after="0"/>
        <w:rPr>
          <w:sz w:val="20"/>
          <w:szCs w:val="20"/>
          <w:color w:val="auto"/>
        </w:rPr>
      </w:pPr>
      <w:r>
        <w:rPr>
          <w:rFonts w:ascii="Arial" w:cs="Arial" w:eastAsia="Arial" w:hAnsi="Arial"/>
          <w:sz w:val="16"/>
          <w:szCs w:val="16"/>
          <w:b w:val="1"/>
          <w:bCs w:val="1"/>
          <w:color w:val="auto"/>
        </w:rPr>
        <w:t>Name and Address of Beneficial Owner</w:t>
      </w:r>
    </w:p>
    <w:p>
      <w:pPr>
        <w:spacing w:after="0" w:line="20" w:lineRule="exact"/>
        <w:rPr>
          <w:sz w:val="20"/>
          <w:szCs w:val="20"/>
          <w:color w:val="auto"/>
        </w:rPr>
      </w:pPr>
      <w:r>
        <w:rPr>
          <w:sz w:val="20"/>
          <w:szCs w:val="20"/>
          <w:color w:val="auto"/>
        </w:rPr>
        <w:br w:type="column"/>
      </w:r>
    </w:p>
    <w:p>
      <w:pPr>
        <w:spacing w:after="0" w:line="203"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49"/>
        </w:trPr>
        <w:tc>
          <w:tcPr>
            <w:tcW w:w="1440" w:type="dxa"/>
            <w:vAlign w:val="bottom"/>
          </w:tcPr>
          <w:p>
            <w:pPr>
              <w:jc w:val="center"/>
              <w:ind w:right="357"/>
              <w:spacing w:after="0"/>
              <w:rPr>
                <w:sz w:val="20"/>
                <w:szCs w:val="20"/>
                <w:color w:val="auto"/>
              </w:rPr>
            </w:pPr>
            <w:r>
              <w:rPr>
                <w:rFonts w:ascii="Arial" w:cs="Arial" w:eastAsia="Arial" w:hAnsi="Arial"/>
                <w:sz w:val="13"/>
                <w:szCs w:val="13"/>
                <w:b w:val="1"/>
                <w:bCs w:val="1"/>
                <w:color w:val="auto"/>
                <w:w w:val="89"/>
              </w:rPr>
              <w:t>Number of</w:t>
            </w:r>
          </w:p>
        </w:tc>
        <w:tc>
          <w:tcPr>
            <w:tcW w:w="1260" w:type="dxa"/>
            <w:vAlign w:val="bottom"/>
          </w:tcPr>
          <w:p>
            <w:pPr>
              <w:jc w:val="center"/>
              <w:ind w:left="357"/>
              <w:spacing w:after="0"/>
              <w:rPr>
                <w:sz w:val="20"/>
                <w:szCs w:val="20"/>
                <w:color w:val="auto"/>
              </w:rPr>
            </w:pPr>
            <w:r>
              <w:rPr>
                <w:rFonts w:ascii="Arial" w:cs="Arial" w:eastAsia="Arial" w:hAnsi="Arial"/>
                <w:sz w:val="13"/>
                <w:szCs w:val="13"/>
                <w:b w:val="1"/>
                <w:bCs w:val="1"/>
                <w:color w:val="auto"/>
                <w:w w:val="83"/>
              </w:rPr>
              <w:t>Percentage of</w:t>
            </w:r>
          </w:p>
        </w:tc>
      </w:tr>
      <w:tr>
        <w:trPr>
          <w:trHeight w:val="135"/>
        </w:trPr>
        <w:tc>
          <w:tcPr>
            <w:tcW w:w="1440" w:type="dxa"/>
            <w:vAlign w:val="bottom"/>
          </w:tcPr>
          <w:p>
            <w:pPr>
              <w:jc w:val="center"/>
              <w:ind w:right="357"/>
              <w:spacing w:after="0" w:line="135" w:lineRule="exact"/>
              <w:rPr>
                <w:sz w:val="20"/>
                <w:szCs w:val="20"/>
                <w:color w:val="auto"/>
              </w:rPr>
            </w:pPr>
            <w:r>
              <w:rPr>
                <w:rFonts w:ascii="Arial" w:cs="Arial" w:eastAsia="Arial" w:hAnsi="Arial"/>
                <w:sz w:val="13"/>
                <w:szCs w:val="13"/>
                <w:b w:val="1"/>
                <w:bCs w:val="1"/>
                <w:color w:val="auto"/>
                <w:w w:val="85"/>
              </w:rPr>
              <w:t>Shares of Common</w:t>
            </w:r>
          </w:p>
        </w:tc>
        <w:tc>
          <w:tcPr>
            <w:tcW w:w="1260" w:type="dxa"/>
            <w:vAlign w:val="bottom"/>
          </w:tcPr>
          <w:p>
            <w:pPr>
              <w:jc w:val="center"/>
              <w:ind w:left="357"/>
              <w:spacing w:after="0" w:line="135" w:lineRule="exact"/>
              <w:rPr>
                <w:sz w:val="20"/>
                <w:szCs w:val="20"/>
                <w:color w:val="auto"/>
              </w:rPr>
            </w:pPr>
            <w:r>
              <w:rPr>
                <w:rFonts w:ascii="Arial" w:cs="Arial" w:eastAsia="Arial" w:hAnsi="Arial"/>
                <w:sz w:val="13"/>
                <w:szCs w:val="13"/>
                <w:b w:val="1"/>
                <w:bCs w:val="1"/>
                <w:color w:val="auto"/>
                <w:w w:val="88"/>
              </w:rPr>
              <w:t>Common Stock</w:t>
            </w:r>
          </w:p>
        </w:tc>
      </w:tr>
      <w:tr>
        <w:trPr>
          <w:trHeight w:val="135"/>
        </w:trPr>
        <w:tc>
          <w:tcPr>
            <w:tcW w:w="1440" w:type="dxa"/>
            <w:vAlign w:val="bottom"/>
          </w:tcPr>
          <w:p>
            <w:pPr>
              <w:jc w:val="center"/>
              <w:ind w:right="377"/>
              <w:spacing w:after="0" w:line="135" w:lineRule="exact"/>
              <w:rPr>
                <w:sz w:val="20"/>
                <w:szCs w:val="20"/>
                <w:color w:val="auto"/>
              </w:rPr>
            </w:pPr>
            <w:r>
              <w:rPr>
                <w:rFonts w:ascii="Arial" w:cs="Arial" w:eastAsia="Arial" w:hAnsi="Arial"/>
                <w:sz w:val="13"/>
                <w:szCs w:val="13"/>
                <w:b w:val="1"/>
                <w:bCs w:val="1"/>
                <w:color w:val="auto"/>
                <w:w w:val="86"/>
              </w:rPr>
              <w:t>Stock Beneficially</w:t>
            </w:r>
          </w:p>
        </w:tc>
        <w:tc>
          <w:tcPr>
            <w:tcW w:w="1260" w:type="dxa"/>
            <w:vAlign w:val="bottom"/>
          </w:tcPr>
          <w:p>
            <w:pPr>
              <w:jc w:val="center"/>
              <w:ind w:left="357"/>
              <w:spacing w:after="0" w:line="135" w:lineRule="exact"/>
              <w:rPr>
                <w:sz w:val="20"/>
                <w:szCs w:val="20"/>
                <w:color w:val="auto"/>
              </w:rPr>
            </w:pPr>
            <w:r>
              <w:rPr>
                <w:rFonts w:ascii="Arial" w:cs="Arial" w:eastAsia="Arial" w:hAnsi="Arial"/>
                <w:sz w:val="13"/>
                <w:szCs w:val="13"/>
                <w:b w:val="1"/>
                <w:bCs w:val="1"/>
                <w:color w:val="auto"/>
                <w:w w:val="88"/>
              </w:rPr>
              <w:t>Beneficially</w:t>
            </w:r>
          </w:p>
        </w:tc>
      </w:tr>
      <w:tr>
        <w:trPr>
          <w:trHeight w:val="153"/>
        </w:trPr>
        <w:tc>
          <w:tcPr>
            <w:tcW w:w="1440" w:type="dxa"/>
            <w:vAlign w:val="bottom"/>
          </w:tcPr>
          <w:p>
            <w:pPr>
              <w:jc w:val="center"/>
              <w:ind w:right="377"/>
              <w:spacing w:after="0"/>
              <w:rPr>
                <w:sz w:val="20"/>
                <w:szCs w:val="20"/>
                <w:color w:val="auto"/>
              </w:rPr>
            </w:pPr>
            <w:r>
              <w:rPr>
                <w:rFonts w:ascii="Arial" w:cs="Arial" w:eastAsia="Arial" w:hAnsi="Arial"/>
                <w:sz w:val="13"/>
                <w:szCs w:val="13"/>
                <w:b w:val="1"/>
                <w:bCs w:val="1"/>
                <w:color w:val="auto"/>
                <w:w w:val="93"/>
              </w:rPr>
              <w:t>Owned</w:t>
            </w:r>
            <w:r>
              <w:rPr>
                <w:rFonts w:ascii="Arial" w:cs="Arial" w:eastAsia="Arial" w:hAnsi="Arial"/>
                <w:sz w:val="10"/>
                <w:szCs w:val="10"/>
                <w:b w:val="1"/>
                <w:bCs w:val="1"/>
                <w:color w:val="auto"/>
                <w:w w:val="93"/>
              </w:rPr>
              <w:t>(1)</w:t>
            </w:r>
          </w:p>
        </w:tc>
        <w:tc>
          <w:tcPr>
            <w:tcW w:w="1260" w:type="dxa"/>
            <w:vAlign w:val="bottom"/>
          </w:tcPr>
          <w:p>
            <w:pPr>
              <w:jc w:val="center"/>
              <w:ind w:left="357"/>
              <w:spacing w:after="0"/>
              <w:rPr>
                <w:sz w:val="20"/>
                <w:szCs w:val="20"/>
                <w:color w:val="auto"/>
              </w:rPr>
            </w:pPr>
            <w:r>
              <w:rPr>
                <w:rFonts w:ascii="Arial" w:cs="Arial" w:eastAsia="Arial" w:hAnsi="Arial"/>
                <w:sz w:val="13"/>
                <w:szCs w:val="13"/>
                <w:b w:val="1"/>
                <w:bCs w:val="1"/>
                <w:color w:val="auto"/>
                <w:w w:val="92"/>
              </w:rPr>
              <w:t>Owned</w:t>
            </w:r>
          </w:p>
        </w:tc>
      </w:tr>
    </w:tbl>
    <w:p>
      <w:pPr>
        <w:spacing w:after="0" w:line="1" w:lineRule="exact"/>
        <w:rPr>
          <w:sz w:val="20"/>
          <w:szCs w:val="20"/>
          <w:color w:val="auto"/>
        </w:rPr>
      </w:pPr>
    </w:p>
    <w:p>
      <w:pPr>
        <w:sectPr>
          <w:pgSz w:w="11900" w:h="16838" w:orient="portrait"/>
          <w:cols w:equalWidth="0" w:num="2">
            <w:col w:w="7660" w:space="720"/>
            <w:col w:w="2760"/>
          </w:cols>
          <w:pgMar w:left="320" w:top="459" w:right="439" w:bottom="1440" w:gutter="0" w:footer="0" w:header="0"/>
          <w:type w:val="continuous"/>
        </w:sectPr>
      </w:pPr>
    </w:p>
    <w:tbl>
      <w:tblPr>
        <w:tblLayout w:type="fixed"/>
        <w:tblInd w:w="120" w:type="dxa"/>
        <w:tblCellMar>
          <w:top w:w="0" w:type="dxa"/>
          <w:left w:w="0" w:type="dxa"/>
          <w:bottom w:w="0" w:type="dxa"/>
          <w:right w:w="0" w:type="dxa"/>
        </w:tblCellMar>
      </w:tblPr>
      <w:tr>
        <w:trPr>
          <w:trHeight w:val="209"/>
        </w:trPr>
        <w:tc>
          <w:tcPr>
            <w:tcW w:w="6300" w:type="dxa"/>
            <w:vAlign w:val="bottom"/>
            <w:tcBorders>
              <w:top w:val="single" w:sz="8" w:color="407CCA"/>
            </w:tcBorders>
            <w:gridSpan w:val="2"/>
            <w:shd w:val="clear" w:color="auto" w:fill="CCEEFF"/>
          </w:tcPr>
          <w:p>
            <w:pPr>
              <w:spacing w:after="0"/>
              <w:rPr>
                <w:sz w:val="20"/>
                <w:szCs w:val="20"/>
                <w:color w:val="auto"/>
              </w:rPr>
            </w:pPr>
            <w:r>
              <w:rPr>
                <w:rFonts w:ascii="Arial" w:cs="Arial" w:eastAsia="Arial" w:hAnsi="Arial"/>
                <w:sz w:val="18"/>
                <w:szCs w:val="18"/>
                <w:i w:val="1"/>
                <w:iCs w:val="1"/>
                <w:color w:val="auto"/>
              </w:rPr>
              <w:t>Beneficial Owners of more than 5%:</w:t>
            </w:r>
          </w:p>
        </w:tc>
        <w:tc>
          <w:tcPr>
            <w:tcW w:w="3580" w:type="dxa"/>
            <w:vAlign w:val="bottom"/>
            <w:tcBorders>
              <w:top w:val="single" w:sz="8" w:color="407CCA"/>
            </w:tcBorders>
            <w:shd w:val="clear" w:color="auto" w:fill="CCEEFF"/>
          </w:tcPr>
          <w:p>
            <w:pPr>
              <w:spacing w:after="0"/>
              <w:rPr>
                <w:sz w:val="18"/>
                <w:szCs w:val="18"/>
                <w:color w:val="auto"/>
              </w:rPr>
            </w:pPr>
          </w:p>
        </w:tc>
        <w:tc>
          <w:tcPr>
            <w:tcW w:w="1140" w:type="dxa"/>
            <w:vAlign w:val="bottom"/>
            <w:tcBorders>
              <w:top w:val="single" w:sz="8" w:color="407CCA"/>
            </w:tcBorders>
            <w:shd w:val="clear" w:color="auto" w:fill="CCEEFF"/>
          </w:tcPr>
          <w:p>
            <w:pPr>
              <w:spacing w:after="0"/>
              <w:rPr>
                <w:sz w:val="18"/>
                <w:szCs w:val="18"/>
                <w:color w:val="auto"/>
              </w:rPr>
            </w:pPr>
          </w:p>
        </w:tc>
      </w:tr>
      <w:tr>
        <w:trPr>
          <w:trHeight w:val="216"/>
        </w:trPr>
        <w:tc>
          <w:tcPr>
            <w:tcW w:w="6300" w:type="dxa"/>
            <w:vAlign w:val="bottom"/>
            <w:gridSpan w:val="2"/>
          </w:tcPr>
          <w:p>
            <w:pPr>
              <w:ind w:left="280"/>
              <w:spacing w:after="0"/>
              <w:rPr>
                <w:sz w:val="20"/>
                <w:szCs w:val="20"/>
                <w:color w:val="auto"/>
              </w:rPr>
            </w:pPr>
            <w:r>
              <w:rPr>
                <w:rFonts w:ascii="Arial" w:cs="Arial" w:eastAsia="Arial" w:hAnsi="Arial"/>
                <w:sz w:val="18"/>
                <w:szCs w:val="18"/>
                <w:color w:val="auto"/>
              </w:rPr>
              <w:t>BlackRock, Inc.</w:t>
            </w:r>
            <w:r>
              <w:rPr>
                <w:rFonts w:ascii="Arial" w:cs="Arial" w:eastAsia="Arial" w:hAnsi="Arial"/>
                <w:sz w:val="15"/>
                <w:szCs w:val="15"/>
                <w:color w:val="auto"/>
              </w:rPr>
              <w:t>(2)</w:t>
            </w:r>
          </w:p>
        </w:tc>
        <w:tc>
          <w:tcPr>
            <w:tcW w:w="3580" w:type="dxa"/>
            <w:vAlign w:val="bottom"/>
          </w:tcPr>
          <w:p>
            <w:pPr>
              <w:jc w:val="right"/>
              <w:ind w:right="510"/>
              <w:spacing w:after="0"/>
              <w:rPr>
                <w:sz w:val="20"/>
                <w:szCs w:val="20"/>
                <w:color w:val="auto"/>
              </w:rPr>
            </w:pPr>
            <w:r>
              <w:rPr>
                <w:rFonts w:ascii="Arial" w:cs="Arial" w:eastAsia="Arial" w:hAnsi="Arial"/>
                <w:sz w:val="18"/>
                <w:szCs w:val="18"/>
                <w:color w:val="auto"/>
              </w:rPr>
              <w:t>61,064,769</w:t>
            </w:r>
          </w:p>
        </w:tc>
        <w:tc>
          <w:tcPr>
            <w:tcW w:w="1140" w:type="dxa"/>
            <w:vAlign w:val="bottom"/>
          </w:tcPr>
          <w:p>
            <w:pPr>
              <w:jc w:val="center"/>
              <w:ind w:left="150"/>
              <w:spacing w:after="0"/>
              <w:rPr>
                <w:sz w:val="20"/>
                <w:szCs w:val="20"/>
                <w:color w:val="auto"/>
              </w:rPr>
            </w:pPr>
            <w:r>
              <w:rPr>
                <w:rFonts w:ascii="Arial" w:cs="Arial" w:eastAsia="Arial" w:hAnsi="Arial"/>
                <w:sz w:val="18"/>
                <w:szCs w:val="18"/>
                <w:color w:val="auto"/>
                <w:w w:val="90"/>
              </w:rPr>
              <w:t>11.3%</w:t>
            </w:r>
          </w:p>
        </w:tc>
      </w:tr>
      <w:tr>
        <w:trPr>
          <w:trHeight w:val="202"/>
        </w:trPr>
        <w:tc>
          <w:tcPr>
            <w:tcW w:w="6300" w:type="dxa"/>
            <w:vAlign w:val="bottom"/>
            <w:gridSpan w:val="2"/>
            <w:shd w:val="clear" w:color="auto" w:fill="CCEEFF"/>
          </w:tcPr>
          <w:p>
            <w:pPr>
              <w:ind w:left="540"/>
              <w:spacing w:after="0" w:line="201" w:lineRule="exact"/>
              <w:rPr>
                <w:sz w:val="20"/>
                <w:szCs w:val="20"/>
                <w:color w:val="auto"/>
              </w:rPr>
            </w:pPr>
            <w:r>
              <w:rPr>
                <w:rFonts w:ascii="Arial" w:cs="Arial" w:eastAsia="Arial" w:hAnsi="Arial"/>
                <w:sz w:val="18"/>
                <w:szCs w:val="18"/>
                <w:color w:val="auto"/>
              </w:rPr>
              <w:t>55 East 52nd Street</w:t>
            </w:r>
          </w:p>
        </w:tc>
        <w:tc>
          <w:tcPr>
            <w:tcW w:w="3580" w:type="dxa"/>
            <w:vAlign w:val="bottom"/>
            <w:shd w:val="clear" w:color="auto" w:fill="CCEEFF"/>
          </w:tcPr>
          <w:p>
            <w:pPr>
              <w:spacing w:after="0"/>
              <w:rPr>
                <w:sz w:val="17"/>
                <w:szCs w:val="17"/>
                <w:color w:val="auto"/>
              </w:rPr>
            </w:pPr>
          </w:p>
        </w:tc>
        <w:tc>
          <w:tcPr>
            <w:tcW w:w="1140" w:type="dxa"/>
            <w:vAlign w:val="bottom"/>
            <w:shd w:val="clear" w:color="auto" w:fill="CCEEFF"/>
          </w:tcPr>
          <w:p>
            <w:pPr>
              <w:spacing w:after="0"/>
              <w:rPr>
                <w:sz w:val="17"/>
                <w:szCs w:val="17"/>
                <w:color w:val="auto"/>
              </w:rPr>
            </w:pPr>
          </w:p>
        </w:tc>
      </w:tr>
      <w:tr>
        <w:trPr>
          <w:trHeight w:val="244"/>
        </w:trPr>
        <w:tc>
          <w:tcPr>
            <w:tcW w:w="6300" w:type="dxa"/>
            <w:vAlign w:val="bottom"/>
            <w:gridSpan w:val="2"/>
            <w:shd w:val="clear" w:color="auto" w:fill="CCEEFF"/>
          </w:tcPr>
          <w:p>
            <w:pPr>
              <w:ind w:left="540"/>
              <w:spacing w:after="0"/>
              <w:rPr>
                <w:sz w:val="20"/>
                <w:szCs w:val="20"/>
                <w:color w:val="auto"/>
              </w:rPr>
            </w:pPr>
            <w:r>
              <w:rPr>
                <w:rFonts w:ascii="Arial" w:cs="Arial" w:eastAsia="Arial" w:hAnsi="Arial"/>
                <w:sz w:val="18"/>
                <w:szCs w:val="18"/>
                <w:color w:val="auto"/>
              </w:rPr>
              <w:t>New York, NY 10055</w:t>
            </w:r>
          </w:p>
        </w:tc>
        <w:tc>
          <w:tcPr>
            <w:tcW w:w="3580" w:type="dxa"/>
            <w:vAlign w:val="bottom"/>
            <w:shd w:val="clear" w:color="auto" w:fill="CCEEFF"/>
          </w:tcPr>
          <w:p>
            <w:pPr>
              <w:spacing w:after="0"/>
              <w:rPr>
                <w:sz w:val="21"/>
                <w:szCs w:val="21"/>
                <w:color w:val="auto"/>
              </w:rPr>
            </w:pPr>
          </w:p>
        </w:tc>
        <w:tc>
          <w:tcPr>
            <w:tcW w:w="1140" w:type="dxa"/>
            <w:vAlign w:val="bottom"/>
            <w:shd w:val="clear" w:color="auto" w:fill="CCEEFF"/>
          </w:tcPr>
          <w:p>
            <w:pPr>
              <w:spacing w:after="0"/>
              <w:rPr>
                <w:sz w:val="21"/>
                <w:szCs w:val="21"/>
                <w:color w:val="auto"/>
              </w:rPr>
            </w:pPr>
          </w:p>
        </w:tc>
      </w:tr>
      <w:tr>
        <w:trPr>
          <w:trHeight w:val="216"/>
        </w:trPr>
        <w:tc>
          <w:tcPr>
            <w:tcW w:w="6300" w:type="dxa"/>
            <w:vAlign w:val="bottom"/>
            <w:gridSpan w:val="2"/>
          </w:tcPr>
          <w:p>
            <w:pPr>
              <w:ind w:left="280"/>
              <w:spacing w:after="0"/>
              <w:rPr>
                <w:sz w:val="20"/>
                <w:szCs w:val="20"/>
                <w:color w:val="auto"/>
              </w:rPr>
            </w:pPr>
            <w:r>
              <w:rPr>
                <w:rFonts w:ascii="Arial" w:cs="Arial" w:eastAsia="Arial" w:hAnsi="Arial"/>
                <w:sz w:val="18"/>
                <w:szCs w:val="18"/>
                <w:color w:val="auto"/>
              </w:rPr>
              <w:t>The Vanguard Group</w:t>
            </w:r>
            <w:r>
              <w:rPr>
                <w:rFonts w:ascii="Arial" w:cs="Arial" w:eastAsia="Arial" w:hAnsi="Arial"/>
                <w:sz w:val="15"/>
                <w:szCs w:val="15"/>
                <w:color w:val="auto"/>
              </w:rPr>
              <w:t>(3)</w:t>
            </w:r>
          </w:p>
        </w:tc>
        <w:tc>
          <w:tcPr>
            <w:tcW w:w="3580" w:type="dxa"/>
            <w:vAlign w:val="bottom"/>
          </w:tcPr>
          <w:p>
            <w:pPr>
              <w:jc w:val="right"/>
              <w:ind w:right="510"/>
              <w:spacing w:after="0"/>
              <w:rPr>
                <w:sz w:val="20"/>
                <w:szCs w:val="20"/>
                <w:color w:val="auto"/>
              </w:rPr>
            </w:pPr>
            <w:r>
              <w:rPr>
                <w:rFonts w:ascii="Arial" w:cs="Arial" w:eastAsia="Arial" w:hAnsi="Arial"/>
                <w:sz w:val="18"/>
                <w:szCs w:val="18"/>
                <w:color w:val="auto"/>
              </w:rPr>
              <w:t>54,252,426</w:t>
            </w:r>
          </w:p>
        </w:tc>
        <w:tc>
          <w:tcPr>
            <w:tcW w:w="1140" w:type="dxa"/>
            <w:vAlign w:val="bottom"/>
          </w:tcPr>
          <w:p>
            <w:pPr>
              <w:jc w:val="center"/>
              <w:ind w:left="170"/>
              <w:spacing w:after="0"/>
              <w:rPr>
                <w:sz w:val="20"/>
                <w:szCs w:val="20"/>
                <w:color w:val="auto"/>
              </w:rPr>
            </w:pPr>
            <w:r>
              <w:rPr>
                <w:rFonts w:ascii="Arial" w:cs="Arial" w:eastAsia="Arial" w:hAnsi="Arial"/>
                <w:sz w:val="18"/>
                <w:szCs w:val="18"/>
                <w:color w:val="auto"/>
                <w:w w:val="91"/>
              </w:rPr>
              <w:t>10.03%</w:t>
            </w:r>
          </w:p>
        </w:tc>
      </w:tr>
      <w:tr>
        <w:trPr>
          <w:trHeight w:val="202"/>
        </w:trPr>
        <w:tc>
          <w:tcPr>
            <w:tcW w:w="6300" w:type="dxa"/>
            <w:vAlign w:val="bottom"/>
            <w:gridSpan w:val="2"/>
            <w:shd w:val="clear" w:color="auto" w:fill="CCEEFF"/>
          </w:tcPr>
          <w:p>
            <w:pPr>
              <w:ind w:left="540"/>
              <w:spacing w:after="0" w:line="201" w:lineRule="exact"/>
              <w:rPr>
                <w:sz w:val="20"/>
                <w:szCs w:val="20"/>
                <w:color w:val="auto"/>
              </w:rPr>
            </w:pPr>
            <w:r>
              <w:rPr>
                <w:rFonts w:ascii="Arial" w:cs="Arial" w:eastAsia="Arial" w:hAnsi="Arial"/>
                <w:sz w:val="18"/>
                <w:szCs w:val="18"/>
                <w:color w:val="auto"/>
              </w:rPr>
              <w:t>100 Vanguard Blvd.</w:t>
            </w:r>
          </w:p>
        </w:tc>
        <w:tc>
          <w:tcPr>
            <w:tcW w:w="3580" w:type="dxa"/>
            <w:vAlign w:val="bottom"/>
            <w:shd w:val="clear" w:color="auto" w:fill="CCEEFF"/>
          </w:tcPr>
          <w:p>
            <w:pPr>
              <w:spacing w:after="0"/>
              <w:rPr>
                <w:sz w:val="17"/>
                <w:szCs w:val="17"/>
                <w:color w:val="auto"/>
              </w:rPr>
            </w:pPr>
          </w:p>
        </w:tc>
        <w:tc>
          <w:tcPr>
            <w:tcW w:w="1140" w:type="dxa"/>
            <w:vAlign w:val="bottom"/>
            <w:shd w:val="clear" w:color="auto" w:fill="CCEEFF"/>
          </w:tcPr>
          <w:p>
            <w:pPr>
              <w:spacing w:after="0"/>
              <w:rPr>
                <w:sz w:val="17"/>
                <w:szCs w:val="17"/>
                <w:color w:val="auto"/>
              </w:rPr>
            </w:pPr>
          </w:p>
        </w:tc>
      </w:tr>
      <w:tr>
        <w:trPr>
          <w:trHeight w:val="244"/>
        </w:trPr>
        <w:tc>
          <w:tcPr>
            <w:tcW w:w="6300" w:type="dxa"/>
            <w:vAlign w:val="bottom"/>
            <w:gridSpan w:val="2"/>
            <w:shd w:val="clear" w:color="auto" w:fill="CCEEFF"/>
          </w:tcPr>
          <w:p>
            <w:pPr>
              <w:ind w:left="540"/>
              <w:spacing w:after="0"/>
              <w:rPr>
                <w:sz w:val="20"/>
                <w:szCs w:val="20"/>
                <w:color w:val="auto"/>
              </w:rPr>
            </w:pPr>
            <w:r>
              <w:rPr>
                <w:rFonts w:ascii="Arial" w:cs="Arial" w:eastAsia="Arial" w:hAnsi="Arial"/>
                <w:sz w:val="18"/>
                <w:szCs w:val="18"/>
                <w:color w:val="auto"/>
              </w:rPr>
              <w:t>Malvern, PA 19355</w:t>
            </w:r>
          </w:p>
        </w:tc>
        <w:tc>
          <w:tcPr>
            <w:tcW w:w="3580" w:type="dxa"/>
            <w:vAlign w:val="bottom"/>
            <w:shd w:val="clear" w:color="auto" w:fill="CCEEFF"/>
          </w:tcPr>
          <w:p>
            <w:pPr>
              <w:spacing w:after="0"/>
              <w:rPr>
                <w:sz w:val="21"/>
                <w:szCs w:val="21"/>
                <w:color w:val="auto"/>
              </w:rPr>
            </w:pPr>
          </w:p>
        </w:tc>
        <w:tc>
          <w:tcPr>
            <w:tcW w:w="1140" w:type="dxa"/>
            <w:vAlign w:val="bottom"/>
            <w:shd w:val="clear" w:color="auto" w:fill="CCEEFF"/>
          </w:tcPr>
          <w:p>
            <w:pPr>
              <w:spacing w:after="0"/>
              <w:rPr>
                <w:sz w:val="21"/>
                <w:szCs w:val="21"/>
                <w:color w:val="auto"/>
              </w:rPr>
            </w:pPr>
          </w:p>
        </w:tc>
      </w:tr>
      <w:tr>
        <w:trPr>
          <w:trHeight w:val="216"/>
        </w:trPr>
        <w:tc>
          <w:tcPr>
            <w:tcW w:w="6300" w:type="dxa"/>
            <w:vAlign w:val="bottom"/>
            <w:gridSpan w:val="2"/>
          </w:tcPr>
          <w:p>
            <w:pPr>
              <w:spacing w:after="0"/>
              <w:rPr>
                <w:sz w:val="20"/>
                <w:szCs w:val="20"/>
                <w:color w:val="auto"/>
              </w:rPr>
            </w:pPr>
            <w:r>
              <w:rPr>
                <w:rFonts w:ascii="Arial" w:cs="Arial" w:eastAsia="Arial" w:hAnsi="Arial"/>
                <w:sz w:val="18"/>
                <w:szCs w:val="18"/>
                <w:i w:val="1"/>
                <w:iCs w:val="1"/>
                <w:color w:val="auto"/>
              </w:rPr>
              <w:t>Directors and Named Executive Officers:</w:t>
            </w:r>
            <w:r>
              <w:rPr>
                <w:rFonts w:ascii="Arial" w:cs="Arial" w:eastAsia="Arial" w:hAnsi="Arial"/>
                <w:sz w:val="15"/>
                <w:szCs w:val="15"/>
                <w:i w:val="1"/>
                <w:iCs w:val="1"/>
                <w:color w:val="auto"/>
              </w:rPr>
              <w:t>(4)</w:t>
            </w:r>
          </w:p>
        </w:tc>
        <w:tc>
          <w:tcPr>
            <w:tcW w:w="3580" w:type="dxa"/>
            <w:vAlign w:val="bottom"/>
          </w:tcPr>
          <w:p>
            <w:pPr>
              <w:spacing w:after="0"/>
              <w:rPr>
                <w:sz w:val="18"/>
                <w:szCs w:val="18"/>
                <w:color w:val="auto"/>
              </w:rPr>
            </w:pPr>
          </w:p>
        </w:tc>
        <w:tc>
          <w:tcPr>
            <w:tcW w:w="1140" w:type="dxa"/>
            <w:vAlign w:val="bottom"/>
          </w:tcPr>
          <w:p>
            <w:pPr>
              <w:spacing w:after="0"/>
              <w:rPr>
                <w:sz w:val="18"/>
                <w:szCs w:val="18"/>
                <w:color w:val="auto"/>
              </w:rPr>
            </w:pPr>
          </w:p>
        </w:tc>
      </w:tr>
      <w:tr>
        <w:trPr>
          <w:trHeight w:val="216"/>
        </w:trPr>
        <w:tc>
          <w:tcPr>
            <w:tcW w:w="630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rPr>
              <w:t>Gary D. Kain</w:t>
            </w:r>
          </w:p>
        </w:tc>
        <w:tc>
          <w:tcPr>
            <w:tcW w:w="3580" w:type="dxa"/>
            <w:vAlign w:val="bottom"/>
            <w:shd w:val="clear" w:color="auto" w:fill="CCEEFF"/>
          </w:tcPr>
          <w:p>
            <w:pPr>
              <w:jc w:val="right"/>
              <w:ind w:right="330"/>
              <w:spacing w:after="0"/>
              <w:rPr>
                <w:sz w:val="20"/>
                <w:szCs w:val="20"/>
                <w:color w:val="auto"/>
              </w:rPr>
            </w:pPr>
            <w:r>
              <w:rPr>
                <w:rFonts w:ascii="Arial" w:cs="Arial" w:eastAsia="Arial" w:hAnsi="Arial"/>
                <w:sz w:val="18"/>
                <w:szCs w:val="18"/>
                <w:color w:val="auto"/>
              </w:rPr>
              <w:t>1,126,296</w:t>
            </w:r>
            <w:r>
              <w:rPr>
                <w:rFonts w:ascii="Arial" w:cs="Arial" w:eastAsia="Arial" w:hAnsi="Arial"/>
                <w:sz w:val="15"/>
                <w:szCs w:val="15"/>
                <w:color w:val="auto"/>
              </w:rPr>
              <w:t>(5)</w:t>
            </w:r>
          </w:p>
        </w:tc>
        <w:tc>
          <w:tcPr>
            <w:tcW w:w="1140" w:type="dxa"/>
            <w:vAlign w:val="bottom"/>
            <w:shd w:val="clear" w:color="auto" w:fill="CCEEFF"/>
          </w:tcPr>
          <w:p>
            <w:pPr>
              <w:jc w:val="center"/>
              <w:ind w:left="150"/>
              <w:spacing w:after="0"/>
              <w:rPr>
                <w:sz w:val="20"/>
                <w:szCs w:val="20"/>
                <w:color w:val="auto"/>
              </w:rPr>
            </w:pPr>
            <w:r>
              <w:rPr>
                <w:rFonts w:ascii="Arial" w:cs="Arial" w:eastAsia="Arial" w:hAnsi="Arial"/>
                <w:sz w:val="18"/>
                <w:szCs w:val="18"/>
                <w:color w:val="auto"/>
              </w:rPr>
              <w:t>*</w:t>
            </w:r>
          </w:p>
        </w:tc>
      </w:tr>
      <w:tr>
        <w:trPr>
          <w:trHeight w:val="216"/>
        </w:trPr>
        <w:tc>
          <w:tcPr>
            <w:tcW w:w="6300" w:type="dxa"/>
            <w:vAlign w:val="bottom"/>
            <w:gridSpan w:val="2"/>
          </w:tcPr>
          <w:p>
            <w:pPr>
              <w:ind w:left="280"/>
              <w:spacing w:after="0"/>
              <w:rPr>
                <w:sz w:val="20"/>
                <w:szCs w:val="20"/>
                <w:color w:val="auto"/>
              </w:rPr>
            </w:pPr>
            <w:r>
              <w:rPr>
                <w:rFonts w:ascii="Arial" w:cs="Arial" w:eastAsia="Arial" w:hAnsi="Arial"/>
                <w:sz w:val="18"/>
                <w:szCs w:val="18"/>
                <w:color w:val="auto"/>
              </w:rPr>
              <w:t>Peter J. Federico</w:t>
            </w:r>
          </w:p>
        </w:tc>
        <w:tc>
          <w:tcPr>
            <w:tcW w:w="3580" w:type="dxa"/>
            <w:vAlign w:val="bottom"/>
          </w:tcPr>
          <w:p>
            <w:pPr>
              <w:jc w:val="right"/>
              <w:ind w:right="510"/>
              <w:spacing w:after="0"/>
              <w:rPr>
                <w:sz w:val="20"/>
                <w:szCs w:val="20"/>
                <w:color w:val="auto"/>
              </w:rPr>
            </w:pPr>
            <w:r>
              <w:rPr>
                <w:rFonts w:ascii="Arial" w:cs="Arial" w:eastAsia="Arial" w:hAnsi="Arial"/>
                <w:sz w:val="18"/>
                <w:szCs w:val="18"/>
                <w:color w:val="auto"/>
              </w:rPr>
              <w:t>284,289</w:t>
            </w:r>
          </w:p>
        </w:tc>
        <w:tc>
          <w:tcPr>
            <w:tcW w:w="1140" w:type="dxa"/>
            <w:vAlign w:val="bottom"/>
          </w:tcPr>
          <w:p>
            <w:pPr>
              <w:jc w:val="center"/>
              <w:ind w:left="150"/>
              <w:spacing w:after="0"/>
              <w:rPr>
                <w:sz w:val="20"/>
                <w:szCs w:val="20"/>
                <w:color w:val="auto"/>
              </w:rPr>
            </w:pPr>
            <w:r>
              <w:rPr>
                <w:rFonts w:ascii="Arial" w:cs="Arial" w:eastAsia="Arial" w:hAnsi="Arial"/>
                <w:sz w:val="18"/>
                <w:szCs w:val="18"/>
                <w:color w:val="auto"/>
              </w:rPr>
              <w:t>*</w:t>
            </w:r>
          </w:p>
        </w:tc>
      </w:tr>
      <w:tr>
        <w:trPr>
          <w:trHeight w:val="216"/>
        </w:trPr>
        <w:tc>
          <w:tcPr>
            <w:tcW w:w="630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rPr>
              <w:t>Christopher J. Kuehl</w:t>
            </w:r>
          </w:p>
        </w:tc>
        <w:tc>
          <w:tcPr>
            <w:tcW w:w="3580" w:type="dxa"/>
            <w:vAlign w:val="bottom"/>
            <w:shd w:val="clear" w:color="auto" w:fill="CCEEFF"/>
          </w:tcPr>
          <w:p>
            <w:pPr>
              <w:jc w:val="right"/>
              <w:ind w:right="510"/>
              <w:spacing w:after="0"/>
              <w:rPr>
                <w:sz w:val="20"/>
                <w:szCs w:val="20"/>
                <w:color w:val="auto"/>
              </w:rPr>
            </w:pPr>
            <w:r>
              <w:rPr>
                <w:rFonts w:ascii="Arial" w:cs="Arial" w:eastAsia="Arial" w:hAnsi="Arial"/>
                <w:sz w:val="18"/>
                <w:szCs w:val="18"/>
                <w:color w:val="auto"/>
              </w:rPr>
              <w:t>300,839</w:t>
            </w:r>
          </w:p>
        </w:tc>
        <w:tc>
          <w:tcPr>
            <w:tcW w:w="1140" w:type="dxa"/>
            <w:vAlign w:val="bottom"/>
            <w:shd w:val="clear" w:color="auto" w:fill="CCEEFF"/>
          </w:tcPr>
          <w:p>
            <w:pPr>
              <w:jc w:val="center"/>
              <w:ind w:left="150"/>
              <w:spacing w:after="0"/>
              <w:rPr>
                <w:sz w:val="20"/>
                <w:szCs w:val="20"/>
                <w:color w:val="auto"/>
              </w:rPr>
            </w:pPr>
            <w:r>
              <w:rPr>
                <w:rFonts w:ascii="Arial" w:cs="Arial" w:eastAsia="Arial" w:hAnsi="Arial"/>
                <w:sz w:val="18"/>
                <w:szCs w:val="18"/>
                <w:color w:val="auto"/>
              </w:rPr>
              <w:t>*</w:t>
            </w:r>
          </w:p>
        </w:tc>
      </w:tr>
      <w:tr>
        <w:trPr>
          <w:trHeight w:val="216"/>
        </w:trPr>
        <w:tc>
          <w:tcPr>
            <w:tcW w:w="6300" w:type="dxa"/>
            <w:vAlign w:val="bottom"/>
            <w:gridSpan w:val="2"/>
          </w:tcPr>
          <w:p>
            <w:pPr>
              <w:ind w:left="280"/>
              <w:spacing w:after="0"/>
              <w:rPr>
                <w:sz w:val="20"/>
                <w:szCs w:val="20"/>
                <w:color w:val="auto"/>
              </w:rPr>
            </w:pPr>
            <w:r>
              <w:rPr>
                <w:rFonts w:ascii="Arial" w:cs="Arial" w:eastAsia="Arial" w:hAnsi="Arial"/>
                <w:sz w:val="18"/>
                <w:szCs w:val="18"/>
                <w:color w:val="auto"/>
              </w:rPr>
              <w:t>Donna J. Blank</w:t>
            </w:r>
          </w:p>
        </w:tc>
        <w:tc>
          <w:tcPr>
            <w:tcW w:w="3580" w:type="dxa"/>
            <w:vAlign w:val="bottom"/>
          </w:tcPr>
          <w:p>
            <w:pPr>
              <w:jc w:val="right"/>
              <w:ind w:right="950"/>
              <w:spacing w:after="0"/>
              <w:rPr>
                <w:sz w:val="20"/>
                <w:szCs w:val="20"/>
                <w:color w:val="auto"/>
              </w:rPr>
            </w:pPr>
            <w:r>
              <w:rPr>
                <w:rFonts w:ascii="Arial" w:cs="Arial" w:eastAsia="Arial" w:hAnsi="Arial"/>
                <w:sz w:val="18"/>
                <w:szCs w:val="18"/>
                <w:color w:val="auto"/>
              </w:rPr>
              <w:t>–</w:t>
            </w:r>
          </w:p>
        </w:tc>
        <w:tc>
          <w:tcPr>
            <w:tcW w:w="1140" w:type="dxa"/>
            <w:vAlign w:val="bottom"/>
          </w:tcPr>
          <w:p>
            <w:pPr>
              <w:jc w:val="center"/>
              <w:ind w:left="150"/>
              <w:spacing w:after="0"/>
              <w:rPr>
                <w:sz w:val="20"/>
                <w:szCs w:val="20"/>
                <w:color w:val="auto"/>
              </w:rPr>
            </w:pPr>
            <w:r>
              <w:rPr>
                <w:rFonts w:ascii="Arial" w:cs="Arial" w:eastAsia="Arial" w:hAnsi="Arial"/>
                <w:sz w:val="18"/>
                <w:szCs w:val="18"/>
                <w:color w:val="auto"/>
                <w:w w:val="99"/>
              </w:rPr>
              <w:t>–</w:t>
            </w:r>
          </w:p>
        </w:tc>
      </w:tr>
      <w:tr>
        <w:trPr>
          <w:trHeight w:val="216"/>
        </w:trPr>
        <w:tc>
          <w:tcPr>
            <w:tcW w:w="630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rPr>
              <w:t>Bernice E. Bell</w:t>
            </w:r>
          </w:p>
        </w:tc>
        <w:tc>
          <w:tcPr>
            <w:tcW w:w="3580" w:type="dxa"/>
            <w:vAlign w:val="bottom"/>
            <w:shd w:val="clear" w:color="auto" w:fill="CCEEFF"/>
          </w:tcPr>
          <w:p>
            <w:pPr>
              <w:jc w:val="right"/>
              <w:ind w:right="510"/>
              <w:spacing w:after="0"/>
              <w:rPr>
                <w:sz w:val="20"/>
                <w:szCs w:val="20"/>
                <w:color w:val="auto"/>
              </w:rPr>
            </w:pPr>
            <w:r>
              <w:rPr>
                <w:rFonts w:ascii="Arial" w:cs="Arial" w:eastAsia="Arial" w:hAnsi="Arial"/>
                <w:sz w:val="18"/>
                <w:szCs w:val="18"/>
                <w:color w:val="auto"/>
              </w:rPr>
              <w:t>6,521</w:t>
            </w:r>
          </w:p>
        </w:tc>
        <w:tc>
          <w:tcPr>
            <w:tcW w:w="1140" w:type="dxa"/>
            <w:vAlign w:val="bottom"/>
            <w:shd w:val="clear" w:color="auto" w:fill="CCEEFF"/>
          </w:tcPr>
          <w:p>
            <w:pPr>
              <w:jc w:val="center"/>
              <w:ind w:left="150"/>
              <w:spacing w:after="0"/>
              <w:rPr>
                <w:sz w:val="20"/>
                <w:szCs w:val="20"/>
                <w:color w:val="auto"/>
              </w:rPr>
            </w:pPr>
            <w:r>
              <w:rPr>
                <w:rFonts w:ascii="Arial" w:cs="Arial" w:eastAsia="Arial" w:hAnsi="Arial"/>
                <w:sz w:val="18"/>
                <w:szCs w:val="18"/>
                <w:color w:val="auto"/>
              </w:rPr>
              <w:t>*</w:t>
            </w:r>
          </w:p>
        </w:tc>
      </w:tr>
      <w:tr>
        <w:trPr>
          <w:trHeight w:val="216"/>
        </w:trPr>
        <w:tc>
          <w:tcPr>
            <w:tcW w:w="6300" w:type="dxa"/>
            <w:vAlign w:val="bottom"/>
            <w:gridSpan w:val="2"/>
          </w:tcPr>
          <w:p>
            <w:pPr>
              <w:ind w:left="280"/>
              <w:spacing w:after="0"/>
              <w:rPr>
                <w:sz w:val="20"/>
                <w:szCs w:val="20"/>
                <w:color w:val="auto"/>
              </w:rPr>
            </w:pPr>
            <w:r>
              <w:rPr>
                <w:rFonts w:ascii="Arial" w:cs="Arial" w:eastAsia="Arial" w:hAnsi="Arial"/>
                <w:sz w:val="18"/>
                <w:szCs w:val="18"/>
                <w:color w:val="auto"/>
              </w:rPr>
              <w:t>Morris A. Davis</w:t>
            </w:r>
          </w:p>
        </w:tc>
        <w:tc>
          <w:tcPr>
            <w:tcW w:w="3580" w:type="dxa"/>
            <w:vAlign w:val="bottom"/>
          </w:tcPr>
          <w:p>
            <w:pPr>
              <w:jc w:val="right"/>
              <w:ind w:right="510"/>
              <w:spacing w:after="0"/>
              <w:rPr>
                <w:sz w:val="20"/>
                <w:szCs w:val="20"/>
                <w:color w:val="auto"/>
              </w:rPr>
            </w:pPr>
            <w:r>
              <w:rPr>
                <w:rFonts w:ascii="Arial" w:cs="Arial" w:eastAsia="Arial" w:hAnsi="Arial"/>
                <w:sz w:val="18"/>
                <w:szCs w:val="18"/>
                <w:color w:val="auto"/>
              </w:rPr>
              <w:t>7,350</w:t>
            </w:r>
          </w:p>
        </w:tc>
        <w:tc>
          <w:tcPr>
            <w:tcW w:w="1140" w:type="dxa"/>
            <w:vAlign w:val="bottom"/>
          </w:tcPr>
          <w:p>
            <w:pPr>
              <w:jc w:val="center"/>
              <w:ind w:left="150"/>
              <w:spacing w:after="0"/>
              <w:rPr>
                <w:sz w:val="20"/>
                <w:szCs w:val="20"/>
                <w:color w:val="auto"/>
              </w:rPr>
            </w:pPr>
            <w:r>
              <w:rPr>
                <w:rFonts w:ascii="Arial" w:cs="Arial" w:eastAsia="Arial" w:hAnsi="Arial"/>
                <w:sz w:val="18"/>
                <w:szCs w:val="18"/>
                <w:color w:val="auto"/>
                <w:w w:val="99"/>
              </w:rPr>
              <w:t>–</w:t>
            </w:r>
          </w:p>
        </w:tc>
      </w:tr>
      <w:tr>
        <w:trPr>
          <w:trHeight w:val="216"/>
        </w:trPr>
        <w:tc>
          <w:tcPr>
            <w:tcW w:w="630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rPr>
              <w:t>John D. Fisk</w:t>
            </w:r>
          </w:p>
        </w:tc>
        <w:tc>
          <w:tcPr>
            <w:tcW w:w="3580" w:type="dxa"/>
            <w:vAlign w:val="bottom"/>
            <w:shd w:val="clear" w:color="auto" w:fill="CCEEFF"/>
          </w:tcPr>
          <w:p>
            <w:pPr>
              <w:jc w:val="right"/>
              <w:ind w:right="950"/>
              <w:spacing w:after="0"/>
              <w:rPr>
                <w:sz w:val="20"/>
                <w:szCs w:val="20"/>
                <w:color w:val="auto"/>
              </w:rPr>
            </w:pPr>
            <w:r>
              <w:rPr>
                <w:rFonts w:ascii="Arial" w:cs="Arial" w:eastAsia="Arial" w:hAnsi="Arial"/>
                <w:sz w:val="18"/>
                <w:szCs w:val="18"/>
                <w:color w:val="auto"/>
              </w:rPr>
              <w:t>–</w:t>
            </w:r>
          </w:p>
        </w:tc>
        <w:tc>
          <w:tcPr>
            <w:tcW w:w="1140" w:type="dxa"/>
            <w:vAlign w:val="bottom"/>
            <w:shd w:val="clear" w:color="auto" w:fill="CCEEFF"/>
          </w:tcPr>
          <w:p>
            <w:pPr>
              <w:jc w:val="center"/>
              <w:ind w:left="150"/>
              <w:spacing w:after="0"/>
              <w:rPr>
                <w:sz w:val="20"/>
                <w:szCs w:val="20"/>
                <w:color w:val="auto"/>
              </w:rPr>
            </w:pPr>
            <w:r>
              <w:rPr>
                <w:rFonts w:ascii="Arial" w:cs="Arial" w:eastAsia="Arial" w:hAnsi="Arial"/>
                <w:sz w:val="18"/>
                <w:szCs w:val="18"/>
                <w:color w:val="auto"/>
                <w:w w:val="99"/>
              </w:rPr>
              <w:t>–</w:t>
            </w:r>
          </w:p>
        </w:tc>
      </w:tr>
      <w:tr>
        <w:trPr>
          <w:trHeight w:val="216"/>
        </w:trPr>
        <w:tc>
          <w:tcPr>
            <w:tcW w:w="6300" w:type="dxa"/>
            <w:vAlign w:val="bottom"/>
            <w:gridSpan w:val="2"/>
          </w:tcPr>
          <w:p>
            <w:pPr>
              <w:ind w:left="280"/>
              <w:spacing w:after="0"/>
              <w:rPr>
                <w:sz w:val="20"/>
                <w:szCs w:val="20"/>
                <w:color w:val="auto"/>
              </w:rPr>
            </w:pPr>
            <w:r>
              <w:rPr>
                <w:rFonts w:ascii="Arial" w:cs="Arial" w:eastAsia="Arial" w:hAnsi="Arial"/>
                <w:sz w:val="18"/>
                <w:szCs w:val="18"/>
                <w:color w:val="auto"/>
              </w:rPr>
              <w:t>Prue B. Larocca</w:t>
            </w:r>
          </w:p>
        </w:tc>
        <w:tc>
          <w:tcPr>
            <w:tcW w:w="3580" w:type="dxa"/>
            <w:vAlign w:val="bottom"/>
          </w:tcPr>
          <w:p>
            <w:pPr>
              <w:jc w:val="right"/>
              <w:ind w:right="510"/>
              <w:spacing w:after="0"/>
              <w:rPr>
                <w:sz w:val="20"/>
                <w:szCs w:val="20"/>
                <w:color w:val="auto"/>
              </w:rPr>
            </w:pPr>
            <w:r>
              <w:rPr>
                <w:rFonts w:ascii="Arial" w:cs="Arial" w:eastAsia="Arial" w:hAnsi="Arial"/>
                <w:sz w:val="18"/>
                <w:szCs w:val="18"/>
                <w:color w:val="auto"/>
              </w:rPr>
              <w:t>25,506</w:t>
            </w:r>
          </w:p>
        </w:tc>
        <w:tc>
          <w:tcPr>
            <w:tcW w:w="1140" w:type="dxa"/>
            <w:vAlign w:val="bottom"/>
          </w:tcPr>
          <w:p>
            <w:pPr>
              <w:jc w:val="center"/>
              <w:ind w:left="150"/>
              <w:spacing w:after="0"/>
              <w:rPr>
                <w:sz w:val="20"/>
                <w:szCs w:val="20"/>
                <w:color w:val="auto"/>
              </w:rPr>
            </w:pPr>
            <w:r>
              <w:rPr>
                <w:rFonts w:ascii="Arial" w:cs="Arial" w:eastAsia="Arial" w:hAnsi="Arial"/>
                <w:sz w:val="18"/>
                <w:szCs w:val="18"/>
                <w:color w:val="auto"/>
              </w:rPr>
              <w:t>*</w:t>
            </w:r>
          </w:p>
        </w:tc>
      </w:tr>
      <w:tr>
        <w:trPr>
          <w:trHeight w:val="216"/>
        </w:trPr>
        <w:tc>
          <w:tcPr>
            <w:tcW w:w="630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rPr>
              <w:t>Paul E. Mullings</w:t>
            </w:r>
          </w:p>
        </w:tc>
        <w:tc>
          <w:tcPr>
            <w:tcW w:w="3580" w:type="dxa"/>
            <w:vAlign w:val="bottom"/>
            <w:shd w:val="clear" w:color="auto" w:fill="CCEEFF"/>
          </w:tcPr>
          <w:p>
            <w:pPr>
              <w:jc w:val="right"/>
              <w:ind w:right="950"/>
              <w:spacing w:after="0"/>
              <w:rPr>
                <w:sz w:val="20"/>
                <w:szCs w:val="20"/>
                <w:color w:val="auto"/>
              </w:rPr>
            </w:pPr>
            <w:r>
              <w:rPr>
                <w:rFonts w:ascii="Arial" w:cs="Arial" w:eastAsia="Arial" w:hAnsi="Arial"/>
                <w:sz w:val="18"/>
                <w:szCs w:val="18"/>
                <w:color w:val="auto"/>
              </w:rPr>
              <w:t>–</w:t>
            </w:r>
          </w:p>
        </w:tc>
        <w:tc>
          <w:tcPr>
            <w:tcW w:w="1140" w:type="dxa"/>
            <w:vAlign w:val="bottom"/>
            <w:shd w:val="clear" w:color="auto" w:fill="CCEEFF"/>
          </w:tcPr>
          <w:p>
            <w:pPr>
              <w:jc w:val="center"/>
              <w:ind w:left="150"/>
              <w:spacing w:after="0"/>
              <w:rPr>
                <w:sz w:val="20"/>
                <w:szCs w:val="20"/>
                <w:color w:val="auto"/>
              </w:rPr>
            </w:pPr>
            <w:r>
              <w:rPr>
                <w:rFonts w:ascii="Arial" w:cs="Arial" w:eastAsia="Arial" w:hAnsi="Arial"/>
                <w:sz w:val="18"/>
                <w:szCs w:val="18"/>
                <w:color w:val="auto"/>
                <w:w w:val="99"/>
              </w:rPr>
              <w:t>–</w:t>
            </w:r>
          </w:p>
        </w:tc>
      </w:tr>
      <w:tr>
        <w:trPr>
          <w:trHeight w:val="216"/>
        </w:trPr>
        <w:tc>
          <w:tcPr>
            <w:tcW w:w="6300" w:type="dxa"/>
            <w:vAlign w:val="bottom"/>
            <w:gridSpan w:val="2"/>
          </w:tcPr>
          <w:p>
            <w:pPr>
              <w:ind w:left="280"/>
              <w:spacing w:after="0"/>
              <w:rPr>
                <w:sz w:val="20"/>
                <w:szCs w:val="20"/>
                <w:color w:val="auto"/>
              </w:rPr>
            </w:pPr>
            <w:r>
              <w:rPr>
                <w:rFonts w:ascii="Arial" w:cs="Arial" w:eastAsia="Arial" w:hAnsi="Arial"/>
                <w:sz w:val="18"/>
                <w:szCs w:val="18"/>
                <w:color w:val="auto"/>
              </w:rPr>
              <w:t>Aaron J. Pas</w:t>
            </w:r>
          </w:p>
        </w:tc>
        <w:tc>
          <w:tcPr>
            <w:tcW w:w="3580" w:type="dxa"/>
            <w:vAlign w:val="bottom"/>
          </w:tcPr>
          <w:p>
            <w:pPr>
              <w:jc w:val="right"/>
              <w:ind w:right="950"/>
              <w:spacing w:after="0"/>
              <w:rPr>
                <w:sz w:val="20"/>
                <w:szCs w:val="20"/>
                <w:color w:val="auto"/>
              </w:rPr>
            </w:pPr>
            <w:r>
              <w:rPr>
                <w:rFonts w:ascii="Arial" w:cs="Arial" w:eastAsia="Arial" w:hAnsi="Arial"/>
                <w:sz w:val="18"/>
                <w:szCs w:val="18"/>
                <w:color w:val="auto"/>
              </w:rPr>
              <w:t>–</w:t>
            </w:r>
          </w:p>
        </w:tc>
        <w:tc>
          <w:tcPr>
            <w:tcW w:w="1140" w:type="dxa"/>
            <w:vAlign w:val="bottom"/>
          </w:tcPr>
          <w:p>
            <w:pPr>
              <w:jc w:val="center"/>
              <w:ind w:left="150"/>
              <w:spacing w:after="0"/>
              <w:rPr>
                <w:sz w:val="20"/>
                <w:szCs w:val="20"/>
                <w:color w:val="auto"/>
              </w:rPr>
            </w:pPr>
            <w:r>
              <w:rPr>
                <w:rFonts w:ascii="Arial" w:cs="Arial" w:eastAsia="Arial" w:hAnsi="Arial"/>
                <w:sz w:val="18"/>
                <w:szCs w:val="18"/>
                <w:color w:val="auto"/>
                <w:w w:val="99"/>
              </w:rPr>
              <w:t>–</w:t>
            </w:r>
          </w:p>
        </w:tc>
      </w:tr>
      <w:tr>
        <w:trPr>
          <w:trHeight w:val="216"/>
        </w:trPr>
        <w:tc>
          <w:tcPr>
            <w:tcW w:w="6300" w:type="dxa"/>
            <w:vAlign w:val="bottom"/>
            <w:tcBorders>
              <w:bottom w:val="single" w:sz="8" w:color="407CCA"/>
            </w:tcBorders>
            <w:gridSpan w:val="2"/>
            <w:shd w:val="clear" w:color="auto" w:fill="CCEEFF"/>
          </w:tcPr>
          <w:p>
            <w:pPr>
              <w:ind w:left="280"/>
              <w:spacing w:after="0"/>
              <w:rPr>
                <w:sz w:val="20"/>
                <w:szCs w:val="20"/>
                <w:color w:val="auto"/>
              </w:rPr>
            </w:pPr>
            <w:r>
              <w:rPr>
                <w:rFonts w:ascii="Arial" w:cs="Arial" w:eastAsia="Arial" w:hAnsi="Arial"/>
                <w:sz w:val="18"/>
                <w:szCs w:val="18"/>
                <w:color w:val="auto"/>
              </w:rPr>
              <w:t>Frances R. Spark</w:t>
            </w:r>
          </w:p>
        </w:tc>
        <w:tc>
          <w:tcPr>
            <w:tcW w:w="3580" w:type="dxa"/>
            <w:vAlign w:val="bottom"/>
            <w:tcBorders>
              <w:bottom w:val="single" w:sz="8" w:color="407CCA"/>
            </w:tcBorders>
            <w:shd w:val="clear" w:color="auto" w:fill="CCEEFF"/>
          </w:tcPr>
          <w:p>
            <w:pPr>
              <w:jc w:val="right"/>
              <w:ind w:right="510"/>
              <w:spacing w:after="0"/>
              <w:rPr>
                <w:sz w:val="20"/>
                <w:szCs w:val="20"/>
                <w:color w:val="auto"/>
              </w:rPr>
            </w:pPr>
            <w:r>
              <w:rPr>
                <w:rFonts w:ascii="Arial" w:cs="Arial" w:eastAsia="Arial" w:hAnsi="Arial"/>
                <w:sz w:val="18"/>
                <w:szCs w:val="18"/>
                <w:color w:val="auto"/>
              </w:rPr>
              <w:t>5,000</w:t>
            </w:r>
          </w:p>
        </w:tc>
        <w:tc>
          <w:tcPr>
            <w:tcW w:w="1140" w:type="dxa"/>
            <w:vAlign w:val="bottom"/>
            <w:tcBorders>
              <w:bottom w:val="single" w:sz="8" w:color="407CCA"/>
            </w:tcBorders>
            <w:shd w:val="clear" w:color="auto" w:fill="CCEEFF"/>
          </w:tcPr>
          <w:p>
            <w:pPr>
              <w:jc w:val="center"/>
              <w:ind w:left="150"/>
              <w:spacing w:after="0"/>
              <w:rPr>
                <w:sz w:val="20"/>
                <w:szCs w:val="20"/>
                <w:color w:val="auto"/>
              </w:rPr>
            </w:pPr>
            <w:r>
              <w:rPr>
                <w:rFonts w:ascii="Arial" w:cs="Arial" w:eastAsia="Arial" w:hAnsi="Arial"/>
                <w:sz w:val="18"/>
                <w:szCs w:val="18"/>
                <w:color w:val="auto"/>
              </w:rPr>
              <w:t>*</w:t>
            </w:r>
          </w:p>
        </w:tc>
      </w:tr>
      <w:tr>
        <w:trPr>
          <w:trHeight w:val="209"/>
        </w:trPr>
        <w:tc>
          <w:tcPr>
            <w:tcW w:w="6300" w:type="dxa"/>
            <w:vAlign w:val="bottom"/>
            <w:tcBorders>
              <w:bottom w:val="single" w:sz="8" w:color="407CCA"/>
            </w:tcBorders>
            <w:gridSpan w:val="2"/>
          </w:tcPr>
          <w:p>
            <w:pPr>
              <w:spacing w:after="0"/>
              <w:rPr>
                <w:sz w:val="20"/>
                <w:szCs w:val="20"/>
                <w:color w:val="auto"/>
              </w:rPr>
            </w:pPr>
            <w:r>
              <w:rPr>
                <w:rFonts w:ascii="Arial" w:cs="Arial" w:eastAsia="Arial" w:hAnsi="Arial"/>
                <w:sz w:val="18"/>
                <w:szCs w:val="18"/>
                <w:i w:val="1"/>
                <w:iCs w:val="1"/>
                <w:color w:val="auto"/>
              </w:rPr>
              <w:t>Directors and Executive Officers as a group (12 persons)</w:t>
            </w:r>
          </w:p>
        </w:tc>
        <w:tc>
          <w:tcPr>
            <w:tcW w:w="3580" w:type="dxa"/>
            <w:vAlign w:val="bottom"/>
            <w:tcBorders>
              <w:bottom w:val="single" w:sz="8" w:color="407CCA"/>
            </w:tcBorders>
          </w:tcPr>
          <w:p>
            <w:pPr>
              <w:jc w:val="right"/>
              <w:ind w:right="510"/>
              <w:spacing w:after="0"/>
              <w:rPr>
                <w:sz w:val="20"/>
                <w:szCs w:val="20"/>
                <w:color w:val="auto"/>
              </w:rPr>
            </w:pPr>
            <w:r>
              <w:rPr>
                <w:rFonts w:ascii="Arial" w:cs="Arial" w:eastAsia="Arial" w:hAnsi="Arial"/>
                <w:sz w:val="18"/>
                <w:szCs w:val="18"/>
                <w:color w:val="auto"/>
              </w:rPr>
              <w:t>1,756,801</w:t>
            </w:r>
          </w:p>
        </w:tc>
        <w:tc>
          <w:tcPr>
            <w:tcW w:w="1140" w:type="dxa"/>
            <w:vAlign w:val="bottom"/>
            <w:tcBorders>
              <w:bottom w:val="single" w:sz="8" w:color="407CCA"/>
            </w:tcBorders>
          </w:tcPr>
          <w:p>
            <w:pPr>
              <w:jc w:val="center"/>
              <w:ind w:left="150"/>
              <w:spacing w:after="0"/>
              <w:rPr>
                <w:sz w:val="20"/>
                <w:szCs w:val="20"/>
                <w:color w:val="auto"/>
              </w:rPr>
            </w:pPr>
            <w:r>
              <w:rPr>
                <w:rFonts w:ascii="Arial" w:cs="Arial" w:eastAsia="Arial" w:hAnsi="Arial"/>
                <w:sz w:val="18"/>
                <w:szCs w:val="18"/>
                <w:color w:val="auto"/>
              </w:rPr>
              <w:t>*</w:t>
            </w:r>
          </w:p>
        </w:tc>
      </w:tr>
      <w:tr>
        <w:trPr>
          <w:trHeight w:val="129"/>
        </w:trPr>
        <w:tc>
          <w:tcPr>
            <w:tcW w:w="3860" w:type="dxa"/>
            <w:vAlign w:val="bottom"/>
            <w:tcBorders>
              <w:bottom w:val="single" w:sz="8" w:color="auto"/>
            </w:tcBorders>
          </w:tcPr>
          <w:p>
            <w:pPr>
              <w:spacing w:after="0"/>
              <w:rPr>
                <w:sz w:val="11"/>
                <w:szCs w:val="11"/>
                <w:color w:val="auto"/>
              </w:rPr>
            </w:pPr>
          </w:p>
        </w:tc>
        <w:tc>
          <w:tcPr>
            <w:tcW w:w="2440" w:type="dxa"/>
            <w:vAlign w:val="bottom"/>
          </w:tcPr>
          <w:p>
            <w:pPr>
              <w:spacing w:after="0"/>
              <w:rPr>
                <w:sz w:val="11"/>
                <w:szCs w:val="11"/>
                <w:color w:val="auto"/>
              </w:rPr>
            </w:pPr>
          </w:p>
        </w:tc>
        <w:tc>
          <w:tcPr>
            <w:tcW w:w="3580" w:type="dxa"/>
            <w:vAlign w:val="bottom"/>
          </w:tcPr>
          <w:p>
            <w:pPr>
              <w:spacing w:after="0"/>
              <w:rPr>
                <w:sz w:val="11"/>
                <w:szCs w:val="11"/>
                <w:color w:val="auto"/>
              </w:rPr>
            </w:pPr>
          </w:p>
        </w:tc>
        <w:tc>
          <w:tcPr>
            <w:tcW w:w="1140" w:type="dxa"/>
            <w:vAlign w:val="bottom"/>
          </w:tcPr>
          <w:p>
            <w:pPr>
              <w:spacing w:after="0"/>
              <w:rPr>
                <w:sz w:val="11"/>
                <w:szCs w:val="11"/>
                <w:color w:val="auto"/>
              </w:rPr>
            </w:pPr>
          </w:p>
        </w:tc>
      </w:tr>
    </w:tbl>
    <w:p>
      <w:pPr>
        <w:spacing w:after="0" w:line="143" w:lineRule="exact"/>
        <w:rPr>
          <w:sz w:val="20"/>
          <w:szCs w:val="20"/>
          <w:color w:val="auto"/>
        </w:rPr>
      </w:pPr>
    </w:p>
    <w:p>
      <w:pPr>
        <w:ind w:left="880" w:hanging="764"/>
        <w:spacing w:after="0"/>
        <w:tabs>
          <w:tab w:leader="none" w:pos="880" w:val="left"/>
        </w:tabs>
        <w:numPr>
          <w:ilvl w:val="0"/>
          <w:numId w:val="50"/>
        </w:numPr>
        <w:rPr>
          <w:rFonts w:ascii="Arial" w:cs="Arial" w:eastAsia="Arial" w:hAnsi="Arial"/>
          <w:sz w:val="14"/>
          <w:szCs w:val="14"/>
          <w:color w:val="auto"/>
        </w:rPr>
      </w:pPr>
      <w:r>
        <w:rPr>
          <w:rFonts w:ascii="Arial" w:cs="Arial" w:eastAsia="Arial" w:hAnsi="Arial"/>
          <w:sz w:val="14"/>
          <w:szCs w:val="14"/>
          <w:color w:val="auto"/>
        </w:rPr>
        <w:t>Less than one percent.</w:t>
      </w:r>
    </w:p>
    <w:p>
      <w:pPr>
        <w:ind w:left="880" w:right="20" w:hanging="764"/>
        <w:spacing w:after="0" w:line="238" w:lineRule="auto"/>
        <w:tabs>
          <w:tab w:leader="none" w:pos="880" w:val="left"/>
        </w:tabs>
        <w:numPr>
          <w:ilvl w:val="0"/>
          <w:numId w:val="51"/>
        </w:numPr>
        <w:rPr>
          <w:rFonts w:ascii="Arial" w:cs="Arial" w:eastAsia="Arial" w:hAnsi="Arial"/>
          <w:sz w:val="13"/>
          <w:szCs w:val="13"/>
          <w:color w:val="auto"/>
        </w:rPr>
      </w:pPr>
      <w:r>
        <w:rPr>
          <w:rFonts w:ascii="Arial" w:cs="Arial" w:eastAsia="Arial" w:hAnsi="Arial"/>
          <w:sz w:val="13"/>
          <w:szCs w:val="13"/>
          <w:color w:val="auto"/>
        </w:rPr>
        <w:t>The amounts shown reflect shares of our common stock. Mr. Kain also owns 10,900 shares of our 6.875% Series D Fixed-to-Floating Rate Cumulative Redeemable Preferred Stock (“Series D Preferred Stock”), representing less than one percent of the shares of Series D Preferred Stock issued and outstanding as of February 24, 2020. Holders of Series D Preferred Stock generally do not have any voting rights. Other than Mr. Kain’s ownership of Series D Preferred Stock, our Directors and executive officers do not own shares of our 7.00% Series C Fixed-to-Floating Rate Cumulative Redeemable Preferred Stock, 6.875%, Series D Fixed-to-Floating Rate Cumulative Redeemable Preferred Stock, 6.50% Series E Fixed-to-Floating Rate Cumulative Redeemable Preferred Stock or 6.125% Series F Fixed-to-Floating Rate Cumulative Redeemable Preferred Stock.</w:t>
      </w:r>
    </w:p>
    <w:p>
      <w:pPr>
        <w:spacing w:after="0" w:line="1" w:lineRule="exact"/>
        <w:rPr>
          <w:rFonts w:ascii="Arial" w:cs="Arial" w:eastAsia="Arial" w:hAnsi="Arial"/>
          <w:sz w:val="13"/>
          <w:szCs w:val="13"/>
          <w:color w:val="auto"/>
        </w:rPr>
      </w:pPr>
    </w:p>
    <w:p>
      <w:pPr>
        <w:ind w:left="880" w:right="180" w:hanging="764"/>
        <w:spacing w:after="0" w:line="221" w:lineRule="auto"/>
        <w:tabs>
          <w:tab w:leader="none" w:pos="880" w:val="left"/>
        </w:tabs>
        <w:numPr>
          <w:ilvl w:val="0"/>
          <w:numId w:val="51"/>
        </w:numPr>
        <w:rPr>
          <w:rFonts w:ascii="Arial" w:cs="Arial" w:eastAsia="Arial" w:hAnsi="Arial"/>
          <w:sz w:val="14"/>
          <w:szCs w:val="14"/>
          <w:color w:val="auto"/>
        </w:rPr>
      </w:pPr>
      <w:r>
        <w:rPr>
          <w:rFonts w:ascii="Arial" w:cs="Arial" w:eastAsia="Arial" w:hAnsi="Arial"/>
          <w:sz w:val="14"/>
          <w:szCs w:val="14"/>
          <w:color w:val="auto"/>
        </w:rPr>
        <w:t>This information is based on a Schedule 13G/A filed with the SEC on February 4, 2020 by BlackRock, Inc., as a parent holding company or control person of certain named funds (“BlackRock”). BlackRock is the beneficial owner of 61,064,769 shares and has the sole power to dispose or direct the disposition of 61,064,769 of such shares and sole power to vote or direct the vote of 56,638,458 of such shares.</w:t>
      </w:r>
    </w:p>
    <w:p>
      <w:pPr>
        <w:jc w:val="both"/>
        <w:ind w:left="880" w:right="160" w:hanging="764"/>
        <w:spacing w:after="0" w:line="255" w:lineRule="auto"/>
        <w:tabs>
          <w:tab w:leader="none" w:pos="880" w:val="left"/>
        </w:tabs>
        <w:numPr>
          <w:ilvl w:val="0"/>
          <w:numId w:val="51"/>
        </w:numPr>
        <w:rPr>
          <w:rFonts w:ascii="Arial" w:cs="Arial" w:eastAsia="Arial" w:hAnsi="Arial"/>
          <w:sz w:val="13"/>
          <w:szCs w:val="13"/>
          <w:color w:val="auto"/>
        </w:rPr>
      </w:pPr>
      <w:r>
        <w:rPr>
          <w:rFonts w:ascii="Arial" w:cs="Arial" w:eastAsia="Arial" w:hAnsi="Arial"/>
          <w:sz w:val="13"/>
          <w:szCs w:val="13"/>
          <w:color w:val="auto"/>
        </w:rPr>
        <w:t>This information is based on a Schedule 13G/A filed with the SEC on February 10, 2020 by The Vanguard Group, Inc. (“Vanguard”), as an investment adviser. Vanguard is the beneficial owner of 54,252,426 shares and has the sole power to dispose or direct the disposition of 53,562,743 of such shares, shared power to dispose or direct the disposition of 689,683 of such shares, sole power to vote or direct the vote of 386,515 of such shares and shared power to vote or direct the vote of 356,464 of such shares.</w:t>
      </w:r>
    </w:p>
    <w:p>
      <w:pPr>
        <w:spacing w:after="0" w:line="105" w:lineRule="exact"/>
        <w:rPr>
          <w:sz w:val="20"/>
          <w:szCs w:val="20"/>
          <w:color w:val="auto"/>
        </w:rPr>
      </w:pPr>
    </w:p>
    <w:p>
      <w:pPr>
        <w:jc w:val="right"/>
        <w:spacing w:after="0"/>
        <w:tabs>
          <w:tab w:leader="none" w:pos="14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69</w:t>
      </w:r>
    </w:p>
    <w:p>
      <w:pPr>
        <w:sectPr>
          <w:pgSz w:w="11900" w:h="16838" w:orient="portrait"/>
          <w:cols w:equalWidth="0" w:num="1">
            <w:col w:w="11140"/>
          </w:cols>
          <w:pgMar w:left="320" w:top="459" w:right="439" w:bottom="1440" w:gutter="0" w:footer="0" w:header="0"/>
          <w:type w:val="continuous"/>
        </w:sectPr>
      </w:pPr>
    </w:p>
    <w:bookmarkStart w:id="82" w:name="page83"/>
    <w:bookmarkEnd w:id="8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7">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INFORMATION REGARDING COMPANY VOTING SECURITIES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8">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3" w:lineRule="exact"/>
        <w:rPr>
          <w:sz w:val="20"/>
          <w:szCs w:val="20"/>
          <w:color w:val="auto"/>
        </w:rPr>
      </w:pPr>
    </w:p>
    <w:p>
      <w:pPr>
        <w:ind w:left="880" w:hanging="764"/>
        <w:spacing w:after="0"/>
        <w:tabs>
          <w:tab w:leader="none" w:pos="880" w:val="left"/>
        </w:tabs>
        <w:numPr>
          <w:ilvl w:val="0"/>
          <w:numId w:val="52"/>
        </w:numPr>
        <w:rPr>
          <w:rFonts w:ascii="Arial" w:cs="Arial" w:eastAsia="Arial" w:hAnsi="Arial"/>
          <w:sz w:val="14"/>
          <w:szCs w:val="14"/>
          <w:color w:val="auto"/>
        </w:rPr>
      </w:pPr>
      <w:r>
        <w:rPr>
          <w:rFonts w:ascii="Arial" w:cs="Arial" w:eastAsia="Arial" w:hAnsi="Arial"/>
          <w:sz w:val="14"/>
          <w:szCs w:val="14"/>
          <w:color w:val="auto"/>
        </w:rPr>
        <w:t>The address of each of the executive officers and directors listed above is c/o AGNC Investment Corp., 2 Bethesda Metro Center, 12</w:t>
      </w:r>
      <w:r>
        <w:rPr>
          <w:rFonts w:ascii="Arial" w:cs="Arial" w:eastAsia="Arial" w:hAnsi="Arial"/>
          <w:sz w:val="12"/>
          <w:szCs w:val="12"/>
          <w:color w:val="auto"/>
        </w:rPr>
        <w:t>th</w:t>
      </w:r>
      <w:r>
        <w:rPr>
          <w:rFonts w:ascii="Arial" w:cs="Arial" w:eastAsia="Arial" w:hAnsi="Arial"/>
          <w:sz w:val="14"/>
          <w:szCs w:val="14"/>
          <w:color w:val="auto"/>
        </w:rPr>
        <w:t xml:space="preserve"> Floor, Bethesda, MD 20814.</w:t>
      </w:r>
    </w:p>
    <w:p>
      <w:pPr>
        <w:ind w:left="880" w:hanging="764"/>
        <w:spacing w:after="0"/>
        <w:tabs>
          <w:tab w:leader="none" w:pos="880" w:val="left"/>
        </w:tabs>
        <w:numPr>
          <w:ilvl w:val="0"/>
          <w:numId w:val="52"/>
        </w:numPr>
        <w:rPr>
          <w:rFonts w:ascii="Arial" w:cs="Arial" w:eastAsia="Arial" w:hAnsi="Arial"/>
          <w:sz w:val="14"/>
          <w:szCs w:val="14"/>
          <w:color w:val="auto"/>
        </w:rPr>
      </w:pPr>
      <w:r>
        <w:rPr>
          <w:rFonts w:ascii="Arial" w:cs="Arial" w:eastAsia="Arial" w:hAnsi="Arial"/>
          <w:sz w:val="14"/>
          <w:szCs w:val="14"/>
          <w:color w:val="auto"/>
        </w:rPr>
        <w:t>Includes 724,009 shares held in a family trust over which shares Mr. Kain has voting and dispositive power.</w:t>
      </w:r>
    </w:p>
    <w:p>
      <w:pPr>
        <w:spacing w:after="0" w:line="300"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Delinquent Section 16(a) Reports</w:t>
      </w:r>
    </w:p>
    <w:p>
      <w:pPr>
        <w:spacing w:after="0" w:line="121" w:lineRule="exact"/>
        <w:rPr>
          <w:sz w:val="20"/>
          <w:szCs w:val="20"/>
          <w:color w:val="auto"/>
        </w:rPr>
      </w:pPr>
    </w:p>
    <w:p>
      <w:pPr>
        <w:jc w:val="both"/>
        <w:ind w:left="120" w:firstLine="881"/>
        <w:spacing w:after="0" w:line="263" w:lineRule="auto"/>
        <w:rPr>
          <w:sz w:val="20"/>
          <w:szCs w:val="20"/>
          <w:color w:val="auto"/>
        </w:rPr>
      </w:pPr>
      <w:r>
        <w:rPr>
          <w:rFonts w:ascii="Arial" w:cs="Arial" w:eastAsia="Arial" w:hAnsi="Arial"/>
          <w:sz w:val="18"/>
          <w:szCs w:val="18"/>
          <w:color w:val="auto"/>
        </w:rPr>
        <w:t>Based on a review of the written statements and copies of such reports furnished to us by our executive officers, directors, and greater than 10% beneficial owners, we believe that during fiscal year 2019 all Section 16(a) filing requirements applicable to our executive officers, directors, and beneficial owners of 10% or more of our common stock were timely satisfied.</w:t>
      </w:r>
    </w:p>
    <w:p>
      <w:pPr>
        <w:spacing w:after="0" w:line="112"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70</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0980"/>
          </w:cols>
          <w:pgMar w:left="320" w:top="459" w:right="599" w:bottom="1440" w:gutter="0" w:footer="0" w:header="0"/>
        </w:sectPr>
      </w:pPr>
    </w:p>
    <w:bookmarkStart w:id="83" w:name="page84"/>
    <w:bookmarkEnd w:id="8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9">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5080"/>
        <w:spacing w:after="0"/>
        <w:rPr>
          <w:sz w:val="20"/>
          <w:szCs w:val="20"/>
          <w:color w:val="auto"/>
        </w:rPr>
      </w:pPr>
      <w:r>
        <w:rPr>
          <w:rFonts w:ascii="Arial" w:cs="Arial" w:eastAsia="Arial" w:hAnsi="Arial"/>
          <w:sz w:val="13"/>
          <w:szCs w:val="13"/>
          <w:color w:val="407CCA"/>
        </w:rPr>
        <w:t>QUESTIONS AND ANSWERS ABOUT STOCKHOLDER COMMUNICATIONS AND PROPOSALS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28575</wp:posOffset>
            </wp:positionV>
            <wp:extent cx="6995160" cy="825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0">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6" w:lineRule="exact"/>
        <w:rPr>
          <w:sz w:val="20"/>
          <w:szCs w:val="20"/>
          <w:color w:val="auto"/>
        </w:rPr>
      </w:pPr>
    </w:p>
    <w:p>
      <w:pPr>
        <w:ind w:left="880"/>
        <w:spacing w:after="0"/>
        <w:rPr>
          <w:sz w:val="20"/>
          <w:szCs w:val="20"/>
          <w:color w:val="auto"/>
        </w:rPr>
      </w:pPr>
      <w:r>
        <w:rPr>
          <w:rFonts w:ascii="Arial" w:cs="Arial" w:eastAsia="Arial" w:hAnsi="Arial"/>
          <w:sz w:val="22"/>
          <w:szCs w:val="22"/>
          <w:b w:val="1"/>
          <w:bCs w:val="1"/>
          <w:color w:val="407CCA"/>
        </w:rPr>
        <w:t>QUESTIONS AND ANSWERS ABOUT STOCKHOLDER COMMUNICATIONS AND PROPOSALS</w:t>
      </w:r>
    </w:p>
    <w:p>
      <w:pPr>
        <w:spacing w:after="0" w:line="242" w:lineRule="exact"/>
        <w:rPr>
          <w:sz w:val="20"/>
          <w:szCs w:val="20"/>
          <w:color w:val="auto"/>
        </w:rPr>
      </w:pPr>
    </w:p>
    <w:p>
      <w:pPr>
        <w:ind w:left="540" w:hanging="424"/>
        <w:spacing w:after="0"/>
        <w:tabs>
          <w:tab w:leader="none" w:pos="540" w:val="left"/>
        </w:tabs>
        <w:numPr>
          <w:ilvl w:val="0"/>
          <w:numId w:val="53"/>
        </w:numPr>
        <w:rPr>
          <w:rFonts w:ascii="Arial" w:cs="Arial" w:eastAsia="Arial" w:hAnsi="Arial"/>
          <w:sz w:val="18"/>
          <w:szCs w:val="18"/>
          <w:b w:val="1"/>
          <w:bCs w:val="1"/>
          <w:color w:val="auto"/>
        </w:rPr>
      </w:pPr>
      <w:r>
        <w:rPr>
          <w:rFonts w:ascii="Arial" w:cs="Arial" w:eastAsia="Arial" w:hAnsi="Arial"/>
          <w:sz w:val="18"/>
          <w:szCs w:val="18"/>
          <w:b w:val="1"/>
          <w:bCs w:val="1"/>
          <w:color w:val="auto"/>
        </w:rPr>
        <w:t>WHO IS RESPONSIBLE FOR STOCKHOLDER COMMUNICATIONS?</w:t>
      </w:r>
    </w:p>
    <w:p>
      <w:pPr>
        <w:spacing w:after="0" w:line="229" w:lineRule="exact"/>
        <w:rPr>
          <w:sz w:val="20"/>
          <w:szCs w:val="20"/>
          <w:color w:val="auto"/>
        </w:rPr>
      </w:pPr>
    </w:p>
    <w:p>
      <w:pPr>
        <w:jc w:val="both"/>
        <w:ind w:left="120" w:right="20"/>
        <w:spacing w:after="0" w:line="263" w:lineRule="auto"/>
        <w:rPr>
          <w:sz w:val="20"/>
          <w:szCs w:val="20"/>
          <w:color w:val="auto"/>
        </w:rPr>
      </w:pPr>
      <w:r>
        <w:rPr>
          <w:rFonts w:ascii="Arial" w:cs="Arial" w:eastAsia="Arial" w:hAnsi="Arial"/>
          <w:sz w:val="18"/>
          <w:szCs w:val="18"/>
          <w:color w:val="auto"/>
        </w:rPr>
        <w:t>The Board is of the view that management is primarily responsible for all communications on behalf of AGNC with stockholders and the public at large. Thus, in addition to our executive officers, we employ a Vice President, Investor Relations, whose primary responsibilities and those of certain members of her staff include investor and stockholder relations.</w:t>
      </w:r>
    </w:p>
    <w:p>
      <w:pPr>
        <w:spacing w:after="0" w:line="207" w:lineRule="exact"/>
        <w:rPr>
          <w:sz w:val="20"/>
          <w:szCs w:val="20"/>
          <w:color w:val="auto"/>
        </w:rPr>
      </w:pPr>
    </w:p>
    <w:p>
      <w:pPr>
        <w:ind w:left="540" w:hanging="424"/>
        <w:spacing w:after="0"/>
        <w:tabs>
          <w:tab w:leader="none" w:pos="540" w:val="left"/>
        </w:tabs>
        <w:numPr>
          <w:ilvl w:val="0"/>
          <w:numId w:val="54"/>
        </w:numPr>
        <w:rPr>
          <w:rFonts w:ascii="Arial" w:cs="Arial" w:eastAsia="Arial" w:hAnsi="Arial"/>
          <w:sz w:val="18"/>
          <w:szCs w:val="18"/>
          <w:b w:val="1"/>
          <w:bCs w:val="1"/>
          <w:color w:val="auto"/>
        </w:rPr>
      </w:pPr>
      <w:r>
        <w:rPr>
          <w:rFonts w:ascii="Arial" w:cs="Arial" w:eastAsia="Arial" w:hAnsi="Arial"/>
          <w:sz w:val="18"/>
          <w:szCs w:val="18"/>
          <w:b w:val="1"/>
          <w:bCs w:val="1"/>
          <w:color w:val="auto"/>
        </w:rPr>
        <w:t>HOW DO I COMMUNICATE WITH THE COMPANY’S BOARD?</w:t>
      </w:r>
    </w:p>
    <w:p>
      <w:pPr>
        <w:spacing w:after="0" w:line="229" w:lineRule="exact"/>
        <w:rPr>
          <w:sz w:val="20"/>
          <w:szCs w:val="20"/>
          <w:color w:val="auto"/>
        </w:rPr>
      </w:pPr>
    </w:p>
    <w:p>
      <w:pPr>
        <w:ind w:left="120" w:right="20"/>
        <w:spacing w:after="0" w:line="263" w:lineRule="auto"/>
        <w:rPr>
          <w:sz w:val="20"/>
          <w:szCs w:val="20"/>
          <w:color w:val="auto"/>
        </w:rPr>
      </w:pPr>
      <w:r>
        <w:rPr>
          <w:rFonts w:ascii="Arial" w:cs="Arial" w:eastAsia="Arial" w:hAnsi="Arial"/>
          <w:sz w:val="18"/>
          <w:szCs w:val="18"/>
          <w:color w:val="auto"/>
        </w:rPr>
        <w:t>Stockholders who wish to communicate with our Board or with a particular director may send a letter to our Secretary at AGNC Investment Corp., 2 Bethesda Metro Center, 12</w:t>
      </w:r>
      <w:r>
        <w:rPr>
          <w:rFonts w:ascii="Arial" w:cs="Arial" w:eastAsia="Arial" w:hAnsi="Arial"/>
          <w:sz w:val="15"/>
          <w:szCs w:val="15"/>
          <w:color w:val="auto"/>
        </w:rPr>
        <w:t>th</w:t>
      </w:r>
      <w:r>
        <w:rPr>
          <w:rFonts w:ascii="Arial" w:cs="Arial" w:eastAsia="Arial" w:hAnsi="Arial"/>
          <w:sz w:val="18"/>
          <w:szCs w:val="18"/>
          <w:color w:val="auto"/>
        </w:rPr>
        <w:t xml:space="preserve"> Floor, Bethesda, MD 20814. Any communication should clearly specify that it is intended to be made to the entire Board or to one or more particular director(s).</w:t>
      </w:r>
    </w:p>
    <w:p>
      <w:pPr>
        <w:spacing w:after="0" w:line="184" w:lineRule="exact"/>
        <w:rPr>
          <w:sz w:val="20"/>
          <w:szCs w:val="20"/>
          <w:color w:val="auto"/>
        </w:rPr>
      </w:pPr>
    </w:p>
    <w:p>
      <w:pPr>
        <w:ind w:left="120" w:right="20"/>
        <w:spacing w:after="0" w:line="296" w:lineRule="auto"/>
        <w:rPr>
          <w:sz w:val="20"/>
          <w:szCs w:val="20"/>
          <w:color w:val="auto"/>
        </w:rPr>
      </w:pPr>
      <w:r>
        <w:rPr>
          <w:rFonts w:ascii="Arial" w:cs="Arial" w:eastAsia="Arial" w:hAnsi="Arial"/>
          <w:sz w:val="16"/>
          <w:szCs w:val="16"/>
          <w:color w:val="auto"/>
        </w:rPr>
        <w:t>Under this process, our Secretary reviews all such correspondence and will forward to the Board a summary of all such correspondence and copies of all correspondence that, in the opinion of the Secretary, deals with the functions of the Board or committees thereof or that he otherwise determines requires their attention. Directors may at any time review a log of all correspondence received by AGNC that is addressed to members of the Board and request copies of any such correspondence. Concerns relating to accounting, internal controls, or auditing matters are immediately brought to the attention of the Chair of the Audit Committee and handled in accordance with procedures approved by the Board with respect to such matters.</w:t>
      </w:r>
    </w:p>
    <w:p>
      <w:pPr>
        <w:spacing w:after="0" w:line="161" w:lineRule="exact"/>
        <w:rPr>
          <w:sz w:val="20"/>
          <w:szCs w:val="20"/>
          <w:color w:val="auto"/>
        </w:rPr>
      </w:pPr>
    </w:p>
    <w:p>
      <w:pPr>
        <w:ind w:left="120" w:right="300"/>
        <w:spacing w:after="0" w:line="308" w:lineRule="auto"/>
        <w:rPr>
          <w:sz w:val="20"/>
          <w:szCs w:val="20"/>
          <w:color w:val="auto"/>
        </w:rPr>
      </w:pPr>
      <w:r>
        <w:rPr>
          <w:rFonts w:ascii="Arial" w:cs="Arial" w:eastAsia="Arial" w:hAnsi="Arial"/>
          <w:sz w:val="17"/>
          <w:szCs w:val="17"/>
          <w:color w:val="auto"/>
        </w:rPr>
        <w:t xml:space="preserve">A copy of such procedures for the submission and handling of complaints or concerns regarding accounting, internal accounting controls, or auditing matters is included in our Code of Ethics, which is published in the Investors section of our web site at </w:t>
      </w:r>
      <w:r>
        <w:rPr>
          <w:rFonts w:ascii="Arial" w:cs="Arial" w:eastAsia="Arial" w:hAnsi="Arial"/>
          <w:sz w:val="17"/>
          <w:szCs w:val="17"/>
          <w:i w:val="1"/>
          <w:iCs w:val="1"/>
          <w:color w:val="auto"/>
        </w:rPr>
        <w:t>www.AGNC.com</w:t>
      </w:r>
      <w:r>
        <w:rPr>
          <w:rFonts w:ascii="Arial" w:cs="Arial" w:eastAsia="Arial" w:hAnsi="Arial"/>
          <w:sz w:val="17"/>
          <w:szCs w:val="17"/>
          <w:color w:val="auto"/>
        </w:rPr>
        <w:t>.</w:t>
      </w:r>
    </w:p>
    <w:p>
      <w:pPr>
        <w:spacing w:after="0" w:line="169" w:lineRule="exact"/>
        <w:rPr>
          <w:sz w:val="20"/>
          <w:szCs w:val="20"/>
          <w:color w:val="auto"/>
        </w:rPr>
      </w:pPr>
    </w:p>
    <w:p>
      <w:pPr>
        <w:ind w:left="540" w:hanging="424"/>
        <w:spacing w:after="0"/>
        <w:tabs>
          <w:tab w:leader="none" w:pos="540" w:val="left"/>
        </w:tabs>
        <w:numPr>
          <w:ilvl w:val="0"/>
          <w:numId w:val="55"/>
        </w:numPr>
        <w:rPr>
          <w:rFonts w:ascii="Arial" w:cs="Arial" w:eastAsia="Arial" w:hAnsi="Arial"/>
          <w:sz w:val="18"/>
          <w:szCs w:val="18"/>
          <w:b w:val="1"/>
          <w:bCs w:val="1"/>
          <w:color w:val="auto"/>
        </w:rPr>
      </w:pPr>
      <w:r>
        <w:rPr>
          <w:rFonts w:ascii="Arial" w:cs="Arial" w:eastAsia="Arial" w:hAnsi="Arial"/>
          <w:sz w:val="18"/>
          <w:szCs w:val="18"/>
          <w:b w:val="1"/>
          <w:bCs w:val="1"/>
          <w:color w:val="auto"/>
        </w:rPr>
        <w:t>HOW CAN A STOCKHOLDER NOMINATE A DIRECTOR OR SUBMIT A PROPOSAL FOR THE 2020 ANNUAL MEETING?</w:t>
      </w:r>
    </w:p>
    <w:p>
      <w:pPr>
        <w:spacing w:after="0" w:line="229" w:lineRule="exact"/>
        <w:rPr>
          <w:sz w:val="20"/>
          <w:szCs w:val="20"/>
          <w:color w:val="auto"/>
        </w:rPr>
      </w:pPr>
    </w:p>
    <w:p>
      <w:pPr>
        <w:ind w:left="120" w:right="160"/>
        <w:spacing w:after="0" w:line="277" w:lineRule="auto"/>
        <w:rPr>
          <w:sz w:val="20"/>
          <w:szCs w:val="20"/>
          <w:color w:val="auto"/>
        </w:rPr>
      </w:pPr>
      <w:r>
        <w:rPr>
          <w:rFonts w:ascii="Arial" w:cs="Arial" w:eastAsia="Arial" w:hAnsi="Arial"/>
          <w:sz w:val="18"/>
          <w:szCs w:val="18"/>
          <w:color w:val="auto"/>
        </w:rPr>
        <w:t>Stockholder proposals or nominees for election to the Board must be made in accordance with the procedures set forth in our By-laws and described in the following question, and not the procedures set forth in the preceding question.</w:t>
      </w:r>
    </w:p>
    <w:p>
      <w:pPr>
        <w:spacing w:after="0" w:line="193" w:lineRule="exact"/>
        <w:rPr>
          <w:sz w:val="20"/>
          <w:szCs w:val="20"/>
          <w:color w:val="auto"/>
        </w:rPr>
      </w:pPr>
    </w:p>
    <w:p>
      <w:pPr>
        <w:ind w:left="540" w:hanging="424"/>
        <w:spacing w:after="0"/>
        <w:tabs>
          <w:tab w:leader="none" w:pos="540" w:val="left"/>
        </w:tabs>
        <w:numPr>
          <w:ilvl w:val="0"/>
          <w:numId w:val="56"/>
        </w:numPr>
        <w:rPr>
          <w:rFonts w:ascii="Arial" w:cs="Arial" w:eastAsia="Arial" w:hAnsi="Arial"/>
          <w:sz w:val="18"/>
          <w:szCs w:val="18"/>
          <w:b w:val="1"/>
          <w:bCs w:val="1"/>
          <w:color w:val="auto"/>
        </w:rPr>
      </w:pPr>
      <w:r>
        <w:rPr>
          <w:rFonts w:ascii="Arial" w:cs="Arial" w:eastAsia="Arial" w:hAnsi="Arial"/>
          <w:sz w:val="18"/>
          <w:szCs w:val="18"/>
          <w:b w:val="1"/>
          <w:bCs w:val="1"/>
          <w:color w:val="auto"/>
        </w:rPr>
        <w:t>HOW CAN A STOCKHOLDER SUBMIT A PROPOSAL FOR THE 2021 ANNUAL MEETING OF STOCKHOLDERS?</w:t>
      </w:r>
    </w:p>
    <w:p>
      <w:pPr>
        <w:spacing w:after="0" w:line="229" w:lineRule="exact"/>
        <w:rPr>
          <w:sz w:val="20"/>
          <w:szCs w:val="20"/>
          <w:color w:val="auto"/>
        </w:rPr>
      </w:pPr>
    </w:p>
    <w:p>
      <w:pPr>
        <w:ind w:left="120" w:right="80"/>
        <w:spacing w:after="0" w:line="273" w:lineRule="auto"/>
        <w:rPr>
          <w:sz w:val="20"/>
          <w:szCs w:val="20"/>
          <w:color w:val="auto"/>
        </w:rPr>
      </w:pPr>
      <w:r>
        <w:rPr>
          <w:rFonts w:ascii="Arial" w:cs="Arial" w:eastAsia="Arial" w:hAnsi="Arial"/>
          <w:sz w:val="17"/>
          <w:szCs w:val="17"/>
          <w:color w:val="auto"/>
        </w:rPr>
        <w:t>Proposals received from common stockholders in accordance with Rule 14a-8 under the Exchange Act are given careful consideration by our Compensation Committee and our Board. If a common stockholder intends to present a proposal at the 2021 annual meeting of stockholders pursuant to Rule 14a-8 under the Exchange Act, in order for such stockholder proposal to be included in our proxy statement and proxy card for that meeting, the stockholder proposal must be received by our Secretary at AGNC Investment Corp., 2 Bethesda Metro Center, 12th Floor, Bethesda, Maryland 20814, on or before November 12, 2020, unless the date of the 2021 annual meeting of stockholders has been changed by more than 30 days from April 23, 2021; then the deadline is a reasonable time before we begin to print and send our proxy materials.</w:t>
      </w:r>
    </w:p>
    <w:p>
      <w:pPr>
        <w:spacing w:after="0" w:line="106" w:lineRule="exact"/>
        <w:rPr>
          <w:sz w:val="20"/>
          <w:szCs w:val="20"/>
          <w:color w:val="auto"/>
        </w:rPr>
      </w:pPr>
    </w:p>
    <w:p>
      <w:pPr>
        <w:ind w:left="7960"/>
        <w:spacing w:after="0"/>
        <w:tabs>
          <w:tab w:leader="none" w:pos="109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71</w:t>
      </w:r>
    </w:p>
    <w:p>
      <w:pPr>
        <w:sectPr>
          <w:pgSz w:w="11900" w:h="16838" w:orient="portrait"/>
          <w:cols w:equalWidth="0" w:num="1">
            <w:col w:w="11140"/>
          </w:cols>
          <w:pgMar w:left="320" w:top="459" w:right="439" w:bottom="1440" w:gutter="0" w:footer="0" w:header="0"/>
        </w:sectPr>
      </w:pPr>
    </w:p>
    <w:bookmarkStart w:id="84" w:name="page85"/>
    <w:bookmarkEnd w:id="8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1">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QUESTIONS AND ANSWERS ABOUT STOCKHOLDER COMMUNICATIONS AND PROPOSALS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2">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120" w:right="300"/>
        <w:spacing w:after="0" w:line="286" w:lineRule="auto"/>
        <w:rPr>
          <w:sz w:val="20"/>
          <w:szCs w:val="20"/>
          <w:color w:val="auto"/>
        </w:rPr>
      </w:pPr>
      <w:r>
        <w:rPr>
          <w:rFonts w:ascii="Arial" w:cs="Arial" w:eastAsia="Arial" w:hAnsi="Arial"/>
          <w:sz w:val="17"/>
          <w:szCs w:val="17"/>
          <w:color w:val="auto"/>
        </w:rPr>
        <w:t>If such proposal is in compliance with all of the requirements of Rule 14a-8 under the Exchange Act, the proposal will be included in our proxy statement and proxy card relating to such meeting. Nothing in the response to this question shall be deemed to require us to include any stockholder proposal that does not meet all the requirements for such inclusion established by the SEC in effect at that time.</w:t>
      </w:r>
    </w:p>
    <w:p>
      <w:pPr>
        <w:spacing w:after="0" w:line="165" w:lineRule="exact"/>
        <w:rPr>
          <w:sz w:val="20"/>
          <w:szCs w:val="20"/>
          <w:color w:val="auto"/>
        </w:rPr>
      </w:pPr>
    </w:p>
    <w:p>
      <w:pPr>
        <w:ind w:left="120" w:right="240"/>
        <w:spacing w:after="0" w:line="259" w:lineRule="auto"/>
        <w:rPr>
          <w:sz w:val="20"/>
          <w:szCs w:val="20"/>
          <w:color w:val="auto"/>
        </w:rPr>
      </w:pPr>
      <w:r>
        <w:rPr>
          <w:rFonts w:ascii="Arial" w:cs="Arial" w:eastAsia="Arial" w:hAnsi="Arial"/>
          <w:sz w:val="18"/>
          <w:szCs w:val="18"/>
          <w:color w:val="auto"/>
        </w:rPr>
        <w:t>In order for a proposal by a common stockholder submitted outside of Rule 14a-8, including any nominations for election to the Board made by common stockholders, to be considered at the 2021 annual meeting of stockholders, such proposal must be made by written notice (setting forth the information required by our current By-laws) and received by our Secretary not less than sixty and not more than ninety days in advance of the 2021 annual meeting.</w:t>
      </w:r>
    </w:p>
    <w:p>
      <w:pPr>
        <w:spacing w:after="0" w:line="187" w:lineRule="exact"/>
        <w:rPr>
          <w:sz w:val="20"/>
          <w:szCs w:val="20"/>
          <w:color w:val="auto"/>
        </w:rPr>
      </w:pPr>
    </w:p>
    <w:p>
      <w:pPr>
        <w:ind w:left="120"/>
        <w:spacing w:after="0"/>
        <w:rPr>
          <w:sz w:val="20"/>
          <w:szCs w:val="20"/>
          <w:color w:val="auto"/>
        </w:rPr>
      </w:pPr>
      <w:r>
        <w:rPr>
          <w:rFonts w:ascii="Arial" w:cs="Arial" w:eastAsia="Arial" w:hAnsi="Arial"/>
          <w:sz w:val="18"/>
          <w:szCs w:val="18"/>
          <w:color w:val="auto"/>
        </w:rPr>
        <w:t>Such proposals should be submitted by certified mail, return receipt requested.</w:t>
      </w:r>
    </w:p>
    <w:p>
      <w:pPr>
        <w:spacing w:after="0" w:line="248" w:lineRule="exact"/>
        <w:rPr>
          <w:sz w:val="20"/>
          <w:szCs w:val="20"/>
          <w:color w:val="auto"/>
        </w:rPr>
      </w:pPr>
    </w:p>
    <w:p>
      <w:pPr>
        <w:ind w:left="540" w:hanging="424"/>
        <w:spacing w:after="0"/>
        <w:tabs>
          <w:tab w:leader="none" w:pos="540" w:val="left"/>
        </w:tabs>
        <w:numPr>
          <w:ilvl w:val="0"/>
          <w:numId w:val="57"/>
        </w:numPr>
        <w:rPr>
          <w:rFonts w:ascii="Arial" w:cs="Arial" w:eastAsia="Arial" w:hAnsi="Arial"/>
          <w:sz w:val="18"/>
          <w:szCs w:val="18"/>
          <w:b w:val="1"/>
          <w:bCs w:val="1"/>
          <w:color w:val="auto"/>
        </w:rPr>
      </w:pPr>
      <w:r>
        <w:rPr>
          <w:rFonts w:ascii="Arial" w:cs="Arial" w:eastAsia="Arial" w:hAnsi="Arial"/>
          <w:sz w:val="18"/>
          <w:szCs w:val="18"/>
          <w:b w:val="1"/>
          <w:bCs w:val="1"/>
          <w:color w:val="auto"/>
        </w:rPr>
        <w:t>HOW CAN I OBTAIN A COPY OF THE COMPANY’S 2019 ANNUAL REPORT ON FORM 10-K AND OTHER SEC FILINGS?</w:t>
      </w:r>
    </w:p>
    <w:p>
      <w:pPr>
        <w:spacing w:after="0" w:line="229" w:lineRule="exact"/>
        <w:rPr>
          <w:sz w:val="20"/>
          <w:szCs w:val="20"/>
          <w:color w:val="auto"/>
        </w:rPr>
      </w:pPr>
    </w:p>
    <w:p>
      <w:pPr>
        <w:ind w:left="120"/>
        <w:spacing w:after="0" w:line="257" w:lineRule="auto"/>
        <w:rPr>
          <w:sz w:val="20"/>
          <w:szCs w:val="20"/>
          <w:color w:val="auto"/>
        </w:rPr>
      </w:pPr>
      <w:r>
        <w:rPr>
          <w:rFonts w:ascii="Arial" w:cs="Arial" w:eastAsia="Arial" w:hAnsi="Arial"/>
          <w:sz w:val="18"/>
          <w:szCs w:val="18"/>
          <w:color w:val="auto"/>
        </w:rPr>
        <w:t>A copy of our 2019 annual report on Form 10-K containing audited financial statements was delivered or made available with this proxy statement. Additional copies of our 2019 annual report on Form 10-K (without exhibits, unless otherwise requested) are available in print, free of charge, to stockholders requesting a copy by writing to: AGNC Investment Corp., Investor Relations, 2 Bethesda Metro Center, 12</w:t>
      </w:r>
      <w:r>
        <w:rPr>
          <w:rFonts w:ascii="Arial" w:cs="Arial" w:eastAsia="Arial" w:hAnsi="Arial"/>
          <w:sz w:val="15"/>
          <w:szCs w:val="15"/>
          <w:color w:val="auto"/>
        </w:rPr>
        <w:t>th</w:t>
      </w:r>
      <w:r>
        <w:rPr>
          <w:rFonts w:ascii="Arial" w:cs="Arial" w:eastAsia="Arial" w:hAnsi="Arial"/>
          <w:sz w:val="18"/>
          <w:szCs w:val="18"/>
          <w:color w:val="auto"/>
        </w:rPr>
        <w:t xml:space="preserve"> Floor, Bethesda, Maryland 20814, or by calling (301) 968-9300. You may review our filings with the SEC by visiting the SEC’s home page on the internet at </w:t>
      </w:r>
      <w:r>
        <w:rPr>
          <w:rFonts w:ascii="Arial" w:cs="Arial" w:eastAsia="Arial" w:hAnsi="Arial"/>
          <w:sz w:val="18"/>
          <w:szCs w:val="18"/>
          <w:i w:val="1"/>
          <w:iCs w:val="1"/>
          <w:color w:val="auto"/>
        </w:rPr>
        <w:t>http://www.sec.gov</w:t>
      </w:r>
      <w:r>
        <w:rPr>
          <w:rFonts w:ascii="Arial" w:cs="Arial" w:eastAsia="Arial" w:hAnsi="Arial"/>
          <w:sz w:val="18"/>
          <w:szCs w:val="18"/>
          <w:color w:val="auto"/>
        </w:rPr>
        <w:t xml:space="preserve"> or by visiting the Investors section of our web site at </w:t>
      </w:r>
      <w:r>
        <w:rPr>
          <w:rFonts w:ascii="Arial" w:cs="Arial" w:eastAsia="Arial" w:hAnsi="Arial"/>
          <w:sz w:val="18"/>
          <w:szCs w:val="18"/>
          <w:i w:val="1"/>
          <w:iCs w:val="1"/>
          <w:color w:val="auto"/>
        </w:rPr>
        <w:t>www.AGNC.com</w:t>
      </w:r>
      <w:r>
        <w:rPr>
          <w:rFonts w:ascii="Arial" w:cs="Arial" w:eastAsia="Arial" w:hAnsi="Arial"/>
          <w:sz w:val="18"/>
          <w:szCs w:val="18"/>
          <w:color w:val="auto"/>
        </w:rPr>
        <w:t>.</w:t>
      </w:r>
    </w:p>
    <w:p>
      <w:pPr>
        <w:spacing w:after="0" w:line="116"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72</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060"/>
          </w:cols>
          <w:pgMar w:left="320" w:top="459" w:right="519" w:bottom="1440" w:gutter="0" w:footer="0" w:header="0"/>
        </w:sectPr>
      </w:pPr>
    </w:p>
    <w:bookmarkStart w:id="85" w:name="page86"/>
    <w:bookmarkEnd w:id="8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3">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5820"/>
        <w:spacing w:after="0"/>
        <w:rPr>
          <w:sz w:val="20"/>
          <w:szCs w:val="20"/>
          <w:color w:val="auto"/>
        </w:rPr>
      </w:pPr>
      <w:r>
        <w:rPr>
          <w:rFonts w:ascii="Arial" w:cs="Arial" w:eastAsia="Arial" w:hAnsi="Arial"/>
          <w:sz w:val="14"/>
          <w:szCs w:val="14"/>
          <w:color w:val="407CCA"/>
        </w:rPr>
        <w:t>QUESTIONS AND ANSWERS ABOUT THE 2020 ANNUAL MEETING AND VOTING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4">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75" w:lineRule="exact"/>
        <w:rPr>
          <w:sz w:val="20"/>
          <w:szCs w:val="20"/>
          <w:color w:val="auto"/>
        </w:rPr>
      </w:pPr>
    </w:p>
    <w:p>
      <w:pPr>
        <w:jc w:val="center"/>
        <w:ind w:right="-119"/>
        <w:spacing w:after="0"/>
        <w:rPr>
          <w:sz w:val="20"/>
          <w:szCs w:val="20"/>
          <w:color w:val="auto"/>
        </w:rPr>
      </w:pPr>
      <w:r>
        <w:rPr>
          <w:rFonts w:ascii="Arial" w:cs="Arial" w:eastAsia="Arial" w:hAnsi="Arial"/>
          <w:sz w:val="22"/>
          <w:szCs w:val="22"/>
          <w:b w:val="1"/>
          <w:bCs w:val="1"/>
          <w:color w:val="407CCA"/>
        </w:rPr>
        <w:t>QUESTIONS AND ANSWERS ABOUT THE 2020 ANNUAL MEETING AND VOTING</w:t>
      </w:r>
    </w:p>
    <w:p>
      <w:pPr>
        <w:sectPr>
          <w:pgSz w:w="11900" w:h="16838" w:orient="portrait"/>
          <w:cols w:equalWidth="0" w:num="1">
            <w:col w:w="11140"/>
          </w:cols>
          <w:pgMar w:left="320" w:top="459" w:right="439" w:bottom="1440" w:gutter="0" w:footer="0" w:header="0"/>
        </w:sectPr>
      </w:pPr>
    </w:p>
    <w:p>
      <w:pPr>
        <w:spacing w:after="0" w:line="200" w:lineRule="exact"/>
        <w:rPr>
          <w:sz w:val="20"/>
          <w:szCs w:val="20"/>
          <w:color w:val="auto"/>
        </w:rPr>
      </w:pPr>
    </w:p>
    <w:p>
      <w:pPr>
        <w:spacing w:after="0" w:line="218" w:lineRule="exact"/>
        <w:rPr>
          <w:sz w:val="20"/>
          <w:szCs w:val="20"/>
          <w:color w:val="auto"/>
        </w:rPr>
      </w:pPr>
    </w:p>
    <w:p>
      <w:pPr>
        <w:ind w:left="180"/>
        <w:spacing w:after="0"/>
        <w:tabs>
          <w:tab w:leader="none" w:pos="480" w:val="left"/>
        </w:tabs>
        <w:rPr>
          <w:sz w:val="20"/>
          <w:szCs w:val="20"/>
          <w:color w:val="auto"/>
        </w:rPr>
      </w:pPr>
      <w:r>
        <w:rPr>
          <w:rFonts w:ascii="Arial" w:cs="Arial" w:eastAsia="Arial" w:hAnsi="Arial"/>
          <w:sz w:val="18"/>
          <w:szCs w:val="18"/>
          <w:b w:val="1"/>
          <w:bCs w:val="1"/>
          <w:color w:val="auto"/>
        </w:rPr>
        <w:t>1.</w:t>
        <w:tab/>
        <w:t>WHY DID I RECEIVE THESE PROXY MATERIALS?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60325</wp:posOffset>
            </wp:positionV>
            <wp:extent cx="3360420" cy="8255"/>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5">
                      <a:extLst>
                        <a:ext uri="{28A0092B-C50C-407E-A947-70E740481C1C}"/>
                      </a:extLst>
                    </a:blip>
                    <a:srcRect/>
                    <a:stretch>
                      <a:fillRect/>
                    </a:stretch>
                  </pic:blipFill>
                  <pic:spPr bwMode="auto">
                    <a:xfrm>
                      <a:off x="0" y="0"/>
                      <a:ext cx="3360420" cy="8255"/>
                    </a:xfrm>
                    <a:prstGeom prst="rect">
                      <a:avLst/>
                    </a:prstGeom>
                    <a:noFill/>
                  </pic:spPr>
                </pic:pic>
              </a:graphicData>
            </a:graphic>
          </wp:anchor>
        </w:drawing>
      </w:r>
    </w:p>
    <w:p>
      <w:pPr>
        <w:spacing w:after="0" w:line="182" w:lineRule="exact"/>
        <w:rPr>
          <w:sz w:val="20"/>
          <w:szCs w:val="20"/>
          <w:color w:val="auto"/>
        </w:rPr>
      </w:pPr>
    </w:p>
    <w:p>
      <w:pPr>
        <w:ind w:left="120"/>
        <w:spacing w:after="0" w:line="296" w:lineRule="auto"/>
        <w:rPr>
          <w:sz w:val="20"/>
          <w:szCs w:val="20"/>
          <w:color w:val="auto"/>
        </w:rPr>
      </w:pPr>
      <w:r>
        <w:rPr>
          <w:rFonts w:ascii="Arial" w:cs="Arial" w:eastAsia="Arial" w:hAnsi="Arial"/>
          <w:sz w:val="16"/>
          <w:szCs w:val="16"/>
          <w:color w:val="auto"/>
        </w:rPr>
        <w:t xml:space="preserve">Our Board is furnishing this proxy statement to you to solicit proxies on its behalf to be voted at the Annual Meeting on </w:t>
      </w:r>
      <w:r>
        <w:rPr>
          <w:rFonts w:ascii="Arial" w:cs="Arial" w:eastAsia="Arial" w:hAnsi="Arial"/>
          <w:sz w:val="16"/>
          <w:szCs w:val="16"/>
          <w:b w:val="1"/>
          <w:bCs w:val="1"/>
          <w:color w:val="auto"/>
        </w:rPr>
        <w:t>Thursday, April 23,</w:t>
      </w:r>
      <w:r>
        <w:rPr>
          <w:rFonts w:ascii="Arial" w:cs="Arial" w:eastAsia="Arial" w:hAnsi="Arial"/>
          <w:sz w:val="16"/>
          <w:szCs w:val="16"/>
          <w:color w:val="auto"/>
        </w:rPr>
        <w:t xml:space="preserve"> </w:t>
      </w:r>
      <w:r>
        <w:rPr>
          <w:rFonts w:ascii="Arial" w:cs="Arial" w:eastAsia="Arial" w:hAnsi="Arial"/>
          <w:sz w:val="16"/>
          <w:szCs w:val="16"/>
          <w:b w:val="1"/>
          <w:bCs w:val="1"/>
          <w:color w:val="auto"/>
        </w:rPr>
        <w:t>2020, at 9:00 a.m., Eastern Time, at the Hyatt Regency Bethesda, 7400 Wisconsin Avenue, Bethesda, Maryland 20814</w:t>
      </w:r>
      <w:r>
        <w:rPr>
          <w:rFonts w:ascii="Arial" w:cs="Arial" w:eastAsia="Arial" w:hAnsi="Arial"/>
          <w:sz w:val="16"/>
          <w:szCs w:val="16"/>
          <w:color w:val="auto"/>
        </w:rPr>
        <w:t>. The proxies also</w:t>
      </w:r>
      <w:r>
        <w:rPr>
          <w:rFonts w:ascii="Arial" w:cs="Arial" w:eastAsia="Arial" w:hAnsi="Arial"/>
          <w:sz w:val="16"/>
          <w:szCs w:val="16"/>
          <w:b w:val="1"/>
          <w:bCs w:val="1"/>
          <w:color w:val="auto"/>
        </w:rPr>
        <w:t xml:space="preserve"> </w:t>
      </w:r>
      <w:r>
        <w:rPr>
          <w:rFonts w:ascii="Arial" w:cs="Arial" w:eastAsia="Arial" w:hAnsi="Arial"/>
          <w:sz w:val="16"/>
          <w:szCs w:val="16"/>
          <w:color w:val="auto"/>
        </w:rPr>
        <w:t>may be voted at any postponement or adjournment of the meeting.</w:t>
      </w:r>
    </w:p>
    <w:p>
      <w:pPr>
        <w:spacing w:after="0" w:line="53" w:lineRule="exact"/>
        <w:rPr>
          <w:sz w:val="20"/>
          <w:szCs w:val="20"/>
          <w:color w:val="auto"/>
        </w:rPr>
      </w:pPr>
    </w:p>
    <w:p>
      <w:pPr>
        <w:ind w:left="120" w:right="80"/>
        <w:spacing w:after="0" w:line="275" w:lineRule="auto"/>
        <w:rPr>
          <w:sz w:val="20"/>
          <w:szCs w:val="20"/>
          <w:color w:val="auto"/>
        </w:rPr>
      </w:pPr>
      <w:r>
        <w:rPr>
          <w:rFonts w:ascii="Arial" w:cs="Arial" w:eastAsia="Arial" w:hAnsi="Arial"/>
          <w:sz w:val="17"/>
          <w:szCs w:val="17"/>
          <w:color w:val="auto"/>
        </w:rPr>
        <w:t>All properly executed written proxies, and all properly completed proxies submitted by telephone or by the internet, that are timely delivered pursuant to this solicitation, will be voted at the Annual Meeting in accordance with the directions given in the proxy unless the proxy is revoked before the completion of voting at the meeting.</w:t>
      </w:r>
    </w:p>
    <w:p>
      <w:pPr>
        <w:spacing w:after="0" w:line="199" w:lineRule="exact"/>
        <w:rPr>
          <w:sz w:val="20"/>
          <w:szCs w:val="20"/>
          <w:color w:val="auto"/>
        </w:rPr>
      </w:pPr>
    </w:p>
    <w:p>
      <w:pPr>
        <w:ind w:left="500" w:right="160" w:hanging="317"/>
        <w:spacing w:after="0" w:line="282" w:lineRule="auto"/>
        <w:tabs>
          <w:tab w:leader="none" w:pos="500" w:val="left"/>
        </w:tabs>
        <w:numPr>
          <w:ilvl w:val="0"/>
          <w:numId w:val="58"/>
        </w:numPr>
        <w:rPr>
          <w:rFonts w:ascii="Arial" w:cs="Arial" w:eastAsia="Arial" w:hAnsi="Arial"/>
          <w:sz w:val="18"/>
          <w:szCs w:val="18"/>
          <w:b w:val="1"/>
          <w:bCs w:val="1"/>
          <w:color w:val="auto"/>
        </w:rPr>
      </w:pPr>
      <w:r>
        <w:rPr>
          <w:rFonts w:ascii="Arial" w:cs="Arial" w:eastAsia="Arial" w:hAnsi="Arial"/>
          <w:sz w:val="18"/>
          <w:szCs w:val="18"/>
          <w:b w:val="1"/>
          <w:bCs w:val="1"/>
          <w:color w:val="auto"/>
        </w:rPr>
        <w:t>WHAT ITEMS WILL BE CONSIDERED AND VOTED ON AT THE ANNUAL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11430</wp:posOffset>
            </wp:positionV>
            <wp:extent cx="3360420" cy="889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6">
                      <a:extLst>
                        <a:ext uri="{28A0092B-C50C-407E-A947-70E740481C1C}"/>
                      </a:extLst>
                    </a:blip>
                    <a:srcRect/>
                    <a:stretch>
                      <a:fillRect/>
                    </a:stretch>
                  </pic:blipFill>
                  <pic:spPr bwMode="auto">
                    <a:xfrm>
                      <a:off x="0" y="0"/>
                      <a:ext cx="3360420" cy="8890"/>
                    </a:xfrm>
                    <a:prstGeom prst="rect">
                      <a:avLst/>
                    </a:prstGeom>
                    <a:noFill/>
                  </pic:spPr>
                </pic:pic>
              </a:graphicData>
            </a:graphic>
          </wp:anchor>
        </w:drawing>
      </w:r>
    </w:p>
    <w:p>
      <w:pPr>
        <w:spacing w:after="0" w:line="277" w:lineRule="exact"/>
        <w:rPr>
          <w:sz w:val="20"/>
          <w:szCs w:val="20"/>
          <w:color w:val="auto"/>
        </w:rPr>
      </w:pPr>
    </w:p>
    <w:tbl>
      <w:tblPr>
        <w:tblLayout w:type="fixed"/>
        <w:tblInd w:w="440" w:type="dxa"/>
        <w:tblCellMar>
          <w:top w:w="0" w:type="dxa"/>
          <w:left w:w="0" w:type="dxa"/>
          <w:bottom w:w="0" w:type="dxa"/>
          <w:right w:w="0" w:type="dxa"/>
        </w:tblCellMar>
      </w:tblPr>
      <w:tr>
        <w:trPr>
          <w:trHeight w:val="216"/>
        </w:trPr>
        <w:tc>
          <w:tcPr>
            <w:tcW w:w="220" w:type="dxa"/>
            <w:vAlign w:val="bottom"/>
          </w:tcPr>
          <w:p>
            <w:pPr>
              <w:spacing w:after="0"/>
              <w:rPr>
                <w:sz w:val="18"/>
                <w:szCs w:val="18"/>
                <w:color w:val="auto"/>
              </w:rPr>
            </w:pPr>
          </w:p>
        </w:tc>
        <w:tc>
          <w:tcPr>
            <w:tcW w:w="2480" w:type="dxa"/>
            <w:vAlign w:val="bottom"/>
          </w:tcPr>
          <w:p>
            <w:pPr>
              <w:spacing w:after="0"/>
              <w:rPr>
                <w:sz w:val="18"/>
                <w:szCs w:val="18"/>
                <w:color w:val="auto"/>
              </w:rPr>
            </w:pPr>
          </w:p>
        </w:tc>
        <w:tc>
          <w:tcPr>
            <w:tcW w:w="1940" w:type="dxa"/>
            <w:vAlign w:val="bottom"/>
          </w:tcPr>
          <w:p>
            <w:pPr>
              <w:ind w:left="40"/>
              <w:spacing w:after="0"/>
              <w:rPr>
                <w:sz w:val="20"/>
                <w:szCs w:val="20"/>
                <w:color w:val="auto"/>
              </w:rPr>
            </w:pPr>
            <w:r>
              <w:rPr>
                <w:rFonts w:ascii="Arial" w:cs="Arial" w:eastAsia="Arial" w:hAnsi="Arial"/>
                <w:sz w:val="18"/>
                <w:szCs w:val="18"/>
                <w:b w:val="1"/>
                <w:bCs w:val="1"/>
                <w:color w:val="auto"/>
              </w:rPr>
              <w:t>Board</w:t>
            </w:r>
          </w:p>
        </w:tc>
        <w:tc>
          <w:tcPr>
            <w:tcW w:w="0" w:type="dxa"/>
            <w:vAlign w:val="bottom"/>
          </w:tcPr>
          <w:p>
            <w:pPr>
              <w:spacing w:after="0"/>
              <w:rPr>
                <w:sz w:val="1"/>
                <w:szCs w:val="1"/>
                <w:color w:val="auto"/>
              </w:rPr>
            </w:pPr>
          </w:p>
        </w:tc>
      </w:tr>
      <w:tr>
        <w:trPr>
          <w:trHeight w:val="248"/>
        </w:trPr>
        <w:tc>
          <w:tcPr>
            <w:tcW w:w="2700" w:type="dxa"/>
            <w:vAlign w:val="bottom"/>
            <w:tcBorders>
              <w:bottom w:val="single" w:sz="8" w:color="407CCA"/>
            </w:tcBorders>
            <w:gridSpan w:val="2"/>
          </w:tcPr>
          <w:p>
            <w:pPr>
              <w:spacing w:after="0"/>
              <w:rPr>
                <w:sz w:val="20"/>
                <w:szCs w:val="20"/>
                <w:color w:val="auto"/>
              </w:rPr>
            </w:pPr>
            <w:r>
              <w:rPr>
                <w:rFonts w:ascii="Arial" w:cs="Arial" w:eastAsia="Arial" w:hAnsi="Arial"/>
                <w:sz w:val="18"/>
                <w:szCs w:val="18"/>
                <w:b w:val="1"/>
                <w:bCs w:val="1"/>
                <w:color w:val="auto"/>
              </w:rPr>
              <w:t>Proposal</w:t>
            </w:r>
          </w:p>
        </w:tc>
        <w:tc>
          <w:tcPr>
            <w:tcW w:w="1940" w:type="dxa"/>
            <w:vAlign w:val="bottom"/>
            <w:tcBorders>
              <w:bottom w:val="single" w:sz="8" w:color="407CCA"/>
            </w:tcBorders>
          </w:tcPr>
          <w:p>
            <w:pPr>
              <w:ind w:left="40"/>
              <w:spacing w:after="0"/>
              <w:rPr>
                <w:sz w:val="20"/>
                <w:szCs w:val="20"/>
                <w:color w:val="auto"/>
              </w:rPr>
            </w:pPr>
            <w:r>
              <w:rPr>
                <w:rFonts w:ascii="Arial" w:cs="Arial" w:eastAsia="Arial" w:hAnsi="Arial"/>
                <w:sz w:val="18"/>
                <w:szCs w:val="18"/>
                <w:b w:val="1"/>
                <w:bCs w:val="1"/>
                <w:color w:val="auto"/>
              </w:rPr>
              <w:t>Recommendations</w:t>
            </w:r>
          </w:p>
        </w:tc>
        <w:tc>
          <w:tcPr>
            <w:tcW w:w="0" w:type="dxa"/>
            <w:vAlign w:val="bottom"/>
          </w:tcPr>
          <w:p>
            <w:pPr>
              <w:spacing w:after="0"/>
              <w:rPr>
                <w:sz w:val="1"/>
                <w:szCs w:val="1"/>
                <w:color w:val="auto"/>
              </w:rPr>
            </w:pPr>
          </w:p>
        </w:tc>
      </w:tr>
      <w:tr>
        <w:trPr>
          <w:trHeight w:val="195"/>
        </w:trPr>
        <w:tc>
          <w:tcPr>
            <w:tcW w:w="220" w:type="dxa"/>
            <w:vAlign w:val="bottom"/>
          </w:tcPr>
          <w:p>
            <w:pPr>
              <w:spacing w:after="0" w:line="195" w:lineRule="exact"/>
              <w:rPr>
                <w:sz w:val="20"/>
                <w:szCs w:val="20"/>
                <w:color w:val="auto"/>
              </w:rPr>
            </w:pPr>
            <w:r>
              <w:rPr>
                <w:rFonts w:ascii="Arial" w:cs="Arial" w:eastAsia="Arial" w:hAnsi="Arial"/>
                <w:sz w:val="18"/>
                <w:szCs w:val="18"/>
                <w:color w:val="auto"/>
              </w:rPr>
              <w:t>1)</w:t>
            </w:r>
          </w:p>
        </w:tc>
        <w:tc>
          <w:tcPr>
            <w:tcW w:w="2480" w:type="dxa"/>
            <w:vAlign w:val="bottom"/>
          </w:tcPr>
          <w:p>
            <w:pPr>
              <w:ind w:left="80"/>
              <w:spacing w:after="0" w:line="195" w:lineRule="exact"/>
              <w:rPr>
                <w:sz w:val="20"/>
                <w:szCs w:val="20"/>
                <w:color w:val="auto"/>
              </w:rPr>
            </w:pPr>
            <w:r>
              <w:rPr>
                <w:rFonts w:ascii="Arial" w:cs="Arial" w:eastAsia="Arial" w:hAnsi="Arial"/>
                <w:sz w:val="18"/>
                <w:szCs w:val="18"/>
                <w:color w:val="auto"/>
                <w:w w:val="91"/>
              </w:rPr>
              <w:t>Election of seven directors, each</w:t>
            </w:r>
          </w:p>
        </w:tc>
        <w:tc>
          <w:tcPr>
            <w:tcW w:w="1940" w:type="dxa"/>
            <w:vAlign w:val="bottom"/>
          </w:tcPr>
          <w:p>
            <w:pPr>
              <w:ind w:left="40"/>
              <w:spacing w:after="0" w:line="195" w:lineRule="exact"/>
              <w:rPr>
                <w:sz w:val="20"/>
                <w:szCs w:val="20"/>
                <w:color w:val="auto"/>
              </w:rPr>
            </w:pPr>
            <w:r>
              <w:rPr>
                <w:rFonts w:ascii="Arial" w:cs="Arial" w:eastAsia="Arial" w:hAnsi="Arial"/>
                <w:sz w:val="18"/>
                <w:szCs w:val="18"/>
                <w:b w:val="1"/>
                <w:bCs w:val="1"/>
                <w:color w:val="auto"/>
              </w:rPr>
              <w:t xml:space="preserve">FOR </w:t>
            </w:r>
            <w:r>
              <w:rPr>
                <w:rFonts w:ascii="Arial" w:cs="Arial" w:eastAsia="Arial" w:hAnsi="Arial"/>
                <w:sz w:val="18"/>
                <w:szCs w:val="18"/>
                <w:color w:val="auto"/>
              </w:rPr>
              <w:t>each of the</w:t>
            </w:r>
          </w:p>
        </w:tc>
        <w:tc>
          <w:tcPr>
            <w:tcW w:w="0" w:type="dxa"/>
            <w:vAlign w:val="bottom"/>
          </w:tcPr>
          <w:p>
            <w:pPr>
              <w:spacing w:after="0"/>
              <w:rPr>
                <w:sz w:val="1"/>
                <w:szCs w:val="1"/>
                <w:color w:val="auto"/>
              </w:rPr>
            </w:pPr>
          </w:p>
        </w:tc>
      </w:tr>
      <w:tr>
        <w:trPr>
          <w:trHeight w:val="216"/>
        </w:trPr>
        <w:tc>
          <w:tcPr>
            <w:tcW w:w="220" w:type="dxa"/>
            <w:vAlign w:val="bottom"/>
          </w:tcPr>
          <w:p>
            <w:pPr>
              <w:spacing w:after="0"/>
              <w:rPr>
                <w:sz w:val="18"/>
                <w:szCs w:val="18"/>
                <w:color w:val="auto"/>
              </w:rPr>
            </w:pPr>
          </w:p>
        </w:tc>
        <w:tc>
          <w:tcPr>
            <w:tcW w:w="2480" w:type="dxa"/>
            <w:vAlign w:val="bottom"/>
          </w:tcPr>
          <w:p>
            <w:pPr>
              <w:ind w:left="100"/>
              <w:spacing w:after="0"/>
              <w:rPr>
                <w:sz w:val="20"/>
                <w:szCs w:val="20"/>
                <w:color w:val="auto"/>
              </w:rPr>
            </w:pPr>
            <w:r>
              <w:rPr>
                <w:rFonts w:ascii="Arial" w:cs="Arial" w:eastAsia="Arial" w:hAnsi="Arial"/>
                <w:sz w:val="18"/>
                <w:szCs w:val="18"/>
                <w:color w:val="auto"/>
              </w:rPr>
              <w:t>to serve a one-year term and</w:t>
            </w:r>
          </w:p>
        </w:tc>
        <w:tc>
          <w:tcPr>
            <w:tcW w:w="1940" w:type="dxa"/>
            <w:vAlign w:val="bottom"/>
          </w:tcPr>
          <w:p>
            <w:pPr>
              <w:ind w:left="40"/>
              <w:spacing w:after="0"/>
              <w:rPr>
                <w:sz w:val="20"/>
                <w:szCs w:val="20"/>
                <w:color w:val="auto"/>
              </w:rPr>
            </w:pPr>
            <w:r>
              <w:rPr>
                <w:rFonts w:ascii="Arial" w:cs="Arial" w:eastAsia="Arial" w:hAnsi="Arial"/>
                <w:sz w:val="18"/>
                <w:szCs w:val="18"/>
                <w:color w:val="auto"/>
                <w:w w:val="93"/>
              </w:rPr>
              <w:t>nominees of the Board of</w:t>
            </w:r>
          </w:p>
        </w:tc>
        <w:tc>
          <w:tcPr>
            <w:tcW w:w="0" w:type="dxa"/>
            <w:vAlign w:val="bottom"/>
          </w:tcPr>
          <w:p>
            <w:pPr>
              <w:spacing w:after="0"/>
              <w:rPr>
                <w:sz w:val="1"/>
                <w:szCs w:val="1"/>
                <w:color w:val="auto"/>
              </w:rPr>
            </w:pPr>
          </w:p>
        </w:tc>
      </w:tr>
      <w:tr>
        <w:trPr>
          <w:trHeight w:val="216"/>
        </w:trPr>
        <w:tc>
          <w:tcPr>
            <w:tcW w:w="220" w:type="dxa"/>
            <w:vAlign w:val="bottom"/>
          </w:tcPr>
          <w:p>
            <w:pPr>
              <w:spacing w:after="0"/>
              <w:rPr>
                <w:sz w:val="18"/>
                <w:szCs w:val="18"/>
                <w:color w:val="auto"/>
              </w:rPr>
            </w:pPr>
          </w:p>
        </w:tc>
        <w:tc>
          <w:tcPr>
            <w:tcW w:w="2480" w:type="dxa"/>
            <w:vAlign w:val="bottom"/>
          </w:tcPr>
          <w:p>
            <w:pPr>
              <w:ind w:left="100"/>
              <w:spacing w:after="0"/>
              <w:rPr>
                <w:sz w:val="20"/>
                <w:szCs w:val="20"/>
                <w:color w:val="auto"/>
              </w:rPr>
            </w:pPr>
            <w:r>
              <w:rPr>
                <w:rFonts w:ascii="Arial" w:cs="Arial" w:eastAsia="Arial" w:hAnsi="Arial"/>
                <w:sz w:val="18"/>
                <w:szCs w:val="18"/>
                <w:color w:val="auto"/>
              </w:rPr>
              <w:t>until his or her successor is</w:t>
            </w:r>
          </w:p>
        </w:tc>
        <w:tc>
          <w:tcPr>
            <w:tcW w:w="1940" w:type="dxa"/>
            <w:vAlign w:val="bottom"/>
          </w:tcPr>
          <w:p>
            <w:pPr>
              <w:ind w:left="40"/>
              <w:spacing w:after="0"/>
              <w:rPr>
                <w:sz w:val="20"/>
                <w:szCs w:val="20"/>
                <w:color w:val="auto"/>
              </w:rPr>
            </w:pPr>
            <w:r>
              <w:rPr>
                <w:rFonts w:ascii="Arial" w:cs="Arial" w:eastAsia="Arial" w:hAnsi="Arial"/>
                <w:sz w:val="18"/>
                <w:szCs w:val="18"/>
                <w:color w:val="auto"/>
              </w:rPr>
              <w:t>Directors</w:t>
            </w:r>
          </w:p>
        </w:tc>
        <w:tc>
          <w:tcPr>
            <w:tcW w:w="0" w:type="dxa"/>
            <w:vAlign w:val="bottom"/>
          </w:tcPr>
          <w:p>
            <w:pPr>
              <w:spacing w:after="0"/>
              <w:rPr>
                <w:sz w:val="1"/>
                <w:szCs w:val="1"/>
                <w:color w:val="auto"/>
              </w:rPr>
            </w:pPr>
          </w:p>
        </w:tc>
      </w:tr>
      <w:tr>
        <w:trPr>
          <w:trHeight w:val="216"/>
        </w:trPr>
        <w:tc>
          <w:tcPr>
            <w:tcW w:w="220" w:type="dxa"/>
            <w:vAlign w:val="bottom"/>
          </w:tcPr>
          <w:p>
            <w:pPr>
              <w:spacing w:after="0"/>
              <w:rPr>
                <w:sz w:val="18"/>
                <w:szCs w:val="18"/>
                <w:color w:val="auto"/>
              </w:rPr>
            </w:pPr>
          </w:p>
        </w:tc>
        <w:tc>
          <w:tcPr>
            <w:tcW w:w="2480" w:type="dxa"/>
            <w:vAlign w:val="bottom"/>
          </w:tcPr>
          <w:p>
            <w:pPr>
              <w:ind w:left="100"/>
              <w:spacing w:after="0"/>
              <w:rPr>
                <w:sz w:val="20"/>
                <w:szCs w:val="20"/>
                <w:color w:val="auto"/>
              </w:rPr>
            </w:pPr>
            <w:r>
              <w:rPr>
                <w:rFonts w:ascii="Arial" w:cs="Arial" w:eastAsia="Arial" w:hAnsi="Arial"/>
                <w:sz w:val="18"/>
                <w:szCs w:val="18"/>
                <w:color w:val="auto"/>
              </w:rPr>
              <w:t>elected and qualified</w:t>
            </w:r>
          </w:p>
        </w:tc>
        <w:tc>
          <w:tcPr>
            <w:tcW w:w="1940" w:type="dxa"/>
            <w:vAlign w:val="bottom"/>
            <w:vMerge w:val="restart"/>
          </w:tcPr>
          <w:p>
            <w:pPr>
              <w:ind w:left="40"/>
              <w:spacing w:after="0"/>
              <w:rPr>
                <w:sz w:val="20"/>
                <w:szCs w:val="20"/>
                <w:color w:val="auto"/>
              </w:rPr>
            </w:pPr>
            <w:r>
              <w:rPr>
                <w:rFonts w:ascii="Arial" w:cs="Arial" w:eastAsia="Arial" w:hAnsi="Arial"/>
                <w:sz w:val="18"/>
                <w:szCs w:val="18"/>
                <w:b w:val="1"/>
                <w:bCs w:val="1"/>
                <w:color w:val="auto"/>
              </w:rPr>
              <w:t xml:space="preserve">FOR </w:t>
            </w:r>
            <w:r>
              <w:rPr>
                <w:rFonts w:ascii="Arial" w:cs="Arial" w:eastAsia="Arial" w:hAnsi="Arial"/>
                <w:sz w:val="18"/>
                <w:szCs w:val="18"/>
                <w:color w:val="auto"/>
              </w:rPr>
              <w:t>increasing the</w:t>
            </w:r>
          </w:p>
        </w:tc>
        <w:tc>
          <w:tcPr>
            <w:tcW w:w="0" w:type="dxa"/>
            <w:vAlign w:val="bottom"/>
          </w:tcPr>
          <w:p>
            <w:pPr>
              <w:spacing w:after="0"/>
              <w:rPr>
                <w:sz w:val="1"/>
                <w:szCs w:val="1"/>
                <w:color w:val="auto"/>
              </w:rPr>
            </w:pPr>
          </w:p>
        </w:tc>
      </w:tr>
      <w:tr>
        <w:trPr>
          <w:trHeight w:val="216"/>
        </w:trPr>
        <w:tc>
          <w:tcPr>
            <w:tcW w:w="220" w:type="dxa"/>
            <w:vAlign w:val="bottom"/>
          </w:tcPr>
          <w:p>
            <w:pPr>
              <w:spacing w:after="0"/>
              <w:rPr>
                <w:sz w:val="20"/>
                <w:szCs w:val="20"/>
                <w:color w:val="auto"/>
              </w:rPr>
            </w:pPr>
            <w:r>
              <w:rPr>
                <w:rFonts w:ascii="Arial" w:cs="Arial" w:eastAsia="Arial" w:hAnsi="Arial"/>
                <w:sz w:val="18"/>
                <w:szCs w:val="18"/>
                <w:color w:val="auto"/>
              </w:rPr>
              <w:t>2)</w:t>
            </w:r>
          </w:p>
        </w:tc>
        <w:tc>
          <w:tcPr>
            <w:tcW w:w="2480" w:type="dxa"/>
            <w:vAlign w:val="bottom"/>
          </w:tcPr>
          <w:p>
            <w:pPr>
              <w:ind w:left="80"/>
              <w:spacing w:after="0"/>
              <w:rPr>
                <w:sz w:val="20"/>
                <w:szCs w:val="20"/>
                <w:color w:val="auto"/>
              </w:rPr>
            </w:pPr>
            <w:r>
              <w:rPr>
                <w:rFonts w:ascii="Arial" w:cs="Arial" w:eastAsia="Arial" w:hAnsi="Arial"/>
                <w:sz w:val="18"/>
                <w:szCs w:val="18"/>
                <w:color w:val="auto"/>
              </w:rPr>
              <w:t>Approval of an amendment to</w:t>
            </w:r>
          </w:p>
        </w:tc>
        <w:tc>
          <w:tcPr>
            <w:tcW w:w="194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20" w:type="dxa"/>
            <w:vAlign w:val="bottom"/>
          </w:tcPr>
          <w:p>
            <w:pPr>
              <w:spacing w:after="0"/>
              <w:rPr>
                <w:sz w:val="18"/>
                <w:szCs w:val="18"/>
                <w:color w:val="auto"/>
              </w:rPr>
            </w:pPr>
          </w:p>
        </w:tc>
        <w:tc>
          <w:tcPr>
            <w:tcW w:w="2480" w:type="dxa"/>
            <w:vAlign w:val="bottom"/>
          </w:tcPr>
          <w:p>
            <w:pPr>
              <w:ind w:left="100"/>
              <w:spacing w:after="0"/>
              <w:rPr>
                <w:sz w:val="20"/>
                <w:szCs w:val="20"/>
                <w:color w:val="auto"/>
              </w:rPr>
            </w:pPr>
            <w:r>
              <w:rPr>
                <w:rFonts w:ascii="Arial" w:cs="Arial" w:eastAsia="Arial" w:hAnsi="Arial"/>
                <w:sz w:val="18"/>
                <w:szCs w:val="18"/>
                <w:color w:val="auto"/>
              </w:rPr>
              <w:t>the Amended and Restated</w:t>
            </w:r>
          </w:p>
        </w:tc>
        <w:tc>
          <w:tcPr>
            <w:tcW w:w="1940" w:type="dxa"/>
            <w:vAlign w:val="bottom"/>
          </w:tcPr>
          <w:p>
            <w:pPr>
              <w:ind w:left="40"/>
              <w:spacing w:after="0"/>
              <w:rPr>
                <w:sz w:val="20"/>
                <w:szCs w:val="20"/>
                <w:color w:val="auto"/>
              </w:rPr>
            </w:pPr>
            <w:r>
              <w:rPr>
                <w:rFonts w:ascii="Arial" w:cs="Arial" w:eastAsia="Arial" w:hAnsi="Arial"/>
                <w:sz w:val="18"/>
                <w:szCs w:val="18"/>
                <w:color w:val="auto"/>
              </w:rPr>
              <w:t>number of authorized</w:t>
            </w:r>
          </w:p>
        </w:tc>
        <w:tc>
          <w:tcPr>
            <w:tcW w:w="0" w:type="dxa"/>
            <w:vAlign w:val="bottom"/>
          </w:tcPr>
          <w:p>
            <w:pPr>
              <w:spacing w:after="0"/>
              <w:rPr>
                <w:sz w:val="1"/>
                <w:szCs w:val="1"/>
                <w:color w:val="auto"/>
              </w:rPr>
            </w:pPr>
          </w:p>
        </w:tc>
      </w:tr>
      <w:tr>
        <w:trPr>
          <w:trHeight w:val="216"/>
        </w:trPr>
        <w:tc>
          <w:tcPr>
            <w:tcW w:w="220" w:type="dxa"/>
            <w:vAlign w:val="bottom"/>
          </w:tcPr>
          <w:p>
            <w:pPr>
              <w:spacing w:after="0"/>
              <w:rPr>
                <w:sz w:val="18"/>
                <w:szCs w:val="18"/>
                <w:color w:val="auto"/>
              </w:rPr>
            </w:pPr>
          </w:p>
        </w:tc>
        <w:tc>
          <w:tcPr>
            <w:tcW w:w="2480" w:type="dxa"/>
            <w:vAlign w:val="bottom"/>
          </w:tcPr>
          <w:p>
            <w:pPr>
              <w:ind w:left="100"/>
              <w:spacing w:after="0"/>
              <w:rPr>
                <w:sz w:val="20"/>
                <w:szCs w:val="20"/>
                <w:color w:val="auto"/>
              </w:rPr>
            </w:pPr>
            <w:r>
              <w:rPr>
                <w:rFonts w:ascii="Arial" w:cs="Arial" w:eastAsia="Arial" w:hAnsi="Arial"/>
                <w:sz w:val="18"/>
                <w:szCs w:val="18"/>
                <w:color w:val="auto"/>
              </w:rPr>
              <w:t>Certificate of Incorporation to</w:t>
            </w:r>
          </w:p>
        </w:tc>
        <w:tc>
          <w:tcPr>
            <w:tcW w:w="1940" w:type="dxa"/>
            <w:vAlign w:val="bottom"/>
          </w:tcPr>
          <w:p>
            <w:pPr>
              <w:ind w:left="40"/>
              <w:spacing w:after="0"/>
              <w:rPr>
                <w:sz w:val="20"/>
                <w:szCs w:val="20"/>
                <w:color w:val="auto"/>
              </w:rPr>
            </w:pPr>
            <w:r>
              <w:rPr>
                <w:rFonts w:ascii="Arial" w:cs="Arial" w:eastAsia="Arial" w:hAnsi="Arial"/>
                <w:sz w:val="18"/>
                <w:szCs w:val="18"/>
                <w:color w:val="auto"/>
              </w:rPr>
              <w:t>common shares</w:t>
            </w:r>
          </w:p>
        </w:tc>
        <w:tc>
          <w:tcPr>
            <w:tcW w:w="0" w:type="dxa"/>
            <w:vAlign w:val="bottom"/>
          </w:tcPr>
          <w:p>
            <w:pPr>
              <w:spacing w:after="0"/>
              <w:rPr>
                <w:sz w:val="1"/>
                <w:szCs w:val="1"/>
                <w:color w:val="auto"/>
              </w:rPr>
            </w:pPr>
          </w:p>
        </w:tc>
      </w:tr>
      <w:tr>
        <w:trPr>
          <w:trHeight w:val="216"/>
        </w:trPr>
        <w:tc>
          <w:tcPr>
            <w:tcW w:w="220" w:type="dxa"/>
            <w:vAlign w:val="bottom"/>
          </w:tcPr>
          <w:p>
            <w:pPr>
              <w:spacing w:after="0"/>
              <w:rPr>
                <w:sz w:val="18"/>
                <w:szCs w:val="18"/>
                <w:color w:val="auto"/>
              </w:rPr>
            </w:pPr>
          </w:p>
        </w:tc>
        <w:tc>
          <w:tcPr>
            <w:tcW w:w="2480" w:type="dxa"/>
            <w:vAlign w:val="bottom"/>
          </w:tcPr>
          <w:p>
            <w:pPr>
              <w:ind w:left="100"/>
              <w:spacing w:after="0"/>
              <w:rPr>
                <w:sz w:val="20"/>
                <w:szCs w:val="20"/>
                <w:color w:val="auto"/>
              </w:rPr>
            </w:pPr>
            <w:r>
              <w:rPr>
                <w:rFonts w:ascii="Arial" w:cs="Arial" w:eastAsia="Arial" w:hAnsi="Arial"/>
                <w:sz w:val="18"/>
                <w:szCs w:val="18"/>
                <w:color w:val="auto"/>
                <w:w w:val="93"/>
              </w:rPr>
              <w:t>increase the authorized number</w:t>
            </w:r>
          </w:p>
        </w:tc>
        <w:tc>
          <w:tcPr>
            <w:tcW w:w="19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20" w:type="dxa"/>
            <w:vAlign w:val="bottom"/>
          </w:tcPr>
          <w:p>
            <w:pPr>
              <w:spacing w:after="0"/>
              <w:rPr>
                <w:sz w:val="18"/>
                <w:szCs w:val="18"/>
                <w:color w:val="auto"/>
              </w:rPr>
            </w:pPr>
          </w:p>
        </w:tc>
        <w:tc>
          <w:tcPr>
            <w:tcW w:w="2480" w:type="dxa"/>
            <w:vAlign w:val="bottom"/>
          </w:tcPr>
          <w:p>
            <w:pPr>
              <w:ind w:left="100"/>
              <w:spacing w:after="0"/>
              <w:rPr>
                <w:sz w:val="20"/>
                <w:szCs w:val="20"/>
                <w:color w:val="auto"/>
              </w:rPr>
            </w:pPr>
            <w:r>
              <w:rPr>
                <w:rFonts w:ascii="Arial" w:cs="Arial" w:eastAsia="Arial" w:hAnsi="Arial"/>
                <w:sz w:val="18"/>
                <w:szCs w:val="18"/>
                <w:color w:val="auto"/>
              </w:rPr>
              <w:t>of shares of common stock</w:t>
            </w:r>
          </w:p>
        </w:tc>
        <w:tc>
          <w:tcPr>
            <w:tcW w:w="1940" w:type="dxa"/>
            <w:vAlign w:val="bottom"/>
            <w:vMerge w:val="restart"/>
          </w:tcPr>
          <w:p>
            <w:pPr>
              <w:ind w:left="40"/>
              <w:spacing w:after="0"/>
              <w:rPr>
                <w:sz w:val="20"/>
                <w:szCs w:val="20"/>
                <w:color w:val="auto"/>
              </w:rPr>
            </w:pPr>
            <w:r>
              <w:rPr>
                <w:rFonts w:ascii="Arial" w:cs="Arial" w:eastAsia="Arial" w:hAnsi="Arial"/>
                <w:sz w:val="18"/>
                <w:szCs w:val="18"/>
                <w:b w:val="1"/>
                <w:bCs w:val="1"/>
                <w:color w:val="auto"/>
              </w:rPr>
              <w:t xml:space="preserve">FOR </w:t>
            </w:r>
            <w:r>
              <w:rPr>
                <w:rFonts w:ascii="Arial" w:cs="Arial" w:eastAsia="Arial" w:hAnsi="Arial"/>
                <w:sz w:val="18"/>
                <w:szCs w:val="18"/>
                <w:color w:val="auto"/>
              </w:rPr>
              <w:t>the advisory</w:t>
            </w:r>
          </w:p>
        </w:tc>
        <w:tc>
          <w:tcPr>
            <w:tcW w:w="0" w:type="dxa"/>
            <w:vAlign w:val="bottom"/>
          </w:tcPr>
          <w:p>
            <w:pPr>
              <w:spacing w:after="0"/>
              <w:rPr>
                <w:sz w:val="1"/>
                <w:szCs w:val="1"/>
                <w:color w:val="auto"/>
              </w:rPr>
            </w:pPr>
          </w:p>
        </w:tc>
      </w:tr>
      <w:tr>
        <w:trPr>
          <w:trHeight w:val="216"/>
        </w:trPr>
        <w:tc>
          <w:tcPr>
            <w:tcW w:w="220" w:type="dxa"/>
            <w:vAlign w:val="bottom"/>
          </w:tcPr>
          <w:p>
            <w:pPr>
              <w:spacing w:after="0"/>
              <w:rPr>
                <w:sz w:val="20"/>
                <w:szCs w:val="20"/>
                <w:color w:val="auto"/>
              </w:rPr>
            </w:pPr>
            <w:r>
              <w:rPr>
                <w:rFonts w:ascii="Arial" w:cs="Arial" w:eastAsia="Arial" w:hAnsi="Arial"/>
                <w:sz w:val="18"/>
                <w:szCs w:val="18"/>
                <w:color w:val="auto"/>
              </w:rPr>
              <w:t>3)</w:t>
            </w:r>
          </w:p>
        </w:tc>
        <w:tc>
          <w:tcPr>
            <w:tcW w:w="2480" w:type="dxa"/>
            <w:vAlign w:val="bottom"/>
          </w:tcPr>
          <w:p>
            <w:pPr>
              <w:ind w:left="80"/>
              <w:spacing w:after="0"/>
              <w:rPr>
                <w:sz w:val="20"/>
                <w:szCs w:val="20"/>
                <w:color w:val="auto"/>
              </w:rPr>
            </w:pPr>
            <w:r>
              <w:rPr>
                <w:rFonts w:ascii="Arial" w:cs="Arial" w:eastAsia="Arial" w:hAnsi="Arial"/>
                <w:sz w:val="18"/>
                <w:szCs w:val="18"/>
                <w:color w:val="auto"/>
              </w:rPr>
              <w:t>Approval of an advisory</w:t>
            </w:r>
          </w:p>
        </w:tc>
        <w:tc>
          <w:tcPr>
            <w:tcW w:w="194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20" w:type="dxa"/>
            <w:vAlign w:val="bottom"/>
          </w:tcPr>
          <w:p>
            <w:pPr>
              <w:spacing w:after="0"/>
              <w:rPr>
                <w:sz w:val="18"/>
                <w:szCs w:val="18"/>
                <w:color w:val="auto"/>
              </w:rPr>
            </w:pPr>
          </w:p>
        </w:tc>
        <w:tc>
          <w:tcPr>
            <w:tcW w:w="2480" w:type="dxa"/>
            <w:vAlign w:val="bottom"/>
          </w:tcPr>
          <w:p>
            <w:pPr>
              <w:ind w:left="100"/>
              <w:spacing w:after="0"/>
              <w:rPr>
                <w:sz w:val="20"/>
                <w:szCs w:val="20"/>
                <w:color w:val="auto"/>
              </w:rPr>
            </w:pPr>
            <w:r>
              <w:rPr>
                <w:rFonts w:ascii="Arial" w:cs="Arial" w:eastAsia="Arial" w:hAnsi="Arial"/>
                <w:sz w:val="18"/>
                <w:szCs w:val="18"/>
                <w:color w:val="auto"/>
              </w:rPr>
              <w:t>resolution on executive</w:t>
            </w:r>
          </w:p>
        </w:tc>
        <w:tc>
          <w:tcPr>
            <w:tcW w:w="1940" w:type="dxa"/>
            <w:vAlign w:val="bottom"/>
          </w:tcPr>
          <w:p>
            <w:pPr>
              <w:ind w:left="40"/>
              <w:spacing w:after="0"/>
              <w:rPr>
                <w:sz w:val="20"/>
                <w:szCs w:val="20"/>
                <w:color w:val="auto"/>
              </w:rPr>
            </w:pPr>
            <w:r>
              <w:rPr>
                <w:rFonts w:ascii="Arial" w:cs="Arial" w:eastAsia="Arial" w:hAnsi="Arial"/>
                <w:sz w:val="18"/>
                <w:szCs w:val="18"/>
                <w:color w:val="auto"/>
              </w:rPr>
              <w:t>resolution</w:t>
            </w:r>
          </w:p>
        </w:tc>
        <w:tc>
          <w:tcPr>
            <w:tcW w:w="0" w:type="dxa"/>
            <w:vAlign w:val="bottom"/>
          </w:tcPr>
          <w:p>
            <w:pPr>
              <w:spacing w:after="0"/>
              <w:rPr>
                <w:sz w:val="1"/>
                <w:szCs w:val="1"/>
                <w:color w:val="auto"/>
              </w:rPr>
            </w:pPr>
          </w:p>
        </w:tc>
      </w:tr>
      <w:tr>
        <w:trPr>
          <w:trHeight w:val="216"/>
        </w:trPr>
        <w:tc>
          <w:tcPr>
            <w:tcW w:w="220" w:type="dxa"/>
            <w:vAlign w:val="bottom"/>
          </w:tcPr>
          <w:p>
            <w:pPr>
              <w:spacing w:after="0"/>
              <w:rPr>
                <w:sz w:val="18"/>
                <w:szCs w:val="18"/>
                <w:color w:val="auto"/>
              </w:rPr>
            </w:pPr>
          </w:p>
        </w:tc>
        <w:tc>
          <w:tcPr>
            <w:tcW w:w="2480" w:type="dxa"/>
            <w:vAlign w:val="bottom"/>
          </w:tcPr>
          <w:p>
            <w:pPr>
              <w:ind w:left="100"/>
              <w:spacing w:after="0"/>
              <w:rPr>
                <w:sz w:val="20"/>
                <w:szCs w:val="20"/>
                <w:color w:val="auto"/>
              </w:rPr>
            </w:pPr>
            <w:r>
              <w:rPr>
                <w:rFonts w:ascii="Arial" w:cs="Arial" w:eastAsia="Arial" w:hAnsi="Arial"/>
                <w:sz w:val="18"/>
                <w:szCs w:val="18"/>
                <w:color w:val="auto"/>
              </w:rPr>
              <w:t>compensation</w:t>
            </w:r>
          </w:p>
        </w:tc>
        <w:tc>
          <w:tcPr>
            <w:tcW w:w="1940" w:type="dxa"/>
            <w:vAlign w:val="bottom"/>
            <w:vMerge w:val="restart"/>
          </w:tcPr>
          <w:p>
            <w:pPr>
              <w:ind w:left="40"/>
              <w:spacing w:after="0"/>
              <w:rPr>
                <w:sz w:val="20"/>
                <w:szCs w:val="20"/>
                <w:color w:val="auto"/>
              </w:rPr>
            </w:pPr>
            <w:r>
              <w:rPr>
                <w:rFonts w:ascii="Arial" w:cs="Arial" w:eastAsia="Arial" w:hAnsi="Arial"/>
                <w:sz w:val="18"/>
                <w:szCs w:val="18"/>
                <w:b w:val="1"/>
                <w:bCs w:val="1"/>
                <w:color w:val="auto"/>
              </w:rPr>
              <w:t xml:space="preserve">FOR </w:t>
            </w:r>
            <w:r>
              <w:rPr>
                <w:rFonts w:ascii="Arial" w:cs="Arial" w:eastAsia="Arial" w:hAnsi="Arial"/>
                <w:sz w:val="18"/>
                <w:szCs w:val="18"/>
                <w:color w:val="auto"/>
              </w:rPr>
              <w:t>the ratification of</w:t>
            </w:r>
          </w:p>
        </w:tc>
        <w:tc>
          <w:tcPr>
            <w:tcW w:w="0" w:type="dxa"/>
            <w:vAlign w:val="bottom"/>
          </w:tcPr>
          <w:p>
            <w:pPr>
              <w:spacing w:after="0"/>
              <w:rPr>
                <w:sz w:val="1"/>
                <w:szCs w:val="1"/>
                <w:color w:val="auto"/>
              </w:rPr>
            </w:pPr>
          </w:p>
        </w:tc>
      </w:tr>
      <w:tr>
        <w:trPr>
          <w:trHeight w:val="216"/>
        </w:trPr>
        <w:tc>
          <w:tcPr>
            <w:tcW w:w="220" w:type="dxa"/>
            <w:vAlign w:val="bottom"/>
          </w:tcPr>
          <w:p>
            <w:pPr>
              <w:spacing w:after="0"/>
              <w:rPr>
                <w:sz w:val="20"/>
                <w:szCs w:val="20"/>
                <w:color w:val="auto"/>
              </w:rPr>
            </w:pPr>
            <w:r>
              <w:rPr>
                <w:rFonts w:ascii="Arial" w:cs="Arial" w:eastAsia="Arial" w:hAnsi="Arial"/>
                <w:sz w:val="18"/>
                <w:szCs w:val="18"/>
                <w:color w:val="auto"/>
              </w:rPr>
              <w:t>4)</w:t>
            </w:r>
          </w:p>
        </w:tc>
        <w:tc>
          <w:tcPr>
            <w:tcW w:w="2480" w:type="dxa"/>
            <w:vAlign w:val="bottom"/>
          </w:tcPr>
          <w:p>
            <w:pPr>
              <w:ind w:left="80"/>
              <w:spacing w:after="0"/>
              <w:rPr>
                <w:sz w:val="20"/>
                <w:szCs w:val="20"/>
                <w:color w:val="auto"/>
              </w:rPr>
            </w:pPr>
            <w:r>
              <w:rPr>
                <w:rFonts w:ascii="Arial" w:cs="Arial" w:eastAsia="Arial" w:hAnsi="Arial"/>
                <w:sz w:val="18"/>
                <w:szCs w:val="18"/>
                <w:color w:val="auto"/>
                <w:w w:val="97"/>
              </w:rPr>
              <w:t>Ratification of the appointment</w:t>
            </w:r>
          </w:p>
        </w:tc>
        <w:tc>
          <w:tcPr>
            <w:tcW w:w="194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20" w:type="dxa"/>
            <w:vAlign w:val="bottom"/>
          </w:tcPr>
          <w:p>
            <w:pPr>
              <w:spacing w:after="0"/>
              <w:rPr>
                <w:sz w:val="18"/>
                <w:szCs w:val="18"/>
                <w:color w:val="auto"/>
              </w:rPr>
            </w:pPr>
          </w:p>
        </w:tc>
        <w:tc>
          <w:tcPr>
            <w:tcW w:w="2480" w:type="dxa"/>
            <w:vAlign w:val="bottom"/>
          </w:tcPr>
          <w:p>
            <w:pPr>
              <w:ind w:left="100"/>
              <w:spacing w:after="0"/>
              <w:rPr>
                <w:sz w:val="20"/>
                <w:szCs w:val="20"/>
                <w:color w:val="auto"/>
              </w:rPr>
            </w:pPr>
            <w:r>
              <w:rPr>
                <w:rFonts w:ascii="Arial" w:cs="Arial" w:eastAsia="Arial" w:hAnsi="Arial"/>
                <w:sz w:val="18"/>
                <w:szCs w:val="18"/>
                <w:color w:val="auto"/>
                <w:w w:val="97"/>
              </w:rPr>
              <w:t>of Ernst &amp; Young LLP to serve</w:t>
            </w:r>
          </w:p>
        </w:tc>
        <w:tc>
          <w:tcPr>
            <w:tcW w:w="1940" w:type="dxa"/>
            <w:vAlign w:val="bottom"/>
          </w:tcPr>
          <w:p>
            <w:pPr>
              <w:ind w:left="40"/>
              <w:spacing w:after="0"/>
              <w:rPr>
                <w:sz w:val="20"/>
                <w:szCs w:val="20"/>
                <w:color w:val="auto"/>
              </w:rPr>
            </w:pPr>
            <w:r>
              <w:rPr>
                <w:rFonts w:ascii="Arial" w:cs="Arial" w:eastAsia="Arial" w:hAnsi="Arial"/>
                <w:sz w:val="18"/>
                <w:szCs w:val="18"/>
                <w:color w:val="auto"/>
              </w:rPr>
              <w:t>appointment</w:t>
            </w:r>
          </w:p>
        </w:tc>
        <w:tc>
          <w:tcPr>
            <w:tcW w:w="0" w:type="dxa"/>
            <w:vAlign w:val="bottom"/>
          </w:tcPr>
          <w:p>
            <w:pPr>
              <w:spacing w:after="0"/>
              <w:rPr>
                <w:sz w:val="1"/>
                <w:szCs w:val="1"/>
                <w:color w:val="auto"/>
              </w:rPr>
            </w:pPr>
          </w:p>
        </w:tc>
      </w:tr>
      <w:tr>
        <w:trPr>
          <w:trHeight w:val="216"/>
        </w:trPr>
        <w:tc>
          <w:tcPr>
            <w:tcW w:w="220" w:type="dxa"/>
            <w:vAlign w:val="bottom"/>
          </w:tcPr>
          <w:p>
            <w:pPr>
              <w:spacing w:after="0"/>
              <w:rPr>
                <w:sz w:val="18"/>
                <w:szCs w:val="18"/>
                <w:color w:val="auto"/>
              </w:rPr>
            </w:pPr>
          </w:p>
        </w:tc>
        <w:tc>
          <w:tcPr>
            <w:tcW w:w="2480" w:type="dxa"/>
            <w:vAlign w:val="bottom"/>
          </w:tcPr>
          <w:p>
            <w:pPr>
              <w:ind w:left="100"/>
              <w:spacing w:after="0"/>
              <w:rPr>
                <w:sz w:val="20"/>
                <w:szCs w:val="20"/>
                <w:color w:val="auto"/>
              </w:rPr>
            </w:pPr>
            <w:r>
              <w:rPr>
                <w:rFonts w:ascii="Arial" w:cs="Arial" w:eastAsia="Arial" w:hAnsi="Arial"/>
                <w:sz w:val="18"/>
                <w:szCs w:val="18"/>
                <w:color w:val="auto"/>
              </w:rPr>
              <w:t>as our independent public</w:t>
            </w:r>
          </w:p>
        </w:tc>
        <w:tc>
          <w:tcPr>
            <w:tcW w:w="19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20" w:type="dxa"/>
            <w:vAlign w:val="bottom"/>
          </w:tcPr>
          <w:p>
            <w:pPr>
              <w:spacing w:after="0"/>
              <w:rPr>
                <w:sz w:val="18"/>
                <w:szCs w:val="18"/>
                <w:color w:val="auto"/>
              </w:rPr>
            </w:pPr>
          </w:p>
        </w:tc>
        <w:tc>
          <w:tcPr>
            <w:tcW w:w="2480" w:type="dxa"/>
            <w:vAlign w:val="bottom"/>
          </w:tcPr>
          <w:p>
            <w:pPr>
              <w:ind w:left="100"/>
              <w:spacing w:after="0"/>
              <w:rPr>
                <w:sz w:val="20"/>
                <w:szCs w:val="20"/>
                <w:color w:val="auto"/>
              </w:rPr>
            </w:pPr>
            <w:r>
              <w:rPr>
                <w:rFonts w:ascii="Arial" w:cs="Arial" w:eastAsia="Arial" w:hAnsi="Arial"/>
                <w:sz w:val="18"/>
                <w:szCs w:val="18"/>
                <w:color w:val="auto"/>
                <w:w w:val="97"/>
              </w:rPr>
              <w:t>accountant for the year ending</w:t>
            </w:r>
          </w:p>
        </w:tc>
        <w:tc>
          <w:tcPr>
            <w:tcW w:w="19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220" w:type="dxa"/>
            <w:vAlign w:val="bottom"/>
            <w:tcBorders>
              <w:bottom w:val="single" w:sz="8" w:color="407CCA"/>
            </w:tcBorders>
          </w:tcPr>
          <w:p>
            <w:pPr>
              <w:spacing w:after="0"/>
              <w:rPr>
                <w:sz w:val="20"/>
                <w:szCs w:val="20"/>
                <w:color w:val="auto"/>
              </w:rPr>
            </w:pPr>
          </w:p>
        </w:tc>
        <w:tc>
          <w:tcPr>
            <w:tcW w:w="2480" w:type="dxa"/>
            <w:vAlign w:val="bottom"/>
            <w:tcBorders>
              <w:bottom w:val="single" w:sz="8" w:color="407CCA"/>
            </w:tcBorders>
          </w:tcPr>
          <w:p>
            <w:pPr>
              <w:ind w:left="100"/>
              <w:spacing w:after="0"/>
              <w:rPr>
                <w:sz w:val="20"/>
                <w:szCs w:val="20"/>
                <w:color w:val="auto"/>
              </w:rPr>
            </w:pPr>
            <w:r>
              <w:rPr>
                <w:rFonts w:ascii="Arial" w:cs="Arial" w:eastAsia="Arial" w:hAnsi="Arial"/>
                <w:sz w:val="18"/>
                <w:szCs w:val="18"/>
                <w:color w:val="auto"/>
              </w:rPr>
              <w:t>December 31, 2020</w:t>
            </w:r>
          </w:p>
        </w:tc>
        <w:tc>
          <w:tcPr>
            <w:tcW w:w="1940" w:type="dxa"/>
            <w:vAlign w:val="bottom"/>
            <w:tcBorders>
              <w:bottom w:val="single" w:sz="8" w:color="407CCA"/>
            </w:tcBorders>
          </w:tcPr>
          <w:p>
            <w:pPr>
              <w:spacing w:after="0"/>
              <w:rPr>
                <w:sz w:val="20"/>
                <w:szCs w:val="2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2" w:lineRule="exact"/>
        <w:rPr>
          <w:sz w:val="20"/>
          <w:szCs w:val="20"/>
          <w:color w:val="auto"/>
        </w:rPr>
      </w:pPr>
    </w:p>
    <w:p>
      <w:pPr>
        <w:ind w:right="80"/>
        <w:spacing w:after="0" w:line="273" w:lineRule="auto"/>
        <w:rPr>
          <w:sz w:val="20"/>
          <w:szCs w:val="20"/>
          <w:color w:val="auto"/>
        </w:rPr>
      </w:pPr>
      <w:r>
        <w:rPr>
          <w:rFonts w:ascii="Arial" w:cs="Arial" w:eastAsia="Arial" w:hAnsi="Arial"/>
          <w:sz w:val="17"/>
          <w:szCs w:val="17"/>
          <w:color w:val="auto"/>
        </w:rPr>
        <w:t>The Board does not intend to bring other matters before the Annual Meeting except items incidental to the conduct of the meeting. However, on all other matters properly brought before the meeting, or any postponement or adjournment thereof, by the Board or others, the persons named as proxies in the accompanying proxy card, or their substitutes, will vote in accordance with their discretion.</w:t>
      </w:r>
    </w:p>
    <w:p>
      <w:pPr>
        <w:spacing w:after="0" w:line="201" w:lineRule="exact"/>
        <w:rPr>
          <w:sz w:val="20"/>
          <w:szCs w:val="20"/>
          <w:color w:val="auto"/>
        </w:rPr>
      </w:pPr>
    </w:p>
    <w:p>
      <w:pPr>
        <w:ind w:left="60"/>
        <w:spacing w:after="0"/>
        <w:tabs>
          <w:tab w:leader="none" w:pos="360" w:val="left"/>
        </w:tabs>
        <w:rPr>
          <w:sz w:val="20"/>
          <w:szCs w:val="20"/>
          <w:color w:val="auto"/>
        </w:rPr>
      </w:pPr>
      <w:r>
        <w:rPr>
          <w:rFonts w:ascii="Arial" w:cs="Arial" w:eastAsia="Arial" w:hAnsi="Arial"/>
          <w:sz w:val="18"/>
          <w:szCs w:val="18"/>
          <w:b w:val="1"/>
          <w:bCs w:val="1"/>
          <w:color w:val="auto"/>
        </w:rPr>
        <w:t>3.</w:t>
      </w:r>
      <w:r>
        <w:rPr>
          <w:sz w:val="20"/>
          <w:szCs w:val="20"/>
          <w:color w:val="auto"/>
        </w:rPr>
        <w:tab/>
      </w:r>
      <w:r>
        <w:rPr>
          <w:rFonts w:ascii="Arial" w:cs="Arial" w:eastAsia="Arial" w:hAnsi="Arial"/>
          <w:sz w:val="17"/>
          <w:szCs w:val="17"/>
          <w:b w:val="1"/>
          <w:bCs w:val="1"/>
          <w:color w:val="auto"/>
        </w:rPr>
        <w:t>WHAT IS A PROXY?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60325</wp:posOffset>
            </wp:positionV>
            <wp:extent cx="3429000" cy="8255"/>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7">
                      <a:extLst>
                        <a:ext uri="{28A0092B-C50C-407E-A947-70E740481C1C}"/>
                      </a:extLst>
                    </a:blip>
                    <a:srcRect/>
                    <a:stretch>
                      <a:fillRect/>
                    </a:stretch>
                  </pic:blipFill>
                  <pic:spPr bwMode="auto">
                    <a:xfrm>
                      <a:off x="0" y="0"/>
                      <a:ext cx="3429000" cy="8255"/>
                    </a:xfrm>
                    <a:prstGeom prst="rect">
                      <a:avLst/>
                    </a:prstGeom>
                    <a:noFill/>
                  </pic:spPr>
                </pic:pic>
              </a:graphicData>
            </a:graphic>
          </wp:anchor>
        </w:drawing>
      </w:r>
    </w:p>
    <w:p>
      <w:pPr>
        <w:spacing w:after="0" w:line="182" w:lineRule="exact"/>
        <w:rPr>
          <w:sz w:val="20"/>
          <w:szCs w:val="20"/>
          <w:color w:val="auto"/>
        </w:rPr>
      </w:pPr>
    </w:p>
    <w:p>
      <w:pPr>
        <w:spacing w:after="0" w:line="275" w:lineRule="auto"/>
        <w:rPr>
          <w:sz w:val="20"/>
          <w:szCs w:val="20"/>
          <w:color w:val="auto"/>
        </w:rPr>
      </w:pPr>
      <w:r>
        <w:rPr>
          <w:rFonts w:ascii="Arial" w:cs="Arial" w:eastAsia="Arial" w:hAnsi="Arial"/>
          <w:sz w:val="17"/>
          <w:szCs w:val="17"/>
          <w:color w:val="auto"/>
        </w:rPr>
        <w:t>It is your legal designation of another person to vote the stock you own. That other person is called a proxy. If you designate someone as your proxy in a written document, that document is also called a proxy or a proxy card. Peter J. Federico and Kenneth L. Pollack have been designated as proxies by the Board for the Annual Meeting.</w:t>
      </w:r>
    </w:p>
    <w:p>
      <w:pPr>
        <w:spacing w:after="0" w:line="199" w:lineRule="exact"/>
        <w:rPr>
          <w:sz w:val="20"/>
          <w:szCs w:val="20"/>
          <w:color w:val="auto"/>
        </w:rPr>
      </w:pPr>
    </w:p>
    <w:p>
      <w:pPr>
        <w:ind w:left="380" w:right="660" w:hanging="319"/>
        <w:spacing w:after="0" w:line="282" w:lineRule="auto"/>
        <w:tabs>
          <w:tab w:leader="none" w:pos="380" w:val="left"/>
        </w:tabs>
        <w:numPr>
          <w:ilvl w:val="0"/>
          <w:numId w:val="59"/>
        </w:numPr>
        <w:rPr>
          <w:rFonts w:ascii="Arial" w:cs="Arial" w:eastAsia="Arial" w:hAnsi="Arial"/>
          <w:sz w:val="18"/>
          <w:szCs w:val="18"/>
          <w:b w:val="1"/>
          <w:bCs w:val="1"/>
          <w:color w:val="auto"/>
        </w:rPr>
      </w:pPr>
      <w:r>
        <w:rPr>
          <w:rFonts w:ascii="Arial" w:cs="Arial" w:eastAsia="Arial" w:hAnsi="Arial"/>
          <w:sz w:val="18"/>
          <w:szCs w:val="18"/>
          <w:b w:val="1"/>
          <w:bCs w:val="1"/>
          <w:color w:val="auto"/>
        </w:rPr>
        <w:t>WHAT IS THE RECORD DATE AND WHAT DOES IT MEAN?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11430</wp:posOffset>
            </wp:positionV>
            <wp:extent cx="3429000" cy="8255"/>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8">
                      <a:extLst>
                        <a:ext uri="{28A0092B-C50C-407E-A947-70E740481C1C}"/>
                      </a:extLst>
                    </a:blip>
                    <a:srcRect/>
                    <a:stretch>
                      <a:fillRect/>
                    </a:stretch>
                  </pic:blipFill>
                  <pic:spPr bwMode="auto">
                    <a:xfrm>
                      <a:off x="0" y="0"/>
                      <a:ext cx="3429000" cy="8255"/>
                    </a:xfrm>
                    <a:prstGeom prst="rect">
                      <a:avLst/>
                    </a:prstGeom>
                    <a:noFill/>
                  </pic:spPr>
                </pic:pic>
              </a:graphicData>
            </a:graphic>
          </wp:anchor>
        </w:drawing>
      </w:r>
    </w:p>
    <w:p>
      <w:pPr>
        <w:spacing w:after="0" w:line="105" w:lineRule="exact"/>
        <w:rPr>
          <w:sz w:val="20"/>
          <w:szCs w:val="20"/>
          <w:color w:val="auto"/>
        </w:rPr>
      </w:pPr>
    </w:p>
    <w:p>
      <w:pPr>
        <w:ind w:right="100"/>
        <w:spacing w:after="0" w:line="259" w:lineRule="auto"/>
        <w:rPr>
          <w:sz w:val="20"/>
          <w:szCs w:val="20"/>
          <w:color w:val="auto"/>
        </w:rPr>
      </w:pPr>
      <w:r>
        <w:rPr>
          <w:rFonts w:ascii="Arial" w:cs="Arial" w:eastAsia="Arial" w:hAnsi="Arial"/>
          <w:sz w:val="18"/>
          <w:szCs w:val="18"/>
          <w:color w:val="auto"/>
        </w:rPr>
        <w:t>The record date for the Annual Meeting is February 24, 2020 (the “record date”). The record date is established by the Board and only common stockholders of record at the close of business on the record date are entitled to:</w:t>
      </w:r>
    </w:p>
    <w:p>
      <w:pPr>
        <w:spacing w:after="0" w:line="92" w:lineRule="exact"/>
        <w:rPr>
          <w:sz w:val="20"/>
          <w:szCs w:val="20"/>
          <w:color w:val="auto"/>
        </w:rPr>
      </w:pPr>
    </w:p>
    <w:p>
      <w:pPr>
        <w:ind w:left="720" w:hanging="362"/>
        <w:spacing w:after="0"/>
        <w:tabs>
          <w:tab w:leader="none" w:pos="720" w:val="left"/>
        </w:tabs>
        <w:numPr>
          <w:ilvl w:val="0"/>
          <w:numId w:val="60"/>
        </w:numPr>
        <w:rPr>
          <w:rFonts w:ascii="Arial" w:cs="Arial" w:eastAsia="Arial" w:hAnsi="Arial"/>
          <w:sz w:val="18"/>
          <w:szCs w:val="18"/>
          <w:color w:val="auto"/>
        </w:rPr>
      </w:pPr>
      <w:r>
        <w:rPr>
          <w:rFonts w:ascii="Arial" w:cs="Arial" w:eastAsia="Arial" w:hAnsi="Arial"/>
          <w:sz w:val="18"/>
          <w:szCs w:val="18"/>
          <w:color w:val="auto"/>
        </w:rPr>
        <w:t>receive notice of the meeting; and</w:t>
      </w:r>
    </w:p>
    <w:p>
      <w:pPr>
        <w:spacing w:after="0" w:line="130" w:lineRule="exact"/>
        <w:rPr>
          <w:rFonts w:ascii="Arial" w:cs="Arial" w:eastAsia="Arial" w:hAnsi="Arial"/>
          <w:sz w:val="18"/>
          <w:szCs w:val="18"/>
          <w:color w:val="auto"/>
        </w:rPr>
      </w:pPr>
    </w:p>
    <w:p>
      <w:pPr>
        <w:ind w:left="720" w:right="40" w:hanging="362"/>
        <w:spacing w:after="0" w:line="277" w:lineRule="auto"/>
        <w:tabs>
          <w:tab w:leader="none" w:pos="720" w:val="left"/>
        </w:tabs>
        <w:numPr>
          <w:ilvl w:val="0"/>
          <w:numId w:val="60"/>
        </w:numPr>
        <w:rPr>
          <w:rFonts w:ascii="Arial" w:cs="Arial" w:eastAsia="Arial" w:hAnsi="Arial"/>
          <w:sz w:val="18"/>
          <w:szCs w:val="18"/>
          <w:color w:val="auto"/>
        </w:rPr>
      </w:pPr>
      <w:r>
        <w:rPr>
          <w:rFonts w:ascii="Arial" w:cs="Arial" w:eastAsia="Arial" w:hAnsi="Arial"/>
          <w:sz w:val="18"/>
          <w:szCs w:val="18"/>
          <w:color w:val="auto"/>
        </w:rPr>
        <w:t>vote at the meeting and any postponement or adjournment of the meeting.</w:t>
      </w:r>
    </w:p>
    <w:p>
      <w:pPr>
        <w:spacing w:after="0" w:line="62" w:lineRule="exact"/>
        <w:rPr>
          <w:sz w:val="20"/>
          <w:szCs w:val="20"/>
          <w:color w:val="auto"/>
        </w:rPr>
      </w:pPr>
    </w:p>
    <w:p>
      <w:pPr>
        <w:jc w:val="both"/>
        <w:ind w:right="120"/>
        <w:spacing w:after="0" w:line="286" w:lineRule="auto"/>
        <w:rPr>
          <w:sz w:val="20"/>
          <w:szCs w:val="20"/>
          <w:color w:val="auto"/>
        </w:rPr>
      </w:pPr>
      <w:r>
        <w:rPr>
          <w:rFonts w:ascii="Arial" w:cs="Arial" w:eastAsia="Arial" w:hAnsi="Arial"/>
          <w:sz w:val="17"/>
          <w:szCs w:val="17"/>
          <w:color w:val="auto"/>
        </w:rPr>
        <w:t>Each common stockholder of record on the record date is entitled to one vote for each share of common stock held. On the record date, there were 540,943,011 shares of common stock outstanding.</w:t>
      </w:r>
    </w:p>
    <w:p>
      <w:pPr>
        <w:spacing w:after="0" w:line="1621" w:lineRule="exact"/>
        <w:rPr>
          <w:sz w:val="20"/>
          <w:szCs w:val="20"/>
          <w:color w:val="auto"/>
        </w:rPr>
      </w:pPr>
    </w:p>
    <w:p>
      <w:pPr>
        <w:sectPr>
          <w:pgSz w:w="11900" w:h="16838" w:orient="portrait"/>
          <w:cols w:equalWidth="0" w:num="2">
            <w:col w:w="5340" w:space="400"/>
            <w:col w:w="5400"/>
          </w:cols>
          <w:pgMar w:left="320" w:top="459" w:right="439" w:bottom="1440" w:gutter="0" w:footer="0" w:header="0"/>
          <w:type w:val="continuous"/>
        </w:sectPr>
      </w:pPr>
    </w:p>
    <w:p>
      <w:pPr>
        <w:spacing w:after="0" w:line="65" w:lineRule="exact"/>
        <w:rPr>
          <w:sz w:val="20"/>
          <w:szCs w:val="20"/>
          <w:color w:val="auto"/>
        </w:rPr>
      </w:pPr>
    </w:p>
    <w:p>
      <w:pPr>
        <w:ind w:left="7960"/>
        <w:spacing w:after="0"/>
        <w:tabs>
          <w:tab w:leader="none" w:pos="109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73</w:t>
      </w:r>
    </w:p>
    <w:p>
      <w:pPr>
        <w:sectPr>
          <w:pgSz w:w="11900" w:h="16838" w:orient="portrait"/>
          <w:cols w:equalWidth="0" w:num="1">
            <w:col w:w="11140"/>
          </w:cols>
          <w:pgMar w:left="320" w:top="459" w:right="439" w:bottom="1440" w:gutter="0" w:footer="0" w:header="0"/>
          <w:type w:val="continuous"/>
        </w:sectPr>
      </w:pPr>
    </w:p>
    <w:bookmarkStart w:id="86" w:name="page87"/>
    <w:bookmarkEnd w:id="8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9">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QUESTIONS AND ANSWERS ABOUT THE 2020 ANNUAL MEETING AND VOTING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0">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59" w:right="439" w:bottom="1440" w:gutter="0" w:footer="0" w:header="0"/>
        </w:sectPr>
      </w:pPr>
    </w:p>
    <w:p>
      <w:pPr>
        <w:spacing w:after="0" w:line="258" w:lineRule="exact"/>
        <w:rPr>
          <w:sz w:val="20"/>
          <w:szCs w:val="20"/>
          <w:color w:val="auto"/>
        </w:rPr>
      </w:pPr>
    </w:p>
    <w:p>
      <w:pPr>
        <w:ind w:left="500" w:right="300" w:hanging="317"/>
        <w:spacing w:after="0" w:line="289" w:lineRule="auto"/>
        <w:tabs>
          <w:tab w:leader="none" w:pos="500" w:val="left"/>
        </w:tabs>
        <w:numPr>
          <w:ilvl w:val="0"/>
          <w:numId w:val="61"/>
        </w:numPr>
        <w:rPr>
          <w:rFonts w:ascii="Arial" w:cs="Arial" w:eastAsia="Arial" w:hAnsi="Arial"/>
          <w:sz w:val="17"/>
          <w:szCs w:val="17"/>
          <w:b w:val="1"/>
          <w:bCs w:val="1"/>
          <w:color w:val="auto"/>
        </w:rPr>
      </w:pPr>
      <w:r>
        <w:rPr>
          <w:rFonts w:ascii="Arial" w:cs="Arial" w:eastAsia="Arial" w:hAnsi="Arial"/>
          <w:sz w:val="17"/>
          <w:szCs w:val="17"/>
          <w:b w:val="1"/>
          <w:bCs w:val="1"/>
          <w:color w:val="auto"/>
        </w:rPr>
        <w:t>WHAT IS THE DIFFERENCE BETWEEN A STOCKHOLDER OF RECORD AND A STOCKHOLDER WHO HOLDS STOCK IN STREET 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17780</wp:posOffset>
            </wp:positionV>
            <wp:extent cx="3360420" cy="825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1">
                      <a:extLst>
                        <a:ext uri="{28A0092B-C50C-407E-A947-70E740481C1C}"/>
                      </a:extLst>
                    </a:blip>
                    <a:srcRect/>
                    <a:stretch>
                      <a:fillRect/>
                    </a:stretch>
                  </pic:blipFill>
                  <pic:spPr bwMode="auto">
                    <a:xfrm>
                      <a:off x="0" y="0"/>
                      <a:ext cx="3360420" cy="8255"/>
                    </a:xfrm>
                    <a:prstGeom prst="rect">
                      <a:avLst/>
                    </a:prstGeom>
                    <a:noFill/>
                  </pic:spPr>
                </pic:pic>
              </a:graphicData>
            </a:graphic>
          </wp:anchor>
        </w:drawing>
      </w:r>
    </w:p>
    <w:p>
      <w:pPr>
        <w:spacing w:after="0" w:line="115" w:lineRule="exact"/>
        <w:rPr>
          <w:sz w:val="20"/>
          <w:szCs w:val="20"/>
          <w:color w:val="auto"/>
        </w:rPr>
      </w:pPr>
    </w:p>
    <w:p>
      <w:pPr>
        <w:ind w:left="120"/>
        <w:spacing w:after="0" w:line="263" w:lineRule="auto"/>
        <w:rPr>
          <w:sz w:val="20"/>
          <w:szCs w:val="20"/>
          <w:color w:val="auto"/>
        </w:rPr>
      </w:pPr>
      <w:r>
        <w:rPr>
          <w:rFonts w:ascii="Arial" w:cs="Arial" w:eastAsia="Arial" w:hAnsi="Arial"/>
          <w:sz w:val="18"/>
          <w:szCs w:val="18"/>
          <w:color w:val="auto"/>
        </w:rPr>
        <w:t>If your shares of common stock are registered in your name on the books and records of our transfer agent, you are a common stockholder of record.</w:t>
      </w:r>
    </w:p>
    <w:p>
      <w:pPr>
        <w:spacing w:after="0" w:line="76" w:lineRule="exact"/>
        <w:rPr>
          <w:sz w:val="20"/>
          <w:szCs w:val="20"/>
          <w:color w:val="auto"/>
        </w:rPr>
      </w:pPr>
    </w:p>
    <w:p>
      <w:pPr>
        <w:ind w:left="120"/>
        <w:spacing w:after="0" w:line="269" w:lineRule="auto"/>
        <w:rPr>
          <w:sz w:val="20"/>
          <w:szCs w:val="20"/>
          <w:color w:val="auto"/>
        </w:rPr>
      </w:pPr>
      <w:r>
        <w:rPr>
          <w:rFonts w:ascii="Arial" w:cs="Arial" w:eastAsia="Arial" w:hAnsi="Arial"/>
          <w:sz w:val="17"/>
          <w:szCs w:val="17"/>
          <w:color w:val="auto"/>
        </w:rPr>
        <w:t>If your shares of common stock are held for you through an intermediary in the name of your broker, bank or other nominee, your shares are held in street name. The answer to Question 10 below describes brokers’ discretionary voting authority and when your broker, bank or other nominee is permitted to vote your shares of common stock without instructions from you. For shares held through a benefit or compensation plan or a broker, bank, or other nominee, you may vote by submitting voting instructions to your plan trustee, broker, bank or nominee. If you attend the Annual Meeting, you may withdraw your proxy and vote in person.</w:t>
      </w:r>
    </w:p>
    <w:p>
      <w:pPr>
        <w:spacing w:after="0" w:line="77" w:lineRule="exact"/>
        <w:rPr>
          <w:sz w:val="20"/>
          <w:szCs w:val="20"/>
          <w:color w:val="auto"/>
        </w:rPr>
      </w:pPr>
    </w:p>
    <w:p>
      <w:pPr>
        <w:jc w:val="both"/>
        <w:ind w:left="120" w:right="260"/>
        <w:spacing w:after="0" w:line="301" w:lineRule="auto"/>
        <w:rPr>
          <w:sz w:val="20"/>
          <w:szCs w:val="20"/>
          <w:color w:val="auto"/>
        </w:rPr>
      </w:pPr>
      <w:r>
        <w:rPr>
          <w:rFonts w:ascii="Arial" w:cs="Arial" w:eastAsia="Arial" w:hAnsi="Arial"/>
          <w:sz w:val="16"/>
          <w:szCs w:val="16"/>
          <w:i w:val="1"/>
          <w:iCs w:val="1"/>
          <w:color w:val="auto"/>
        </w:rPr>
        <w:t>It is important that you vote your shares of common stock if you are a stockholder of record and, if you hold shares in street name, that you provide appropriate voting instructions to your broker, bank, or other nominee as discussed in the answer to Question 10 below.</w:t>
      </w:r>
    </w:p>
    <w:p>
      <w:pPr>
        <w:spacing w:after="0" w:line="180" w:lineRule="exact"/>
        <w:rPr>
          <w:sz w:val="20"/>
          <w:szCs w:val="20"/>
          <w:color w:val="auto"/>
        </w:rPr>
      </w:pPr>
    </w:p>
    <w:p>
      <w:pPr>
        <w:ind w:left="500" w:right="340" w:hanging="317"/>
        <w:spacing w:after="0" w:line="282" w:lineRule="auto"/>
        <w:tabs>
          <w:tab w:leader="none" w:pos="500" w:val="left"/>
        </w:tabs>
        <w:numPr>
          <w:ilvl w:val="0"/>
          <w:numId w:val="62"/>
        </w:numPr>
        <w:rPr>
          <w:rFonts w:ascii="Arial" w:cs="Arial" w:eastAsia="Arial" w:hAnsi="Arial"/>
          <w:sz w:val="18"/>
          <w:szCs w:val="18"/>
          <w:b w:val="1"/>
          <w:bCs w:val="1"/>
          <w:color w:val="auto"/>
        </w:rPr>
      </w:pPr>
      <w:r>
        <w:rPr>
          <w:rFonts w:ascii="Arial" w:cs="Arial" w:eastAsia="Arial" w:hAnsi="Arial"/>
          <w:sz w:val="18"/>
          <w:szCs w:val="18"/>
          <w:b w:val="1"/>
          <w:bCs w:val="1"/>
          <w:color w:val="auto"/>
        </w:rPr>
        <w:t>WHAT ARE THE DIFFERENT METHODS THAT I CAN USE TO VOTE MY SHARES OF COMMON STOCK?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11430</wp:posOffset>
            </wp:positionV>
            <wp:extent cx="3360420" cy="889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2">
                      <a:extLst>
                        <a:ext uri="{28A0092B-C50C-407E-A947-70E740481C1C}"/>
                      </a:extLst>
                    </a:blip>
                    <a:srcRect/>
                    <a:stretch>
                      <a:fillRect/>
                    </a:stretch>
                  </pic:blipFill>
                  <pic:spPr bwMode="auto">
                    <a:xfrm>
                      <a:off x="0" y="0"/>
                      <a:ext cx="3360420" cy="8890"/>
                    </a:xfrm>
                    <a:prstGeom prst="rect">
                      <a:avLst/>
                    </a:prstGeom>
                    <a:noFill/>
                  </pic:spPr>
                </pic:pic>
              </a:graphicData>
            </a:graphic>
          </wp:anchor>
        </w:drawing>
      </w:r>
    </w:p>
    <w:p>
      <w:pPr>
        <w:spacing w:after="0" w:line="105" w:lineRule="exact"/>
        <w:rPr>
          <w:sz w:val="20"/>
          <w:szCs w:val="20"/>
          <w:color w:val="auto"/>
        </w:rPr>
      </w:pPr>
    </w:p>
    <w:p>
      <w:pPr>
        <w:ind w:left="120" w:right="20"/>
        <w:spacing w:after="0" w:line="277" w:lineRule="auto"/>
        <w:rPr>
          <w:sz w:val="20"/>
          <w:szCs w:val="20"/>
          <w:color w:val="auto"/>
        </w:rPr>
      </w:pPr>
      <w:r>
        <w:rPr>
          <w:rFonts w:ascii="Arial" w:cs="Arial" w:eastAsia="Arial" w:hAnsi="Arial"/>
          <w:sz w:val="18"/>
          <w:szCs w:val="18"/>
          <w:color w:val="auto"/>
        </w:rPr>
        <w:t>You may submit your proxy or vote your shares of our common stock by any of the following methods:</w:t>
      </w:r>
    </w:p>
    <w:p>
      <w:pPr>
        <w:spacing w:after="0" w:line="58" w:lineRule="exact"/>
        <w:rPr>
          <w:sz w:val="20"/>
          <w:szCs w:val="20"/>
          <w:color w:val="auto"/>
        </w:rPr>
      </w:pPr>
    </w:p>
    <w:p>
      <w:pPr>
        <w:ind w:left="120" w:right="80"/>
        <w:spacing w:after="0" w:line="256" w:lineRule="auto"/>
        <w:rPr>
          <w:sz w:val="20"/>
          <w:szCs w:val="20"/>
          <w:color w:val="auto"/>
        </w:rPr>
      </w:pPr>
      <w:r>
        <w:rPr>
          <w:rFonts w:ascii="Arial" w:cs="Arial" w:eastAsia="Arial" w:hAnsi="Arial"/>
          <w:sz w:val="18"/>
          <w:szCs w:val="18"/>
          <w:b w:val="1"/>
          <w:bCs w:val="1"/>
          <w:color w:val="auto"/>
        </w:rPr>
        <w:t>By Telephone or the Internet—</w:t>
      </w:r>
      <w:r>
        <w:rPr>
          <w:rFonts w:ascii="Arial" w:cs="Arial" w:eastAsia="Arial" w:hAnsi="Arial"/>
          <w:sz w:val="18"/>
          <w:szCs w:val="18"/>
          <w:color w:val="auto"/>
        </w:rPr>
        <w:t>Common stockholders can vote their</w:t>
      </w:r>
      <w:r>
        <w:rPr>
          <w:rFonts w:ascii="Arial" w:cs="Arial" w:eastAsia="Arial" w:hAnsi="Arial"/>
          <w:sz w:val="18"/>
          <w:szCs w:val="18"/>
          <w:b w:val="1"/>
          <w:bCs w:val="1"/>
          <w:color w:val="auto"/>
        </w:rPr>
        <w:t xml:space="preserve"> </w:t>
      </w:r>
      <w:r>
        <w:rPr>
          <w:rFonts w:ascii="Arial" w:cs="Arial" w:eastAsia="Arial" w:hAnsi="Arial"/>
          <w:sz w:val="18"/>
          <w:szCs w:val="18"/>
          <w:color w:val="auto"/>
        </w:rPr>
        <w:t>shares via telephone or the internet as instructed in the proxy card or the voting instruction form. The telephone and internet procedures are designed to authenticate a stockholder’s identity, to allow common stockholders to vote their shares, and to confirm that their instructions have been properly recorded.</w:t>
      </w:r>
    </w:p>
    <w:p>
      <w:pPr>
        <w:spacing w:after="0" w:line="79" w:lineRule="exact"/>
        <w:rPr>
          <w:sz w:val="20"/>
          <w:szCs w:val="20"/>
          <w:color w:val="auto"/>
        </w:rPr>
      </w:pPr>
    </w:p>
    <w:p>
      <w:pPr>
        <w:ind w:left="120" w:right="200"/>
        <w:spacing w:after="0" w:line="266" w:lineRule="auto"/>
        <w:rPr>
          <w:sz w:val="20"/>
          <w:szCs w:val="20"/>
          <w:color w:val="auto"/>
        </w:rPr>
      </w:pPr>
      <w:r>
        <w:rPr>
          <w:rFonts w:ascii="Arial" w:cs="Arial" w:eastAsia="Arial" w:hAnsi="Arial"/>
          <w:sz w:val="18"/>
          <w:szCs w:val="18"/>
          <w:b w:val="1"/>
          <w:bCs w:val="1"/>
          <w:color w:val="auto"/>
        </w:rPr>
        <w:t>By Mail—</w:t>
      </w:r>
      <w:r>
        <w:rPr>
          <w:rFonts w:ascii="Arial" w:cs="Arial" w:eastAsia="Arial" w:hAnsi="Arial"/>
          <w:sz w:val="18"/>
          <w:szCs w:val="18"/>
          <w:color w:val="auto"/>
        </w:rPr>
        <w:t>A common stockholder who receives a paper proxy card or</w:t>
      </w:r>
      <w:r>
        <w:rPr>
          <w:rFonts w:ascii="Arial" w:cs="Arial" w:eastAsia="Arial" w:hAnsi="Arial"/>
          <w:sz w:val="18"/>
          <w:szCs w:val="18"/>
          <w:b w:val="1"/>
          <w:bCs w:val="1"/>
          <w:color w:val="auto"/>
        </w:rPr>
        <w:t xml:space="preserve"> </w:t>
      </w:r>
      <w:r>
        <w:rPr>
          <w:rFonts w:ascii="Arial" w:cs="Arial" w:eastAsia="Arial" w:hAnsi="Arial"/>
          <w:sz w:val="18"/>
          <w:szCs w:val="18"/>
          <w:color w:val="auto"/>
        </w:rPr>
        <w:t>voting instruction form or requests a paper proxy card or voting instruction</w:t>
      </w:r>
    </w:p>
    <w:p>
      <w:pPr>
        <w:spacing w:after="0" w:line="20" w:lineRule="exact"/>
        <w:rPr>
          <w:sz w:val="20"/>
          <w:szCs w:val="20"/>
          <w:color w:val="auto"/>
        </w:rPr>
      </w:pPr>
      <w:r>
        <w:rPr>
          <w:sz w:val="20"/>
          <w:szCs w:val="20"/>
          <w:color w:val="auto"/>
        </w:rPr>
        <w:br w:type="column"/>
      </w:r>
    </w:p>
    <w:p>
      <w:pPr>
        <w:spacing w:after="0" w:line="242" w:lineRule="exact"/>
        <w:rPr>
          <w:sz w:val="20"/>
          <w:szCs w:val="20"/>
          <w:color w:val="auto"/>
        </w:rPr>
      </w:pPr>
    </w:p>
    <w:p>
      <w:pPr>
        <w:spacing w:after="0" w:line="253" w:lineRule="auto"/>
        <w:rPr>
          <w:sz w:val="20"/>
          <w:szCs w:val="20"/>
          <w:color w:val="auto"/>
        </w:rPr>
      </w:pPr>
      <w:r>
        <w:rPr>
          <w:rFonts w:ascii="Arial" w:cs="Arial" w:eastAsia="Arial" w:hAnsi="Arial"/>
          <w:sz w:val="18"/>
          <w:szCs w:val="18"/>
          <w:color w:val="auto"/>
        </w:rPr>
        <w:t>form by telephone or internet may elect to vote by mail and should complete, sign, and date the proxy card or voting instruction form and mail it in the pre-addressed envelope that accompanies the delivery of the proxy card or voting instruction form. For common stockholders of record, proxy cards submitted by mail must be received by the date and time of the Annual Meeting. For common stockholders who hold their shares through an intermediary, such as a broker, bank, or other nominee, the voting instruction form submitted by mail must be mailed by the deadline imposed by your broker, bank, or other nominee for your shares to be voted.</w:t>
      </w:r>
    </w:p>
    <w:p>
      <w:pPr>
        <w:spacing w:after="0" w:line="82" w:lineRule="exact"/>
        <w:rPr>
          <w:sz w:val="20"/>
          <w:szCs w:val="20"/>
          <w:color w:val="auto"/>
        </w:rPr>
      </w:pPr>
    </w:p>
    <w:p>
      <w:pPr>
        <w:ind w:right="20"/>
        <w:spacing w:after="0" w:line="294" w:lineRule="auto"/>
        <w:rPr>
          <w:sz w:val="20"/>
          <w:szCs w:val="20"/>
          <w:color w:val="auto"/>
        </w:rPr>
      </w:pPr>
      <w:r>
        <w:rPr>
          <w:rFonts w:ascii="Arial" w:cs="Arial" w:eastAsia="Arial" w:hAnsi="Arial"/>
          <w:sz w:val="16"/>
          <w:szCs w:val="16"/>
          <w:b w:val="1"/>
          <w:bCs w:val="1"/>
          <w:color w:val="auto"/>
        </w:rPr>
        <w:t>In Person—</w:t>
      </w:r>
      <w:r>
        <w:rPr>
          <w:rFonts w:ascii="Arial" w:cs="Arial" w:eastAsia="Arial" w:hAnsi="Arial"/>
          <w:sz w:val="16"/>
          <w:szCs w:val="16"/>
          <w:color w:val="auto"/>
        </w:rPr>
        <w:t>Shares of common stock held in your name as the stockholder</w:t>
      </w:r>
      <w:r>
        <w:rPr>
          <w:rFonts w:ascii="Arial" w:cs="Arial" w:eastAsia="Arial" w:hAnsi="Arial"/>
          <w:sz w:val="16"/>
          <w:szCs w:val="16"/>
          <w:b w:val="1"/>
          <w:bCs w:val="1"/>
          <w:color w:val="auto"/>
        </w:rPr>
        <w:t xml:space="preserve"> </w:t>
      </w:r>
      <w:r>
        <w:rPr>
          <w:rFonts w:ascii="Arial" w:cs="Arial" w:eastAsia="Arial" w:hAnsi="Arial"/>
          <w:sz w:val="16"/>
          <w:szCs w:val="16"/>
          <w:color w:val="auto"/>
        </w:rPr>
        <w:t>of record may be voted by you in person at the Annual Meeting. Shares of common stock held beneficially in street name may be voted by you in person at the Annual Meeting only if you obtain a “legal” proxy from the broker, bank, or other nominee that holds your shares giving you the right to vote the shares and bring that “legal” proxy to the meeting.</w:t>
      </w:r>
    </w:p>
    <w:p>
      <w:pPr>
        <w:spacing w:after="0" w:line="187" w:lineRule="exact"/>
        <w:rPr>
          <w:sz w:val="20"/>
          <w:szCs w:val="20"/>
          <w:color w:val="auto"/>
        </w:rPr>
      </w:pPr>
    </w:p>
    <w:p>
      <w:pPr>
        <w:ind w:left="60"/>
        <w:spacing w:after="0"/>
        <w:tabs>
          <w:tab w:leader="none" w:pos="360" w:val="left"/>
        </w:tabs>
        <w:rPr>
          <w:sz w:val="20"/>
          <w:szCs w:val="20"/>
          <w:color w:val="auto"/>
        </w:rPr>
      </w:pPr>
      <w:r>
        <w:rPr>
          <w:rFonts w:ascii="Arial" w:cs="Arial" w:eastAsia="Arial" w:hAnsi="Arial"/>
          <w:sz w:val="18"/>
          <w:szCs w:val="18"/>
          <w:b w:val="1"/>
          <w:bCs w:val="1"/>
          <w:color w:val="auto"/>
        </w:rPr>
        <w:t>7.</w:t>
      </w:r>
      <w:r>
        <w:rPr>
          <w:sz w:val="20"/>
          <w:szCs w:val="20"/>
          <w:color w:val="auto"/>
        </w:rPr>
        <w:tab/>
      </w:r>
      <w:r>
        <w:rPr>
          <w:rFonts w:ascii="Arial" w:cs="Arial" w:eastAsia="Arial" w:hAnsi="Arial"/>
          <w:sz w:val="17"/>
          <w:szCs w:val="17"/>
          <w:b w:val="1"/>
          <w:bCs w:val="1"/>
          <w:color w:val="auto"/>
        </w:rPr>
        <w:t>WHO COUNTS THE VOTES?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60325</wp:posOffset>
            </wp:positionV>
            <wp:extent cx="3429000" cy="8255"/>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3">
                      <a:extLst>
                        <a:ext uri="{28A0092B-C50C-407E-A947-70E740481C1C}"/>
                      </a:extLst>
                    </a:blip>
                    <a:srcRect/>
                    <a:stretch>
                      <a:fillRect/>
                    </a:stretch>
                  </pic:blipFill>
                  <pic:spPr bwMode="auto">
                    <a:xfrm>
                      <a:off x="0" y="0"/>
                      <a:ext cx="3429000" cy="8255"/>
                    </a:xfrm>
                    <a:prstGeom prst="rect">
                      <a:avLst/>
                    </a:prstGeom>
                    <a:noFill/>
                  </pic:spPr>
                </pic:pic>
              </a:graphicData>
            </a:graphic>
          </wp:anchor>
        </w:drawing>
      </w:r>
    </w:p>
    <w:p>
      <w:pPr>
        <w:spacing w:after="0" w:line="182" w:lineRule="exact"/>
        <w:rPr>
          <w:sz w:val="20"/>
          <w:szCs w:val="20"/>
          <w:color w:val="auto"/>
        </w:rPr>
      </w:pPr>
    </w:p>
    <w:p>
      <w:pPr>
        <w:ind w:right="360"/>
        <w:spacing w:after="0" w:line="277" w:lineRule="auto"/>
        <w:rPr>
          <w:sz w:val="20"/>
          <w:szCs w:val="20"/>
          <w:color w:val="auto"/>
        </w:rPr>
      </w:pPr>
      <w:r>
        <w:rPr>
          <w:rFonts w:ascii="Arial" w:cs="Arial" w:eastAsia="Arial" w:hAnsi="Arial"/>
          <w:sz w:val="18"/>
          <w:szCs w:val="18"/>
          <w:color w:val="auto"/>
        </w:rPr>
        <w:t>Our transfer agent will receive and tabulate the proxies and certify the results.</w:t>
      </w:r>
    </w:p>
    <w:p>
      <w:pPr>
        <w:spacing w:after="0" w:line="193" w:lineRule="exact"/>
        <w:rPr>
          <w:sz w:val="20"/>
          <w:szCs w:val="20"/>
          <w:color w:val="auto"/>
        </w:rPr>
      </w:pPr>
    </w:p>
    <w:p>
      <w:pPr>
        <w:ind w:left="380" w:right="160" w:hanging="319"/>
        <w:spacing w:after="0" w:line="282" w:lineRule="auto"/>
        <w:tabs>
          <w:tab w:leader="none" w:pos="380" w:val="left"/>
        </w:tabs>
        <w:numPr>
          <w:ilvl w:val="0"/>
          <w:numId w:val="63"/>
        </w:numPr>
        <w:rPr>
          <w:rFonts w:ascii="Arial" w:cs="Arial" w:eastAsia="Arial" w:hAnsi="Arial"/>
          <w:sz w:val="18"/>
          <w:szCs w:val="18"/>
          <w:b w:val="1"/>
          <w:bCs w:val="1"/>
          <w:color w:val="auto"/>
        </w:rPr>
      </w:pPr>
      <w:r>
        <w:rPr>
          <w:rFonts w:ascii="Arial" w:cs="Arial" w:eastAsia="Arial" w:hAnsi="Arial"/>
          <w:sz w:val="18"/>
          <w:szCs w:val="18"/>
          <w:b w:val="1"/>
          <w:bCs w:val="1"/>
          <w:color w:val="auto"/>
        </w:rPr>
        <w:t>WHAT IF A STOCKHOLDER DOES NOT SPECIFY A CHOICE FOR A MATTER WHEN RETURNING A PROXY?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11430</wp:posOffset>
            </wp:positionV>
            <wp:extent cx="3429000" cy="8255"/>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4">
                      <a:extLst>
                        <a:ext uri="{28A0092B-C50C-407E-A947-70E740481C1C}"/>
                      </a:extLst>
                    </a:blip>
                    <a:srcRect/>
                    <a:stretch>
                      <a:fillRect/>
                    </a:stretch>
                  </pic:blipFill>
                  <pic:spPr bwMode="auto">
                    <a:xfrm>
                      <a:off x="0" y="0"/>
                      <a:ext cx="3429000" cy="8255"/>
                    </a:xfrm>
                    <a:prstGeom prst="rect">
                      <a:avLst/>
                    </a:prstGeom>
                    <a:noFill/>
                  </pic:spPr>
                </pic:pic>
              </a:graphicData>
            </a:graphic>
          </wp:anchor>
        </w:drawing>
      </w:r>
    </w:p>
    <w:p>
      <w:pPr>
        <w:spacing w:after="0" w:line="105" w:lineRule="exact"/>
        <w:rPr>
          <w:sz w:val="20"/>
          <w:szCs w:val="20"/>
          <w:color w:val="auto"/>
        </w:rPr>
      </w:pPr>
    </w:p>
    <w:p>
      <w:pPr>
        <w:ind w:right="20"/>
        <w:spacing w:after="0" w:line="272" w:lineRule="auto"/>
        <w:rPr>
          <w:sz w:val="20"/>
          <w:szCs w:val="20"/>
          <w:color w:val="auto"/>
        </w:rPr>
      </w:pPr>
      <w:r>
        <w:rPr>
          <w:rFonts w:ascii="Arial" w:cs="Arial" w:eastAsia="Arial" w:hAnsi="Arial"/>
          <w:sz w:val="17"/>
          <w:szCs w:val="17"/>
          <w:color w:val="auto"/>
        </w:rPr>
        <w:t>Stockholders should specify their voting choice for each matter on the accompanying proxy. If no specification is made, such shares will be voted “FOR” the election of the seven director nominees, “FOR” the increase in the number of authorized shares of common stock, “FOR” the advisory resolution on executive compensation, and “FOR” the ratification of the appointment of Ernst &amp; Young LLP as our independent public accountant for the year ending December 31, 2020.</w:t>
      </w:r>
    </w:p>
    <w:p>
      <w:pPr>
        <w:spacing w:after="0" w:line="1358" w:lineRule="exact"/>
        <w:rPr>
          <w:sz w:val="20"/>
          <w:szCs w:val="20"/>
          <w:color w:val="auto"/>
        </w:rPr>
      </w:pPr>
    </w:p>
    <w:p>
      <w:pPr>
        <w:sectPr>
          <w:pgSz w:w="11900" w:h="16838" w:orient="portrait"/>
          <w:cols w:equalWidth="0" w:num="2">
            <w:col w:w="5380" w:space="360"/>
            <w:col w:w="5400"/>
          </w:cols>
          <w:pgMar w:left="320" w:top="459" w:right="439" w:bottom="1440" w:gutter="0" w:footer="0" w:header="0"/>
          <w:type w:val="continuous"/>
        </w:sectPr>
      </w:pPr>
    </w:p>
    <w:p>
      <w:pPr>
        <w:spacing w:after="0" w:line="56"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74</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40"/>
          </w:cols>
          <w:pgMar w:left="320" w:top="459" w:right="439" w:bottom="1440" w:gutter="0" w:footer="0" w:header="0"/>
          <w:type w:val="continuous"/>
        </w:sectPr>
      </w:pPr>
    </w:p>
    <w:bookmarkStart w:id="87" w:name="page88"/>
    <w:bookmarkEnd w:id="8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5">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QUESTIONS AND ANSWERS ABOUT THE 2020 ANNUAL MEETING AND VOTING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6">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59" w:right="439" w:bottom="1440" w:gutter="0" w:footer="0" w:header="0"/>
        </w:sectPr>
      </w:pPr>
    </w:p>
    <w:p>
      <w:pPr>
        <w:spacing w:after="0" w:line="258" w:lineRule="exact"/>
        <w:rPr>
          <w:sz w:val="20"/>
          <w:szCs w:val="20"/>
          <w:color w:val="auto"/>
        </w:rPr>
      </w:pPr>
    </w:p>
    <w:p>
      <w:pPr>
        <w:ind w:left="500" w:right="180" w:hanging="317"/>
        <w:spacing w:after="0" w:line="282" w:lineRule="auto"/>
        <w:tabs>
          <w:tab w:leader="none" w:pos="500" w:val="left"/>
        </w:tabs>
        <w:numPr>
          <w:ilvl w:val="0"/>
          <w:numId w:val="64"/>
        </w:numPr>
        <w:rPr>
          <w:rFonts w:ascii="Arial" w:cs="Arial" w:eastAsia="Arial" w:hAnsi="Arial"/>
          <w:sz w:val="18"/>
          <w:szCs w:val="18"/>
          <w:b w:val="1"/>
          <w:bCs w:val="1"/>
          <w:color w:val="auto"/>
        </w:rPr>
      </w:pPr>
      <w:r>
        <w:rPr>
          <w:rFonts w:ascii="Arial" w:cs="Arial" w:eastAsia="Arial" w:hAnsi="Arial"/>
          <w:sz w:val="18"/>
          <w:szCs w:val="18"/>
          <w:b w:val="1"/>
          <w:bCs w:val="1"/>
          <w:color w:val="auto"/>
        </w:rPr>
        <w:t>WHAT DOES IT MEAN IF I RECEIVE MORE THAN ONE PROXY CARD?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19685</wp:posOffset>
            </wp:positionV>
            <wp:extent cx="3360420" cy="825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7">
                      <a:extLst>
                        <a:ext uri="{28A0092B-C50C-407E-A947-70E740481C1C}"/>
                      </a:extLst>
                    </a:blip>
                    <a:srcRect/>
                    <a:stretch>
                      <a:fillRect/>
                    </a:stretch>
                  </pic:blipFill>
                  <pic:spPr bwMode="auto">
                    <a:xfrm>
                      <a:off x="0" y="0"/>
                      <a:ext cx="3360420" cy="8255"/>
                    </a:xfrm>
                    <a:prstGeom prst="rect">
                      <a:avLst/>
                    </a:prstGeom>
                    <a:noFill/>
                  </pic:spPr>
                </pic:pic>
              </a:graphicData>
            </a:graphic>
          </wp:anchor>
        </w:drawing>
      </w:r>
    </w:p>
    <w:p>
      <w:pPr>
        <w:spacing w:after="0" w:line="119" w:lineRule="exact"/>
        <w:rPr>
          <w:sz w:val="20"/>
          <w:szCs w:val="20"/>
          <w:color w:val="auto"/>
        </w:rPr>
      </w:pPr>
    </w:p>
    <w:p>
      <w:pPr>
        <w:ind w:left="120"/>
        <w:spacing w:after="0" w:line="277" w:lineRule="auto"/>
        <w:rPr>
          <w:sz w:val="20"/>
          <w:szCs w:val="20"/>
          <w:color w:val="auto"/>
        </w:rPr>
      </w:pPr>
      <w:r>
        <w:rPr>
          <w:rFonts w:ascii="Arial" w:cs="Arial" w:eastAsia="Arial" w:hAnsi="Arial"/>
          <w:sz w:val="18"/>
          <w:szCs w:val="18"/>
          <w:color w:val="auto"/>
        </w:rPr>
        <w:t xml:space="preserve">It means that you have multiple accounts with brokers and/or our transfer agent. </w:t>
      </w:r>
      <w:r>
        <w:rPr>
          <w:rFonts w:ascii="Arial" w:cs="Arial" w:eastAsia="Arial" w:hAnsi="Arial"/>
          <w:sz w:val="18"/>
          <w:szCs w:val="18"/>
          <w:i w:val="1"/>
          <w:iCs w:val="1"/>
          <w:color w:val="auto"/>
        </w:rPr>
        <w:t>Please vote all of these shares.</w:t>
      </w:r>
    </w:p>
    <w:p>
      <w:pPr>
        <w:spacing w:after="0" w:line="62" w:lineRule="exact"/>
        <w:rPr>
          <w:sz w:val="20"/>
          <w:szCs w:val="20"/>
          <w:color w:val="auto"/>
        </w:rPr>
      </w:pPr>
    </w:p>
    <w:p>
      <w:pPr>
        <w:ind w:left="120"/>
        <w:spacing w:after="0" w:line="254" w:lineRule="auto"/>
        <w:rPr>
          <w:sz w:val="20"/>
          <w:szCs w:val="20"/>
          <w:color w:val="auto"/>
        </w:rPr>
      </w:pPr>
      <w:r>
        <w:rPr>
          <w:rFonts w:ascii="Arial" w:cs="Arial" w:eastAsia="Arial" w:hAnsi="Arial"/>
          <w:sz w:val="18"/>
          <w:szCs w:val="18"/>
          <w:color w:val="auto"/>
        </w:rPr>
        <w:t>We recommend that you contact your broker and/or our transfer agent to consolidate as many accounts as possible under the same name and address. Our transfer agent is Computershare Investor Services. Computershare’s address is 462 South 4</w:t>
      </w:r>
      <w:r>
        <w:rPr>
          <w:rFonts w:ascii="Arial" w:cs="Arial" w:eastAsia="Arial" w:hAnsi="Arial"/>
          <w:sz w:val="15"/>
          <w:szCs w:val="15"/>
          <w:color w:val="auto"/>
        </w:rPr>
        <w:t>th</w:t>
      </w:r>
      <w:r>
        <w:rPr>
          <w:rFonts w:ascii="Arial" w:cs="Arial" w:eastAsia="Arial" w:hAnsi="Arial"/>
          <w:sz w:val="18"/>
          <w:szCs w:val="18"/>
          <w:color w:val="auto"/>
        </w:rPr>
        <w:t xml:space="preserve"> St., Suite 1600, Louisville, KY 40202; you can reach Computershare at 1-800-733-5001 (from within the United States or Canada) or 781-575-3400 (from outside the United States or Canada).</w:t>
      </w:r>
    </w:p>
    <w:p>
      <w:pPr>
        <w:spacing w:after="0" w:line="218" w:lineRule="exact"/>
        <w:rPr>
          <w:sz w:val="20"/>
          <w:szCs w:val="20"/>
          <w:color w:val="auto"/>
        </w:rPr>
      </w:pPr>
    </w:p>
    <w:p>
      <w:pPr>
        <w:ind w:left="500" w:right="40" w:hanging="317"/>
        <w:spacing w:after="0" w:line="282" w:lineRule="auto"/>
        <w:tabs>
          <w:tab w:leader="none" w:pos="500" w:val="left"/>
        </w:tabs>
        <w:numPr>
          <w:ilvl w:val="0"/>
          <w:numId w:val="65"/>
        </w:numPr>
        <w:rPr>
          <w:rFonts w:ascii="Arial" w:cs="Arial" w:eastAsia="Arial" w:hAnsi="Arial"/>
          <w:sz w:val="18"/>
          <w:szCs w:val="18"/>
          <w:b w:val="1"/>
          <w:bCs w:val="1"/>
          <w:color w:val="auto"/>
        </w:rPr>
      </w:pPr>
      <w:r>
        <w:rPr>
          <w:rFonts w:ascii="Arial" w:cs="Arial" w:eastAsia="Arial" w:hAnsi="Arial"/>
          <w:sz w:val="18"/>
          <w:szCs w:val="18"/>
          <w:b w:val="1"/>
          <w:bCs w:val="1"/>
          <w:color w:val="auto"/>
        </w:rPr>
        <w:t>WILL MY SHARES BE VOTED IF I DO NOT PROVIDE MY PROXY?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11430</wp:posOffset>
            </wp:positionV>
            <wp:extent cx="3360420" cy="8255"/>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8">
                      <a:extLst>
                        <a:ext uri="{28A0092B-C50C-407E-A947-70E740481C1C}"/>
                      </a:extLst>
                    </a:blip>
                    <a:srcRect/>
                    <a:stretch>
                      <a:fillRect/>
                    </a:stretch>
                  </pic:blipFill>
                  <pic:spPr bwMode="auto">
                    <a:xfrm>
                      <a:off x="0" y="0"/>
                      <a:ext cx="3360420" cy="8255"/>
                    </a:xfrm>
                    <a:prstGeom prst="rect">
                      <a:avLst/>
                    </a:prstGeom>
                    <a:noFill/>
                  </pic:spPr>
                </pic:pic>
              </a:graphicData>
            </a:graphic>
          </wp:anchor>
        </w:drawing>
      </w:r>
    </w:p>
    <w:p>
      <w:pPr>
        <w:spacing w:after="0" w:line="101" w:lineRule="exact"/>
        <w:rPr>
          <w:sz w:val="20"/>
          <w:szCs w:val="20"/>
          <w:color w:val="auto"/>
        </w:rPr>
      </w:pPr>
    </w:p>
    <w:p>
      <w:pPr>
        <w:ind w:left="120" w:right="20"/>
        <w:spacing w:after="0" w:line="261" w:lineRule="auto"/>
        <w:rPr>
          <w:sz w:val="20"/>
          <w:szCs w:val="20"/>
          <w:color w:val="auto"/>
        </w:rPr>
      </w:pPr>
      <w:r>
        <w:rPr>
          <w:rFonts w:ascii="Arial" w:cs="Arial" w:eastAsia="Arial" w:hAnsi="Arial"/>
          <w:sz w:val="18"/>
          <w:szCs w:val="18"/>
          <w:b w:val="1"/>
          <w:bCs w:val="1"/>
          <w:color w:val="auto"/>
        </w:rPr>
        <w:t>Stockholders of Record—</w:t>
      </w:r>
      <w:r>
        <w:rPr>
          <w:rFonts w:ascii="Arial" w:cs="Arial" w:eastAsia="Arial" w:hAnsi="Arial"/>
          <w:sz w:val="18"/>
          <w:szCs w:val="18"/>
          <w:color w:val="auto"/>
        </w:rPr>
        <w:t>If you are a stockholder of record (see</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Question 5 above), your shares of common stock will not be voted if you do not provide your proxy unless you vote in person at the Annual Meeting. </w:t>
      </w:r>
      <w:r>
        <w:rPr>
          <w:rFonts w:ascii="Arial" w:cs="Arial" w:eastAsia="Arial" w:hAnsi="Arial"/>
          <w:sz w:val="18"/>
          <w:szCs w:val="18"/>
          <w:i w:val="1"/>
          <w:iCs w:val="1"/>
          <w:color w:val="auto"/>
        </w:rPr>
        <w:t>It is important that you vote your shares.</w:t>
      </w:r>
    </w:p>
    <w:p>
      <w:pPr>
        <w:spacing w:after="0" w:line="72" w:lineRule="exact"/>
        <w:rPr>
          <w:sz w:val="20"/>
          <w:szCs w:val="20"/>
          <w:color w:val="auto"/>
        </w:rPr>
      </w:pPr>
    </w:p>
    <w:p>
      <w:pPr>
        <w:ind w:left="120"/>
        <w:spacing w:after="0" w:line="272" w:lineRule="auto"/>
        <w:rPr>
          <w:sz w:val="20"/>
          <w:szCs w:val="20"/>
          <w:color w:val="auto"/>
        </w:rPr>
      </w:pPr>
      <w:r>
        <w:rPr>
          <w:rFonts w:ascii="Arial" w:cs="Arial" w:eastAsia="Arial" w:hAnsi="Arial"/>
          <w:sz w:val="17"/>
          <w:szCs w:val="17"/>
          <w:b w:val="1"/>
          <w:bCs w:val="1"/>
          <w:color w:val="auto"/>
        </w:rPr>
        <w:t>Street Name Holders—</w:t>
      </w:r>
      <w:r>
        <w:rPr>
          <w:rFonts w:ascii="Arial" w:cs="Arial" w:eastAsia="Arial" w:hAnsi="Arial"/>
          <w:sz w:val="17"/>
          <w:szCs w:val="17"/>
          <w:color w:val="auto"/>
        </w:rPr>
        <w:t>If your shares of common stock are held in</w:t>
      </w:r>
      <w:r>
        <w:rPr>
          <w:rFonts w:ascii="Arial" w:cs="Arial" w:eastAsia="Arial" w:hAnsi="Arial"/>
          <w:sz w:val="17"/>
          <w:szCs w:val="17"/>
          <w:b w:val="1"/>
          <w:bCs w:val="1"/>
          <w:color w:val="auto"/>
        </w:rPr>
        <w:t xml:space="preserve"> </w:t>
      </w:r>
      <w:r>
        <w:rPr>
          <w:rFonts w:ascii="Arial" w:cs="Arial" w:eastAsia="Arial" w:hAnsi="Arial"/>
          <w:sz w:val="17"/>
          <w:szCs w:val="17"/>
          <w:color w:val="auto"/>
        </w:rPr>
        <w:t>street name (</w:t>
      </w:r>
      <w:r>
        <w:rPr>
          <w:rFonts w:ascii="Arial" w:cs="Arial" w:eastAsia="Arial" w:hAnsi="Arial"/>
          <w:sz w:val="17"/>
          <w:szCs w:val="17"/>
          <w:i w:val="1"/>
          <w:iCs w:val="1"/>
          <w:color w:val="auto"/>
        </w:rPr>
        <w:t>see</w:t>
      </w:r>
      <w:r>
        <w:rPr>
          <w:rFonts w:ascii="Arial" w:cs="Arial" w:eastAsia="Arial" w:hAnsi="Arial"/>
          <w:sz w:val="17"/>
          <w:szCs w:val="17"/>
          <w:color w:val="auto"/>
        </w:rPr>
        <w:t xml:space="preserve"> Question 5 above) and you do not provide your signed and dated voting instruction form to your broker, bank, or other nominee, your shares may be voted by your broker, bank, or other nominee but </w:t>
      </w:r>
      <w:r>
        <w:rPr>
          <w:rFonts w:ascii="Arial" w:cs="Arial" w:eastAsia="Arial" w:hAnsi="Arial"/>
          <w:sz w:val="17"/>
          <w:szCs w:val="17"/>
          <w:i w:val="1"/>
          <w:iCs w:val="1"/>
          <w:u w:val="single" w:color="auto"/>
          <w:color w:val="auto"/>
        </w:rPr>
        <w:t>only</w:t>
      </w:r>
      <w:r>
        <w:rPr>
          <w:rFonts w:ascii="Arial" w:cs="Arial" w:eastAsia="Arial" w:hAnsi="Arial"/>
          <w:sz w:val="17"/>
          <w:szCs w:val="17"/>
          <w:i w:val="1"/>
          <w:iCs w:val="1"/>
          <w:color w:val="auto"/>
        </w:rPr>
        <w:t xml:space="preserve"> </w:t>
      </w:r>
      <w:r>
        <w:rPr>
          <w:rFonts w:ascii="Arial" w:cs="Arial" w:eastAsia="Arial" w:hAnsi="Arial"/>
          <w:sz w:val="17"/>
          <w:szCs w:val="17"/>
          <w:color w:val="auto"/>
        </w:rPr>
        <w:t>under certain circumstances. Specifically, under applicable rules,</w:t>
      </w:r>
      <w:r>
        <w:rPr>
          <w:rFonts w:ascii="Arial" w:cs="Arial" w:eastAsia="Arial" w:hAnsi="Arial"/>
          <w:sz w:val="17"/>
          <w:szCs w:val="17"/>
          <w:i w:val="1"/>
          <w:iCs w:val="1"/>
          <w:color w:val="auto"/>
        </w:rPr>
        <w:t xml:space="preserve"> </w:t>
      </w:r>
      <w:r>
        <w:rPr>
          <w:rFonts w:ascii="Arial" w:cs="Arial" w:eastAsia="Arial" w:hAnsi="Arial"/>
          <w:sz w:val="17"/>
          <w:szCs w:val="17"/>
          <w:color w:val="auto"/>
        </w:rPr>
        <w:t>shares held in the name of your broker, bank, or other nominee may be voted by your broker, bank, or other nominee on certain “routine” matters if you do not provide voting instructions.</w:t>
      </w:r>
    </w:p>
    <w:p>
      <w:pPr>
        <w:spacing w:after="0" w:line="68" w:lineRule="exact"/>
        <w:rPr>
          <w:sz w:val="20"/>
          <w:szCs w:val="20"/>
          <w:color w:val="auto"/>
        </w:rPr>
      </w:pPr>
    </w:p>
    <w:p>
      <w:pPr>
        <w:ind w:left="120"/>
        <w:spacing w:after="0" w:line="254" w:lineRule="auto"/>
        <w:rPr>
          <w:sz w:val="20"/>
          <w:szCs w:val="20"/>
          <w:color w:val="auto"/>
        </w:rPr>
      </w:pPr>
      <w:r>
        <w:rPr>
          <w:rFonts w:ascii="Arial" w:cs="Arial" w:eastAsia="Arial" w:hAnsi="Arial"/>
          <w:sz w:val="18"/>
          <w:szCs w:val="18"/>
          <w:color w:val="auto"/>
        </w:rPr>
        <w:t>The only proposals to be voted on at the Annual Meeting that are considered a “routine” matter for which brokers, banks or other nominees may vote uninstructed shares is the approval of the amendment to our Certificate of Incorporation to increase the authorized number of shares of common stock and the ratification of the appointment of Ernst &amp; Young LLP as the Company’s independent public accountant. The other proposals (specifically, the election of director nominees and the approval of the</w:t>
      </w:r>
    </w:p>
    <w:p>
      <w:pPr>
        <w:spacing w:after="0" w:line="20" w:lineRule="exact"/>
        <w:rPr>
          <w:sz w:val="20"/>
          <w:szCs w:val="20"/>
          <w:color w:val="auto"/>
        </w:rPr>
      </w:pPr>
      <w:r>
        <w:rPr>
          <w:sz w:val="20"/>
          <w:szCs w:val="20"/>
          <w:color w:val="auto"/>
        </w:rPr>
        <w:br w:type="column"/>
      </w:r>
    </w:p>
    <w:p>
      <w:pPr>
        <w:spacing w:after="0" w:line="242" w:lineRule="exact"/>
        <w:rPr>
          <w:sz w:val="20"/>
          <w:szCs w:val="20"/>
          <w:color w:val="auto"/>
        </w:rPr>
      </w:pPr>
    </w:p>
    <w:p>
      <w:pPr>
        <w:ind w:right="20"/>
        <w:spacing w:after="0" w:line="291" w:lineRule="auto"/>
        <w:rPr>
          <w:sz w:val="20"/>
          <w:szCs w:val="20"/>
          <w:color w:val="auto"/>
        </w:rPr>
      </w:pPr>
      <w:r>
        <w:rPr>
          <w:rFonts w:ascii="Arial" w:cs="Arial" w:eastAsia="Arial" w:hAnsi="Arial"/>
          <w:sz w:val="16"/>
          <w:szCs w:val="16"/>
          <w:color w:val="auto"/>
        </w:rPr>
        <w:t xml:space="preserve">advisory resolution on executive compensation) are </w:t>
      </w:r>
      <w:r>
        <w:rPr>
          <w:rFonts w:ascii="Arial" w:cs="Arial" w:eastAsia="Arial" w:hAnsi="Arial"/>
          <w:sz w:val="16"/>
          <w:szCs w:val="16"/>
          <w:u w:val="single" w:color="auto"/>
          <w:color w:val="auto"/>
        </w:rPr>
        <w:t>not</w:t>
      </w:r>
      <w:r>
        <w:rPr>
          <w:rFonts w:ascii="Arial" w:cs="Arial" w:eastAsia="Arial" w:hAnsi="Arial"/>
          <w:sz w:val="16"/>
          <w:szCs w:val="16"/>
          <w:color w:val="auto"/>
        </w:rPr>
        <w:t xml:space="preserve"> considered “routine” under applicable rules, so the broker, bank, or other nominee cannot vote your shares on these proposals unless you provide to the broker, bank, or other nominee voting instructions for these matters. If you do not provide voting instructions on a non-routine matter, your shares of common stock will not be voted on the matter, which is referred to as a “broker non-vote.” </w:t>
      </w:r>
      <w:r>
        <w:rPr>
          <w:rFonts w:ascii="Arial" w:cs="Arial" w:eastAsia="Arial" w:hAnsi="Arial"/>
          <w:sz w:val="16"/>
          <w:szCs w:val="16"/>
          <w:i w:val="1"/>
          <w:iCs w:val="1"/>
          <w:color w:val="auto"/>
        </w:rPr>
        <w:t>It is, therefore, important that you vote your shares.</w:t>
      </w:r>
    </w:p>
    <w:p>
      <w:pPr>
        <w:spacing w:after="0" w:line="189" w:lineRule="exact"/>
        <w:rPr>
          <w:sz w:val="20"/>
          <w:szCs w:val="20"/>
          <w:color w:val="auto"/>
        </w:rPr>
      </w:pPr>
    </w:p>
    <w:p>
      <w:pPr>
        <w:ind w:left="380" w:right="960" w:hanging="319"/>
        <w:spacing w:after="0" w:line="282" w:lineRule="auto"/>
        <w:tabs>
          <w:tab w:leader="none" w:pos="380" w:val="left"/>
        </w:tabs>
        <w:numPr>
          <w:ilvl w:val="0"/>
          <w:numId w:val="66"/>
        </w:numPr>
        <w:rPr>
          <w:rFonts w:ascii="Arial" w:cs="Arial" w:eastAsia="Arial" w:hAnsi="Arial"/>
          <w:sz w:val="18"/>
          <w:szCs w:val="18"/>
          <w:b w:val="1"/>
          <w:bCs w:val="1"/>
          <w:color w:val="auto"/>
        </w:rPr>
      </w:pPr>
      <w:r>
        <w:rPr>
          <w:rFonts w:ascii="Arial" w:cs="Arial" w:eastAsia="Arial" w:hAnsi="Arial"/>
          <w:sz w:val="18"/>
          <w:szCs w:val="18"/>
          <w:b w:val="1"/>
          <w:bCs w:val="1"/>
          <w:color w:val="auto"/>
        </w:rPr>
        <w:t>ARE ABSTENTIONS AND BROKER NON-VOTES COUNTED?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19685</wp:posOffset>
            </wp:positionV>
            <wp:extent cx="3429000" cy="8255"/>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9">
                      <a:extLst>
                        <a:ext uri="{28A0092B-C50C-407E-A947-70E740481C1C}"/>
                      </a:extLst>
                    </a:blip>
                    <a:srcRect/>
                    <a:stretch>
                      <a:fillRect/>
                    </a:stretch>
                  </pic:blipFill>
                  <pic:spPr bwMode="auto">
                    <a:xfrm>
                      <a:off x="0" y="0"/>
                      <a:ext cx="3429000" cy="8255"/>
                    </a:xfrm>
                    <a:prstGeom prst="rect">
                      <a:avLst/>
                    </a:prstGeom>
                    <a:noFill/>
                  </pic:spPr>
                </pic:pic>
              </a:graphicData>
            </a:graphic>
          </wp:anchor>
        </w:drawing>
      </w:r>
    </w:p>
    <w:p>
      <w:pPr>
        <w:spacing w:after="0" w:line="119" w:lineRule="exact"/>
        <w:rPr>
          <w:sz w:val="20"/>
          <w:szCs w:val="20"/>
          <w:color w:val="auto"/>
        </w:rPr>
      </w:pPr>
    </w:p>
    <w:p>
      <w:pPr>
        <w:ind w:right="300"/>
        <w:spacing w:after="0" w:line="311" w:lineRule="auto"/>
        <w:rPr>
          <w:sz w:val="20"/>
          <w:szCs w:val="20"/>
          <w:color w:val="auto"/>
        </w:rPr>
      </w:pPr>
      <w:r>
        <w:rPr>
          <w:rFonts w:ascii="Arial" w:cs="Arial" w:eastAsia="Arial" w:hAnsi="Arial"/>
          <w:sz w:val="16"/>
          <w:szCs w:val="16"/>
          <w:color w:val="auto"/>
        </w:rPr>
        <w:t xml:space="preserve">Abstentions and broker non-votes will not be counted as votes cast and will not affect the outcome of the votes at the Annual Meeting. </w:t>
      </w:r>
      <w:r>
        <w:rPr>
          <w:rFonts w:ascii="Arial" w:cs="Arial" w:eastAsia="Arial" w:hAnsi="Arial"/>
          <w:sz w:val="16"/>
          <w:szCs w:val="16"/>
          <w:i w:val="1"/>
          <w:iCs w:val="1"/>
          <w:color w:val="auto"/>
        </w:rPr>
        <w:t>See</w:t>
      </w:r>
      <w:r>
        <w:rPr>
          <w:rFonts w:ascii="Arial" w:cs="Arial" w:eastAsia="Arial" w:hAnsi="Arial"/>
          <w:sz w:val="16"/>
          <w:szCs w:val="16"/>
          <w:color w:val="auto"/>
        </w:rPr>
        <w:t xml:space="preserve"> Question 10 above for more information about broker non-votes.</w:t>
      </w:r>
    </w:p>
    <w:p>
      <w:pPr>
        <w:spacing w:after="0" w:line="172"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12. HOW CAN I REVOKE A PROXY?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51435</wp:posOffset>
            </wp:positionV>
            <wp:extent cx="3429000" cy="825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70">
                      <a:extLst>
                        <a:ext uri="{28A0092B-C50C-407E-A947-70E740481C1C}"/>
                      </a:extLst>
                    </a:blip>
                    <a:srcRect/>
                    <a:stretch>
                      <a:fillRect/>
                    </a:stretch>
                  </pic:blipFill>
                  <pic:spPr bwMode="auto">
                    <a:xfrm>
                      <a:off x="0" y="0"/>
                      <a:ext cx="3429000" cy="8255"/>
                    </a:xfrm>
                    <a:prstGeom prst="rect">
                      <a:avLst/>
                    </a:prstGeom>
                    <a:noFill/>
                  </pic:spPr>
                </pic:pic>
              </a:graphicData>
            </a:graphic>
          </wp:anchor>
        </w:drawing>
      </w:r>
    </w:p>
    <w:p>
      <w:pPr>
        <w:spacing w:after="0" w:line="169" w:lineRule="exact"/>
        <w:rPr>
          <w:sz w:val="20"/>
          <w:szCs w:val="20"/>
          <w:color w:val="auto"/>
        </w:rPr>
      </w:pPr>
    </w:p>
    <w:p>
      <w:pPr>
        <w:spacing w:after="0" w:line="254" w:lineRule="auto"/>
        <w:rPr>
          <w:sz w:val="20"/>
          <w:szCs w:val="20"/>
          <w:color w:val="auto"/>
        </w:rPr>
      </w:pPr>
      <w:r>
        <w:rPr>
          <w:rFonts w:ascii="Arial" w:cs="Arial" w:eastAsia="Arial" w:hAnsi="Arial"/>
          <w:sz w:val="18"/>
          <w:szCs w:val="18"/>
          <w:color w:val="auto"/>
        </w:rPr>
        <w:t>The enclosed proxy is solicited on behalf of the Board and is revocable at any time prior to the voting of the proxy, by the filing of an instrument revoking it, or a duly executed proxy bearing a later date, with our Secretary, addressed to our principal executive offices at 2 Bethesda Metro Center, 12th Floor, Bethesda, Maryland 20814. In the event that you attend the Annual Meeting, you may revoke your proxy and cast your vote personally at the meeting.</w:t>
      </w:r>
    </w:p>
    <w:p>
      <w:pPr>
        <w:spacing w:after="0" w:line="218" w:lineRule="exact"/>
        <w:rPr>
          <w:sz w:val="20"/>
          <w:szCs w:val="20"/>
          <w:color w:val="auto"/>
        </w:rPr>
      </w:pPr>
    </w:p>
    <w:p>
      <w:pPr>
        <w:ind w:left="380" w:right="1240" w:hanging="319"/>
        <w:spacing w:after="0" w:line="282" w:lineRule="auto"/>
        <w:tabs>
          <w:tab w:leader="none" w:pos="380" w:val="left"/>
        </w:tabs>
        <w:numPr>
          <w:ilvl w:val="0"/>
          <w:numId w:val="67"/>
        </w:numPr>
        <w:rPr>
          <w:rFonts w:ascii="Arial" w:cs="Arial" w:eastAsia="Arial" w:hAnsi="Arial"/>
          <w:sz w:val="18"/>
          <w:szCs w:val="18"/>
          <w:b w:val="1"/>
          <w:bCs w:val="1"/>
          <w:color w:val="auto"/>
        </w:rPr>
      </w:pPr>
      <w:r>
        <w:rPr>
          <w:rFonts w:ascii="Arial" w:cs="Arial" w:eastAsia="Arial" w:hAnsi="Arial"/>
          <w:sz w:val="18"/>
          <w:szCs w:val="18"/>
          <w:b w:val="1"/>
          <w:bCs w:val="1"/>
          <w:color w:val="auto"/>
        </w:rPr>
        <w:t>WHO WILL PAY THE COST OF THIS PROXY SOLICITATION?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11430</wp:posOffset>
            </wp:positionV>
            <wp:extent cx="3429000" cy="8255"/>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71">
                      <a:extLst>
                        <a:ext uri="{28A0092B-C50C-407E-A947-70E740481C1C}"/>
                      </a:extLst>
                    </a:blip>
                    <a:srcRect/>
                    <a:stretch>
                      <a:fillRect/>
                    </a:stretch>
                  </pic:blipFill>
                  <pic:spPr bwMode="auto">
                    <a:xfrm>
                      <a:off x="0" y="0"/>
                      <a:ext cx="3429000" cy="8255"/>
                    </a:xfrm>
                    <a:prstGeom prst="rect">
                      <a:avLst/>
                    </a:prstGeom>
                    <a:noFill/>
                  </pic:spPr>
                </pic:pic>
              </a:graphicData>
            </a:graphic>
          </wp:anchor>
        </w:drawing>
      </w:r>
    </w:p>
    <w:p>
      <w:pPr>
        <w:spacing w:after="0" w:line="105" w:lineRule="exact"/>
        <w:rPr>
          <w:sz w:val="20"/>
          <w:szCs w:val="20"/>
          <w:color w:val="auto"/>
        </w:rPr>
      </w:pPr>
    </w:p>
    <w:p>
      <w:pPr>
        <w:ind w:right="60"/>
        <w:spacing w:after="0" w:line="255" w:lineRule="auto"/>
        <w:rPr>
          <w:sz w:val="20"/>
          <w:szCs w:val="20"/>
          <w:color w:val="auto"/>
        </w:rPr>
      </w:pPr>
      <w:r>
        <w:rPr>
          <w:rFonts w:ascii="Arial" w:cs="Arial" w:eastAsia="Arial" w:hAnsi="Arial"/>
          <w:sz w:val="18"/>
          <w:szCs w:val="18"/>
          <w:color w:val="auto"/>
        </w:rPr>
        <w:t>We will bear the cost of soliciting proxies on the accompanying form. In addition to the use of mail, our officers and employees may solicit proxies by telephone or facsimile. Upon request, we will reimburse brokers, dealers, banks and trustees, or their nominees, for reasonable expenses incurred by them in forwarding our proxy materials to beneficial owners of our common stock.</w:t>
      </w:r>
    </w:p>
    <w:p>
      <w:pPr>
        <w:spacing w:after="0" w:line="943" w:lineRule="exact"/>
        <w:rPr>
          <w:sz w:val="20"/>
          <w:szCs w:val="20"/>
          <w:color w:val="auto"/>
        </w:rPr>
      </w:pPr>
    </w:p>
    <w:p>
      <w:pPr>
        <w:sectPr>
          <w:pgSz w:w="11900" w:h="16838" w:orient="portrait"/>
          <w:cols w:equalWidth="0" w:num="2">
            <w:col w:w="5400" w:space="340"/>
            <w:col w:w="5400"/>
          </w:cols>
          <w:pgMar w:left="320" w:top="459" w:right="439" w:bottom="1440" w:gutter="0" w:footer="0" w:header="0"/>
          <w:type w:val="continuous"/>
        </w:sectPr>
      </w:pPr>
    </w:p>
    <w:p>
      <w:pPr>
        <w:spacing w:after="0" w:line="68" w:lineRule="exact"/>
        <w:rPr>
          <w:sz w:val="20"/>
          <w:szCs w:val="20"/>
          <w:color w:val="auto"/>
        </w:rPr>
      </w:pPr>
    </w:p>
    <w:p>
      <w:pPr>
        <w:ind w:left="7960"/>
        <w:spacing w:after="0"/>
        <w:tabs>
          <w:tab w:leader="none" w:pos="109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75</w:t>
      </w:r>
    </w:p>
    <w:p>
      <w:pPr>
        <w:sectPr>
          <w:pgSz w:w="11900" w:h="16838" w:orient="portrait"/>
          <w:cols w:equalWidth="0" w:num="1">
            <w:col w:w="11140"/>
          </w:cols>
          <w:pgMar w:left="320" w:top="459" w:right="439" w:bottom="1440" w:gutter="0" w:footer="0" w:header="0"/>
          <w:type w:val="continuous"/>
        </w:sectPr>
      </w:pPr>
    </w:p>
    <w:bookmarkStart w:id="88" w:name="page89"/>
    <w:bookmarkEnd w:id="8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72">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QUESTIONS AND ANSWERS ABOUT THE 2020 ANNUAL MEETING AND VOTING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3">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20"/>
          </w:cols>
          <w:pgMar w:left="320" w:top="459" w:right="459" w:bottom="1440" w:gutter="0" w:footer="0" w:header="0"/>
        </w:sectPr>
      </w:pPr>
    </w:p>
    <w:p>
      <w:pPr>
        <w:spacing w:after="0" w:line="258" w:lineRule="exact"/>
        <w:rPr>
          <w:sz w:val="20"/>
          <w:szCs w:val="20"/>
          <w:color w:val="auto"/>
        </w:rPr>
      </w:pPr>
    </w:p>
    <w:p>
      <w:pPr>
        <w:ind w:left="500" w:right="640" w:hanging="317"/>
        <w:spacing w:after="0" w:line="282" w:lineRule="auto"/>
        <w:tabs>
          <w:tab w:leader="none" w:pos="500" w:val="left"/>
        </w:tabs>
        <w:numPr>
          <w:ilvl w:val="0"/>
          <w:numId w:val="68"/>
        </w:numPr>
        <w:rPr>
          <w:rFonts w:ascii="Arial" w:cs="Arial" w:eastAsia="Arial" w:hAnsi="Arial"/>
          <w:sz w:val="18"/>
          <w:szCs w:val="18"/>
          <w:b w:val="1"/>
          <w:bCs w:val="1"/>
          <w:color w:val="auto"/>
        </w:rPr>
      </w:pPr>
      <w:r>
        <w:rPr>
          <w:rFonts w:ascii="Arial" w:cs="Arial" w:eastAsia="Arial" w:hAnsi="Arial"/>
          <w:sz w:val="18"/>
          <w:szCs w:val="18"/>
          <w:b w:val="1"/>
          <w:bCs w:val="1"/>
          <w:color w:val="auto"/>
        </w:rPr>
        <w:t>HOW DO I OBTAIN ADMISSION TO THE ANNUAL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19685</wp:posOffset>
            </wp:positionV>
            <wp:extent cx="3360420" cy="8255"/>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4">
                      <a:extLst>
                        <a:ext uri="{28A0092B-C50C-407E-A947-70E740481C1C}"/>
                      </a:extLst>
                    </a:blip>
                    <a:srcRect/>
                    <a:stretch>
                      <a:fillRect/>
                    </a:stretch>
                  </pic:blipFill>
                  <pic:spPr bwMode="auto">
                    <a:xfrm>
                      <a:off x="0" y="0"/>
                      <a:ext cx="3360420" cy="8255"/>
                    </a:xfrm>
                    <a:prstGeom prst="rect">
                      <a:avLst/>
                    </a:prstGeom>
                    <a:noFill/>
                  </pic:spPr>
                </pic:pic>
              </a:graphicData>
            </a:graphic>
          </wp:anchor>
        </w:drawing>
      </w:r>
    </w:p>
    <w:p>
      <w:pPr>
        <w:spacing w:after="0" w:line="119" w:lineRule="exact"/>
        <w:rPr>
          <w:sz w:val="20"/>
          <w:szCs w:val="20"/>
          <w:color w:val="auto"/>
        </w:rPr>
      </w:pPr>
    </w:p>
    <w:p>
      <w:pPr>
        <w:ind w:left="120"/>
        <w:spacing w:after="0" w:line="287" w:lineRule="auto"/>
        <w:rPr>
          <w:sz w:val="20"/>
          <w:szCs w:val="20"/>
          <w:color w:val="auto"/>
        </w:rPr>
      </w:pPr>
      <w:r>
        <w:rPr>
          <w:rFonts w:ascii="Arial" w:cs="Arial" w:eastAsia="Arial" w:hAnsi="Arial"/>
          <w:sz w:val="16"/>
          <w:szCs w:val="16"/>
          <w:color w:val="auto"/>
        </w:rPr>
        <w:t xml:space="preserve">If you wish to attend the Annual Meeting in person, we request that you register in advance with our Investor Relations department either by email at </w:t>
      </w:r>
      <w:r>
        <w:rPr>
          <w:rFonts w:ascii="Arial" w:cs="Arial" w:eastAsia="Arial" w:hAnsi="Arial"/>
          <w:sz w:val="16"/>
          <w:szCs w:val="16"/>
          <w:i w:val="1"/>
          <w:iCs w:val="1"/>
          <w:color w:val="auto"/>
        </w:rPr>
        <w:t>IR@AGNC.com</w:t>
      </w:r>
      <w:r>
        <w:rPr>
          <w:rFonts w:ascii="Arial" w:cs="Arial" w:eastAsia="Arial" w:hAnsi="Arial"/>
          <w:sz w:val="16"/>
          <w:szCs w:val="16"/>
          <w:color w:val="auto"/>
        </w:rPr>
        <w:t xml:space="preserve"> or by telephone at (301) 968-9300. </w:t>
      </w:r>
      <w:r>
        <w:rPr>
          <w:rFonts w:ascii="Arial" w:cs="Arial" w:eastAsia="Arial" w:hAnsi="Arial"/>
          <w:sz w:val="16"/>
          <w:szCs w:val="16"/>
          <w:b w:val="1"/>
          <w:bCs w:val="1"/>
          <w:color w:val="auto"/>
        </w:rPr>
        <w:t>Attendance</w:t>
      </w:r>
      <w:r>
        <w:rPr>
          <w:rFonts w:ascii="Arial" w:cs="Arial" w:eastAsia="Arial" w:hAnsi="Arial"/>
          <w:sz w:val="16"/>
          <w:szCs w:val="16"/>
          <w:color w:val="auto"/>
        </w:rPr>
        <w:t xml:space="preserve"> </w:t>
      </w:r>
      <w:r>
        <w:rPr>
          <w:rFonts w:ascii="Arial" w:cs="Arial" w:eastAsia="Arial" w:hAnsi="Arial"/>
          <w:sz w:val="16"/>
          <w:szCs w:val="16"/>
          <w:b w:val="1"/>
          <w:bCs w:val="1"/>
          <w:color w:val="auto"/>
        </w:rPr>
        <w:t xml:space="preserve">at the Annual Meeting will be limited to persons presenting proof of stock ownership on the record date and picture identification. </w:t>
      </w:r>
      <w:r>
        <w:rPr>
          <w:rFonts w:ascii="Arial" w:cs="Arial" w:eastAsia="Arial" w:hAnsi="Arial"/>
          <w:sz w:val="16"/>
          <w:szCs w:val="16"/>
          <w:color w:val="auto"/>
        </w:rPr>
        <w:t>If you</w:t>
      </w:r>
      <w:r>
        <w:rPr>
          <w:rFonts w:ascii="Arial" w:cs="Arial" w:eastAsia="Arial" w:hAnsi="Arial"/>
          <w:sz w:val="16"/>
          <w:szCs w:val="16"/>
          <w:b w:val="1"/>
          <w:bCs w:val="1"/>
          <w:color w:val="auto"/>
        </w:rPr>
        <w:t xml:space="preserve"> </w:t>
      </w:r>
      <w:r>
        <w:rPr>
          <w:rFonts w:ascii="Arial" w:cs="Arial" w:eastAsia="Arial" w:hAnsi="Arial"/>
          <w:sz w:val="16"/>
          <w:szCs w:val="16"/>
          <w:color w:val="auto"/>
        </w:rPr>
        <w:t>hold shares directly in your name as the stockholder of record, proof of ownership could include a copy of your account statement or a copy of your stock certificate(s). If you hold shares through an intermediary, such as a broker, bank, or other nominee, proof of stock ownership could include a proxy from your broker, bank, or other nominee or a copy of your brokerage or bank account statement.</w:t>
      </w:r>
    </w:p>
    <w:p>
      <w:pPr>
        <w:spacing w:after="0" w:line="20" w:lineRule="exact"/>
        <w:rPr>
          <w:sz w:val="20"/>
          <w:szCs w:val="20"/>
          <w:color w:val="auto"/>
        </w:rPr>
      </w:pPr>
      <w:r>
        <w:rPr>
          <w:sz w:val="20"/>
          <w:szCs w:val="20"/>
          <w:color w:val="auto"/>
        </w:rPr>
        <w:br w:type="column"/>
      </w:r>
    </w:p>
    <w:p>
      <w:pPr>
        <w:spacing w:after="0" w:line="238" w:lineRule="exact"/>
        <w:rPr>
          <w:sz w:val="20"/>
          <w:szCs w:val="20"/>
          <w:color w:val="auto"/>
        </w:rPr>
      </w:pPr>
    </w:p>
    <w:p>
      <w:pPr>
        <w:ind w:left="380" w:right="260" w:hanging="319"/>
        <w:spacing w:after="0" w:line="282" w:lineRule="auto"/>
        <w:tabs>
          <w:tab w:leader="none" w:pos="380" w:val="left"/>
        </w:tabs>
        <w:numPr>
          <w:ilvl w:val="0"/>
          <w:numId w:val="69"/>
        </w:numPr>
        <w:rPr>
          <w:rFonts w:ascii="Arial" w:cs="Arial" w:eastAsia="Arial" w:hAnsi="Arial"/>
          <w:sz w:val="18"/>
          <w:szCs w:val="18"/>
          <w:b w:val="1"/>
          <w:bCs w:val="1"/>
          <w:color w:val="auto"/>
        </w:rPr>
      </w:pPr>
      <w:r>
        <w:rPr>
          <w:rFonts w:ascii="Arial" w:cs="Arial" w:eastAsia="Arial" w:hAnsi="Arial"/>
          <w:sz w:val="18"/>
          <w:szCs w:val="18"/>
          <w:b w:val="1"/>
          <w:bCs w:val="1"/>
          <w:color w:val="auto"/>
        </w:rPr>
        <w:t>HOW MANY VOTES MUST BE PRESENT TO HOLD THE ANNUAL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19685</wp:posOffset>
            </wp:positionV>
            <wp:extent cx="3429000" cy="8255"/>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5">
                      <a:extLst>
                        <a:ext uri="{28A0092B-C50C-407E-A947-70E740481C1C}"/>
                      </a:extLst>
                    </a:blip>
                    <a:srcRect/>
                    <a:stretch>
                      <a:fillRect/>
                    </a:stretch>
                  </pic:blipFill>
                  <pic:spPr bwMode="auto">
                    <a:xfrm>
                      <a:off x="0" y="0"/>
                      <a:ext cx="3429000" cy="8255"/>
                    </a:xfrm>
                    <a:prstGeom prst="rect">
                      <a:avLst/>
                    </a:prstGeom>
                    <a:noFill/>
                  </pic:spPr>
                </pic:pic>
              </a:graphicData>
            </a:graphic>
          </wp:anchor>
        </w:drawing>
      </w:r>
    </w:p>
    <w:p>
      <w:pPr>
        <w:spacing w:after="0" w:line="119" w:lineRule="exact"/>
        <w:rPr>
          <w:sz w:val="20"/>
          <w:szCs w:val="20"/>
          <w:color w:val="auto"/>
        </w:rPr>
      </w:pPr>
    </w:p>
    <w:p>
      <w:pPr>
        <w:ind w:right="100"/>
        <w:spacing w:after="0" w:line="254" w:lineRule="auto"/>
        <w:rPr>
          <w:sz w:val="20"/>
          <w:szCs w:val="20"/>
          <w:color w:val="auto"/>
        </w:rPr>
      </w:pPr>
      <w:r>
        <w:rPr>
          <w:rFonts w:ascii="Arial" w:cs="Arial" w:eastAsia="Arial" w:hAnsi="Arial"/>
          <w:sz w:val="18"/>
          <w:szCs w:val="18"/>
          <w:color w:val="auto"/>
        </w:rPr>
        <w:t>In order for us to conduct the Annual Meeting, holders representing a majority of our outstanding shares of common stock entitled to vote as of the close of business on the record date must be present in person or by proxy at the meeting. This is referred to as a quorum. Your shares are counted as present at the Annual Meeting if you attend the meeting and vote in person or if you properly return a proxy by internet, telephone or mail.</w:t>
      </w:r>
    </w:p>
    <w:p>
      <w:pPr>
        <w:spacing w:after="0" w:line="87" w:lineRule="exact"/>
        <w:rPr>
          <w:sz w:val="20"/>
          <w:szCs w:val="20"/>
          <w:color w:val="auto"/>
        </w:rPr>
      </w:pPr>
    </w:p>
    <w:p>
      <w:pPr>
        <w:ind w:right="500"/>
        <w:spacing w:after="0" w:line="277" w:lineRule="auto"/>
        <w:rPr>
          <w:sz w:val="20"/>
          <w:szCs w:val="20"/>
          <w:color w:val="auto"/>
        </w:rPr>
      </w:pPr>
      <w:r>
        <w:rPr>
          <w:rFonts w:ascii="Arial" w:cs="Arial" w:eastAsia="Arial" w:hAnsi="Arial"/>
          <w:sz w:val="18"/>
          <w:szCs w:val="18"/>
          <w:color w:val="auto"/>
        </w:rPr>
        <w:t>Abstentions and broker non-votes will be considered present for the purpose of determining whether a quorum is present.</w:t>
      </w:r>
    </w:p>
    <w:p>
      <w:pPr>
        <w:spacing w:after="0" w:line="522" w:lineRule="exact"/>
        <w:rPr>
          <w:sz w:val="20"/>
          <w:szCs w:val="20"/>
          <w:color w:val="auto"/>
        </w:rPr>
      </w:pPr>
    </w:p>
    <w:p>
      <w:pPr>
        <w:sectPr>
          <w:pgSz w:w="11900" w:h="16838" w:orient="portrait"/>
          <w:cols w:equalWidth="0" w:num="2">
            <w:col w:w="5400" w:space="340"/>
            <w:col w:w="5380"/>
          </w:cols>
          <w:pgMar w:left="320" w:top="459" w:right="459" w:bottom="1440" w:gutter="0" w:footer="0" w:header="0"/>
          <w:type w:val="continuous"/>
        </w:sectPr>
      </w:pPr>
    </w:p>
    <w:p>
      <w:pPr>
        <w:spacing w:after="0" w:line="121" w:lineRule="exact"/>
        <w:rPr>
          <w:sz w:val="20"/>
          <w:szCs w:val="20"/>
          <w:color w:val="auto"/>
        </w:rPr>
      </w:pPr>
    </w:p>
    <w:p>
      <w:pPr>
        <w:jc w:val="center"/>
        <w:ind w:right="-139"/>
        <w:spacing w:after="0"/>
        <w:rPr>
          <w:sz w:val="20"/>
          <w:szCs w:val="20"/>
          <w:color w:val="auto"/>
        </w:rPr>
      </w:pPr>
      <w:r>
        <w:rPr>
          <w:rFonts w:ascii="Arial" w:cs="Arial" w:eastAsia="Arial" w:hAnsi="Arial"/>
          <w:sz w:val="22"/>
          <w:szCs w:val="22"/>
          <w:b w:val="1"/>
          <w:bCs w:val="1"/>
          <w:color w:val="407CCA"/>
        </w:rPr>
        <w:t>OTHER MATTERS</w:t>
      </w:r>
    </w:p>
    <w:p>
      <w:pPr>
        <w:spacing w:after="0" w:line="219" w:lineRule="exact"/>
        <w:rPr>
          <w:sz w:val="20"/>
          <w:szCs w:val="20"/>
          <w:color w:val="auto"/>
        </w:rPr>
      </w:pPr>
    </w:p>
    <w:p>
      <w:pPr>
        <w:ind w:left="120"/>
        <w:spacing w:after="0" w:line="263" w:lineRule="auto"/>
        <w:rPr>
          <w:sz w:val="20"/>
          <w:szCs w:val="20"/>
          <w:color w:val="auto"/>
        </w:rPr>
      </w:pPr>
      <w:r>
        <w:rPr>
          <w:rFonts w:ascii="Arial" w:cs="Arial" w:eastAsia="Arial" w:hAnsi="Arial"/>
          <w:sz w:val="18"/>
          <w:szCs w:val="18"/>
          <w:color w:val="auto"/>
        </w:rPr>
        <w:t>The Board does not intend to bring other matters before the Annual Meeting except items incidental to the conduct of the meeting. However, on all other matters properly brought before the meeting, or any postponement or adjournment thereof, by the Board or others, the persons named as proxies in the accompanying proxy card, or their substitutes, will vote in accordance with their discretion.</w:t>
      </w:r>
    </w:p>
    <w:p>
      <w:pPr>
        <w:spacing w:after="0" w:line="112"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76</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20"/>
          </w:cols>
          <w:pgMar w:left="320" w:top="459" w:right="459" w:bottom="1440" w:gutter="0" w:footer="0" w:header="0"/>
          <w:type w:val="continuous"/>
        </w:sectPr>
      </w:pPr>
    </w:p>
    <w:bookmarkStart w:id="89" w:name="page90"/>
    <w:bookmarkEnd w:id="89"/>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6">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6"/>
            <w:szCs w:val="16"/>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220345</wp:posOffset>
            </wp:positionV>
            <wp:extent cx="7029450" cy="9095105"/>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7">
                      <a:extLst>
                        <a:ext uri="{28A0092B-C50C-407E-A947-70E740481C1C}"/>
                      </a:extLst>
                    </a:blip>
                    <a:srcRect/>
                    <a:stretch>
                      <a:fillRect/>
                    </a:stretch>
                  </pic:blipFill>
                  <pic:spPr bwMode="auto">
                    <a:xfrm>
                      <a:off x="0" y="0"/>
                      <a:ext cx="7029450" cy="9095105"/>
                    </a:xfrm>
                    <a:prstGeom prst="rect">
                      <a:avLst/>
                    </a:prstGeom>
                    <a:noFill/>
                  </pic:spPr>
                </pic:pic>
              </a:graphicData>
            </a:graphic>
          </wp:anchor>
        </w:drawing>
      </w:r>
    </w:p>
    <w:p>
      <w:pPr>
        <w:sectPr>
          <w:pgSz w:w="11900" w:h="16838" w:orient="portrait"/>
          <w:cols w:equalWidth="0" w:num="1">
            <w:col w:w="10139"/>
          </w:cols>
          <w:pgMar w:left="320" w:top="459" w:right="1440" w:bottom="1440" w:gutter="0" w:footer="0" w:header="0"/>
        </w:sectPr>
      </w:pPr>
    </w:p>
    <w:bookmarkStart w:id="90" w:name="page91"/>
    <w:bookmarkEnd w:id="90"/>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8">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hyperlink w:anchor="page12">
        <w:r>
          <w:rPr>
            <w:rFonts w:ascii="Arial" w:cs="Arial" w:eastAsia="Arial" w:hAnsi="Arial"/>
            <w:sz w:val="16"/>
            <w:szCs w:val="16"/>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220345</wp:posOffset>
            </wp:positionV>
            <wp:extent cx="7029450" cy="9095105"/>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9">
                      <a:extLst>
                        <a:ext uri="{28A0092B-C50C-407E-A947-70E740481C1C}"/>
                      </a:extLst>
                    </a:blip>
                    <a:srcRect/>
                    <a:stretch>
                      <a:fillRect/>
                    </a:stretch>
                  </pic:blipFill>
                  <pic:spPr bwMode="auto">
                    <a:xfrm>
                      <a:off x="0" y="0"/>
                      <a:ext cx="7029450" cy="9095105"/>
                    </a:xfrm>
                    <a:prstGeom prst="rect">
                      <a:avLst/>
                    </a:prstGeom>
                    <a:noFill/>
                  </pic:spPr>
                </pic:pic>
              </a:graphicData>
            </a:graphic>
          </wp:anchor>
        </w:drawing>
      </w:r>
    </w:p>
    <w:sectPr>
      <w:pgSz w:w="11900" w:h="16838" w:orient="portrait"/>
      <w:cols w:equalWidth="0" w:num="1">
        <w:col w:w="10139"/>
      </w:cols>
      <w:pgMar w:left="320" w:top="459" w:right="1440"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5577F8E1"/>
    <w:multiLevelType w:val="hybridMultilevel"/>
    <w:lvl w:ilvl="0">
      <w:lvlJc w:val="left"/>
      <w:lvlText w:val="☐"/>
      <w:numFmt w:val="bullet"/>
      <w:start w:val="1"/>
    </w:lvl>
  </w:abstractNum>
  <w:abstractNum w:abstractNumId="1">
    <w:nsid w:val="440BADFC"/>
    <w:multiLevelType w:val="hybridMultilevel"/>
    <w:lvl w:ilvl="0">
      <w:lvlJc w:val="left"/>
      <w:lvlText w:val="☒"/>
      <w:numFmt w:val="bullet"/>
      <w:start w:val="1"/>
    </w:lvl>
  </w:abstractNum>
  <w:abstractNum w:abstractNumId="2">
    <w:nsid w:val="5072367"/>
    <w:multiLevelType w:val="hybridMultilevel"/>
    <w:lvl w:ilvl="0">
      <w:lvlJc w:val="left"/>
      <w:lvlText w:val="☐"/>
      <w:numFmt w:val="bullet"/>
      <w:start w:val="1"/>
    </w:lvl>
    <w:lvl w:ilvl="1">
      <w:lvlJc w:val="left"/>
      <w:lvlText w:val="(%2)"/>
      <w:numFmt w:val="decimal"/>
      <w:start w:val="1"/>
    </w:lvl>
  </w:abstractNum>
  <w:abstractNum w:abstractNumId="3">
    <w:nsid w:val="3804823E"/>
    <w:multiLevelType w:val="hybridMultilevel"/>
    <w:lvl w:ilvl="0">
      <w:lvlJc w:val="left"/>
      <w:lvlText w:val="(%1)"/>
      <w:numFmt w:val="decimal"/>
      <w:start w:val="1"/>
    </w:lvl>
  </w:abstractNum>
  <w:abstractNum w:abstractNumId="4">
    <w:nsid w:val="77465F01"/>
    <w:multiLevelType w:val="hybridMultilevel"/>
    <w:lvl w:ilvl="0">
      <w:lvlJc w:val="left"/>
      <w:lvlText w:val="(%1)"/>
      <w:numFmt w:val="decimal"/>
      <w:start w:val="1"/>
    </w:lvl>
  </w:abstractNum>
  <w:abstractNum w:abstractNumId="5">
    <w:nsid w:val="7724C67E"/>
    <w:multiLevelType w:val="hybridMultilevel"/>
    <w:lvl w:ilvl="0">
      <w:lvlJc w:val="left"/>
      <w:lvlText w:val="%1"/>
      <w:numFmt w:val="lowerRoman"/>
      <w:start w:val="7"/>
    </w:lvl>
    <w:lvl w:ilvl="1">
      <w:lvlJc w:val="left"/>
      <w:lvlText w:val="•"/>
      <w:numFmt w:val="bullet"/>
      <w:start w:val="1"/>
    </w:lvl>
    <w:lvl w:ilvl="2">
      <w:lvlJc w:val="left"/>
      <w:lvlText w:val="•"/>
      <w:numFmt w:val="bullet"/>
      <w:start w:val="1"/>
    </w:lvl>
  </w:abstractNum>
  <w:abstractNum w:abstractNumId="6">
    <w:nsid w:val="5C482A97"/>
    <w:multiLevelType w:val="hybridMultilevel"/>
    <w:lvl w:ilvl="0">
      <w:lvlJc w:val="left"/>
      <w:lvlText w:val="*"/>
      <w:numFmt w:val="bullet"/>
      <w:start w:val="1"/>
    </w:lvl>
  </w:abstractNum>
  <w:abstractNum w:abstractNumId="7">
    <w:nsid w:val="2463B9EA"/>
    <w:multiLevelType w:val="hybridMultilevel"/>
    <w:lvl w:ilvl="0">
      <w:lvlJc w:val="left"/>
      <w:lvlText w:val="(%1)"/>
      <w:numFmt w:val="decimal"/>
      <w:start w:val="1"/>
    </w:lvl>
  </w:abstractNum>
  <w:abstractNum w:abstractNumId="8">
    <w:nsid w:val="5E884ADC"/>
    <w:multiLevelType w:val="hybridMultilevel"/>
    <w:lvl w:ilvl="0">
      <w:lvlJc w:val="left"/>
      <w:lvlText w:val="•"/>
      <w:numFmt w:val="bullet"/>
      <w:start w:val="1"/>
    </w:lvl>
  </w:abstractNum>
  <w:abstractNum w:abstractNumId="9">
    <w:nsid w:val="51EAD36B"/>
    <w:multiLevelType w:val="hybridMultilevel"/>
    <w:lvl w:ilvl="0">
      <w:lvlJc w:val="left"/>
      <w:lvlText w:val="•"/>
      <w:numFmt w:val="bullet"/>
      <w:start w:val="1"/>
    </w:lvl>
  </w:abstractNum>
  <w:abstractNum w:abstractNumId="10">
    <w:nsid w:val="2D517796"/>
    <w:multiLevelType w:val="hybridMultilevel"/>
    <w:lvl w:ilvl="0">
      <w:lvlJc w:val="left"/>
      <w:lvlText w:val="•"/>
      <w:numFmt w:val="bullet"/>
      <w:start w:val="1"/>
    </w:lvl>
  </w:abstractNum>
  <w:abstractNum w:abstractNumId="11">
    <w:nsid w:val="580BD78F"/>
    <w:multiLevelType w:val="hybridMultilevel"/>
    <w:lvl w:ilvl="0">
      <w:lvlJc w:val="left"/>
      <w:lvlText w:val="•"/>
      <w:numFmt w:val="bullet"/>
      <w:start w:val="1"/>
    </w:lvl>
  </w:abstractNum>
  <w:abstractNum w:abstractNumId="12">
    <w:nsid w:val="153EA438"/>
    <w:multiLevelType w:val="hybridMultilevel"/>
    <w:lvl w:ilvl="0">
      <w:lvlJc w:val="left"/>
      <w:lvlText w:val="•"/>
      <w:numFmt w:val="bullet"/>
      <w:start w:val="1"/>
    </w:lvl>
  </w:abstractNum>
  <w:abstractNum w:abstractNumId="13">
    <w:nsid w:val="3855585C"/>
    <w:multiLevelType w:val="hybridMultilevel"/>
    <w:lvl w:ilvl="0">
      <w:lvlJc w:val="left"/>
      <w:lvlText w:val="(%1)"/>
      <w:numFmt w:val="decimal"/>
      <w:start w:val="1"/>
    </w:lvl>
  </w:abstractNum>
  <w:abstractNum w:abstractNumId="14">
    <w:nsid w:val="70A64E2A"/>
    <w:multiLevelType w:val="hybridMultilevel"/>
    <w:lvl w:ilvl="0">
      <w:lvlJc w:val="left"/>
      <w:lvlText w:val="•"/>
      <w:numFmt w:val="bullet"/>
      <w:start w:val="1"/>
    </w:lvl>
  </w:abstractNum>
  <w:abstractNum w:abstractNumId="15">
    <w:nsid w:val="6A2342EC"/>
    <w:multiLevelType w:val="hybridMultilevel"/>
    <w:lvl w:ilvl="0">
      <w:lvlJc w:val="left"/>
      <w:lvlText w:val="%1."/>
      <w:numFmt w:val="decimal"/>
      <w:start w:val="60"/>
    </w:lvl>
  </w:abstractNum>
  <w:abstractNum w:abstractNumId="16">
    <w:nsid w:val="2A487CB0"/>
    <w:multiLevelType w:val="hybridMultilevel"/>
    <w:lvl w:ilvl="0">
      <w:lvlJc w:val="left"/>
      <w:lvlText w:val="•"/>
      <w:numFmt w:val="bullet"/>
      <w:start w:val="1"/>
    </w:lvl>
  </w:abstractNum>
  <w:abstractNum w:abstractNumId="17">
    <w:nsid w:val="1D4ED43B"/>
    <w:multiLevelType w:val="hybridMultilevel"/>
    <w:lvl w:ilvl="0">
      <w:lvlJc w:val="left"/>
      <w:lvlText w:val="(%1)"/>
      <w:numFmt w:val="decimal"/>
      <w:start w:val="1"/>
    </w:lvl>
  </w:abstractNum>
  <w:abstractNum w:abstractNumId="18">
    <w:nsid w:val="725A06FB"/>
    <w:multiLevelType w:val="hybridMultilevel"/>
    <w:lvl w:ilvl="0">
      <w:lvlJc w:val="left"/>
      <w:lvlText w:val="•"/>
      <w:numFmt w:val="bullet"/>
      <w:start w:val="1"/>
    </w:lvl>
    <w:lvl w:ilvl="1">
      <w:lvlJc w:val="left"/>
      <w:lvlText w:val="•"/>
      <w:numFmt w:val="bullet"/>
      <w:start w:val="1"/>
    </w:lvl>
  </w:abstractNum>
  <w:abstractNum w:abstractNumId="19">
    <w:nsid w:val="2CD89A32"/>
    <w:multiLevelType w:val="hybridMultilevel"/>
    <w:lvl w:ilvl="0">
      <w:lvlJc w:val="left"/>
      <w:lvlText w:val="(%1)"/>
      <w:numFmt w:val="decimal"/>
      <w:start w:val="1"/>
    </w:lvl>
  </w:abstractNum>
  <w:abstractNum w:abstractNumId="20">
    <w:nsid w:val="57E4CCAF"/>
    <w:multiLevelType w:val="hybridMultilevel"/>
    <w:lvl w:ilvl="0">
      <w:lvlJc w:val="left"/>
      <w:lvlText w:val="(%1)"/>
      <w:numFmt w:val="decimal"/>
      <w:start w:val="2"/>
    </w:lvl>
  </w:abstractNum>
  <w:abstractNum w:abstractNumId="21">
    <w:nsid w:val="7A6D8D3C"/>
    <w:multiLevelType w:val="hybridMultilevel"/>
    <w:lvl w:ilvl="0">
      <w:lvlJc w:val="left"/>
      <w:lvlText w:val="(%1)"/>
      <w:numFmt w:val="decimal"/>
      <w:start w:val="1"/>
    </w:lvl>
  </w:abstractNum>
  <w:abstractNum w:abstractNumId="22">
    <w:nsid w:val="4B588F54"/>
    <w:multiLevelType w:val="hybridMultilevel"/>
    <w:lvl w:ilvl="0">
      <w:lvlJc w:val="left"/>
      <w:lvlText w:val="•"/>
      <w:numFmt w:val="bullet"/>
      <w:start w:val="1"/>
    </w:lvl>
  </w:abstractNum>
  <w:abstractNum w:abstractNumId="23">
    <w:nsid w:val="542289EC"/>
    <w:multiLevelType w:val="hybridMultilevel"/>
    <w:lvl w:ilvl="0">
      <w:lvlJc w:val="left"/>
      <w:lvlText w:val="Ø"/>
      <w:numFmt w:val="bullet"/>
      <w:start w:val="1"/>
    </w:lvl>
    <w:lvl w:ilvl="1">
      <w:lvlJc w:val="left"/>
      <w:lvlText w:val="•"/>
      <w:numFmt w:val="bullet"/>
      <w:start w:val="1"/>
    </w:lvl>
  </w:abstractNum>
  <w:abstractNum w:abstractNumId="24">
    <w:nsid w:val="6DE91B18"/>
    <w:multiLevelType w:val="hybridMultilevel"/>
    <w:lvl w:ilvl="0">
      <w:lvlJc w:val="left"/>
      <w:lvlText w:val="(%1)"/>
      <w:numFmt w:val="decimal"/>
      <w:start w:val="1"/>
    </w:lvl>
  </w:abstractNum>
  <w:abstractNum w:abstractNumId="25">
    <w:nsid w:val="38437FDB"/>
    <w:multiLevelType w:val="hybridMultilevel"/>
    <w:lvl w:ilvl="0">
      <w:lvlJc w:val="left"/>
      <w:lvlText w:val="•"/>
      <w:numFmt w:val="bullet"/>
      <w:start w:val="1"/>
    </w:lvl>
  </w:abstractNum>
  <w:abstractNum w:abstractNumId="26">
    <w:nsid w:val="7644A45C"/>
    <w:multiLevelType w:val="hybridMultilevel"/>
    <w:lvl w:ilvl="0">
      <w:lvlJc w:val="left"/>
      <w:lvlText w:val="✓"/>
      <w:numFmt w:val="bullet"/>
      <w:start w:val="1"/>
    </w:lvl>
  </w:abstractNum>
  <w:abstractNum w:abstractNumId="27">
    <w:nsid w:val="32FFF902"/>
    <w:multiLevelType w:val="hybridMultilevel"/>
    <w:lvl w:ilvl="0">
      <w:lvlJc w:val="left"/>
      <w:lvlText w:val="×"/>
      <w:numFmt w:val="bullet"/>
      <w:start w:val="1"/>
    </w:lvl>
  </w:abstractNum>
  <w:abstractNum w:abstractNumId="28">
    <w:nsid w:val="684A481A"/>
    <w:multiLevelType w:val="hybridMultilevel"/>
    <w:lvl w:ilvl="0">
      <w:lvlJc w:val="left"/>
      <w:lvlText w:val="•"/>
      <w:numFmt w:val="bullet"/>
      <w:start w:val="1"/>
    </w:lvl>
  </w:abstractNum>
  <w:abstractNum w:abstractNumId="29">
    <w:nsid w:val="579478FE"/>
    <w:multiLevelType w:val="hybridMultilevel"/>
    <w:lvl w:ilvl="0">
      <w:lvlJc w:val="left"/>
      <w:lvlText w:val="•"/>
      <w:numFmt w:val="bullet"/>
      <w:start w:val="1"/>
    </w:lvl>
  </w:abstractNum>
  <w:abstractNum w:abstractNumId="30">
    <w:nsid w:val="749ABB43"/>
    <w:multiLevelType w:val="hybridMultilevel"/>
    <w:lvl w:ilvl="0">
      <w:lvlJc w:val="left"/>
      <w:lvlText w:val="(%1)"/>
      <w:numFmt w:val="decimal"/>
      <w:start w:val="1"/>
    </w:lvl>
  </w:abstractNum>
  <w:abstractNum w:abstractNumId="31">
    <w:nsid w:val="3DC240FB"/>
    <w:multiLevelType w:val="hybridMultilevel"/>
    <w:lvl w:ilvl="0">
      <w:lvlJc w:val="left"/>
      <w:lvlText w:val="•"/>
      <w:numFmt w:val="bullet"/>
      <w:start w:val="1"/>
    </w:lvl>
  </w:abstractNum>
  <w:abstractNum w:abstractNumId="32">
    <w:nsid w:val="1BA026FA"/>
    <w:multiLevelType w:val="hybridMultilevel"/>
    <w:lvl w:ilvl="0">
      <w:lvlJc w:val="left"/>
      <w:lvlText w:val="•"/>
      <w:numFmt w:val="bullet"/>
      <w:start w:val="1"/>
    </w:lvl>
  </w:abstractNum>
  <w:abstractNum w:abstractNumId="33">
    <w:nsid w:val="79A1DEAA"/>
    <w:multiLevelType w:val="hybridMultilevel"/>
    <w:lvl w:ilvl="0">
      <w:lvlJc w:val="left"/>
      <w:lvlText w:val="(%1)"/>
      <w:numFmt w:val="decimal"/>
      <w:start w:val="1"/>
    </w:lvl>
  </w:abstractNum>
  <w:abstractNum w:abstractNumId="34">
    <w:nsid w:val="75C6C33A"/>
    <w:multiLevelType w:val="hybridMultilevel"/>
    <w:lvl w:ilvl="0">
      <w:lvlJc w:val="left"/>
      <w:lvlText w:val="•"/>
      <w:numFmt w:val="bullet"/>
      <w:start w:val="1"/>
    </w:lvl>
  </w:abstractNum>
  <w:abstractNum w:abstractNumId="35">
    <w:nsid w:val="12E685FB"/>
    <w:multiLevelType w:val="hybridMultilevel"/>
    <w:lvl w:ilvl="0">
      <w:lvlJc w:val="left"/>
      <w:lvlText w:val="•"/>
      <w:numFmt w:val="bullet"/>
      <w:start w:val="1"/>
    </w:lvl>
  </w:abstractNum>
  <w:abstractNum w:abstractNumId="36">
    <w:nsid w:val="70C6A529"/>
    <w:multiLevelType w:val="hybridMultilevel"/>
    <w:lvl w:ilvl="0">
      <w:lvlJc w:val="left"/>
      <w:lvlText w:val="(%1)"/>
      <w:numFmt w:val="decimal"/>
      <w:start w:val="1"/>
    </w:lvl>
  </w:abstractNum>
  <w:abstractNum w:abstractNumId="37">
    <w:nsid w:val="520EEDD1"/>
    <w:multiLevelType w:val="hybridMultilevel"/>
    <w:lvl w:ilvl="0">
      <w:lvlJc w:val="left"/>
      <w:lvlText w:val="•"/>
      <w:numFmt w:val="bullet"/>
      <w:start w:val="1"/>
    </w:lvl>
  </w:abstractNum>
  <w:abstractNum w:abstractNumId="38">
    <w:nsid w:val="374A3FE6"/>
    <w:multiLevelType w:val="hybridMultilevel"/>
    <w:lvl w:ilvl="0">
      <w:lvlJc w:val="left"/>
      <w:lvlText w:val="•"/>
      <w:numFmt w:val="bullet"/>
      <w:start w:val="1"/>
    </w:lvl>
  </w:abstractNum>
  <w:abstractNum w:abstractNumId="39">
    <w:nsid w:val="4F4EF005"/>
    <w:multiLevelType w:val="hybridMultilevel"/>
    <w:lvl w:ilvl="0">
      <w:lvlJc w:val="left"/>
      <w:lvlText w:val="•"/>
      <w:numFmt w:val="bullet"/>
      <w:start w:val="1"/>
    </w:lvl>
  </w:abstractNum>
  <w:abstractNum w:abstractNumId="40">
    <w:nsid w:val="23F9C13C"/>
    <w:multiLevelType w:val="hybridMultilevel"/>
    <w:lvl w:ilvl="0">
      <w:lvlJc w:val="left"/>
      <w:lvlText w:val="•"/>
      <w:numFmt w:val="bullet"/>
      <w:start w:val="1"/>
    </w:lvl>
  </w:abstractNum>
  <w:abstractNum w:abstractNumId="41">
    <w:nsid w:val="649BB77C"/>
    <w:multiLevelType w:val="hybridMultilevel"/>
    <w:lvl w:ilvl="0">
      <w:lvlJc w:val="left"/>
      <w:lvlText w:val="•"/>
      <w:numFmt w:val="bullet"/>
      <w:start w:val="1"/>
    </w:lvl>
  </w:abstractNum>
  <w:abstractNum w:abstractNumId="42">
    <w:nsid w:val="275AC794"/>
    <w:multiLevelType w:val="hybridMultilevel"/>
    <w:lvl w:ilvl="0">
      <w:lvlJc w:val="left"/>
      <w:lvlText w:val="(%1)"/>
      <w:numFmt w:val="decimal"/>
      <w:start w:val="1"/>
    </w:lvl>
  </w:abstractNum>
  <w:abstractNum w:abstractNumId="43">
    <w:nsid w:val="39386575"/>
    <w:multiLevelType w:val="hybridMultilevel"/>
    <w:lvl w:ilvl="0">
      <w:lvlJc w:val="left"/>
      <w:lvlText w:val="(%1)"/>
      <w:numFmt w:val="decimal"/>
      <w:start w:val="2"/>
    </w:lvl>
  </w:abstractNum>
  <w:abstractNum w:abstractNumId="44">
    <w:nsid w:val="1CF10FD8"/>
    <w:multiLevelType w:val="hybridMultilevel"/>
    <w:lvl w:ilvl="0">
      <w:lvlJc w:val="left"/>
      <w:lvlText w:val="(%1)"/>
      <w:numFmt w:val="decimal"/>
      <w:start w:val="1"/>
    </w:lvl>
  </w:abstractNum>
  <w:abstractNum w:abstractNumId="45">
    <w:nsid w:val="180115BE"/>
    <w:multiLevelType w:val="hybridMultilevel"/>
    <w:lvl w:ilvl="0">
      <w:lvlJc w:val="left"/>
      <w:lvlText w:val="(%1)"/>
      <w:numFmt w:val="decimal"/>
      <w:start w:val="1"/>
    </w:lvl>
  </w:abstractNum>
  <w:abstractNum w:abstractNumId="46">
    <w:nsid w:val="235BA861"/>
    <w:multiLevelType w:val="hybridMultilevel"/>
    <w:lvl w:ilvl="0">
      <w:lvlJc w:val="left"/>
      <w:lvlText w:val="(%1)"/>
      <w:numFmt w:val="decimal"/>
      <w:start w:val="2"/>
    </w:lvl>
  </w:abstractNum>
  <w:abstractNum w:abstractNumId="47">
    <w:nsid w:val="47398C89"/>
    <w:multiLevelType w:val="hybridMultilevel"/>
    <w:lvl w:ilvl="0">
      <w:lvlJc w:val="left"/>
      <w:lvlText w:val="(%1)"/>
      <w:numFmt w:val="decimal"/>
      <w:start w:val="1"/>
    </w:lvl>
  </w:abstractNum>
  <w:abstractNum w:abstractNumId="48">
    <w:nsid w:val="354FE9F9"/>
    <w:multiLevelType w:val="hybridMultilevel"/>
    <w:lvl w:ilvl="0">
      <w:lvlJc w:val="left"/>
      <w:lvlText w:val="(%1)"/>
      <w:numFmt w:val="decimal"/>
      <w:start w:val="2"/>
    </w:lvl>
  </w:abstractNum>
  <w:abstractNum w:abstractNumId="49">
    <w:nsid w:val="15B5AF5C"/>
    <w:multiLevelType w:val="hybridMultilevel"/>
    <w:lvl w:ilvl="0">
      <w:lvlJc w:val="left"/>
      <w:lvlText w:val="*"/>
      <w:numFmt w:val="bullet"/>
      <w:start w:val="1"/>
    </w:lvl>
  </w:abstractNum>
  <w:abstractNum w:abstractNumId="50">
    <w:nsid w:val="741226BB"/>
    <w:multiLevelType w:val="hybridMultilevel"/>
    <w:lvl w:ilvl="0">
      <w:lvlJc w:val="left"/>
      <w:lvlText w:val="(%1)"/>
      <w:numFmt w:val="decimal"/>
      <w:start w:val="1"/>
    </w:lvl>
  </w:abstractNum>
  <w:abstractNum w:abstractNumId="51">
    <w:nsid w:val="D34B6A8"/>
    <w:multiLevelType w:val="hybridMultilevel"/>
    <w:lvl w:ilvl="0">
      <w:lvlJc w:val="left"/>
      <w:lvlText w:val="(%1)"/>
      <w:numFmt w:val="decimal"/>
      <w:start w:val="4"/>
    </w:lvl>
  </w:abstractNum>
  <w:abstractNum w:abstractNumId="52">
    <w:nsid w:val="10233C99"/>
    <w:multiLevelType w:val="hybridMultilevel"/>
    <w:lvl w:ilvl="0">
      <w:lvlJc w:val="left"/>
      <w:lvlText w:val="%1."/>
      <w:numFmt w:val="decimal"/>
      <w:start w:val="1"/>
    </w:lvl>
  </w:abstractNum>
  <w:abstractNum w:abstractNumId="53">
    <w:nsid w:val="3F6AB60F"/>
    <w:multiLevelType w:val="hybridMultilevel"/>
    <w:lvl w:ilvl="0">
      <w:lvlJc w:val="left"/>
      <w:lvlText w:val="%1."/>
      <w:numFmt w:val="decimal"/>
      <w:start w:val="2"/>
    </w:lvl>
  </w:abstractNum>
  <w:abstractNum w:abstractNumId="54">
    <w:nsid w:val="61574095"/>
    <w:multiLevelType w:val="hybridMultilevel"/>
    <w:lvl w:ilvl="0">
      <w:lvlJc w:val="left"/>
      <w:lvlText w:val="%1."/>
      <w:numFmt w:val="decimal"/>
      <w:start w:val="3"/>
    </w:lvl>
  </w:abstractNum>
  <w:abstractNum w:abstractNumId="55">
    <w:nsid w:val="7E0C57B1"/>
    <w:multiLevelType w:val="hybridMultilevel"/>
    <w:lvl w:ilvl="0">
      <w:lvlJc w:val="left"/>
      <w:lvlText w:val="%1."/>
      <w:numFmt w:val="decimal"/>
      <w:start w:val="4"/>
    </w:lvl>
  </w:abstractNum>
  <w:abstractNum w:abstractNumId="56">
    <w:nsid w:val="77AE35EB"/>
    <w:multiLevelType w:val="hybridMultilevel"/>
    <w:lvl w:ilvl="0">
      <w:lvlJc w:val="left"/>
      <w:lvlText w:val="%1."/>
      <w:numFmt w:val="decimal"/>
      <w:start w:val="5"/>
    </w:lvl>
  </w:abstractNum>
  <w:abstractNum w:abstractNumId="57">
    <w:nsid w:val="579BE4F1"/>
    <w:multiLevelType w:val="hybridMultilevel"/>
    <w:lvl w:ilvl="0">
      <w:lvlJc w:val="left"/>
      <w:lvlText w:val="%1."/>
      <w:numFmt w:val="decimal"/>
      <w:start w:val="2"/>
    </w:lvl>
  </w:abstractNum>
  <w:abstractNum w:abstractNumId="58">
    <w:nsid w:val="310C50B3"/>
    <w:multiLevelType w:val="hybridMultilevel"/>
    <w:lvl w:ilvl="0">
      <w:lvlJc w:val="left"/>
      <w:lvlText w:val="%1."/>
      <w:numFmt w:val="decimal"/>
      <w:start w:val="4"/>
    </w:lvl>
  </w:abstractNum>
  <w:abstractNum w:abstractNumId="59">
    <w:nsid w:val="5FF87E05"/>
    <w:multiLevelType w:val="hybridMultilevel"/>
    <w:lvl w:ilvl="0">
      <w:lvlJc w:val="left"/>
      <w:lvlText w:val="%1."/>
      <w:numFmt w:val="lowerLetter"/>
      <w:start w:val="1"/>
    </w:lvl>
  </w:abstractNum>
  <w:abstractNum w:abstractNumId="60">
    <w:nsid w:val="2F305DEF"/>
    <w:multiLevelType w:val="hybridMultilevel"/>
    <w:lvl w:ilvl="0">
      <w:lvlJc w:val="left"/>
      <w:lvlText w:val="%1."/>
      <w:numFmt w:val="decimal"/>
      <w:start w:val="5"/>
    </w:lvl>
  </w:abstractNum>
  <w:abstractNum w:abstractNumId="61">
    <w:nsid w:val="25A70BF7"/>
    <w:multiLevelType w:val="hybridMultilevel"/>
    <w:lvl w:ilvl="0">
      <w:lvlJc w:val="left"/>
      <w:lvlText w:val="%1."/>
      <w:numFmt w:val="decimal"/>
      <w:start w:val="6"/>
    </w:lvl>
  </w:abstractNum>
  <w:abstractNum w:abstractNumId="62">
    <w:nsid w:val="1DBABF00"/>
    <w:multiLevelType w:val="hybridMultilevel"/>
    <w:lvl w:ilvl="0">
      <w:lvlJc w:val="left"/>
      <w:lvlText w:val="%1."/>
      <w:numFmt w:val="decimal"/>
      <w:start w:val="8"/>
    </w:lvl>
  </w:abstractNum>
  <w:abstractNum w:abstractNumId="63">
    <w:nsid w:val="4AD084E9"/>
    <w:multiLevelType w:val="hybridMultilevel"/>
    <w:lvl w:ilvl="0">
      <w:lvlJc w:val="left"/>
      <w:lvlText w:val="%1."/>
      <w:numFmt w:val="decimal"/>
      <w:start w:val="9"/>
    </w:lvl>
  </w:abstractNum>
  <w:abstractNum w:abstractNumId="64">
    <w:nsid w:val="1F48EAA1"/>
    <w:multiLevelType w:val="hybridMultilevel"/>
    <w:lvl w:ilvl="0">
      <w:lvlJc w:val="left"/>
      <w:lvlText w:val="%1."/>
      <w:numFmt w:val="decimal"/>
      <w:start w:val="10"/>
    </w:lvl>
  </w:abstractNum>
  <w:abstractNum w:abstractNumId="65">
    <w:nsid w:val="1381823A"/>
    <w:multiLevelType w:val="hybridMultilevel"/>
    <w:lvl w:ilvl="0">
      <w:lvlJc w:val="left"/>
      <w:lvlText w:val="%1."/>
      <w:numFmt w:val="decimal"/>
      <w:start w:val="11"/>
    </w:lvl>
  </w:abstractNum>
  <w:abstractNum w:abstractNumId="66">
    <w:nsid w:val="5DB70AE5"/>
    <w:multiLevelType w:val="hybridMultilevel"/>
    <w:lvl w:ilvl="0">
      <w:lvlJc w:val="left"/>
      <w:lvlText w:val="%1."/>
      <w:numFmt w:val="decimal"/>
      <w:start w:val="13"/>
    </w:lvl>
  </w:abstractNum>
  <w:abstractNum w:abstractNumId="67">
    <w:nsid w:val="100F8FCA"/>
    <w:multiLevelType w:val="hybridMultilevel"/>
    <w:lvl w:ilvl="0">
      <w:lvlJc w:val="left"/>
      <w:lvlText w:val="%1."/>
      <w:numFmt w:val="decimal"/>
      <w:start w:val="14"/>
    </w:lvl>
  </w:abstractNum>
  <w:abstractNum w:abstractNumId="68">
    <w:nsid w:val="6590700B"/>
    <w:multiLevelType w:val="hybridMultilevel"/>
    <w:lvl w:ilvl="0">
      <w:lvlJc w:val="left"/>
      <w:lvlText w:val="%1."/>
      <w:numFmt w:val="decimal"/>
      <w:start w:val="15"/>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jpe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jpe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jpe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jpe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jpeg"/><Relationship Id="rId44" Type="http://schemas.openxmlformats.org/officeDocument/2006/relationships/image" Target="media/image37.png"/><Relationship Id="rId45" Type="http://schemas.openxmlformats.org/officeDocument/2006/relationships/image" Target="media/image38.jpeg"/><Relationship Id="rId46" Type="http://schemas.openxmlformats.org/officeDocument/2006/relationships/image" Target="media/image39.png"/><Relationship Id="rId47" Type="http://schemas.openxmlformats.org/officeDocument/2006/relationships/image" Target="media/image40.jpe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jpe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jpe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jpe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jpe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jpeg"/><Relationship Id="rId153" Type="http://schemas.openxmlformats.org/officeDocument/2006/relationships/image" Target="media/image146.png"/><Relationship Id="rId154" Type="http://schemas.openxmlformats.org/officeDocument/2006/relationships/image" Target="media/image147.png"/><Relationship Id="rId155" Type="http://schemas.openxmlformats.org/officeDocument/2006/relationships/image" Target="media/image148.jpeg"/><Relationship Id="rId156" Type="http://schemas.openxmlformats.org/officeDocument/2006/relationships/image" Target="media/image149.pn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jpe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jpe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png"/><Relationship Id="rId167" Type="http://schemas.openxmlformats.org/officeDocument/2006/relationships/image" Target="media/image160.jpeg"/><Relationship Id="rId168" Type="http://schemas.openxmlformats.org/officeDocument/2006/relationships/image" Target="media/image161.png"/><Relationship Id="rId169" Type="http://schemas.openxmlformats.org/officeDocument/2006/relationships/image" Target="media/image162.jpeg"/><Relationship Id="rId170" Type="http://schemas.openxmlformats.org/officeDocument/2006/relationships/image" Target="media/image163.png"/><Relationship Id="rId171" Type="http://schemas.openxmlformats.org/officeDocument/2006/relationships/image" Target="media/image164.png"/><Relationship Id="rId172" Type="http://schemas.openxmlformats.org/officeDocument/2006/relationships/image" Target="media/image165.jpeg"/><Relationship Id="rId173" Type="http://schemas.openxmlformats.org/officeDocument/2006/relationships/image" Target="media/image166.jpeg"/><Relationship Id="rId174" Type="http://schemas.openxmlformats.org/officeDocument/2006/relationships/image" Target="media/image167.png"/><Relationship Id="rId175" Type="http://schemas.openxmlformats.org/officeDocument/2006/relationships/image" Target="media/image168.png"/><Relationship Id="rId176" Type="http://schemas.openxmlformats.org/officeDocument/2006/relationships/image" Target="media/image169.png"/><Relationship Id="rId177" Type="http://schemas.openxmlformats.org/officeDocument/2006/relationships/image" Target="media/image170.png"/><Relationship Id="rId178" Type="http://schemas.openxmlformats.org/officeDocument/2006/relationships/image" Target="media/image171.png"/><Relationship Id="rId179" Type="http://schemas.openxmlformats.org/officeDocument/2006/relationships/image" Target="media/image172.png"/><Relationship Id="rId180" Type="http://schemas.openxmlformats.org/officeDocument/2006/relationships/image" Target="media/image173.png"/><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image" Target="media/image179.png"/><Relationship Id="rId187" Type="http://schemas.openxmlformats.org/officeDocument/2006/relationships/image" Target="media/image180.png"/><Relationship Id="rId188" Type="http://schemas.openxmlformats.org/officeDocument/2006/relationships/image" Target="media/image181.png"/><Relationship Id="rId189" Type="http://schemas.openxmlformats.org/officeDocument/2006/relationships/image" Target="media/image182.png"/><Relationship Id="rId190" Type="http://schemas.openxmlformats.org/officeDocument/2006/relationships/image" Target="media/image183.png"/><Relationship Id="rId191" Type="http://schemas.openxmlformats.org/officeDocument/2006/relationships/image" Target="media/image184.png"/><Relationship Id="rId192" Type="http://schemas.openxmlformats.org/officeDocument/2006/relationships/image" Target="media/image185.png"/><Relationship Id="rId193" Type="http://schemas.openxmlformats.org/officeDocument/2006/relationships/image" Target="media/image186.png"/><Relationship Id="rId194" Type="http://schemas.openxmlformats.org/officeDocument/2006/relationships/image" Target="media/image187.jpe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image" Target="media/image193.png"/><Relationship Id="rId201" Type="http://schemas.openxmlformats.org/officeDocument/2006/relationships/image" Target="media/image194.png"/><Relationship Id="rId202" Type="http://schemas.openxmlformats.org/officeDocument/2006/relationships/image" Target="media/image195.png"/><Relationship Id="rId203" Type="http://schemas.openxmlformats.org/officeDocument/2006/relationships/image" Target="media/image196.pn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image" Target="media/image200.jpeg"/><Relationship Id="rId208" Type="http://schemas.openxmlformats.org/officeDocument/2006/relationships/image" Target="media/image201.png"/><Relationship Id="rId209" Type="http://schemas.openxmlformats.org/officeDocument/2006/relationships/image" Target="media/image202.png"/><Relationship Id="rId210" Type="http://schemas.openxmlformats.org/officeDocument/2006/relationships/image" Target="media/image203.png"/><Relationship Id="rId211" Type="http://schemas.openxmlformats.org/officeDocument/2006/relationships/image" Target="media/image204.png"/><Relationship Id="rId212" Type="http://schemas.openxmlformats.org/officeDocument/2006/relationships/image" Target="media/image205.png"/><Relationship Id="rId213" Type="http://schemas.openxmlformats.org/officeDocument/2006/relationships/image" Target="media/image206.png"/><Relationship Id="rId214" Type="http://schemas.openxmlformats.org/officeDocument/2006/relationships/image" Target="media/image207.png"/><Relationship Id="rId215" Type="http://schemas.openxmlformats.org/officeDocument/2006/relationships/image" Target="media/image208.png"/><Relationship Id="rId216" Type="http://schemas.openxmlformats.org/officeDocument/2006/relationships/image" Target="media/image209.png"/><Relationship Id="rId217" Type="http://schemas.openxmlformats.org/officeDocument/2006/relationships/image" Target="media/image210.png"/><Relationship Id="rId218" Type="http://schemas.openxmlformats.org/officeDocument/2006/relationships/image" Target="media/image211.png"/><Relationship Id="rId219" Type="http://schemas.openxmlformats.org/officeDocument/2006/relationships/image" Target="media/image212.png"/><Relationship Id="rId220" Type="http://schemas.openxmlformats.org/officeDocument/2006/relationships/image" Target="media/image213.png"/><Relationship Id="rId221" Type="http://schemas.openxmlformats.org/officeDocument/2006/relationships/image" Target="media/image214.png"/><Relationship Id="rId222" Type="http://schemas.openxmlformats.org/officeDocument/2006/relationships/image" Target="media/image215.png"/><Relationship Id="rId223" Type="http://schemas.openxmlformats.org/officeDocument/2006/relationships/image" Target="media/image216.png"/><Relationship Id="rId224" Type="http://schemas.openxmlformats.org/officeDocument/2006/relationships/image" Target="media/image217.png"/><Relationship Id="rId225" Type="http://schemas.openxmlformats.org/officeDocument/2006/relationships/image" Target="media/image218.png"/><Relationship Id="rId226" Type="http://schemas.openxmlformats.org/officeDocument/2006/relationships/image" Target="media/image219.png"/><Relationship Id="rId227" Type="http://schemas.openxmlformats.org/officeDocument/2006/relationships/image" Target="media/image220.png"/><Relationship Id="rId228" Type="http://schemas.openxmlformats.org/officeDocument/2006/relationships/image" Target="media/image221.png"/><Relationship Id="rId229" Type="http://schemas.openxmlformats.org/officeDocument/2006/relationships/image" Target="media/image222.png"/><Relationship Id="rId230" Type="http://schemas.openxmlformats.org/officeDocument/2006/relationships/image" Target="media/image223.png"/><Relationship Id="rId231" Type="http://schemas.openxmlformats.org/officeDocument/2006/relationships/image" Target="media/image224.png"/><Relationship Id="rId232" Type="http://schemas.openxmlformats.org/officeDocument/2006/relationships/image" Target="media/image225.png"/><Relationship Id="rId233" Type="http://schemas.openxmlformats.org/officeDocument/2006/relationships/image" Target="media/image226.png"/><Relationship Id="rId234" Type="http://schemas.openxmlformats.org/officeDocument/2006/relationships/image" Target="media/image227.png"/><Relationship Id="rId235" Type="http://schemas.openxmlformats.org/officeDocument/2006/relationships/image" Target="media/image228.png"/><Relationship Id="rId236" Type="http://schemas.openxmlformats.org/officeDocument/2006/relationships/image" Target="media/image229.png"/><Relationship Id="rId237" Type="http://schemas.openxmlformats.org/officeDocument/2006/relationships/image" Target="media/image230.png"/><Relationship Id="rId238" Type="http://schemas.openxmlformats.org/officeDocument/2006/relationships/image" Target="media/image231.png"/><Relationship Id="rId239" Type="http://schemas.openxmlformats.org/officeDocument/2006/relationships/image" Target="media/image232.png"/><Relationship Id="rId240" Type="http://schemas.openxmlformats.org/officeDocument/2006/relationships/image" Target="media/image233.png"/><Relationship Id="rId241" Type="http://schemas.openxmlformats.org/officeDocument/2006/relationships/image" Target="media/image234.png"/><Relationship Id="rId242" Type="http://schemas.openxmlformats.org/officeDocument/2006/relationships/image" Target="media/image235.png"/><Relationship Id="rId243" Type="http://schemas.openxmlformats.org/officeDocument/2006/relationships/image" Target="media/image236.png"/><Relationship Id="rId244" Type="http://schemas.openxmlformats.org/officeDocument/2006/relationships/image" Target="media/image237.png"/><Relationship Id="rId245" Type="http://schemas.openxmlformats.org/officeDocument/2006/relationships/image" Target="media/image238.png"/><Relationship Id="rId246" Type="http://schemas.openxmlformats.org/officeDocument/2006/relationships/image" Target="media/image239.png"/><Relationship Id="rId247" Type="http://schemas.openxmlformats.org/officeDocument/2006/relationships/image" Target="media/image240.png"/><Relationship Id="rId248" Type="http://schemas.openxmlformats.org/officeDocument/2006/relationships/image" Target="media/image241.png"/><Relationship Id="rId249" Type="http://schemas.openxmlformats.org/officeDocument/2006/relationships/image" Target="media/image242.png"/><Relationship Id="rId250" Type="http://schemas.openxmlformats.org/officeDocument/2006/relationships/image" Target="media/image243.png"/><Relationship Id="rId251" Type="http://schemas.openxmlformats.org/officeDocument/2006/relationships/image" Target="media/image244.png"/><Relationship Id="rId252" Type="http://schemas.openxmlformats.org/officeDocument/2006/relationships/image" Target="media/image245.png"/><Relationship Id="rId253" Type="http://schemas.openxmlformats.org/officeDocument/2006/relationships/image" Target="media/image246.png"/><Relationship Id="rId254" Type="http://schemas.openxmlformats.org/officeDocument/2006/relationships/image" Target="media/image247.png"/><Relationship Id="rId255" Type="http://schemas.openxmlformats.org/officeDocument/2006/relationships/image" Target="media/image248.png"/><Relationship Id="rId256" Type="http://schemas.openxmlformats.org/officeDocument/2006/relationships/image" Target="media/image249.png"/><Relationship Id="rId257" Type="http://schemas.openxmlformats.org/officeDocument/2006/relationships/image" Target="media/image250.png"/><Relationship Id="rId258" Type="http://schemas.openxmlformats.org/officeDocument/2006/relationships/image" Target="media/image251.png"/><Relationship Id="rId259" Type="http://schemas.openxmlformats.org/officeDocument/2006/relationships/image" Target="media/image252.png"/><Relationship Id="rId260" Type="http://schemas.openxmlformats.org/officeDocument/2006/relationships/image" Target="media/image253.png"/><Relationship Id="rId261" Type="http://schemas.openxmlformats.org/officeDocument/2006/relationships/image" Target="media/image254.png"/><Relationship Id="rId262" Type="http://schemas.openxmlformats.org/officeDocument/2006/relationships/image" Target="media/image255.png"/><Relationship Id="rId263" Type="http://schemas.openxmlformats.org/officeDocument/2006/relationships/image" Target="media/image256.png"/><Relationship Id="rId264" Type="http://schemas.openxmlformats.org/officeDocument/2006/relationships/image" Target="media/image257.png"/><Relationship Id="rId265" Type="http://schemas.openxmlformats.org/officeDocument/2006/relationships/image" Target="media/image258.png"/><Relationship Id="rId266" Type="http://schemas.openxmlformats.org/officeDocument/2006/relationships/image" Target="media/image259.png"/><Relationship Id="rId267" Type="http://schemas.openxmlformats.org/officeDocument/2006/relationships/image" Target="media/image260.png"/><Relationship Id="rId268" Type="http://schemas.openxmlformats.org/officeDocument/2006/relationships/image" Target="media/image261.png"/><Relationship Id="rId269" Type="http://schemas.openxmlformats.org/officeDocument/2006/relationships/image" Target="media/image262.png"/><Relationship Id="rId270" Type="http://schemas.openxmlformats.org/officeDocument/2006/relationships/image" Target="media/image263.png"/><Relationship Id="rId271" Type="http://schemas.openxmlformats.org/officeDocument/2006/relationships/image" Target="media/image264.png"/><Relationship Id="rId272" Type="http://schemas.openxmlformats.org/officeDocument/2006/relationships/image" Target="media/image265.png"/><Relationship Id="rId273" Type="http://schemas.openxmlformats.org/officeDocument/2006/relationships/image" Target="media/image266.png"/><Relationship Id="rId274" Type="http://schemas.openxmlformats.org/officeDocument/2006/relationships/image" Target="media/image267.png"/><Relationship Id="rId275" Type="http://schemas.openxmlformats.org/officeDocument/2006/relationships/image" Target="media/image268.png"/><Relationship Id="rId276" Type="http://schemas.openxmlformats.org/officeDocument/2006/relationships/image" Target="media/image269.png"/><Relationship Id="rId277" Type="http://schemas.openxmlformats.org/officeDocument/2006/relationships/image" Target="media/image270.jpeg"/><Relationship Id="rId278" Type="http://schemas.openxmlformats.org/officeDocument/2006/relationships/image" Target="media/image271.png"/><Relationship Id="rId279" Type="http://schemas.openxmlformats.org/officeDocument/2006/relationships/image" Target="media/image272.jpe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2020-03-13T15:08:37Z</dcterms:created>
  <dcterms:modified xsi:type="dcterms:W3CDTF">2020-03-13T15:08:37Z</dcterms:modified>
</cp:coreProperties>
</file>