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60" w:type="dxa"/>
        <w:tblCellMar>
          <w:top w:w="0" w:type="dxa"/>
          <w:left w:w="0" w:type="dxa"/>
          <w:bottom w:w="0" w:type="dxa"/>
          <w:right w:w="0" w:type="dxa"/>
        </w:tblCellMar>
      </w:tblPr>
      <w:tr>
        <w:trPr>
          <w:trHeight w:val="211"/>
        </w:trPr>
        <w:tc>
          <w:tcPr>
            <w:tcW w:w="1120" w:type="dxa"/>
            <w:vAlign w:val="bottom"/>
          </w:tcPr>
          <w:p>
            <w:pPr>
              <w:spacing w:after="0"/>
              <w:rPr>
                <w:sz w:val="18"/>
                <w:szCs w:val="18"/>
                <w:color w:val="auto"/>
              </w:rPr>
            </w:pPr>
          </w:p>
        </w:tc>
        <w:tc>
          <w:tcPr>
            <w:tcW w:w="8160" w:type="dxa"/>
            <w:vAlign w:val="bottom"/>
          </w:tcPr>
          <w:p>
            <w:pPr>
              <w:jc w:val="center"/>
              <w:ind w:left="264"/>
              <w:spacing w:after="0"/>
              <w:rPr>
                <w:sz w:val="20"/>
                <w:szCs w:val="20"/>
                <w:color w:val="auto"/>
              </w:rPr>
            </w:pPr>
            <w:r>
              <w:rPr>
                <w:rFonts w:ascii="Times New Roman" w:cs="Times New Roman" w:eastAsia="Times New Roman" w:hAnsi="Times New Roman"/>
                <w:sz w:val="18"/>
                <w:szCs w:val="18"/>
                <w:b w:val="1"/>
                <w:bCs w:val="1"/>
                <w:color w:val="auto"/>
                <w:w w:val="96"/>
              </w:rPr>
              <w:t>UNITED STATES</w:t>
            </w:r>
          </w:p>
        </w:tc>
        <w:tc>
          <w:tcPr>
            <w:tcW w:w="0" w:type="dxa"/>
            <w:vAlign w:val="bottom"/>
          </w:tcPr>
          <w:p>
            <w:pPr>
              <w:spacing w:after="0"/>
              <w:rPr>
                <w:sz w:val="1"/>
                <w:szCs w:val="1"/>
                <w:color w:val="auto"/>
              </w:rPr>
            </w:pPr>
          </w:p>
        </w:tc>
      </w:tr>
      <w:tr>
        <w:trPr>
          <w:trHeight w:val="207"/>
        </w:trPr>
        <w:tc>
          <w:tcPr>
            <w:tcW w:w="1120" w:type="dxa"/>
            <w:vAlign w:val="bottom"/>
          </w:tcPr>
          <w:p>
            <w:pPr>
              <w:spacing w:after="0"/>
              <w:rPr>
                <w:sz w:val="18"/>
                <w:szCs w:val="18"/>
                <w:color w:val="auto"/>
              </w:rPr>
            </w:pPr>
          </w:p>
        </w:tc>
        <w:tc>
          <w:tcPr>
            <w:tcW w:w="8160" w:type="dxa"/>
            <w:vAlign w:val="bottom"/>
          </w:tcPr>
          <w:p>
            <w:pPr>
              <w:jc w:val="center"/>
              <w:ind w:left="244"/>
              <w:spacing w:after="0"/>
              <w:rPr>
                <w:sz w:val="20"/>
                <w:szCs w:val="20"/>
                <w:color w:val="auto"/>
              </w:rPr>
            </w:pPr>
            <w:r>
              <w:rPr>
                <w:rFonts w:ascii="Times New Roman" w:cs="Times New Roman" w:eastAsia="Times New Roman" w:hAnsi="Times New Roman"/>
                <w:sz w:val="18"/>
                <w:szCs w:val="18"/>
                <w:b w:val="1"/>
                <w:bCs w:val="1"/>
                <w:color w:val="auto"/>
                <w:w w:val="98"/>
              </w:rPr>
              <w:t>SECURITIES AND EXCHANGE COMMISSION</w:t>
            </w:r>
          </w:p>
        </w:tc>
        <w:tc>
          <w:tcPr>
            <w:tcW w:w="0" w:type="dxa"/>
            <w:vAlign w:val="bottom"/>
          </w:tcPr>
          <w:p>
            <w:pPr>
              <w:spacing w:after="0"/>
              <w:rPr>
                <w:sz w:val="1"/>
                <w:szCs w:val="1"/>
                <w:color w:val="auto"/>
              </w:rPr>
            </w:pPr>
          </w:p>
        </w:tc>
      </w:tr>
      <w:tr>
        <w:trPr>
          <w:trHeight w:val="163"/>
        </w:trPr>
        <w:tc>
          <w:tcPr>
            <w:tcW w:w="1120" w:type="dxa"/>
            <w:vAlign w:val="bottom"/>
          </w:tcPr>
          <w:p>
            <w:pPr>
              <w:spacing w:after="0"/>
              <w:rPr>
                <w:sz w:val="14"/>
                <w:szCs w:val="14"/>
                <w:color w:val="auto"/>
              </w:rPr>
            </w:pPr>
          </w:p>
        </w:tc>
        <w:tc>
          <w:tcPr>
            <w:tcW w:w="816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w w:val="99"/>
              </w:rPr>
              <w:t>Washington, D.C. 20549</w:t>
            </w:r>
          </w:p>
        </w:tc>
        <w:tc>
          <w:tcPr>
            <w:tcW w:w="0" w:type="dxa"/>
            <w:vAlign w:val="bottom"/>
          </w:tcPr>
          <w:p>
            <w:pPr>
              <w:spacing w:after="0"/>
              <w:rPr>
                <w:sz w:val="1"/>
                <w:szCs w:val="1"/>
                <w:color w:val="auto"/>
              </w:rPr>
            </w:pPr>
          </w:p>
        </w:tc>
      </w:tr>
      <w:tr>
        <w:trPr>
          <w:trHeight w:val="231"/>
        </w:trPr>
        <w:tc>
          <w:tcPr>
            <w:tcW w:w="112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160" w:type="dxa"/>
            <w:vAlign w:val="bottom"/>
          </w:tcPr>
          <w:p>
            <w:pPr>
              <w:jc w:val="center"/>
              <w:ind w:left="244"/>
              <w:spacing w:after="0"/>
              <w:rPr>
                <w:sz w:val="20"/>
                <w:szCs w:val="20"/>
                <w:color w:val="auto"/>
              </w:rPr>
            </w:pPr>
            <w:r>
              <w:rPr>
                <w:rFonts w:ascii="Times New Roman" w:cs="Times New Roman" w:eastAsia="Times New Roman" w:hAnsi="Times New Roman"/>
                <w:sz w:val="18"/>
                <w:szCs w:val="18"/>
                <w:b w:val="1"/>
                <w:bCs w:val="1"/>
                <w:color w:val="auto"/>
                <w:w w:val="98"/>
              </w:rPr>
              <w:t>FORM 10-Q</w:t>
            </w:r>
          </w:p>
        </w:tc>
        <w:tc>
          <w:tcPr>
            <w:tcW w:w="0" w:type="dxa"/>
            <w:vAlign w:val="bottom"/>
          </w:tcPr>
          <w:p>
            <w:pPr>
              <w:spacing w:after="0"/>
              <w:rPr>
                <w:sz w:val="1"/>
                <w:szCs w:val="1"/>
                <w:color w:val="auto"/>
              </w:rPr>
            </w:pPr>
          </w:p>
        </w:tc>
      </w:tr>
      <w:tr>
        <w:trPr>
          <w:trHeight w:val="236"/>
        </w:trPr>
        <w:tc>
          <w:tcPr>
            <w:tcW w:w="1120" w:type="dxa"/>
            <w:vAlign w:val="bottom"/>
            <w:vMerge w:val="continue"/>
          </w:tcPr>
          <w:p>
            <w:pPr>
              <w:spacing w:after="0"/>
              <w:rPr>
                <w:sz w:val="20"/>
                <w:szCs w:val="20"/>
                <w:color w:val="auto"/>
              </w:rPr>
            </w:pPr>
          </w:p>
        </w:tc>
        <w:tc>
          <w:tcPr>
            <w:tcW w:w="816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w w:val="99"/>
              </w:rPr>
              <w:t>QUARTERLY REPORT PURSUANT TO SECTION 13 OR 15(D) OF THE SECURITIES EXCHANGE ACT OF 1934</w:t>
            </w:r>
          </w:p>
        </w:tc>
        <w:tc>
          <w:tcPr>
            <w:tcW w:w="0" w:type="dxa"/>
            <w:vAlign w:val="bottom"/>
          </w:tcPr>
          <w:p>
            <w:pPr>
              <w:spacing w:after="0"/>
              <w:rPr>
                <w:sz w:val="1"/>
                <w:szCs w:val="1"/>
                <w:color w:val="auto"/>
              </w:rPr>
            </w:pPr>
          </w:p>
        </w:tc>
      </w:tr>
      <w:tr>
        <w:trPr>
          <w:trHeight w:val="255"/>
        </w:trPr>
        <w:tc>
          <w:tcPr>
            <w:tcW w:w="1120" w:type="dxa"/>
            <w:vAlign w:val="bottom"/>
          </w:tcPr>
          <w:p>
            <w:pPr>
              <w:spacing w:after="0"/>
              <w:rPr>
                <w:sz w:val="22"/>
                <w:szCs w:val="22"/>
                <w:color w:val="auto"/>
              </w:rPr>
            </w:pPr>
          </w:p>
        </w:tc>
        <w:tc>
          <w:tcPr>
            <w:tcW w:w="816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2026</w:t>
            </w:r>
          </w:p>
        </w:tc>
        <w:tc>
          <w:tcPr>
            <w:tcW w:w="0" w:type="dxa"/>
            <w:vAlign w:val="bottom"/>
          </w:tcPr>
          <w:p>
            <w:pPr>
              <w:spacing w:after="0"/>
              <w:rPr>
                <w:sz w:val="1"/>
                <w:szCs w:val="1"/>
                <w:color w:val="auto"/>
              </w:rPr>
            </w:pPr>
          </w:p>
        </w:tc>
      </w:tr>
      <w:tr>
        <w:trPr>
          <w:trHeight w:val="185"/>
        </w:trPr>
        <w:tc>
          <w:tcPr>
            <w:tcW w:w="1120" w:type="dxa"/>
            <w:vAlign w:val="bottom"/>
          </w:tcPr>
          <w:p>
            <w:pPr>
              <w:spacing w:after="0"/>
              <w:rPr>
                <w:sz w:val="16"/>
                <w:szCs w:val="16"/>
                <w:color w:val="auto"/>
              </w:rPr>
            </w:pPr>
          </w:p>
        </w:tc>
        <w:tc>
          <w:tcPr>
            <w:tcW w:w="816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w w:val="95"/>
              </w:rPr>
              <w:t>OR</w:t>
            </w:r>
          </w:p>
        </w:tc>
        <w:tc>
          <w:tcPr>
            <w:tcW w:w="0" w:type="dxa"/>
            <w:vAlign w:val="bottom"/>
          </w:tcPr>
          <w:p>
            <w:pPr>
              <w:spacing w:after="0"/>
              <w:rPr>
                <w:sz w:val="1"/>
                <w:szCs w:val="1"/>
                <w:color w:val="auto"/>
              </w:rPr>
            </w:pPr>
          </w:p>
        </w:tc>
      </w:tr>
      <w:tr>
        <w:trPr>
          <w:trHeight w:val="246"/>
        </w:trPr>
        <w:tc>
          <w:tcPr>
            <w:tcW w:w="112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816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68"/>
        </w:trPr>
        <w:tc>
          <w:tcPr>
            <w:tcW w:w="1120" w:type="dxa"/>
            <w:vAlign w:val="bottom"/>
          </w:tcPr>
          <w:p>
            <w:pPr>
              <w:spacing w:after="0"/>
              <w:rPr>
                <w:sz w:val="23"/>
                <w:szCs w:val="23"/>
                <w:color w:val="auto"/>
              </w:rPr>
            </w:pPr>
          </w:p>
        </w:tc>
        <w:tc>
          <w:tcPr>
            <w:tcW w:w="816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Commission file number 001-34057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273685</wp:posOffset>
            </wp:positionH>
            <wp:positionV relativeFrom="page">
              <wp:posOffset>508000</wp:posOffset>
            </wp:positionV>
            <wp:extent cx="70008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0875" cy="8255"/>
                    </a:xfrm>
                    <a:prstGeom prst="rect">
                      <a:avLst/>
                    </a:prstGeom>
                    <a:noFill/>
                  </pic:spPr>
                </pic:pic>
              </a:graphicData>
            </a:graphic>
          </wp:anchor>
        </w:drawing>
        <w:drawing>
          <wp:anchor simplePos="0" relativeHeight="251657728" behindDoc="1" locked="0" layoutInCell="0" allowOverlap="1">
            <wp:simplePos x="0" y="0"/>
            <wp:positionH relativeFrom="page">
              <wp:posOffset>273685</wp:posOffset>
            </wp:positionH>
            <wp:positionV relativeFrom="page">
              <wp:posOffset>474345</wp:posOffset>
            </wp:positionV>
            <wp:extent cx="7000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0875" cy="8255"/>
                    </a:xfrm>
                    <a:prstGeom prst="rect">
                      <a:avLst/>
                    </a:prstGeom>
                    <a:noFill/>
                  </pic:spPr>
                </pic:pic>
              </a:graphicData>
            </a:graphic>
          </wp:anchor>
        </w:drawing>
        <w:drawing>
          <wp:anchor simplePos="0" relativeHeight="251657728" behindDoc="1" locked="0" layoutInCell="0" allowOverlap="1">
            <wp:simplePos x="0" y="0"/>
            <wp:positionH relativeFrom="column">
              <wp:posOffset>2846070</wp:posOffset>
            </wp:positionH>
            <wp:positionV relativeFrom="paragraph">
              <wp:posOffset>107315</wp:posOffset>
            </wp:positionV>
            <wp:extent cx="1861185" cy="5619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1185" cy="5619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tbl>
      <w:tblPr>
        <w:tblLayout w:type="fixed"/>
        <w:tblInd w:w="1760" w:type="dxa"/>
        <w:tblCellMar>
          <w:top w:w="0" w:type="dxa"/>
          <w:left w:w="0" w:type="dxa"/>
          <w:bottom w:w="0" w:type="dxa"/>
          <w:right w:w="0" w:type="dxa"/>
        </w:tblCellMar>
      </w:tblPr>
      <w:tr>
        <w:trPr>
          <w:trHeight w:val="207"/>
        </w:trPr>
        <w:tc>
          <w:tcPr>
            <w:tcW w:w="2000" w:type="dxa"/>
            <w:vAlign w:val="bottom"/>
          </w:tcPr>
          <w:p>
            <w:pPr>
              <w:spacing w:after="0"/>
              <w:rPr>
                <w:sz w:val="18"/>
                <w:szCs w:val="18"/>
                <w:color w:val="auto"/>
              </w:rPr>
            </w:pPr>
          </w:p>
        </w:tc>
        <w:tc>
          <w:tcPr>
            <w:tcW w:w="544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7"/>
              </w:rPr>
              <w:t>AGNC INVESTMENT CORP.</w:t>
            </w:r>
          </w:p>
        </w:tc>
      </w:tr>
      <w:tr>
        <w:trPr>
          <w:trHeight w:val="178"/>
        </w:trPr>
        <w:tc>
          <w:tcPr>
            <w:tcW w:w="2000" w:type="dxa"/>
            <w:vAlign w:val="bottom"/>
          </w:tcPr>
          <w:p>
            <w:pPr>
              <w:spacing w:after="0"/>
              <w:rPr>
                <w:sz w:val="15"/>
                <w:szCs w:val="15"/>
                <w:color w:val="auto"/>
              </w:rPr>
            </w:pPr>
          </w:p>
        </w:tc>
        <w:tc>
          <w:tcPr>
            <w:tcW w:w="5440" w:type="dxa"/>
            <w:vAlign w:val="bottom"/>
          </w:tcPr>
          <w:p>
            <w:pPr>
              <w:jc w:val="center"/>
              <w:ind w:right="163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160"/>
        </w:trPr>
        <w:tc>
          <w:tcPr>
            <w:tcW w:w="2000" w:type="dxa"/>
            <w:vAlign w:val="bottom"/>
          </w:tcPr>
          <w:p>
            <w:pPr>
              <w:spacing w:after="0"/>
              <w:rPr>
                <w:sz w:val="13"/>
                <w:szCs w:val="13"/>
                <w:color w:val="auto"/>
              </w:rPr>
            </w:pPr>
          </w:p>
        </w:tc>
        <w:tc>
          <w:tcPr>
            <w:tcW w:w="5440" w:type="dxa"/>
            <w:vAlign w:val="bottom"/>
          </w:tcPr>
          <w:p>
            <w:pPr>
              <w:jc w:val="right"/>
              <w:ind w:right="175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w:t>
            </w:r>
          </w:p>
        </w:tc>
      </w:tr>
      <w:tr>
        <w:trPr>
          <w:trHeight w:val="217"/>
        </w:trPr>
        <w:tc>
          <w:tcPr>
            <w:tcW w:w="200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440" w:type="dxa"/>
            <w:vAlign w:val="bottom"/>
          </w:tcPr>
          <w:p>
            <w:pPr>
              <w:jc w:val="center"/>
              <w:ind w:left="4250"/>
              <w:spacing w:after="0"/>
              <w:rPr>
                <w:sz w:val="20"/>
                <w:szCs w:val="20"/>
                <w:color w:val="auto"/>
              </w:rPr>
            </w:pPr>
            <w:r>
              <w:rPr>
                <w:rFonts w:ascii="Times New Roman" w:cs="Times New Roman" w:eastAsia="Times New Roman" w:hAnsi="Times New Roman"/>
                <w:sz w:val="14"/>
                <w:szCs w:val="14"/>
                <w:b w:val="1"/>
                <w:bCs w:val="1"/>
                <w:color w:val="auto"/>
              </w:rPr>
              <w:t>26-1701984</w:t>
            </w:r>
          </w:p>
        </w:tc>
      </w:tr>
      <w:tr>
        <w:trPr>
          <w:trHeight w:val="171"/>
        </w:trPr>
        <w:tc>
          <w:tcPr>
            <w:tcW w:w="200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440" w:type="dxa"/>
            <w:vAlign w:val="bottom"/>
          </w:tcPr>
          <w:p>
            <w:pPr>
              <w:jc w:val="center"/>
              <w:ind w:left="4250"/>
              <w:spacing w:after="0"/>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200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440" w:type="dxa"/>
            <w:vAlign w:val="bottom"/>
          </w:tcPr>
          <w:p>
            <w:pPr>
              <w:jc w:val="center"/>
              <w:ind w:left="427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64"/>
        </w:trPr>
        <w:tc>
          <w:tcPr>
            <w:tcW w:w="2000" w:type="dxa"/>
            <w:vAlign w:val="bottom"/>
          </w:tcPr>
          <w:p>
            <w:pPr>
              <w:spacing w:after="0"/>
              <w:rPr>
                <w:sz w:val="22"/>
                <w:szCs w:val="22"/>
                <w:color w:val="auto"/>
              </w:rPr>
            </w:pPr>
          </w:p>
        </w:tc>
        <w:tc>
          <w:tcPr>
            <w:tcW w:w="5440" w:type="dxa"/>
            <w:vAlign w:val="bottom"/>
          </w:tcPr>
          <w:p>
            <w:pPr>
              <w:jc w:val="center"/>
              <w:ind w:right="1630"/>
              <w:spacing w:after="0"/>
              <w:rPr>
                <w:sz w:val="20"/>
                <w:szCs w:val="20"/>
                <w:color w:val="auto"/>
              </w:rPr>
            </w:pPr>
            <w:r>
              <w:rPr>
                <w:rFonts w:ascii="Times New Roman" w:cs="Times New Roman" w:eastAsia="Times New Roman" w:hAnsi="Times New Roman"/>
                <w:sz w:val="14"/>
                <w:szCs w:val="14"/>
                <w:b w:val="1"/>
                <w:bCs w:val="1"/>
                <w:color w:val="auto"/>
                <w:w w:val="99"/>
              </w:rPr>
              <w:t>7373 Wisconsin Avenue, 22nd Floor</w:t>
            </w:r>
          </w:p>
        </w:tc>
      </w:tr>
      <w:tr>
        <w:trPr>
          <w:trHeight w:val="172"/>
        </w:trPr>
        <w:tc>
          <w:tcPr>
            <w:tcW w:w="2000" w:type="dxa"/>
            <w:vAlign w:val="bottom"/>
          </w:tcPr>
          <w:p>
            <w:pPr>
              <w:spacing w:after="0"/>
              <w:rPr>
                <w:sz w:val="14"/>
                <w:szCs w:val="14"/>
                <w:color w:val="auto"/>
              </w:rPr>
            </w:pPr>
          </w:p>
        </w:tc>
        <w:tc>
          <w:tcPr>
            <w:tcW w:w="5440" w:type="dxa"/>
            <w:vAlign w:val="bottom"/>
          </w:tcPr>
          <w:p>
            <w:pPr>
              <w:jc w:val="center"/>
              <w:ind w:right="1650"/>
              <w:spacing w:after="0"/>
              <w:rPr>
                <w:sz w:val="20"/>
                <w:szCs w:val="20"/>
                <w:color w:val="auto"/>
              </w:rPr>
            </w:pPr>
            <w:r>
              <w:rPr>
                <w:rFonts w:ascii="Times New Roman" w:cs="Times New Roman" w:eastAsia="Times New Roman" w:hAnsi="Times New Roman"/>
                <w:sz w:val="14"/>
                <w:szCs w:val="14"/>
                <w:b w:val="1"/>
                <w:bCs w:val="1"/>
                <w:color w:val="auto"/>
              </w:rPr>
              <w:t>Bethesda, Maryland 20814</w:t>
            </w:r>
          </w:p>
        </w:tc>
      </w:tr>
      <w:tr>
        <w:trPr>
          <w:trHeight w:val="172"/>
        </w:trPr>
        <w:tc>
          <w:tcPr>
            <w:tcW w:w="2000" w:type="dxa"/>
            <w:vAlign w:val="bottom"/>
          </w:tcPr>
          <w:p>
            <w:pPr>
              <w:spacing w:after="0"/>
              <w:rPr>
                <w:sz w:val="14"/>
                <w:szCs w:val="14"/>
                <w:color w:val="auto"/>
              </w:rPr>
            </w:pPr>
          </w:p>
        </w:tc>
        <w:tc>
          <w:tcPr>
            <w:tcW w:w="5440" w:type="dxa"/>
            <w:vAlign w:val="bottom"/>
          </w:tcPr>
          <w:p>
            <w:pPr>
              <w:jc w:val="center"/>
              <w:ind w:right="165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r>
      <w:tr>
        <w:trPr>
          <w:trHeight w:val="172"/>
        </w:trPr>
        <w:tc>
          <w:tcPr>
            <w:tcW w:w="2000" w:type="dxa"/>
            <w:vAlign w:val="bottom"/>
          </w:tcPr>
          <w:p>
            <w:pPr>
              <w:spacing w:after="0"/>
              <w:rPr>
                <w:sz w:val="14"/>
                <w:szCs w:val="14"/>
                <w:color w:val="auto"/>
              </w:rPr>
            </w:pPr>
          </w:p>
        </w:tc>
        <w:tc>
          <w:tcPr>
            <w:tcW w:w="5440" w:type="dxa"/>
            <w:vAlign w:val="bottom"/>
          </w:tcPr>
          <w:p>
            <w:pPr>
              <w:jc w:val="right"/>
              <w:ind w:right="3070"/>
              <w:spacing w:after="0"/>
              <w:rPr>
                <w:sz w:val="20"/>
                <w:szCs w:val="20"/>
                <w:color w:val="auto"/>
              </w:rPr>
            </w:pPr>
            <w:r>
              <w:rPr>
                <w:rFonts w:ascii="Times New Roman" w:cs="Times New Roman" w:eastAsia="Times New Roman" w:hAnsi="Times New Roman"/>
                <w:sz w:val="14"/>
                <w:szCs w:val="14"/>
                <w:b w:val="1"/>
                <w:bCs w:val="1"/>
                <w:color w:val="auto"/>
              </w:rPr>
              <w:t>(301) 968-9315</w:t>
            </w:r>
          </w:p>
        </w:tc>
      </w:tr>
      <w:tr>
        <w:trPr>
          <w:trHeight w:val="178"/>
        </w:trPr>
        <w:tc>
          <w:tcPr>
            <w:tcW w:w="2000" w:type="dxa"/>
            <w:vAlign w:val="bottom"/>
          </w:tcPr>
          <w:p>
            <w:pPr>
              <w:spacing w:after="0"/>
              <w:rPr>
                <w:sz w:val="15"/>
                <w:szCs w:val="15"/>
                <w:color w:val="auto"/>
              </w:rPr>
            </w:pPr>
          </w:p>
        </w:tc>
        <w:tc>
          <w:tcPr>
            <w:tcW w:w="5440" w:type="dxa"/>
            <w:vAlign w:val="bottom"/>
          </w:tcPr>
          <w:p>
            <w:pPr>
              <w:jc w:val="center"/>
              <w:ind w:right="163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160"/>
        </w:trPr>
        <w:tc>
          <w:tcPr>
            <w:tcW w:w="2000" w:type="dxa"/>
            <w:vAlign w:val="bottom"/>
          </w:tcPr>
          <w:p>
            <w:pPr>
              <w:spacing w:after="0"/>
              <w:rPr>
                <w:sz w:val="13"/>
                <w:szCs w:val="13"/>
                <w:color w:val="auto"/>
              </w:rPr>
            </w:pPr>
          </w:p>
        </w:tc>
        <w:tc>
          <w:tcPr>
            <w:tcW w:w="5440" w:type="dxa"/>
            <w:vAlign w:val="bottom"/>
          </w:tcPr>
          <w:p>
            <w:pPr>
              <w:jc w:val="center"/>
              <w:ind w:right="161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w:t>
            </w:r>
          </w:p>
        </w:tc>
      </w:tr>
    </w:tbl>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5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Exchange on Which Registered</w:t>
            </w:r>
          </w:p>
        </w:tc>
        <w:tc>
          <w:tcPr>
            <w:tcW w:w="0" w:type="dxa"/>
            <w:vAlign w:val="bottom"/>
          </w:tcPr>
          <w:p>
            <w:pPr>
              <w:spacing w:after="0"/>
              <w:rPr>
                <w:sz w:val="1"/>
                <w:szCs w:val="1"/>
                <w:color w:val="auto"/>
              </w:rPr>
            </w:pPr>
          </w:p>
        </w:tc>
      </w:tr>
      <w:tr>
        <w:trPr>
          <w:trHeight w:val="24"/>
        </w:trPr>
        <w:tc>
          <w:tcPr>
            <w:tcW w:w="5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AGNC</w:t>
            </w: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73"/>
        </w:trPr>
        <w:tc>
          <w:tcPr>
            <w:tcW w:w="5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Depositary shares of 7.000% Series C Fixed-to-Floating Rate Cumulative Redeemable Preferred</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AGNCN</w:t>
            </w:r>
          </w:p>
        </w:tc>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4"/>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660" w:type="dxa"/>
            <w:vAlign w:val="bottom"/>
            <w:gridSpan w:val="2"/>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57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color w:val="auto"/>
              </w:rPr>
              <w:t>Depositary shares of 6.875% Series D Fixed-to-Floating Rate Cumulative Redeemable Preferred</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AGNCM</w:t>
            </w:r>
          </w:p>
        </w:tc>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4"/>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660" w:type="dxa"/>
            <w:vAlign w:val="bottom"/>
            <w:gridSpan w:val="2"/>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57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color w:val="auto"/>
              </w:rPr>
              <w:t>Depositary shares of 6.50% Series E Fixed-to-Floating Rate Cumulative Redeemable Preferred</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AGNCO</w:t>
            </w:r>
          </w:p>
        </w:tc>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4"/>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660" w:type="dxa"/>
            <w:vAlign w:val="bottom"/>
            <w:gridSpan w:val="2"/>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57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color w:val="auto"/>
              </w:rPr>
              <w:t>Depositary shares of 6.125% Series F Fixed-to-Floating Rate Cumulative Redeemable Preferred</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AGNCP</w:t>
            </w:r>
          </w:p>
        </w:tc>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4"/>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660" w:type="dxa"/>
            <w:vAlign w:val="bottom"/>
            <w:gridSpan w:val="2"/>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574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color w:val="auto"/>
              </w:rPr>
              <w:t>Depositary shares of 7.75% Series G Fixed-Rate Reset Cumulative</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AGNCL</w:t>
            </w:r>
          </w:p>
        </w:tc>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4"/>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Redeemable Preferred Stock</w:t>
            </w:r>
          </w:p>
        </w:tc>
        <w:tc>
          <w:tcPr>
            <w:tcW w:w="1660" w:type="dxa"/>
            <w:vAlign w:val="bottom"/>
            <w:gridSpan w:val="2"/>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574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color w:val="auto"/>
              </w:rPr>
              <w:t>Depositary shares of 8.75% Series H Fixed-Rate Cumulative</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AGNCZ</w:t>
            </w:r>
          </w:p>
        </w:tc>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4"/>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Redeemable Preferred Stock</w:t>
            </w:r>
          </w:p>
        </w:tc>
        <w:tc>
          <w:tcPr>
            <w:tcW w:w="1660" w:type="dxa"/>
            <w:vAlign w:val="bottom"/>
            <w:gridSpan w:val="2"/>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15" w:lineRule="exact"/>
        <w:rPr>
          <w:sz w:val="24"/>
          <w:szCs w:val="24"/>
          <w:color w:val="auto"/>
        </w:rPr>
      </w:pPr>
    </w:p>
    <w:p>
      <w:pPr>
        <w:ind w:right="140" w:firstLine="317"/>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firstLine="317"/>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560" w:firstLine="317"/>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2300" w:type="dxa"/>
        <w:tblCellMar>
          <w:top w:w="0" w:type="dxa"/>
          <w:left w:w="0" w:type="dxa"/>
          <w:bottom w:w="0" w:type="dxa"/>
          <w:right w:w="0" w:type="dxa"/>
        </w:tblCellMar>
      </w:tblPr>
      <w:tr>
        <w:trPr>
          <w:trHeight w:val="211"/>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88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2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Accelerated filer</w:t>
            </w:r>
          </w:p>
        </w:tc>
        <w:tc>
          <w:tcPr>
            <w:tcW w:w="940" w:type="dxa"/>
            <w:vAlign w:val="bottom"/>
          </w:tcPr>
          <w:p>
            <w:pPr>
              <w:ind w:left="8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4"/>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88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2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40" w:type="dxa"/>
            <w:vAlign w:val="bottom"/>
          </w:tcPr>
          <w:p>
            <w:pPr>
              <w:ind w:left="8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88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264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85" w:lineRule="exact"/>
        <w:rPr>
          <w:sz w:val="24"/>
          <w:szCs w:val="24"/>
          <w:color w:val="auto"/>
        </w:rPr>
      </w:pPr>
    </w:p>
    <w:p>
      <w:pPr>
        <w:ind w:right="120" w:firstLine="317"/>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320" w:right="3460"/>
        <w:spacing w:after="0" w:line="15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The number of shares of the issuer’s common stock, $0.01 par value, outstanding as of October 28, 2026 was 1,273,805,642.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481330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57785</wp:posOffset>
            </wp:positionV>
            <wp:extent cx="69957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825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24130</wp:posOffset>
            </wp:positionV>
            <wp:extent cx="69957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795" cy="825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 w:name="page2"/>
    <w:bookmarkEnd w:id="1"/>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7"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FF"/>
                <w:w w:val="93"/>
              </w:rPr>
              <w:t>PART I.</w:t>
            </w:r>
          </w:p>
        </w:tc>
        <w:tc>
          <w:tcPr>
            <w:tcW w:w="60" w:type="dxa"/>
            <w:vAlign w:val="bottom"/>
          </w:tcPr>
          <w:p>
            <w:pPr>
              <w:spacing w:after="0"/>
              <w:rPr>
                <w:sz w:val="16"/>
                <w:szCs w:val="16"/>
                <w:color w:val="auto"/>
              </w:rPr>
            </w:pPr>
          </w:p>
        </w:tc>
        <w:tc>
          <w:tcPr>
            <w:tcW w:w="7940" w:type="dxa"/>
            <w:vAlign w:val="bottom"/>
            <w:gridSpan w:val="12"/>
          </w:tcPr>
          <w:p>
            <w:pPr>
              <w:ind w:left="420"/>
              <w:spacing w:after="0"/>
              <w:rPr>
                <w:sz w:val="20"/>
                <w:szCs w:val="20"/>
                <w:color w:val="auto"/>
              </w:rPr>
            </w:pPr>
            <w:r>
              <w:rPr>
                <w:rFonts w:ascii="Times New Roman" w:cs="Times New Roman" w:eastAsia="Times New Roman" w:hAnsi="Times New Roman"/>
                <w:sz w:val="16"/>
                <w:szCs w:val="16"/>
                <w:b w:val="1"/>
                <w:bCs w:val="1"/>
                <w:color w:val="0000FF"/>
              </w:rPr>
              <w:t>FINANCIAL INFORMATION</w:t>
            </w:r>
          </w:p>
        </w:tc>
        <w:tc>
          <w:tcPr>
            <w:tcW w:w="1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940" w:type="dxa"/>
            <w:vAlign w:val="bottom"/>
            <w:gridSpan w:val="12"/>
          </w:tcPr>
          <w:p>
            <w:pPr>
              <w:ind w:left="420"/>
              <w:spacing w:after="0"/>
              <w:rPr>
                <w:sz w:val="20"/>
                <w:szCs w:val="20"/>
                <w:color w:val="auto"/>
              </w:rPr>
            </w:pPr>
            <w:r>
              <w:rPr>
                <w:rFonts w:ascii="Times New Roman" w:cs="Times New Roman" w:eastAsia="Times New Roman" w:hAnsi="Times New Roman"/>
                <w:sz w:val="16"/>
                <w:szCs w:val="16"/>
                <w:color w:val="0000FF"/>
              </w:rPr>
              <w:t>Financial Statements</w:t>
            </w:r>
          </w:p>
        </w:tc>
        <w:tc>
          <w:tcPr>
            <w:tcW w:w="2020" w:type="dxa"/>
            <w:vAlign w:val="bottom"/>
            <w:gridSpan w:val="4"/>
          </w:tcPr>
          <w:p>
            <w:pPr>
              <w:jc w:val="center"/>
              <w:ind w:left="1779"/>
              <w:spacing w:after="0"/>
              <w:rPr>
                <w:sz w:val="20"/>
                <w:szCs w:val="20"/>
                <w:color w:val="auto"/>
              </w:rPr>
            </w:pPr>
            <w:r>
              <w:rPr>
                <w:rFonts w:ascii="Times New Roman" w:cs="Times New Roman" w:eastAsia="Times New Roman" w:hAnsi="Times New Roman"/>
                <w:sz w:val="16"/>
                <w:szCs w:val="16"/>
                <w:color w:val="0000FF"/>
                <w:w w:val="99"/>
              </w:rPr>
              <w:t>2</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2.</w:t>
            </w:r>
          </w:p>
        </w:tc>
        <w:tc>
          <w:tcPr>
            <w:tcW w:w="160" w:type="dxa"/>
            <w:vAlign w:val="bottom"/>
            <w:gridSpan w:val="2"/>
          </w:tcPr>
          <w:p>
            <w:pPr>
              <w:spacing w:after="0"/>
              <w:rPr>
                <w:sz w:val="17"/>
                <w:szCs w:val="17"/>
                <w:color w:val="auto"/>
              </w:rPr>
            </w:pPr>
          </w:p>
        </w:tc>
        <w:tc>
          <w:tcPr>
            <w:tcW w:w="7940" w:type="dxa"/>
            <w:vAlign w:val="bottom"/>
            <w:gridSpan w:val="12"/>
          </w:tcPr>
          <w:p>
            <w:pPr>
              <w:ind w:left="420"/>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2020" w:type="dxa"/>
            <w:vAlign w:val="bottom"/>
            <w:gridSpan w:val="4"/>
          </w:tcPr>
          <w:p>
            <w:pPr>
              <w:jc w:val="center"/>
              <w:ind w:left="1779"/>
              <w:spacing w:after="0"/>
              <w:rPr>
                <w:sz w:val="20"/>
                <w:szCs w:val="20"/>
                <w:color w:val="auto"/>
              </w:rPr>
            </w:pPr>
            <w:r>
              <w:rPr>
                <w:rFonts w:ascii="Times New Roman" w:cs="Times New Roman" w:eastAsia="Times New Roman" w:hAnsi="Times New Roman"/>
                <w:sz w:val="16"/>
                <w:szCs w:val="16"/>
                <w:color w:val="0000FF"/>
                <w:w w:val="99"/>
              </w:rPr>
              <w:t>26</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3.</w:t>
            </w:r>
          </w:p>
        </w:tc>
        <w:tc>
          <w:tcPr>
            <w:tcW w:w="160" w:type="dxa"/>
            <w:vAlign w:val="bottom"/>
            <w:gridSpan w:val="2"/>
          </w:tcPr>
          <w:p>
            <w:pPr>
              <w:spacing w:after="0"/>
              <w:rPr>
                <w:sz w:val="17"/>
                <w:szCs w:val="17"/>
                <w:color w:val="auto"/>
              </w:rPr>
            </w:pPr>
          </w:p>
        </w:tc>
        <w:tc>
          <w:tcPr>
            <w:tcW w:w="7940" w:type="dxa"/>
            <w:vAlign w:val="bottom"/>
            <w:gridSpan w:val="12"/>
          </w:tcPr>
          <w:p>
            <w:pPr>
              <w:ind w:left="420"/>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2020" w:type="dxa"/>
            <w:vAlign w:val="bottom"/>
            <w:gridSpan w:val="4"/>
          </w:tcPr>
          <w:p>
            <w:pPr>
              <w:jc w:val="center"/>
              <w:ind w:left="1779"/>
              <w:spacing w:after="0"/>
              <w:rPr>
                <w:sz w:val="20"/>
                <w:szCs w:val="20"/>
                <w:color w:val="auto"/>
              </w:rPr>
            </w:pPr>
            <w:r>
              <w:rPr>
                <w:rFonts w:ascii="Times New Roman" w:cs="Times New Roman" w:eastAsia="Times New Roman" w:hAnsi="Times New Roman"/>
                <w:sz w:val="16"/>
                <w:szCs w:val="16"/>
                <w:color w:val="0000FF"/>
                <w:w w:val="99"/>
              </w:rPr>
              <w:t>45</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4.</w:t>
            </w:r>
          </w:p>
        </w:tc>
        <w:tc>
          <w:tcPr>
            <w:tcW w:w="160" w:type="dxa"/>
            <w:vAlign w:val="bottom"/>
            <w:gridSpan w:val="2"/>
          </w:tcPr>
          <w:p>
            <w:pPr>
              <w:spacing w:after="0"/>
              <w:rPr>
                <w:sz w:val="17"/>
                <w:szCs w:val="17"/>
                <w:color w:val="auto"/>
              </w:rPr>
            </w:pPr>
          </w:p>
        </w:tc>
        <w:tc>
          <w:tcPr>
            <w:tcW w:w="7940" w:type="dxa"/>
            <w:vAlign w:val="bottom"/>
            <w:gridSpan w:val="12"/>
          </w:tcPr>
          <w:p>
            <w:pPr>
              <w:ind w:left="420"/>
              <w:spacing w:after="0"/>
              <w:rPr>
                <w:sz w:val="20"/>
                <w:szCs w:val="20"/>
                <w:color w:val="auto"/>
              </w:rPr>
            </w:pPr>
            <w:r>
              <w:rPr>
                <w:rFonts w:ascii="Times New Roman" w:cs="Times New Roman" w:eastAsia="Times New Roman" w:hAnsi="Times New Roman"/>
                <w:sz w:val="16"/>
                <w:szCs w:val="16"/>
                <w:color w:val="0000FF"/>
              </w:rPr>
              <w:t>Controls and Procedures</w:t>
            </w:r>
          </w:p>
        </w:tc>
        <w:tc>
          <w:tcPr>
            <w:tcW w:w="2020" w:type="dxa"/>
            <w:vAlign w:val="bottom"/>
            <w:gridSpan w:val="4"/>
          </w:tcPr>
          <w:p>
            <w:pPr>
              <w:jc w:val="center"/>
              <w:ind w:left="1779"/>
              <w:spacing w:after="0"/>
              <w:rPr>
                <w:sz w:val="20"/>
                <w:szCs w:val="20"/>
                <w:color w:val="auto"/>
              </w:rPr>
            </w:pPr>
            <w:r>
              <w:rPr>
                <w:rFonts w:ascii="Times New Roman" w:cs="Times New Roman" w:eastAsia="Times New Roman" w:hAnsi="Times New Roman"/>
                <w:sz w:val="16"/>
                <w:szCs w:val="16"/>
                <w:color w:val="0000FF"/>
                <w:w w:val="99"/>
              </w:rPr>
              <w:t>49</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0000FF"/>
                <w:w w:val="90"/>
              </w:rPr>
              <w:t>PART II.</w:t>
            </w:r>
          </w:p>
        </w:tc>
        <w:tc>
          <w:tcPr>
            <w:tcW w:w="7940" w:type="dxa"/>
            <w:vAlign w:val="bottom"/>
            <w:gridSpan w:val="12"/>
          </w:tcPr>
          <w:p>
            <w:pPr>
              <w:ind w:left="420"/>
              <w:spacing w:after="0"/>
              <w:rPr>
                <w:sz w:val="20"/>
                <w:szCs w:val="20"/>
                <w:color w:val="auto"/>
              </w:rPr>
            </w:pPr>
            <w:r>
              <w:rPr>
                <w:rFonts w:ascii="Times New Roman" w:cs="Times New Roman" w:eastAsia="Times New Roman" w:hAnsi="Times New Roman"/>
                <w:sz w:val="16"/>
                <w:szCs w:val="16"/>
                <w:b w:val="1"/>
                <w:bCs w:val="1"/>
                <w:color w:val="0000FF"/>
              </w:rPr>
              <w:t>OTHER INFORMATION</w:t>
            </w: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2020" w:type="dxa"/>
            <w:vAlign w:val="bottom"/>
            <w:gridSpan w:val="4"/>
            <w:vMerge w:val="restart"/>
          </w:tcPr>
          <w:p>
            <w:pPr>
              <w:jc w:val="center"/>
              <w:ind w:left="1759"/>
              <w:spacing w:after="0" w:line="205" w:lineRule="exact"/>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line="20" w:lineRule="exact"/>
              <w:rPr>
                <w:sz w:val="1"/>
                <w:szCs w:val="1"/>
                <w:color w:val="auto"/>
              </w:rPr>
            </w:pPr>
          </w:p>
        </w:tc>
      </w:tr>
      <w:tr>
        <w:trPr>
          <w:trHeight w:val="204"/>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1.</w:t>
            </w:r>
          </w:p>
        </w:tc>
        <w:tc>
          <w:tcPr>
            <w:tcW w:w="60" w:type="dxa"/>
            <w:vAlign w:val="bottom"/>
          </w:tcPr>
          <w:p>
            <w:pPr>
              <w:spacing w:after="0"/>
              <w:rPr>
                <w:sz w:val="17"/>
                <w:szCs w:val="17"/>
                <w:color w:val="auto"/>
              </w:rPr>
            </w:pPr>
          </w:p>
        </w:tc>
        <w:tc>
          <w:tcPr>
            <w:tcW w:w="7940" w:type="dxa"/>
            <w:vAlign w:val="bottom"/>
            <w:gridSpan w:val="12"/>
          </w:tcPr>
          <w:p>
            <w:pPr>
              <w:ind w:left="420"/>
              <w:spacing w:after="0"/>
              <w:rPr>
                <w:sz w:val="20"/>
                <w:szCs w:val="20"/>
                <w:color w:val="auto"/>
              </w:rPr>
            </w:pPr>
            <w:r>
              <w:rPr>
                <w:rFonts w:ascii="Times New Roman" w:cs="Times New Roman" w:eastAsia="Times New Roman" w:hAnsi="Times New Roman"/>
                <w:sz w:val="16"/>
                <w:szCs w:val="16"/>
                <w:color w:val="0000FF"/>
              </w:rPr>
              <w:t>Legal Proceedings</w:t>
            </w:r>
          </w:p>
        </w:tc>
        <w:tc>
          <w:tcPr>
            <w:tcW w:w="20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60" w:type="dxa"/>
            <w:vAlign w:val="bottom"/>
            <w:gridSpan w:val="2"/>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40" w:type="dxa"/>
            <w:vAlign w:val="bottom"/>
            <w:gridSpan w:val="4"/>
          </w:tcPr>
          <w:p>
            <w:pPr>
              <w:spacing w:after="0"/>
              <w:rPr>
                <w:sz w:val="2"/>
                <w:szCs w:val="2"/>
                <w:color w:val="auto"/>
              </w:rPr>
            </w:pPr>
          </w:p>
        </w:tc>
        <w:tc>
          <w:tcPr>
            <w:tcW w:w="78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3740" w:type="dxa"/>
            <w:vAlign w:val="bottom"/>
            <w:gridSpan w:val="2"/>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gridSpan w:val="3"/>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1A.</w:t>
            </w:r>
          </w:p>
        </w:tc>
        <w:tc>
          <w:tcPr>
            <w:tcW w:w="7940" w:type="dxa"/>
            <w:vAlign w:val="bottom"/>
            <w:gridSpan w:val="12"/>
          </w:tcPr>
          <w:p>
            <w:pPr>
              <w:ind w:left="420"/>
              <w:spacing w:after="0"/>
              <w:rPr>
                <w:sz w:val="20"/>
                <w:szCs w:val="20"/>
                <w:color w:val="auto"/>
              </w:rPr>
            </w:pPr>
            <w:r>
              <w:rPr>
                <w:rFonts w:ascii="Times New Roman" w:cs="Times New Roman" w:eastAsia="Times New Roman" w:hAnsi="Times New Roman"/>
                <w:sz w:val="16"/>
                <w:szCs w:val="16"/>
                <w:color w:val="0000FF"/>
              </w:rPr>
              <w:t>Risk Factors</w:t>
            </w:r>
          </w:p>
        </w:tc>
        <w:tc>
          <w:tcPr>
            <w:tcW w:w="2020" w:type="dxa"/>
            <w:vAlign w:val="bottom"/>
            <w:gridSpan w:val="4"/>
          </w:tcPr>
          <w:p>
            <w:pPr>
              <w:jc w:val="center"/>
              <w:ind w:left="1779"/>
              <w:spacing w:after="0"/>
              <w:rPr>
                <w:sz w:val="20"/>
                <w:szCs w:val="20"/>
                <w:color w:val="auto"/>
              </w:rPr>
            </w:pPr>
            <w:r>
              <w:rPr>
                <w:rFonts w:ascii="Times New Roman" w:cs="Times New Roman" w:eastAsia="Times New Roman" w:hAnsi="Times New Roman"/>
                <w:sz w:val="16"/>
                <w:szCs w:val="16"/>
                <w:color w:val="0000FF"/>
                <w:w w:val="99"/>
              </w:rPr>
              <w:t>49</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90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940" w:type="dxa"/>
            <w:vAlign w:val="bottom"/>
            <w:gridSpan w:val="12"/>
          </w:tcPr>
          <w:p>
            <w:pPr>
              <w:ind w:left="420"/>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2020" w:type="dxa"/>
            <w:vAlign w:val="bottom"/>
            <w:gridSpan w:val="4"/>
          </w:tcPr>
          <w:p>
            <w:pPr>
              <w:jc w:val="center"/>
              <w:ind w:left="1779"/>
              <w:spacing w:after="0"/>
              <w:rPr>
                <w:sz w:val="20"/>
                <w:szCs w:val="20"/>
                <w:color w:val="auto"/>
              </w:rPr>
            </w:pPr>
            <w:r>
              <w:rPr>
                <w:rFonts w:ascii="Times New Roman" w:cs="Times New Roman" w:eastAsia="Times New Roman" w:hAnsi="Times New Roman"/>
                <w:sz w:val="16"/>
                <w:szCs w:val="16"/>
                <w:color w:val="0000FF"/>
                <w:w w:val="99"/>
              </w:rPr>
              <w:t>49</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3.</w:t>
            </w:r>
          </w:p>
        </w:tc>
        <w:tc>
          <w:tcPr>
            <w:tcW w:w="160" w:type="dxa"/>
            <w:vAlign w:val="bottom"/>
            <w:gridSpan w:val="2"/>
          </w:tcPr>
          <w:p>
            <w:pPr>
              <w:spacing w:after="0"/>
              <w:rPr>
                <w:sz w:val="17"/>
                <w:szCs w:val="17"/>
                <w:color w:val="auto"/>
              </w:rPr>
            </w:pPr>
          </w:p>
        </w:tc>
        <w:tc>
          <w:tcPr>
            <w:tcW w:w="7940" w:type="dxa"/>
            <w:vAlign w:val="bottom"/>
            <w:gridSpan w:val="12"/>
          </w:tcPr>
          <w:p>
            <w:pPr>
              <w:ind w:left="420"/>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2020" w:type="dxa"/>
            <w:vAlign w:val="bottom"/>
            <w:gridSpan w:val="4"/>
          </w:tcPr>
          <w:p>
            <w:pPr>
              <w:jc w:val="center"/>
              <w:ind w:left="1759"/>
              <w:spacing w:after="0" w:line="191" w:lineRule="exact"/>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26"/>
        </w:trPr>
        <w:tc>
          <w:tcPr>
            <w:tcW w:w="620" w:type="dxa"/>
            <w:vAlign w:val="bottom"/>
            <w:gridSpan w:val="3"/>
            <w:shd w:val="clear" w:color="auto" w:fill="0000FF"/>
          </w:tcPr>
          <w:p>
            <w:pPr>
              <w:spacing w:after="0"/>
              <w:rPr>
                <w:sz w:val="2"/>
                <w:szCs w:val="2"/>
                <w:color w:val="auto"/>
              </w:rPr>
            </w:pPr>
          </w:p>
        </w:tc>
        <w:tc>
          <w:tcPr>
            <w:tcW w:w="1580" w:type="dxa"/>
            <w:vAlign w:val="bottom"/>
            <w:gridSpan w:val="3"/>
          </w:tcPr>
          <w:p>
            <w:pPr>
              <w:spacing w:after="0"/>
              <w:rPr>
                <w:sz w:val="2"/>
                <w:szCs w:val="2"/>
                <w:color w:val="auto"/>
              </w:rPr>
            </w:pPr>
          </w:p>
        </w:tc>
        <w:tc>
          <w:tcPr>
            <w:tcW w:w="1620" w:type="dxa"/>
            <w:vAlign w:val="bottom"/>
            <w:gridSpan w:val="6"/>
            <w:shd w:val="clear" w:color="auto" w:fill="0000FF"/>
          </w:tcPr>
          <w:p>
            <w:pPr>
              <w:spacing w:after="0"/>
              <w:rPr>
                <w:sz w:val="2"/>
                <w:szCs w:val="2"/>
                <w:color w:val="auto"/>
              </w:rPr>
            </w:pPr>
          </w:p>
        </w:tc>
        <w:tc>
          <w:tcPr>
            <w:tcW w:w="4740" w:type="dxa"/>
            <w:vAlign w:val="bottom"/>
            <w:gridSpan w:val="3"/>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gridSpan w:val="3"/>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4.</w:t>
            </w:r>
          </w:p>
        </w:tc>
        <w:tc>
          <w:tcPr>
            <w:tcW w:w="160" w:type="dxa"/>
            <w:vAlign w:val="bottom"/>
            <w:gridSpan w:val="2"/>
          </w:tcPr>
          <w:p>
            <w:pPr>
              <w:spacing w:after="0"/>
              <w:rPr>
                <w:sz w:val="18"/>
                <w:szCs w:val="18"/>
                <w:color w:val="auto"/>
              </w:rPr>
            </w:pPr>
          </w:p>
        </w:tc>
        <w:tc>
          <w:tcPr>
            <w:tcW w:w="7940" w:type="dxa"/>
            <w:vAlign w:val="bottom"/>
            <w:gridSpan w:val="12"/>
          </w:tcPr>
          <w:p>
            <w:pPr>
              <w:ind w:left="420"/>
              <w:spacing w:after="0"/>
              <w:rPr>
                <w:sz w:val="20"/>
                <w:szCs w:val="20"/>
                <w:color w:val="auto"/>
              </w:rPr>
            </w:pPr>
            <w:r>
              <w:rPr>
                <w:rFonts w:ascii="Times New Roman" w:cs="Times New Roman" w:eastAsia="Times New Roman" w:hAnsi="Times New Roman"/>
                <w:sz w:val="16"/>
                <w:szCs w:val="16"/>
                <w:color w:val="0000FF"/>
              </w:rPr>
              <w:t>Mine Safety Disclosures</w:t>
            </w:r>
          </w:p>
        </w:tc>
        <w:tc>
          <w:tcPr>
            <w:tcW w:w="2020" w:type="dxa"/>
            <w:vAlign w:val="bottom"/>
            <w:gridSpan w:val="4"/>
          </w:tcPr>
          <w:p>
            <w:pPr>
              <w:jc w:val="center"/>
              <w:ind w:left="1779"/>
              <w:spacing w:after="0"/>
              <w:rPr>
                <w:sz w:val="20"/>
                <w:szCs w:val="20"/>
                <w:color w:val="auto"/>
              </w:rPr>
            </w:pPr>
            <w:r>
              <w:rPr>
                <w:rFonts w:ascii="Times New Roman" w:cs="Times New Roman" w:eastAsia="Times New Roman" w:hAnsi="Times New Roman"/>
                <w:sz w:val="16"/>
                <w:szCs w:val="16"/>
                <w:color w:val="0000FF"/>
                <w:w w:val="99"/>
              </w:rPr>
              <w:t>49</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5.</w:t>
            </w:r>
          </w:p>
        </w:tc>
        <w:tc>
          <w:tcPr>
            <w:tcW w:w="160" w:type="dxa"/>
            <w:vAlign w:val="bottom"/>
            <w:gridSpan w:val="2"/>
          </w:tcPr>
          <w:p>
            <w:pPr>
              <w:spacing w:after="0"/>
              <w:rPr>
                <w:sz w:val="17"/>
                <w:szCs w:val="17"/>
                <w:color w:val="auto"/>
              </w:rPr>
            </w:pPr>
          </w:p>
        </w:tc>
        <w:tc>
          <w:tcPr>
            <w:tcW w:w="7940" w:type="dxa"/>
            <w:vAlign w:val="bottom"/>
            <w:gridSpan w:val="12"/>
          </w:tcPr>
          <w:p>
            <w:pPr>
              <w:ind w:left="420"/>
              <w:spacing w:after="0"/>
              <w:rPr>
                <w:sz w:val="20"/>
                <w:szCs w:val="20"/>
                <w:color w:val="auto"/>
              </w:rPr>
            </w:pPr>
            <w:r>
              <w:rPr>
                <w:rFonts w:ascii="Times New Roman" w:cs="Times New Roman" w:eastAsia="Times New Roman" w:hAnsi="Times New Roman"/>
                <w:sz w:val="16"/>
                <w:szCs w:val="16"/>
                <w:color w:val="0000FF"/>
              </w:rPr>
              <w:t>Other Information</w:t>
            </w:r>
          </w:p>
        </w:tc>
        <w:tc>
          <w:tcPr>
            <w:tcW w:w="2020" w:type="dxa"/>
            <w:vAlign w:val="bottom"/>
            <w:gridSpan w:val="4"/>
          </w:tcPr>
          <w:p>
            <w:pPr>
              <w:jc w:val="center"/>
              <w:ind w:left="1779"/>
              <w:spacing w:after="0"/>
              <w:rPr>
                <w:sz w:val="20"/>
                <w:szCs w:val="20"/>
                <w:color w:val="auto"/>
              </w:rPr>
            </w:pPr>
            <w:r>
              <w:rPr>
                <w:rFonts w:ascii="Times New Roman" w:cs="Times New Roman" w:eastAsia="Times New Roman" w:hAnsi="Times New Roman"/>
                <w:sz w:val="16"/>
                <w:szCs w:val="16"/>
                <w:color w:val="0000FF"/>
                <w:w w:val="99"/>
              </w:rPr>
              <w:t>49</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190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6.</w:t>
            </w:r>
          </w:p>
        </w:tc>
        <w:tc>
          <w:tcPr>
            <w:tcW w:w="160" w:type="dxa"/>
            <w:vAlign w:val="bottom"/>
            <w:gridSpan w:val="2"/>
          </w:tcPr>
          <w:p>
            <w:pPr>
              <w:spacing w:after="0"/>
              <w:rPr>
                <w:sz w:val="17"/>
                <w:szCs w:val="17"/>
                <w:color w:val="auto"/>
              </w:rPr>
            </w:pPr>
          </w:p>
        </w:tc>
        <w:tc>
          <w:tcPr>
            <w:tcW w:w="7940" w:type="dxa"/>
            <w:vAlign w:val="bottom"/>
            <w:gridSpan w:val="12"/>
          </w:tcPr>
          <w:p>
            <w:pPr>
              <w:ind w:left="420"/>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2020" w:type="dxa"/>
            <w:vAlign w:val="bottom"/>
            <w:gridSpan w:val="4"/>
          </w:tcPr>
          <w:p>
            <w:pPr>
              <w:jc w:val="center"/>
              <w:ind w:left="1779"/>
              <w:spacing w:after="0"/>
              <w:rPr>
                <w:sz w:val="20"/>
                <w:szCs w:val="20"/>
                <w:color w:val="auto"/>
              </w:rPr>
            </w:pPr>
            <w:r>
              <w:rPr>
                <w:rFonts w:ascii="Times New Roman" w:cs="Times New Roman" w:eastAsia="Times New Roman" w:hAnsi="Times New Roman"/>
                <w:sz w:val="16"/>
                <w:szCs w:val="16"/>
                <w:color w:val="0000FF"/>
                <w:w w:val="99"/>
              </w:rPr>
              <w:t>50</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0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6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85"/>
              </w:rPr>
              <w:t>Signatures</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20" w:type="dxa"/>
            <w:vAlign w:val="bottom"/>
            <w:gridSpan w:val="4"/>
          </w:tcPr>
          <w:p>
            <w:pPr>
              <w:jc w:val="center"/>
              <w:ind w:left="1779"/>
              <w:spacing w:after="0"/>
              <w:rPr>
                <w:sz w:val="20"/>
                <w:szCs w:val="20"/>
                <w:color w:val="auto"/>
              </w:rPr>
            </w:pPr>
            <w:r>
              <w:rPr>
                <w:rFonts w:ascii="Times New Roman" w:cs="Times New Roman" w:eastAsia="Times New Roman" w:hAnsi="Times New Roman"/>
                <w:sz w:val="16"/>
                <w:szCs w:val="16"/>
                <w:color w:val="0000FF"/>
                <w:w w:val="99"/>
              </w:rPr>
              <w:t>53</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68580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580"/>
          </w:cols>
          <w:pgMar w:left="340" w:top="872" w:right="9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7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September 30, 2026</w:t>
            </w:r>
          </w:p>
        </w:tc>
        <w:tc>
          <w:tcPr>
            <w:tcW w:w="140" w:type="dxa"/>
            <w:vAlign w:val="bottom"/>
          </w:tcPr>
          <w:p>
            <w:pPr>
              <w:spacing w:after="0"/>
              <w:rPr>
                <w:sz w:val="16"/>
                <w:szCs w:val="16"/>
                <w:color w:val="auto"/>
              </w:rPr>
            </w:pPr>
          </w:p>
        </w:tc>
        <w:tc>
          <w:tcPr>
            <w:tcW w:w="144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7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Agency securities, at fair value (including pledged securities of $86,455 and $74,149, respectively)</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91,394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81,003</w:t>
            </w: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Agency securities transferred to consolidated variable interest entities, at fair value (pledged securities)</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22"/>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Credit risk transfer securities, at fair value (including pledged securities of $468 and $558, respectively)</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0" w:type="dxa"/>
            <w:vAlign w:val="bottom"/>
          </w:tcPr>
          <w:p>
            <w:pPr>
              <w:spacing w:after="0"/>
              <w:rPr>
                <w:sz w:val="1"/>
                <w:szCs w:val="1"/>
                <w:color w:val="auto"/>
              </w:rPr>
            </w:pPr>
          </w:p>
        </w:tc>
      </w:tr>
      <w:tr>
        <w:trPr>
          <w:trHeight w:val="174"/>
        </w:trPr>
        <w:tc>
          <w:tcPr>
            <w:tcW w:w="788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w w:val="99"/>
              </w:rPr>
              <w:t>Non-Agency securities, at fair value, and other mortgage credit investments (including pledged securities of $7 and $13,</w:t>
            </w:r>
          </w:p>
        </w:tc>
        <w:tc>
          <w:tcPr>
            <w:tcW w:w="16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respectively)</w:t>
            </w:r>
          </w:p>
        </w:tc>
        <w:tc>
          <w:tcPr>
            <w:tcW w:w="16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U.S. Treasury securities, at fair value (including pledged securities of $11,992 and $13,056, respectively)</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13,477</w:t>
            </w: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22"/>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22"/>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Receivable for investment securities sold (including pledged securities of $198 and $149, respectively)</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Receivable under reverse repurchase agreements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16,615</w:t>
            </w:r>
          </w:p>
        </w:tc>
        <w:tc>
          <w:tcPr>
            <w:tcW w:w="0" w:type="dxa"/>
            <w:vAlign w:val="bottom"/>
          </w:tcPr>
          <w:p>
            <w:pPr>
              <w:spacing w:after="0"/>
              <w:rPr>
                <w:sz w:val="1"/>
                <w:szCs w:val="1"/>
                <w:color w:val="auto"/>
              </w:rPr>
            </w:pPr>
          </w:p>
        </w:tc>
      </w:tr>
      <w:tr>
        <w:trPr>
          <w:trHeight w:val="222"/>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24"/>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0" w:type="dxa"/>
            <w:vAlign w:val="bottom"/>
          </w:tcPr>
          <w:p>
            <w:pPr>
              <w:spacing w:after="0"/>
              <w:rPr>
                <w:sz w:val="1"/>
                <w:szCs w:val="1"/>
                <w:color w:val="auto"/>
              </w:rPr>
            </w:pPr>
          </w:p>
        </w:tc>
      </w:tr>
      <w:tr>
        <w:trPr>
          <w:trHeight w:val="220"/>
        </w:trPr>
        <w:tc>
          <w:tcPr>
            <w:tcW w:w="78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133,432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115,077</w:t>
            </w: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Repurchase agreements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96,719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85,286</w:t>
            </w: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of consolidated variable interest entities, at fair value</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22"/>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Payable for investment securities purchased</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2"/>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Dividends payable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Obligation to return securities borrowed under reverse repurchase agreements, at fair value</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16,452</w:t>
            </w:r>
          </w:p>
        </w:tc>
        <w:tc>
          <w:tcPr>
            <w:tcW w:w="0" w:type="dxa"/>
            <w:vAlign w:val="bottom"/>
          </w:tcPr>
          <w:p>
            <w:pPr>
              <w:spacing w:after="0"/>
              <w:rPr>
                <w:sz w:val="1"/>
                <w:szCs w:val="1"/>
                <w:color w:val="auto"/>
              </w:rPr>
            </w:pPr>
          </w:p>
        </w:tc>
      </w:tr>
      <w:tr>
        <w:trPr>
          <w:trHeight w:val="222"/>
        </w:trPr>
        <w:tc>
          <w:tcPr>
            <w:tcW w:w="7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121,872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102,684</w:t>
            </w:r>
          </w:p>
        </w:tc>
        <w:tc>
          <w:tcPr>
            <w:tcW w:w="0" w:type="dxa"/>
            <w:vAlign w:val="bottom"/>
          </w:tcPr>
          <w:p>
            <w:pPr>
              <w:spacing w:after="0"/>
              <w:rPr>
                <w:sz w:val="1"/>
                <w:szCs w:val="1"/>
                <w:color w:val="auto"/>
              </w:rPr>
            </w:pPr>
          </w:p>
        </w:tc>
      </w:tr>
      <w:tr>
        <w:trPr>
          <w:trHeight w:val="202"/>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Preferred Stock - aggregate liquidation preference of $2,033</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0" w:type="dxa"/>
            <w:vAlign w:val="bottom"/>
          </w:tcPr>
          <w:p>
            <w:pPr>
              <w:spacing w:after="0"/>
              <w:rPr>
                <w:sz w:val="1"/>
                <w:szCs w:val="1"/>
                <w:color w:val="auto"/>
              </w:rPr>
            </w:pPr>
          </w:p>
        </w:tc>
      </w:tr>
      <w:tr>
        <w:trPr>
          <w:trHeight w:val="172"/>
        </w:trPr>
        <w:tc>
          <w:tcPr>
            <w:tcW w:w="7880" w:type="dxa"/>
            <w:vAlign w:val="bottom"/>
          </w:tcPr>
          <w:p>
            <w:pPr>
              <w:ind w:left="200"/>
              <w:spacing w:after="0" w:line="171" w:lineRule="exact"/>
              <w:rPr>
                <w:sz w:val="20"/>
                <w:szCs w:val="20"/>
                <w:color w:val="auto"/>
              </w:rPr>
            </w:pPr>
            <w:r>
              <w:rPr>
                <w:rFonts w:ascii="Times New Roman" w:cs="Times New Roman" w:eastAsia="Times New Roman" w:hAnsi="Times New Roman"/>
                <w:sz w:val="16"/>
                <w:szCs w:val="16"/>
                <w:color w:val="auto"/>
              </w:rPr>
              <w:t>Common stock - $0.01 par value; 2,250 shares authorized, 1,261.8 and 1,107.6 shares issued and outstanding,</w:t>
            </w:r>
          </w:p>
        </w:tc>
        <w:tc>
          <w:tcPr>
            <w:tcW w:w="16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9"/>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respectively</w:t>
            </w:r>
          </w:p>
        </w:tc>
        <w:tc>
          <w:tcPr>
            <w:tcW w:w="16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19,261</w:t>
            </w:r>
          </w:p>
        </w:tc>
        <w:tc>
          <w:tcPr>
            <w:tcW w:w="0" w:type="dxa"/>
            <w:vAlign w:val="bottom"/>
          </w:tcPr>
          <w:p>
            <w:pPr>
              <w:spacing w:after="0"/>
              <w:rPr>
                <w:sz w:val="1"/>
                <w:szCs w:val="1"/>
                <w:color w:val="auto"/>
              </w:rPr>
            </w:pPr>
          </w:p>
        </w:tc>
      </w:tr>
      <w:tr>
        <w:trPr>
          <w:trHeight w:val="222"/>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Retained deficit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(8,524)</w:t>
            </w:r>
          </w:p>
        </w:tc>
        <w:tc>
          <w:tcPr>
            <w:tcW w:w="0" w:type="dxa"/>
            <w:vAlign w:val="bottom"/>
          </w:tcPr>
          <w:p>
            <w:pPr>
              <w:spacing w:after="0"/>
              <w:rPr>
                <w:sz w:val="1"/>
                <w:szCs w:val="1"/>
                <w:color w:val="auto"/>
              </w:rPr>
            </w:pPr>
          </w:p>
        </w:tc>
      </w:tr>
      <w:tr>
        <w:trPr>
          <w:trHeight w:val="224"/>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18"/>
        </w:trPr>
        <w:tc>
          <w:tcPr>
            <w:tcW w:w="78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12,393</w:t>
            </w:r>
          </w:p>
        </w:tc>
        <w:tc>
          <w:tcPr>
            <w:tcW w:w="0" w:type="dxa"/>
            <w:vAlign w:val="bottom"/>
          </w:tcPr>
          <w:p>
            <w:pPr>
              <w:spacing w:after="0"/>
              <w:rPr>
                <w:sz w:val="1"/>
                <w:szCs w:val="1"/>
                <w:color w:val="auto"/>
              </w:rPr>
            </w:pPr>
          </w:p>
        </w:tc>
      </w:tr>
      <w:tr>
        <w:trPr>
          <w:trHeight w:val="245"/>
        </w:trPr>
        <w:tc>
          <w:tcPr>
            <w:tcW w:w="78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115,077</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220" w:type="dxa"/>
            <w:vAlign w:val="bottom"/>
          </w:tcPr>
          <w:p>
            <w:pPr>
              <w:spacing w:after="0"/>
              <w:rPr>
                <w:sz w:val="16"/>
                <w:szCs w:val="16"/>
                <w:color w:val="auto"/>
              </w:rPr>
            </w:pPr>
          </w:p>
        </w:tc>
        <w:tc>
          <w:tcPr>
            <w:tcW w:w="1860" w:type="dxa"/>
            <w:vAlign w:val="bottom"/>
            <w:gridSpan w:val="4"/>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0"/>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860" w:type="dxa"/>
            <w:vAlign w:val="bottom"/>
            <w:gridSpan w:val="4"/>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6"/>
        </w:trPr>
        <w:tc>
          <w:tcPr>
            <w:tcW w:w="69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7"/>
        </w:trPr>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8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r>
      <w:tr>
        <w:trPr>
          <w:trHeight w:val="238"/>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31"/>
        </w:trPr>
        <w:tc>
          <w:tcPr>
            <w:tcW w:w="69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1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gain (loss), net: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7"/>
        </w:trPr>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(loss) on sale of investment securities, net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193"/>
        </w:trPr>
        <w:tc>
          <w:tcPr>
            <w:tcW w:w="6940" w:type="dxa"/>
            <w:vAlign w:val="bottom"/>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color w:val="auto"/>
              </w:rPr>
              <w:t>Unrealized gain (loss) on investment securities measured at fair value through net income,</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30"/>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r>
      <w:tr>
        <w:trPr>
          <w:trHeight w:val="237"/>
        </w:trPr>
        <w:tc>
          <w:tcPr>
            <w:tcW w:w="6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Gain (loss) on derivative instruments and other investments, net</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r>
      <w:tr>
        <w:trPr>
          <w:trHeight w:val="231"/>
        </w:trPr>
        <w:tc>
          <w:tcPr>
            <w:tcW w:w="6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gain (loss), net:</w:t>
            </w: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1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8"/>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7"/>
        </w:trPr>
        <w:tc>
          <w:tcPr>
            <w:tcW w:w="6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operating expense</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1"/>
        </w:trPr>
        <w:tc>
          <w:tcPr>
            <w:tcW w:w="6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w:t>
            </w: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38"/>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on preferred stock</w:t>
            </w: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1"/>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available (attributable) to common stockholders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6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193"/>
        </w:trPr>
        <w:tc>
          <w:tcPr>
            <w:tcW w:w="6940" w:type="dxa"/>
            <w:vAlign w:val="bottom"/>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color w:val="auto"/>
              </w:rPr>
              <w:t>Unrealized gain (loss) on investment securities measured at fair value through other</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30"/>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income (loss), net</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38"/>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on preferred stock</w:t>
            </w: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1"/>
        </w:trPr>
        <w:tc>
          <w:tcPr>
            <w:tcW w:w="6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 available (attributable) to common stockholders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6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8"/>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1,160.5</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996.7</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5"/>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common share - basic</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5"/>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common share - diluted</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68580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72"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restart"/>
          </w:tcPr>
          <w:p>
            <w:pPr>
              <w:jc w:val="center"/>
              <w:ind w:right="200"/>
              <w:spacing w:after="0" w:line="119"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9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180"/>
              <w:spacing w:after="0" w:line="119"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8"/>
                <w:szCs w:val="8"/>
                <w:color w:val="auto"/>
              </w:rPr>
            </w:pPr>
          </w:p>
        </w:tc>
        <w:tc>
          <w:tcPr>
            <w:tcW w:w="840" w:type="dxa"/>
            <w:vAlign w:val="bottom"/>
            <w:gridSpan w:val="2"/>
            <w:vMerge w:val="restart"/>
          </w:tcPr>
          <w:p>
            <w:pPr>
              <w:jc w:val="center"/>
              <w:ind w:right="260"/>
              <w:spacing w:after="0" w:line="119"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8"/>
                <w:szCs w:val="8"/>
                <w:color w:val="auto"/>
              </w:rPr>
            </w:pPr>
          </w:p>
        </w:tc>
        <w:tc>
          <w:tcPr>
            <w:tcW w:w="1200" w:type="dxa"/>
            <w:vAlign w:val="bottom"/>
            <w:gridSpan w:val="2"/>
            <w:vMerge w:val="restart"/>
          </w:tcPr>
          <w:p>
            <w:pPr>
              <w:jc w:val="center"/>
              <w:ind w:right="260"/>
              <w:spacing w:after="0" w:line="11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80" w:type="dxa"/>
            <w:vAlign w:val="bottom"/>
          </w:tcPr>
          <w:p>
            <w:pPr>
              <w:spacing w:after="0"/>
              <w:rPr>
                <w:sz w:val="17"/>
                <w:szCs w:val="17"/>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2025</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10,347</w:t>
            </w:r>
          </w:p>
        </w:tc>
        <w:tc>
          <w:tcPr>
            <w:tcW w:w="0" w:type="dxa"/>
            <w:vAlign w:val="bottom"/>
          </w:tcPr>
          <w:p>
            <w:pPr>
              <w:spacing w:after="0"/>
              <w:rPr>
                <w:sz w:val="1"/>
                <w:szCs w:val="1"/>
                <w:color w:val="auto"/>
              </w:rPr>
            </w:pPr>
          </w:p>
        </w:tc>
      </w:tr>
      <w:tr>
        <w:trPr>
          <w:trHeight w:val="187"/>
        </w:trPr>
        <w:tc>
          <w:tcPr>
            <w:tcW w:w="3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gain on available-for-sale securities, net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net</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7"/>
        </w:trPr>
        <w:tc>
          <w:tcPr>
            <w:tcW w:w="3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preferred stock, net of offering cost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187"/>
        </w:trPr>
        <w:tc>
          <w:tcPr>
            <w:tcW w:w="3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204"/>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18,892</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11,444</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4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12,543</w:t>
            </w: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0" w:type="dxa"/>
            <w:vAlign w:val="bottom"/>
          </w:tcPr>
          <w:p>
            <w:pPr>
              <w:spacing w:after="0"/>
              <w:rPr>
                <w:sz w:val="1"/>
                <w:szCs w:val="1"/>
                <w:color w:val="auto"/>
              </w:rPr>
            </w:pPr>
          </w:p>
        </w:tc>
      </w:tr>
      <w:tr>
        <w:trPr>
          <w:trHeight w:val="187"/>
        </w:trPr>
        <w:tc>
          <w:tcPr>
            <w:tcW w:w="3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Unrealized loss on available-for-sale securities, net</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87"/>
        </w:trPr>
        <w:tc>
          <w:tcPr>
            <w:tcW w:w="3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 net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0" w:type="dxa"/>
            <w:vAlign w:val="bottom"/>
          </w:tcPr>
          <w:p>
            <w:pPr>
              <w:spacing w:after="0"/>
              <w:rPr>
                <w:sz w:val="1"/>
                <w:szCs w:val="1"/>
                <w:color w:val="auto"/>
              </w:rPr>
            </w:pPr>
          </w:p>
        </w:tc>
      </w:tr>
      <w:tr>
        <w:trPr>
          <w:trHeight w:val="187"/>
        </w:trPr>
        <w:tc>
          <w:tcPr>
            <w:tcW w:w="3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204"/>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20,827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(10,770)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11,560</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897.4</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17,264</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4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9,762</w:t>
            </w: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187"/>
        </w:trPr>
        <w:tc>
          <w:tcPr>
            <w:tcW w:w="3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Unrealized gain on available-for-sale securities, net</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187"/>
        </w:trPr>
        <w:tc>
          <w:tcPr>
            <w:tcW w:w="3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 net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Issuance of preferred stock</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87"/>
        </w:trPr>
        <w:tc>
          <w:tcPr>
            <w:tcW w:w="3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87"/>
        </w:trPr>
        <w:tc>
          <w:tcPr>
            <w:tcW w:w="3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0" w:type="dxa"/>
            <w:vAlign w:val="bottom"/>
          </w:tcPr>
          <w:p>
            <w:pPr>
              <w:spacing w:after="0"/>
              <w:rPr>
                <w:sz w:val="1"/>
                <w:szCs w:val="1"/>
                <w:color w:val="auto"/>
              </w:rPr>
            </w:pPr>
          </w:p>
        </w:tc>
      </w:tr>
      <w:tr>
        <w:trPr>
          <w:trHeight w:val="24"/>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12,393</w:t>
            </w:r>
          </w:p>
        </w:tc>
        <w:tc>
          <w:tcPr>
            <w:tcW w:w="0" w:type="dxa"/>
            <w:vAlign w:val="bottom"/>
          </w:tcPr>
          <w:p>
            <w:pPr>
              <w:spacing w:after="0"/>
              <w:rPr>
                <w:sz w:val="1"/>
                <w:szCs w:val="1"/>
                <w:color w:val="auto"/>
              </w:rPr>
            </w:pPr>
          </w:p>
        </w:tc>
      </w:tr>
      <w:tr>
        <w:trPr>
          <w:trHeight w:val="187"/>
        </w:trPr>
        <w:tc>
          <w:tcPr>
            <w:tcW w:w="3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loss on available-for-sale securities, net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net</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7"/>
        </w:trPr>
        <w:tc>
          <w:tcPr>
            <w:tcW w:w="3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87"/>
        </w:trPr>
        <w:tc>
          <w:tcPr>
            <w:tcW w:w="3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0" w:type="dxa"/>
            <w:vAlign w:val="bottom"/>
          </w:tcPr>
          <w:p>
            <w:pPr>
              <w:spacing w:after="0"/>
              <w:rPr>
                <w:sz w:val="1"/>
                <w:szCs w:val="1"/>
                <w:color w:val="auto"/>
              </w:rPr>
            </w:pPr>
          </w:p>
        </w:tc>
      </w:tr>
      <w:tr>
        <w:trPr>
          <w:trHeight w:val="24"/>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68580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20"/>
          </w:cols>
          <w:pgMar w:left="580" w:top="872" w:right="5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3"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5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7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2"/>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r>
      <w:tr>
        <w:trPr>
          <w:trHeight w:val="22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2"/>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premiums and discounts on mortgage-backed securities, net</w:t>
            </w:r>
          </w:p>
        </w:tc>
        <w:tc>
          <w:tcPr>
            <w:tcW w:w="26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27"/>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22"/>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loss on sale of investment securities,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r>
      <w:tr>
        <w:trPr>
          <w:trHeight w:val="227"/>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(gain) loss on investment securities measured at fair value through net income,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w:t>
            </w:r>
          </w:p>
        </w:tc>
      </w:tr>
      <w:tr>
        <w:trPr>
          <w:trHeight w:val="222"/>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loss on derivative instruments and other securities,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w:t>
            </w:r>
          </w:p>
        </w:tc>
      </w:tr>
      <w:tr>
        <w:trPr>
          <w:trHeight w:val="227"/>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Increase in other assets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22"/>
        </w:trPr>
        <w:tc>
          <w:tcPr>
            <w:tcW w:w="7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Increase in other liabilities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2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202"/>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7"/>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Agency mortgage-backed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(33,357)</w:t>
            </w:r>
          </w:p>
        </w:tc>
      </w:tr>
      <w:tr>
        <w:trPr>
          <w:trHeight w:val="222"/>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credit risk transfer and non-Agency securities and other mortgage credit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27"/>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Agency mortgage-backed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22,613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18,794</w:t>
            </w:r>
          </w:p>
        </w:tc>
      </w:tr>
      <w:tr>
        <w:trPr>
          <w:trHeight w:val="222"/>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sale of credit risk transfer and non-Agency securities</w:t>
            </w:r>
          </w:p>
        </w:tc>
        <w:tc>
          <w:tcPr>
            <w:tcW w:w="26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27"/>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Principal collections on Agency mortgage-backed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5,237</w:t>
            </w:r>
          </w:p>
        </w:tc>
      </w:tr>
      <w:tr>
        <w:trPr>
          <w:trHeight w:val="222"/>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Principal collections on credit risk transfer and non-Agency securities</w:t>
            </w:r>
          </w:p>
        </w:tc>
        <w:tc>
          <w:tcPr>
            <w:tcW w:w="26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27"/>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U.S. Treasury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(28,564)</w:t>
            </w:r>
          </w:p>
        </w:tc>
      </w:tr>
      <w:tr>
        <w:trPr>
          <w:trHeight w:val="222"/>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U.S. Treasury securities</w:t>
            </w:r>
          </w:p>
        </w:tc>
        <w:tc>
          <w:tcPr>
            <w:tcW w:w="26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48,692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27,440</w:t>
            </w:r>
          </w:p>
        </w:tc>
      </w:tr>
      <w:tr>
        <w:trPr>
          <w:trHeight w:val="227"/>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payments on reverse repurchase agreements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(3,578)</w:t>
            </w:r>
          </w:p>
        </w:tc>
      </w:tr>
      <w:tr>
        <w:trPr>
          <w:trHeight w:val="222"/>
        </w:trPr>
        <w:tc>
          <w:tcPr>
            <w:tcW w:w="7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proceeds from (payments on) derivative instruments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w:t>
            </w:r>
          </w:p>
        </w:tc>
      </w:tr>
      <w:tr>
        <w:trPr>
          <w:trHeight w:val="22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(14,508)</w:t>
            </w:r>
          </w:p>
        </w:tc>
      </w:tr>
      <w:tr>
        <w:trPr>
          <w:trHeight w:val="202"/>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7"/>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repurchase arrangements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8,052,340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4,968,577</w:t>
            </w:r>
          </w:p>
        </w:tc>
      </w:tr>
      <w:tr>
        <w:trPr>
          <w:trHeight w:val="222"/>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on repurchase agreements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(8,040,907)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(4,955,223)</w:t>
            </w:r>
          </w:p>
        </w:tc>
      </w:tr>
      <w:tr>
        <w:trPr>
          <w:trHeight w:val="227"/>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debt of consolidated variable interest entities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22"/>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proceeds from preferred stock issuance</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227"/>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proceeds from common stock issuances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w:t>
            </w:r>
          </w:p>
        </w:tc>
      </w:tr>
      <w:tr>
        <w:trPr>
          <w:trHeight w:val="222"/>
        </w:trPr>
        <w:tc>
          <w:tcPr>
            <w:tcW w:w="7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Cash dividends paid</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w:t>
            </w:r>
          </w:p>
        </w:tc>
      </w:tr>
      <w:tr>
        <w:trPr>
          <w:trHeight w:val="218"/>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11,556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14,123</w:t>
            </w:r>
          </w:p>
        </w:tc>
      </w:tr>
      <w:tr>
        <w:trPr>
          <w:trHeight w:val="218"/>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24"/>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w:t>
            </w:r>
          </w:p>
        </w:tc>
      </w:tr>
      <w:tr>
        <w:trPr>
          <w:trHeight w:val="220"/>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2,233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1,911</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7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2"/>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r>
      <w:tr>
        <w:trPr>
          <w:trHeight w:val="222"/>
        </w:trPr>
        <w:tc>
          <w:tcPr>
            <w:tcW w:w="7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w:t>
            </w:r>
          </w:p>
        </w:tc>
      </w:tr>
      <w:tr>
        <w:trPr>
          <w:trHeight w:val="245"/>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 end of period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68580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9960"/>
          </w:cols>
          <w:pgMar w:left="960" w:top="872" w:right="9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65"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spacing w:after="0" w:line="127"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7"/>
          <w:szCs w:val="17"/>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for which the principal and interest payments are guaranteed by a U.S. Government-sponsored enterprise (“GSE”) or a U.S. Government agency. We also invest in Agency multifamily mortgage-backed securities (“Agency multifamily MBS”) that are similarly guaranteed by the GSEs and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w:t>
      </w:r>
    </w:p>
    <w:p>
      <w:pPr>
        <w:spacing w:after="0" w:line="121"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within the time limits prescribed by the Internal Revenue Code, which may extend into the subsequent tax year.</w:t>
      </w:r>
    </w:p>
    <w:p>
      <w:pPr>
        <w:spacing w:after="0" w:line="131"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88" w:lineRule="exact"/>
        <w:rPr>
          <w:sz w:val="20"/>
          <w:szCs w:val="20"/>
          <w:color w:val="auto"/>
        </w:rPr>
      </w:pPr>
    </w:p>
    <w:p>
      <w:pPr>
        <w:jc w:val="both"/>
        <w:ind w:firstLine="436"/>
        <w:spacing w:after="0" w:line="250" w:lineRule="auto"/>
        <w:rPr>
          <w:sz w:val="20"/>
          <w:szCs w:val="20"/>
          <w:color w:val="auto"/>
        </w:rPr>
      </w:pPr>
      <w:r>
        <w:rPr>
          <w:rFonts w:ascii="Times New Roman" w:cs="Times New Roman" w:eastAsia="Times New Roman" w:hAnsi="Times New Roman"/>
          <w:sz w:val="18"/>
          <w:szCs w:val="18"/>
          <w:color w:val="auto"/>
        </w:rPr>
        <w:t>Our accompanying consolidated financial statements and related notes have been prepared in accordance with U.S. generally accepted accounting principles (“GAAP”) for interim financial information and pursuant to the requirements for reporting on Form 10-Q and Article 10 of Regulation S-X. The accompanying consolidated financial statements and related notes are unaudited and include the accounts of all our wholly-owned subsidiaries and variable interest entities for which we are the primary beneficiary. Significant intercompany accounts and transactions have been eliminated. The accompanying consolidated financial statements and related notes should be read in conjunction with the audited consolidated financial statements included in our most recent Annual Report on Form 10-K for the fiscal year ended December 31, 2025.</w:t>
      </w:r>
    </w:p>
    <w:p>
      <w:pPr>
        <w:spacing w:after="0" w:line="66"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income and expenses during the reporting period. In the opinion of management, all adjustments, consisting solely of normal recurring accruals, necessary for the fair presentation of consolidated financial statements for the interim period have been included. The current period’s results of operations are not necessarily indicative of results that ultimately may be achieved for the year.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67"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27" w:lineRule="exact"/>
        <w:rPr>
          <w:sz w:val="20"/>
          <w:szCs w:val="20"/>
          <w:color w:val="auto"/>
        </w:rPr>
      </w:pPr>
    </w:p>
    <w:p>
      <w:pPr>
        <w:jc w:val="both"/>
        <w:ind w:firstLine="396"/>
        <w:spacing w:after="0" w:line="279" w:lineRule="auto"/>
        <w:rPr>
          <w:sz w:val="20"/>
          <w:szCs w:val="20"/>
          <w:color w:val="auto"/>
        </w:rPr>
      </w:pPr>
      <w:r>
        <w:rPr>
          <w:rFonts w:ascii="Times New Roman" w:cs="Times New Roman" w:eastAsia="Times New Roman" w:hAnsi="Times New Roman"/>
          <w:sz w:val="17"/>
          <w:szCs w:val="17"/>
          <w:color w:val="auto"/>
        </w:rPr>
        <w:t>Agency multifamily MBS consist of securities backed by one or more mortgage loans secured by one or more multifamily properties that are similarly guaranteed by a GSE. Our investments in Agency multifamily MBS primarily consist of securities issued under Fannie Mae’s Delegated Underwriting and Servicing (“DUS”) program, which are generally backed by a single mortgage loan secured by a single property and include lender risk-sharing.</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 w:name="page8"/>
    <w:bookmarkEnd w:id="7"/>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CRT securities are risk sharing instruments issued by the GSEs, and similarly structured transactions issued by third-party market participants, that synthetically transfer a portion of the risk associated with credit losses within pools of conventional residential and multifamily mortgage loans from the GSEs and/or third parties to private investors. Unlike Agency RMBS and Agency multifamily 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principal amount that they are obligated to repay to holders of CRT securities, the GSEs and/or other third parties offset credit losses on the related loans.</w:t>
      </w:r>
    </w:p>
    <w:p>
      <w:pPr>
        <w:spacing w:after="0" w:line="13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125" w:lineRule="exact"/>
        <w:rPr>
          <w:sz w:val="20"/>
          <w:szCs w:val="20"/>
          <w:color w:val="auto"/>
        </w:rPr>
      </w:pPr>
    </w:p>
    <w:p>
      <w:pPr>
        <w:jc w:val="both"/>
        <w:ind w:firstLine="436"/>
        <w:spacing w:after="0" w:line="247" w:lineRule="auto"/>
        <w:rPr>
          <w:sz w:val="20"/>
          <w:szCs w:val="20"/>
          <w:color w:val="auto"/>
        </w:rPr>
      </w:pPr>
      <w:r>
        <w:rPr>
          <w:rFonts w:ascii="Times New Roman" w:cs="Times New Roman" w:eastAsia="Times New Roman" w:hAnsi="Times New Roman"/>
          <w:sz w:val="18"/>
          <w:szCs w:val="18"/>
          <w:color w:val="auto"/>
        </w:rPr>
        <w:t xml:space="preserve">All of our securities are reported at fair value on our consolidated balance sheet. Accounting Standards Codification (“ASC”) Topic 320,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 Securities</w:t>
      </w:r>
      <w:r>
        <w:rPr>
          <w:rFonts w:ascii="Times New Roman" w:cs="Times New Roman" w:eastAsia="Times New Roman" w:hAnsi="Times New Roman"/>
          <w:sz w:val="18"/>
          <w:szCs w:val="18"/>
          <w:color w:val="auto"/>
        </w:rPr>
        <w:t>, requires that at the time of purchase, we designate a security as held-to-maturity, available-for-sale or trading, depending on our ability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intent to hold such security to maturity. Alternatively, we may elect the fair value option of accounting for securities pursuant to ASC Topic 825,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Prior to fiscal year 2017, we primarily designated our investment securities as available-for-sale. On January 1, 2017, we began electing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spacing w:after="0" w:line="141" w:lineRule="exact"/>
        <w:rPr>
          <w:sz w:val="20"/>
          <w:szCs w:val="20"/>
          <w:color w:val="auto"/>
        </w:rPr>
      </w:pPr>
    </w:p>
    <w:p>
      <w:pPr>
        <w:jc w:val="both"/>
        <w:ind w:firstLine="436"/>
        <w:spacing w:after="0" w:line="266" w:lineRule="auto"/>
        <w:rPr>
          <w:sz w:val="20"/>
          <w:szCs w:val="20"/>
          <w:color w:val="auto"/>
        </w:rPr>
      </w:pPr>
      <w:r>
        <w:rPr>
          <w:rFonts w:ascii="Times New Roman" w:cs="Times New Roman" w:eastAsia="Times New Roman" w:hAnsi="Times New Roman"/>
          <w:sz w:val="17"/>
          <w:szCs w:val="17"/>
          <w:color w:val="auto"/>
        </w:rPr>
        <w:t>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value in net income as a component of other gain (loss). We did not recognize any loss on available-for-sale securities through net income that we held as of September 30, 2026 because, as of such date, we neither intended to sell any securities in an unrealized loss position nor was it more likely than not that we would be required to sell such securities before recovery of their amortized cost basis.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67"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Times New Roman" w:cs="Times New Roman" w:eastAsia="Times New Roman" w:hAnsi="Times New Roman"/>
          <w:sz w:val="18"/>
          <w:szCs w:val="18"/>
          <w:i w:val="1"/>
          <w:iCs w:val="1"/>
          <w:color w:val="auto"/>
        </w:rPr>
        <w:t>Receivables—Nonrefundable Fees and Other Costs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firstLine="436"/>
        <w:spacing w:after="0" w:line="264" w:lineRule="auto"/>
        <w:rPr>
          <w:sz w:val="20"/>
          <w:szCs w:val="20"/>
          <w:color w:val="auto"/>
        </w:rPr>
      </w:pPr>
      <w:r>
        <w:rPr>
          <w:rFonts w:ascii="Times New Roman" w:cs="Times New Roman" w:eastAsia="Times New Roman" w:hAnsi="Times New Roman"/>
          <w:sz w:val="17"/>
          <w:szCs w:val="17"/>
          <w:color w:val="auto"/>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spacing w:after="0" w:line="125" w:lineRule="exact"/>
        <w:rPr>
          <w:sz w:val="20"/>
          <w:szCs w:val="20"/>
          <w:color w:val="auto"/>
        </w:rPr>
      </w:pPr>
    </w:p>
    <w:p>
      <w:pPr>
        <w:jc w:val="both"/>
        <w:ind w:firstLine="436"/>
        <w:spacing w:after="0" w:line="270" w:lineRule="auto"/>
        <w:rPr>
          <w:sz w:val="20"/>
          <w:szCs w:val="20"/>
          <w:color w:val="auto"/>
        </w:rPr>
      </w:pPr>
      <w:r>
        <w:rPr>
          <w:rFonts w:ascii="Times New Roman" w:cs="Times New Roman" w:eastAsia="Times New Roman" w:hAnsi="Times New Roman"/>
          <w:sz w:val="18"/>
          <w:szCs w:val="18"/>
          <w:color w:val="auto"/>
        </w:rPr>
        <w:t>At the time we purchase CRT securities and non-Agency MBS that are not of high credit quality, we determine an effective yield based on our estimate of the timing and amount of future cash flows and our cost basis. Our initial cash flow</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8" w:name="page9"/>
    <w:bookmarkEnd w:id="8"/>
    <w:p>
      <w:pPr>
        <w:jc w:val="both"/>
        <w:spacing w:after="0" w:line="251" w:lineRule="auto"/>
        <w:rPr>
          <w:sz w:val="20"/>
          <w:szCs w:val="20"/>
          <w:color w:val="auto"/>
        </w:rPr>
      </w:pPr>
      <w:r>
        <w:rPr>
          <w:rFonts w:ascii="Times New Roman" w:cs="Times New Roman" w:eastAsia="Times New Roman" w:hAnsi="Times New Roman"/>
          <w:sz w:val="18"/>
          <w:szCs w:val="18"/>
          <w:color w:val="auto"/>
        </w:rPr>
        <w:t>estimates for these investments are based on our observations of current information and events and include assumptions related to interest rates, prepayment rates, collateral call provisions,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167"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We finance the acquisition of securities for our investment portfolio primarily through repurchase agreements with our lending counterparties. Repurchase arrangements involve the sale and a simultaneous agreement to repurchase the securities at a future date. We maintain a beneficial interest in the specific securities pledged during the term of each repurchase arrangement and we receive the related principal and interest payments. Pursuant to ASC Topic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we account for repurchase agreements as collateralized financing transactions, which are carried at their contractual amounts (cost), plus accrued interest. Our repurchase agreements typically have maturities of less than one year.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Repurchase Agreements and Obligation to Return Securities Borrowed under Reverse Repurchase Agreements</w:t>
      </w:r>
    </w:p>
    <w:p>
      <w:pPr>
        <w:spacing w:after="0" w:line="165"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 xml:space="preserve">We borrow securities to cover short sales of U.S. Treasury securities through reverse repurchase transactions (see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67"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130"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We account for derivative instruments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134"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Net cash receipts from and payments on our derivative instruments are classified in our consolidated statements of cash flows according to the underlying nature or purpose of the derivative transaction, generally in the investing section.</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165" w:lineRule="exact"/>
        <w:rPr>
          <w:sz w:val="20"/>
          <w:szCs w:val="20"/>
          <w:color w:val="auto"/>
        </w:rPr>
      </w:pPr>
    </w:p>
    <w:p>
      <w:pPr>
        <w:jc w:val="both"/>
        <w:ind w:firstLine="436"/>
        <w:spacing w:after="0" w:line="249" w:lineRule="auto"/>
        <w:rPr>
          <w:sz w:val="20"/>
          <w:szCs w:val="20"/>
          <w:color w:val="auto"/>
        </w:rPr>
      </w:pPr>
      <w:r>
        <w:rPr>
          <w:rFonts w:ascii="Times New Roman" w:cs="Times New Roman" w:eastAsia="Times New Roman" w:hAnsi="Times New Roman"/>
          <w:sz w:val="18"/>
          <w:szCs w:val="18"/>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and Overnight Index Swap Rate (“OIS”). Our interest rate swaps typically have terms from one to 10 years. Our interest rate swaps are centrally cleared through a registered commodities exchange. The clearing exchange requires that we post an “initial margin” amount determined by the exchange. The initial margin amount is intended to be set at a level sufficient to protect the exchange from the interest rate swap’s maximum estimated single-day price movement and is subject to adjustment based on changes in market volatility and other factors. We also exchange daily settlements of “variation margin” based upon changes in fair value,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9" w:name="page10"/>
    <w:bookmarkEnd w:id="9"/>
    <w:p>
      <w:pPr>
        <w:jc w:val="both"/>
        <w:spacing w:after="0" w:line="270" w:lineRule="auto"/>
        <w:rPr>
          <w:sz w:val="20"/>
          <w:szCs w:val="20"/>
          <w:color w:val="auto"/>
        </w:rPr>
      </w:pPr>
      <w:r>
        <w:rPr>
          <w:rFonts w:ascii="Times New Roman" w:cs="Times New Roman" w:eastAsia="Times New Roman" w:hAnsi="Times New Roman"/>
          <w:sz w:val="18"/>
          <w:szCs w:val="18"/>
          <w:color w:val="auto"/>
        </w:rPr>
        <w:t>as measured by the exchange. Pursuant to rules governing central clearing activities, we recognize variation margin settlements as a direct reduction of the carrying value of the interest rate swap asset or liability.</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rate swaptions</w:t>
      </w:r>
    </w:p>
    <w:p>
      <w:pPr>
        <w:spacing w:after="0" w:line="165" w:lineRule="exact"/>
        <w:rPr>
          <w:sz w:val="20"/>
          <w:szCs w:val="20"/>
          <w:color w:val="auto"/>
        </w:rPr>
      </w:pPr>
    </w:p>
    <w:p>
      <w:pPr>
        <w:jc w:val="both"/>
        <w:ind w:firstLine="436"/>
        <w:spacing w:after="0" w:line="249" w:lineRule="auto"/>
        <w:rPr>
          <w:sz w:val="20"/>
          <w:szCs w:val="20"/>
          <w:color w:val="auto"/>
        </w:rPr>
      </w:pPr>
      <w:r>
        <w:rPr>
          <w:rFonts w:ascii="Times New Roman" w:cs="Times New Roman" w:eastAsia="Times New Roman" w:hAnsi="Times New Roman"/>
          <w:sz w:val="18"/>
          <w:szCs w:val="18"/>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TBA securities</w:t>
      </w:r>
    </w:p>
    <w:p>
      <w:pPr>
        <w:spacing w:after="0" w:line="165" w:lineRule="exact"/>
        <w:rPr>
          <w:sz w:val="20"/>
          <w:szCs w:val="20"/>
          <w:color w:val="auto"/>
        </w:rPr>
      </w:pPr>
    </w:p>
    <w:p>
      <w:pPr>
        <w:jc w:val="both"/>
        <w:ind w:firstLine="436"/>
        <w:spacing w:after="0" w:line="248" w:lineRule="auto"/>
        <w:rPr>
          <w:sz w:val="20"/>
          <w:szCs w:val="20"/>
          <w:color w:val="auto"/>
        </w:rPr>
      </w:pPr>
      <w:r>
        <w:rPr>
          <w:rFonts w:ascii="Times New Roman" w:cs="Times New Roman" w:eastAsia="Times New Roman" w:hAnsi="Times New Roman"/>
          <w:sz w:val="18"/>
          <w:szCs w:val="18"/>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38"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U.S. Treasury securities and U.S. Treasury futures contracts</w:t>
      </w:r>
    </w:p>
    <w:p>
      <w:pPr>
        <w:spacing w:after="0" w:line="165" w:lineRule="exact"/>
        <w:rPr>
          <w:sz w:val="20"/>
          <w:szCs w:val="20"/>
          <w:color w:val="auto"/>
        </w:rPr>
      </w:pPr>
    </w:p>
    <w:p>
      <w:pPr>
        <w:jc w:val="both"/>
        <w:ind w:firstLine="436"/>
        <w:spacing w:after="0" w:line="249" w:lineRule="auto"/>
        <w:rPr>
          <w:sz w:val="20"/>
          <w:szCs w:val="20"/>
          <w:color w:val="auto"/>
        </w:rPr>
      </w:pPr>
      <w:r>
        <w:rPr>
          <w:rFonts w:ascii="Times New Roman" w:cs="Times New Roman" w:eastAsia="Times New Roman" w:hAnsi="Times New Roman"/>
          <w:sz w:val="18"/>
          <w:szCs w:val="18"/>
          <w:color w:val="auto"/>
        </w:rPr>
        <w:t>We use U.S. Treasury securities and U.S. Treasury futures contracts to mitigate the potential impact of changes in interest rates on the performance of our portfolio. We enter into short-sales of U.S. Treasury securities by borrowing the securities under reverse repurchase agreements and selling them into the market. We account for these as securities borrowing transactions and recognize an obligation to return the borrowed securities at fair value on our accompanying consolidated balance sheets based on the value of the underlying U.S. Treasury security as of the reporting date. Treasury futures contracts are standardized contracts that obligate us to sell or buy U.S. Treasury securities for future delivery. Gains and losses associated with U.S. Treasury securities and U.S. Treasury futures contracts are recognized in gain (loss) on derivative instruments and other securities, net in our consolidated statements of comprehensive income.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67"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three levels of valuation hierarchy are defined as follows:</w:t>
      </w:r>
    </w:p>
    <w:p>
      <w:pPr>
        <w:spacing w:after="0" w:line="163" w:lineRule="exact"/>
        <w:rPr>
          <w:sz w:val="20"/>
          <w:szCs w:val="20"/>
          <w:color w:val="auto"/>
        </w:rPr>
      </w:pPr>
    </w:p>
    <w:p>
      <w:pPr>
        <w:ind w:left="640" w:hanging="317"/>
        <w:spacing w:after="0" w:line="270" w:lineRule="auto"/>
        <w:tabs>
          <w:tab w:leader="none" w:pos="6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—Quoted prices (unadjusted) for identical unrestricted assets and liabilities in active markets that are accessible at the measurement date.</w:t>
      </w:r>
    </w:p>
    <w:p>
      <w:pPr>
        <w:spacing w:after="0" w:line="115" w:lineRule="exact"/>
        <w:rPr>
          <w:rFonts w:ascii="Times New Roman" w:cs="Times New Roman" w:eastAsia="Times New Roman" w:hAnsi="Times New Roman"/>
          <w:sz w:val="18"/>
          <w:szCs w:val="18"/>
          <w:color w:val="auto"/>
        </w:rPr>
      </w:pPr>
    </w:p>
    <w:p>
      <w:pPr>
        <w:ind w:left="640" w:hanging="317"/>
        <w:spacing w:after="0" w:line="270" w:lineRule="auto"/>
        <w:tabs>
          <w:tab w:leader="none" w:pos="6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11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—Instruments with primarily unobservable market data that cannot be corroborated.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0" w:name="page11"/>
    <w:bookmarkEnd w:id="10"/>
    <w:p>
      <w:pPr>
        <w:jc w:val="both"/>
        <w:ind w:firstLine="436"/>
        <w:spacing w:after="0" w:line="247" w:lineRule="auto"/>
        <w:rPr>
          <w:sz w:val="20"/>
          <w:szCs w:val="20"/>
          <w:color w:val="auto"/>
        </w:rPr>
      </w:pPr>
      <w:r>
        <w:rPr>
          <w:rFonts w:ascii="Times New Roman" w:cs="Times New Roman" w:eastAsia="Times New Roman" w:hAnsi="Times New Roman"/>
          <w:sz w:val="18"/>
          <w:szCs w:val="18"/>
          <w:color w:val="auto"/>
        </w:rPr>
        <w:t>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third-party pricing sources, such as pricing services and dealers, or, if applicable, from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 would indicate and we cannot obtain an understanding from the third-party source as to the significant inputs used to determine the price.</w:t>
      </w:r>
    </w:p>
    <w:p>
      <w:pPr>
        <w:spacing w:after="0" w:line="141"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The following is a description of the valuation methodologies used for financial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instruments to those actively traded enable our pricing sources and us to utilize the observed quoted prices as a basis for formulating fair value measurements.</w:t>
      </w:r>
    </w:p>
    <w:p>
      <w:pPr>
        <w:spacing w:after="0" w:line="129"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Investment securities </w:t>
      </w:r>
      <w:r>
        <w:rPr>
          <w:rFonts w:ascii="Times New Roman" w:cs="Times New Roman" w:eastAsia="Times New Roman" w:hAnsi="Times New Roman"/>
          <w:sz w:val="17"/>
          <w:szCs w:val="17"/>
          <w:color w:val="auto"/>
        </w:rPr>
        <w:t>- are valued based on prices obtained from multiple third-party pricing sources. The pricing sources utilize various valuation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approaches, including market and income approaches. For Agency RMBS, the pricing sources primarily utilize a matrix pricing technique that interpolates the estimated fair value based on observed quoted prices for TBA securities having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TBA securities </w:t>
      </w:r>
      <w:r>
        <w:rPr>
          <w:rFonts w:ascii="Times New Roman" w:cs="Times New Roman" w:eastAsia="Times New Roman" w:hAnsi="Times New Roman"/>
          <w:sz w:val="18"/>
          <w:szCs w:val="18"/>
          <w:color w:val="auto"/>
        </w:rPr>
        <w:t>- are valued using prices obtained from third-party pricing sources based on pricing models that reference recent trading activity.</w:t>
      </w:r>
    </w:p>
    <w:p>
      <w:pPr>
        <w:spacing w:after="0" w:line="163" w:lineRule="exact"/>
        <w:rPr>
          <w:sz w:val="20"/>
          <w:szCs w:val="20"/>
          <w:color w:val="auto"/>
        </w:rPr>
      </w:pPr>
    </w:p>
    <w:p>
      <w:pPr>
        <w:jc w:val="both"/>
        <w:ind w:firstLine="43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Interest rate swaps </w:t>
      </w:r>
      <w:r>
        <w:rPr>
          <w:rFonts w:ascii="Times New Roman" w:cs="Times New Roman" w:eastAsia="Times New Roman" w:hAnsi="Times New Roman"/>
          <w:sz w:val="18"/>
          <w:szCs w:val="18"/>
          <w:color w:val="auto"/>
        </w:rPr>
        <w:t>- are valued using the daily settlement price, or fair value, determined by the clearing exchange based on a pricing model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references observable market inputs, including current benchmark rates and the forward yield curve.</w:t>
      </w:r>
    </w:p>
    <w:p>
      <w:pPr>
        <w:spacing w:after="0" w:line="112" w:lineRule="exact"/>
        <w:rPr>
          <w:sz w:val="20"/>
          <w:szCs w:val="20"/>
          <w:color w:val="auto"/>
        </w:rPr>
      </w:pPr>
    </w:p>
    <w:p>
      <w:pPr>
        <w:jc w:val="both"/>
        <w:ind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rate swaptions </w:t>
      </w:r>
      <w:r>
        <w:rPr>
          <w:rFonts w:ascii="Times New Roman" w:cs="Times New Roman" w:eastAsia="Times New Roman" w:hAnsi="Times New Roman"/>
          <w:sz w:val="18"/>
          <w:szCs w:val="18"/>
          <w:color w:val="auto"/>
        </w:rPr>
        <w:t>- are valued using prices obtained from the counterparty and other third-party pricing models. The pricing models are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value of the future interest rate swap that we have the option to enter into as well as the remaining length of time that we have to exercise the option based on observable market inputs, adjusted for non-performance risk, if any.</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U.S. Treasury securities and futures are valued based on quoted prices for identical instruments in active markets and are classified as Level 1 assets.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financial instruments are classified as Level 3 inputs.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7"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 Securities</w:t>
      </w:r>
    </w:p>
    <w:p>
      <w:pPr>
        <w:spacing w:after="0" w:line="165" w:lineRule="exact"/>
        <w:rPr>
          <w:sz w:val="20"/>
          <w:szCs w:val="20"/>
          <w:color w:val="auto"/>
        </w:rPr>
      </w:pPr>
    </w:p>
    <w:p>
      <w:pPr>
        <w:jc w:val="both"/>
        <w:ind w:firstLine="436"/>
        <w:spacing w:after="0" w:line="250" w:lineRule="auto"/>
        <w:rPr>
          <w:sz w:val="20"/>
          <w:szCs w:val="20"/>
          <w:color w:val="auto"/>
        </w:rPr>
      </w:pPr>
      <w:r>
        <w:rPr>
          <w:rFonts w:ascii="Times New Roman" w:cs="Times New Roman" w:eastAsia="Times New Roman" w:hAnsi="Times New Roman"/>
          <w:sz w:val="18"/>
          <w:szCs w:val="18"/>
          <w:color w:val="auto"/>
        </w:rPr>
        <w:t>As of September 30, 2026 and December 31, 2025, our investment portfolio consisted of $91.9 billion and $81.7 billion of investment securities, at fair value, respectively, $2.4 billion and $13.0 billion of net TBA securities, at fair value, respectively, and other mortgage credit investments of $72 million and $70 million, respectively, which we account for under the equity method of accounting. Our TBA position is reported at its net carrying value totaling $(70) million and $71 million as of September 30, 2026 and December 31, 2025, respectively, in derivative assets / (liabilities) on our accompanying consolidated balance sheets. The net carrying value of our TBA position represents the difference between the fair value of the underlying security and the cost basis or the forward price to be paid or received for the underlying security.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1" w:name="page12"/>
    <w:bookmarkEnd w:id="11"/>
    <w:p>
      <w:pPr>
        <w:ind w:firstLine="396"/>
        <w:spacing w:after="0" w:line="270" w:lineRule="auto"/>
        <w:rPr>
          <w:sz w:val="20"/>
          <w:szCs w:val="20"/>
          <w:color w:val="auto"/>
        </w:rPr>
      </w:pPr>
      <w:r>
        <w:rPr>
          <w:rFonts w:ascii="Times New Roman" w:cs="Times New Roman" w:eastAsia="Times New Roman" w:hAnsi="Times New Roman"/>
          <w:sz w:val="18"/>
          <w:szCs w:val="18"/>
          <w:color w:val="auto"/>
        </w:rPr>
        <w:t>As of September 30, 2026 and December 31, 2025, our investment securities had a net unamortized premium balance of $0.3 billion and $1.0 billion, respectively.</w:t>
      </w:r>
    </w:p>
    <w:p>
      <w:pPr>
        <w:spacing w:after="0" w:line="115"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The following tables summarize our investment securities as of September 30, 2026 and December 31, 2025, excluding TBA securities and other mortgage credit investments (dollars in millions). Details of our TBA securities are included in Note 5.</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6"/>
                <w:szCs w:val="16"/>
                <w:color w:val="auto"/>
              </w:rPr>
            </w:pPr>
          </w:p>
        </w:tc>
        <w:tc>
          <w:tcPr>
            <w:tcW w:w="2520" w:type="dxa"/>
            <w:vAlign w:val="bottom"/>
            <w:gridSpan w:val="4"/>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6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4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2"/>
                <w:szCs w:val="12"/>
                <w:color w:val="auto"/>
              </w:rPr>
            </w:pPr>
          </w:p>
        </w:tc>
        <w:tc>
          <w:tcPr>
            <w:tcW w:w="10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4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2"/>
                <w:szCs w:val="12"/>
                <w:color w:val="auto"/>
              </w:rPr>
            </w:pPr>
          </w:p>
        </w:tc>
        <w:tc>
          <w:tcPr>
            <w:tcW w:w="110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53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92,931</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86,874</w:t>
            </w:r>
          </w:p>
        </w:tc>
        <w:tc>
          <w:tcPr>
            <w:tcW w:w="26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77,643</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77,483</w:t>
            </w:r>
          </w:p>
        </w:tc>
        <w:tc>
          <w:tcPr>
            <w:tcW w:w="0" w:type="dxa"/>
            <w:vAlign w:val="bottom"/>
          </w:tcPr>
          <w:p>
            <w:pPr>
              <w:spacing w:after="0"/>
              <w:rPr>
                <w:sz w:val="1"/>
                <w:szCs w:val="1"/>
                <w:color w:val="auto"/>
              </w:rPr>
            </w:pPr>
          </w:p>
        </w:tc>
      </w:tr>
      <w:tr>
        <w:trPr>
          <w:trHeight w:val="24"/>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Adjustable rate</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2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867</w:t>
            </w:r>
          </w:p>
        </w:tc>
        <w:tc>
          <w:tcPr>
            <w:tcW w:w="0" w:type="dxa"/>
            <w:vAlign w:val="bottom"/>
          </w:tcPr>
          <w:p>
            <w:pPr>
              <w:spacing w:after="0"/>
              <w:rPr>
                <w:sz w:val="1"/>
                <w:szCs w:val="1"/>
                <w:color w:val="auto"/>
              </w:rPr>
            </w:pPr>
          </w:p>
        </w:tc>
      </w:tr>
      <w:tr>
        <w:trPr>
          <w:trHeight w:val="187"/>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CMO</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4"/>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Interest-only and principal-only strips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87"/>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Multifamily</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2,539</w:t>
            </w:r>
          </w:p>
        </w:tc>
        <w:tc>
          <w:tcPr>
            <w:tcW w:w="0" w:type="dxa"/>
            <w:vAlign w:val="bottom"/>
          </w:tcPr>
          <w:p>
            <w:pPr>
              <w:spacing w:after="0"/>
              <w:rPr>
                <w:sz w:val="1"/>
                <w:szCs w:val="1"/>
                <w:color w:val="auto"/>
              </w:rPr>
            </w:pPr>
          </w:p>
        </w:tc>
      </w:tr>
      <w:tr>
        <w:trPr>
          <w:trHeight w:val="24"/>
        </w:trPr>
        <w:tc>
          <w:tcPr>
            <w:tcW w:w="53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Agency RMBS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97,671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91,394</w:t>
            </w:r>
          </w:p>
        </w:tc>
        <w:tc>
          <w:tcPr>
            <w:tcW w:w="2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81,229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81,088</w:t>
            </w:r>
          </w:p>
        </w:tc>
        <w:tc>
          <w:tcPr>
            <w:tcW w:w="0" w:type="dxa"/>
            <w:vAlign w:val="bottom"/>
          </w:tcPr>
          <w:p>
            <w:pPr>
              <w:spacing w:after="0"/>
              <w:rPr>
                <w:sz w:val="1"/>
                <w:szCs w:val="1"/>
                <w:color w:val="auto"/>
              </w:rPr>
            </w:pPr>
          </w:p>
        </w:tc>
      </w:tr>
      <w:tr>
        <w:trPr>
          <w:trHeight w:val="211"/>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Non-Agency RMBS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1"/>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7"/>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CRT securities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24"/>
        </w:trPr>
        <w:tc>
          <w:tcPr>
            <w:tcW w:w="53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98,178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91,932</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81,817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81,719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September 30, 2026</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 xml:space="preserve">Non-Agency </w:t>
            </w:r>
            <w:r>
              <w:rPr>
                <w:rFonts w:ascii="Times New Roman" w:cs="Times New Roman" w:eastAsia="Times New Roman" w:hAnsi="Times New Roman"/>
                <w:sz w:val="18"/>
                <w:szCs w:val="18"/>
                <w:b w:val="1"/>
                <w:bCs w:val="1"/>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Non-Agency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6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40"/>
              <w:spacing w:after="0" w:line="125" w:lineRule="exact"/>
              <w:rPr>
                <w:sz w:val="20"/>
                <w:szCs w:val="20"/>
                <w:color w:val="auto"/>
              </w:rPr>
            </w:pPr>
            <w:r>
              <w:rPr>
                <w:rFonts w:ascii="Times New Roman" w:cs="Times New Roman" w:eastAsia="Times New Roman" w:hAnsi="Times New Roman"/>
                <w:sz w:val="14"/>
                <w:szCs w:val="14"/>
                <w:b w:val="1"/>
                <w:bCs w:val="1"/>
                <w:color w:val="auto"/>
              </w:rPr>
              <w:t>Agency</w:t>
            </w:r>
          </w:p>
        </w:tc>
        <w:tc>
          <w:tcPr>
            <w:tcW w:w="120" w:type="dxa"/>
            <w:vAlign w:val="bottom"/>
          </w:tcPr>
          <w:p>
            <w:pPr>
              <w:spacing w:after="0"/>
              <w:rPr>
                <w:sz w:val="10"/>
                <w:szCs w:val="10"/>
                <w:color w:val="auto"/>
              </w:rPr>
            </w:pPr>
          </w:p>
        </w:tc>
        <w:tc>
          <w:tcPr>
            <w:tcW w:w="62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RMBS</w:t>
            </w:r>
          </w:p>
        </w:tc>
        <w:tc>
          <w:tcPr>
            <w:tcW w:w="100" w:type="dxa"/>
            <w:vAlign w:val="bottom"/>
            <w:vMerge w:val="restart"/>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CMBS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CRT</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40"/>
              <w:spacing w:after="0" w:line="125" w:lineRule="exact"/>
              <w:rPr>
                <w:sz w:val="20"/>
                <w:szCs w:val="20"/>
                <w:color w:val="auto"/>
              </w:rPr>
            </w:pPr>
            <w:r>
              <w:rPr>
                <w:rFonts w:ascii="Times New Roman" w:cs="Times New Roman" w:eastAsia="Times New Roman" w:hAnsi="Times New Roman"/>
                <w:sz w:val="14"/>
                <w:szCs w:val="14"/>
                <w:b w:val="1"/>
                <w:bCs w:val="1"/>
                <w:color w:val="auto"/>
              </w:rPr>
              <w:t>Agency</w:t>
            </w:r>
          </w:p>
        </w:tc>
        <w:tc>
          <w:tcPr>
            <w:tcW w:w="120" w:type="dxa"/>
            <w:vAlign w:val="bottom"/>
          </w:tcPr>
          <w:p>
            <w:pPr>
              <w:spacing w:after="0"/>
              <w:rPr>
                <w:sz w:val="10"/>
                <w:szCs w:val="10"/>
                <w:color w:val="auto"/>
              </w:rPr>
            </w:pPr>
          </w:p>
        </w:tc>
        <w:tc>
          <w:tcPr>
            <w:tcW w:w="64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RMBS</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CMBS</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CRT</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48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RMBS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RMBS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Available-for-sale securities:</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 xml:space="preserve">Par value </w:t>
            </w:r>
            <w:r>
              <w:rPr>
                <w:rFonts w:ascii="Times New Roman" w:cs="Times New Roman" w:eastAsia="Times New Roman" w:hAnsi="Times New Roman"/>
                <w:sz w:val="16"/>
                <w:szCs w:val="16"/>
                <w:color w:val="auto"/>
                <w:vertAlign w:val="superscript"/>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3,098</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3,517</w:t>
            </w:r>
          </w:p>
        </w:tc>
        <w:tc>
          <w:tcPr>
            <w:tcW w:w="0" w:type="dxa"/>
            <w:vAlign w:val="bottom"/>
          </w:tcPr>
          <w:p>
            <w:pPr>
              <w:spacing w:after="0"/>
              <w:rPr>
                <w:sz w:val="1"/>
                <w:szCs w:val="1"/>
                <w:color w:val="auto"/>
              </w:rPr>
            </w:pPr>
          </w:p>
        </w:tc>
      </w:tr>
      <w:tr>
        <w:trPr>
          <w:trHeight w:val="176"/>
        </w:trPr>
        <w:tc>
          <w:tcPr>
            <w:tcW w:w="26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Unamortized discount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5"/>
                <w:szCs w:val="15"/>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6"/>
        </w:trPr>
        <w:tc>
          <w:tcPr>
            <w:tcW w:w="2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Unamortized premium</w:t>
            </w: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2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0" w:type="dxa"/>
            <w:vAlign w:val="bottom"/>
          </w:tcPr>
          <w:p>
            <w:pPr>
              <w:spacing w:after="0"/>
              <w:rPr>
                <w:sz w:val="1"/>
                <w:szCs w:val="1"/>
                <w:color w:val="auto"/>
              </w:rPr>
            </w:pPr>
          </w:p>
        </w:tc>
      </w:tr>
      <w:tr>
        <w:trPr>
          <w:trHeight w:val="176"/>
        </w:trPr>
        <w:tc>
          <w:tcPr>
            <w:tcW w:w="26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Amortized cost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5"/>
                <w:szCs w:val="15"/>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3,727</w:t>
            </w:r>
          </w:p>
        </w:tc>
        <w:tc>
          <w:tcPr>
            <w:tcW w:w="0" w:type="dxa"/>
            <w:vAlign w:val="bottom"/>
          </w:tcPr>
          <w:p>
            <w:pPr>
              <w:spacing w:after="0"/>
              <w:rPr>
                <w:sz w:val="1"/>
                <w:szCs w:val="1"/>
                <w:color w:val="auto"/>
              </w:rPr>
            </w:pPr>
          </w:p>
        </w:tc>
      </w:tr>
      <w:tr>
        <w:trPr>
          <w:trHeight w:val="193"/>
        </w:trPr>
        <w:tc>
          <w:tcPr>
            <w:tcW w:w="2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Gross unrealized gains</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6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2"/>
                <w:szCs w:val="12"/>
                <w:color w:val="auto"/>
              </w:rPr>
              <w:t>Gross unrealized losses</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(478)</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0" w:type="dxa"/>
            <w:vAlign w:val="bottom"/>
          </w:tcPr>
          <w:p>
            <w:pPr>
              <w:spacing w:after="0"/>
              <w:rPr>
                <w:sz w:val="1"/>
                <w:szCs w:val="1"/>
                <w:color w:val="auto"/>
              </w:rPr>
            </w:pPr>
          </w:p>
        </w:tc>
      </w:tr>
      <w:tr>
        <w:trPr>
          <w:trHeight w:val="185"/>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available-for-sale securities, at fair value</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2,805</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3,404</w:t>
            </w:r>
          </w:p>
        </w:tc>
        <w:tc>
          <w:tcPr>
            <w:tcW w:w="0" w:type="dxa"/>
            <w:vAlign w:val="bottom"/>
          </w:tcPr>
          <w:p>
            <w:pPr>
              <w:spacing w:after="0"/>
              <w:rPr>
                <w:sz w:val="1"/>
                <w:szCs w:val="1"/>
                <w:color w:val="auto"/>
              </w:rPr>
            </w:pPr>
          </w:p>
        </w:tc>
      </w:tr>
      <w:tr>
        <w:trPr>
          <w:trHeight w:val="112"/>
        </w:trPr>
        <w:tc>
          <w:tcPr>
            <w:tcW w:w="264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2"/>
                <w:szCs w:val="12"/>
                <w:color w:val="auto"/>
              </w:rPr>
              <w:t>Securities remeasured at fair value through</w:t>
            </w: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earnings: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 xml:space="preserve">Par value </w:t>
            </w:r>
            <w:r>
              <w:rPr>
                <w:rFonts w:ascii="Times New Roman" w:cs="Times New Roman" w:eastAsia="Times New Roman" w:hAnsi="Times New Roman"/>
                <w:sz w:val="16"/>
                <w:szCs w:val="16"/>
                <w:color w:val="auto"/>
                <w:vertAlign w:val="superscript"/>
              </w:rPr>
              <w:t>2</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94,314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2"/>
              </w:rPr>
              <w:t>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94,819</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76,729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77,313</w:t>
            </w:r>
          </w:p>
        </w:tc>
        <w:tc>
          <w:tcPr>
            <w:tcW w:w="0" w:type="dxa"/>
            <w:vAlign w:val="bottom"/>
          </w:tcPr>
          <w:p>
            <w:pPr>
              <w:spacing w:after="0"/>
              <w:rPr>
                <w:sz w:val="1"/>
                <w:szCs w:val="1"/>
                <w:color w:val="auto"/>
              </w:rPr>
            </w:pPr>
          </w:p>
        </w:tc>
      </w:tr>
      <w:tr>
        <w:trPr>
          <w:trHeight w:val="176"/>
        </w:trPr>
        <w:tc>
          <w:tcPr>
            <w:tcW w:w="26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Unamortized discount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w:t>
            </w:r>
          </w:p>
        </w:tc>
        <w:tc>
          <w:tcPr>
            <w:tcW w:w="0" w:type="dxa"/>
            <w:vAlign w:val="bottom"/>
          </w:tcPr>
          <w:p>
            <w:pPr>
              <w:spacing w:after="0"/>
              <w:rPr>
                <w:sz w:val="1"/>
                <w:szCs w:val="1"/>
                <w:color w:val="auto"/>
              </w:rPr>
            </w:pPr>
          </w:p>
        </w:tc>
      </w:tr>
      <w:tr>
        <w:trPr>
          <w:trHeight w:val="186"/>
        </w:trPr>
        <w:tc>
          <w:tcPr>
            <w:tcW w:w="2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Unamortized premium</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1,224</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1,311</w:t>
            </w:r>
          </w:p>
        </w:tc>
        <w:tc>
          <w:tcPr>
            <w:tcW w:w="0" w:type="dxa"/>
            <w:vAlign w:val="bottom"/>
          </w:tcPr>
          <w:p>
            <w:pPr>
              <w:spacing w:after="0"/>
              <w:rPr>
                <w:sz w:val="1"/>
                <w:szCs w:val="1"/>
                <w:color w:val="auto"/>
              </w:rPr>
            </w:pPr>
          </w:p>
        </w:tc>
      </w:tr>
      <w:tr>
        <w:trPr>
          <w:trHeight w:val="176"/>
        </w:trPr>
        <w:tc>
          <w:tcPr>
            <w:tcW w:w="26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Amortized cost</w:t>
            </w: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94,388</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2"/>
              </w:rPr>
              <w:t>10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481</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94,895</w:t>
            </w: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77,502</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561</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78,090</w:t>
            </w:r>
          </w:p>
        </w:tc>
        <w:tc>
          <w:tcPr>
            <w:tcW w:w="0" w:type="dxa"/>
            <w:vAlign w:val="bottom"/>
          </w:tcPr>
          <w:p>
            <w:pPr>
              <w:spacing w:after="0"/>
              <w:rPr>
                <w:sz w:val="1"/>
                <w:szCs w:val="1"/>
                <w:color w:val="auto"/>
              </w:rPr>
            </w:pPr>
          </w:p>
        </w:tc>
      </w:tr>
      <w:tr>
        <w:trPr>
          <w:trHeight w:val="193"/>
        </w:trPr>
        <w:tc>
          <w:tcPr>
            <w:tcW w:w="2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Gross unrealized gains</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1,175</w:t>
            </w:r>
          </w:p>
        </w:tc>
        <w:tc>
          <w:tcPr>
            <w:tcW w:w="0" w:type="dxa"/>
            <w:vAlign w:val="bottom"/>
          </w:tcPr>
          <w:p>
            <w:pPr>
              <w:spacing w:after="0"/>
              <w:rPr>
                <w:sz w:val="1"/>
                <w:szCs w:val="1"/>
                <w:color w:val="auto"/>
              </w:rPr>
            </w:pPr>
          </w:p>
        </w:tc>
      </w:tr>
      <w:tr>
        <w:trPr>
          <w:trHeight w:val="178"/>
        </w:trPr>
        <w:tc>
          <w:tcPr>
            <w:tcW w:w="26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Gross unrealized losses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w:t>
            </w:r>
          </w:p>
        </w:tc>
        <w:tc>
          <w:tcPr>
            <w:tcW w:w="0" w:type="dxa"/>
            <w:vAlign w:val="bottom"/>
          </w:tcPr>
          <w:p>
            <w:pPr>
              <w:spacing w:after="0"/>
              <w:rPr>
                <w:sz w:val="1"/>
                <w:szCs w:val="1"/>
                <w:color w:val="auto"/>
              </w:rPr>
            </w:pPr>
          </w:p>
        </w:tc>
      </w:tr>
      <w:tr>
        <w:trPr>
          <w:trHeight w:val="119"/>
        </w:trPr>
        <w:tc>
          <w:tcPr>
            <w:tcW w:w="2640" w:type="dxa"/>
            <w:vAlign w:val="bottom"/>
            <w:tcBorders>
              <w:top w:val="single" w:sz="8" w:color="CCEEFF"/>
            </w:tcBorders>
            <w:gridSpan w:val="2"/>
            <w:shd w:val="clear" w:color="auto" w:fill="CCEEFF"/>
          </w:tcPr>
          <w:p>
            <w:pPr>
              <w:ind w:left="20"/>
              <w:spacing w:after="0" w:line="119" w:lineRule="exact"/>
              <w:rPr>
                <w:sz w:val="20"/>
                <w:szCs w:val="20"/>
                <w:color w:val="auto"/>
              </w:rPr>
            </w:pPr>
            <w:r>
              <w:rPr>
                <w:rFonts w:ascii="Times New Roman" w:cs="Times New Roman" w:eastAsia="Times New Roman" w:hAnsi="Times New Roman"/>
                <w:sz w:val="12"/>
                <w:szCs w:val="12"/>
                <w:color w:val="auto"/>
              </w:rPr>
              <w:t>Total securities remeasured at fair value through</w:t>
            </w: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earnings</w:t>
            </w: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88,589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89,127</w:t>
            </w:r>
          </w:p>
        </w:tc>
        <w:tc>
          <w:tcPr>
            <w:tcW w:w="2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77,684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606</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78,315</w:t>
            </w:r>
          </w:p>
        </w:tc>
        <w:tc>
          <w:tcPr>
            <w:tcW w:w="0" w:type="dxa"/>
            <w:vAlign w:val="bottom"/>
          </w:tcPr>
          <w:p>
            <w:pPr>
              <w:spacing w:after="0"/>
              <w:rPr>
                <w:sz w:val="1"/>
                <w:szCs w:val="1"/>
                <w:color w:val="auto"/>
              </w:rPr>
            </w:pPr>
          </w:p>
        </w:tc>
      </w:tr>
      <w:tr>
        <w:trPr>
          <w:trHeight w:val="185"/>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 securities, at fair value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91,394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Pr>
          <w:p>
            <w:pPr>
              <w:spacing w:after="0"/>
              <w:rPr>
                <w:sz w:val="16"/>
                <w:szCs w:val="16"/>
                <w:color w:val="auto"/>
              </w:rPr>
            </w:pPr>
          </w:p>
        </w:tc>
        <w:tc>
          <w:tcPr>
            <w:tcW w:w="5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91,932</w:t>
            </w:r>
          </w:p>
        </w:tc>
        <w:tc>
          <w:tcPr>
            <w:tcW w:w="2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81,088</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81,719</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ind w:left="640" w:hanging="317"/>
        <w:spacing w:after="0"/>
        <w:tabs>
          <w:tab w:leader="none" w:pos="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Non-Agency amounts exclude other mortgage credit investments of $72 million and $70 million as of September 30, 2026 and December 31, 2025, respectively.</w:t>
      </w:r>
    </w:p>
    <w:p>
      <w:pPr>
        <w:spacing w:after="0" w:line="6" w:lineRule="exact"/>
        <w:rPr>
          <w:rFonts w:ascii="Times New Roman" w:cs="Times New Roman" w:eastAsia="Times New Roman" w:hAnsi="Times New Roman"/>
          <w:sz w:val="14"/>
          <w:szCs w:val="14"/>
          <w:color w:val="auto"/>
        </w:rPr>
      </w:pPr>
    </w:p>
    <w:p>
      <w:pPr>
        <w:ind w:left="640" w:hanging="317"/>
        <w:spacing w:after="0" w:line="271" w:lineRule="auto"/>
        <w:tabs>
          <w:tab w:leader="none" w:pos="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 value excludes interest-only securities. As of September 30, 2026 and December 31, 2025, Agency RMBS interest-only securities had a par value of $6,388 million and $4,475 million, respectively, and non-Agency interest-only securities had a par value of $16 million and $16 million,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2" w:name="page13"/>
    <w:bookmarkEnd w:id="12"/>
    <w:p>
      <w:pPr>
        <w:ind w:firstLine="436"/>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Company’s Agency RMBS portfolio by issuing GSE or U.S. Government agency at fair value as of September 30, 2026 and December 31, 2025 (in millions):</w:t>
      </w:r>
    </w:p>
    <w:p>
      <w:pPr>
        <w:spacing w:after="0" w:line="162" w:lineRule="exact"/>
        <w:rPr>
          <w:sz w:val="20"/>
          <w:szCs w:val="20"/>
          <w:color w:val="auto"/>
        </w:rPr>
      </w:pPr>
    </w:p>
    <w:tbl>
      <w:tblPr>
        <w:tblLayout w:type="fixed"/>
        <w:tblInd w:w="3180" w:type="dxa"/>
        <w:tblCellMar>
          <w:top w:w="0" w:type="dxa"/>
          <w:left w:w="0" w:type="dxa"/>
          <w:bottom w:w="0" w:type="dxa"/>
          <w:right w:w="0" w:type="dxa"/>
        </w:tblCellMar>
      </w:tblPr>
      <w:tr>
        <w:trPr>
          <w:trHeight w:val="185"/>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24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4"/>
        </w:trPr>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Fannie Mae</w:t>
            </w:r>
          </w:p>
        </w:tc>
        <w:tc>
          <w:tcPr>
            <w:tcW w:w="4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48,026</w:t>
            </w: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43,148</w:t>
            </w:r>
          </w:p>
        </w:tc>
      </w:tr>
      <w:tr>
        <w:trPr>
          <w:trHeight w:val="187"/>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Freddie Mac</w:t>
            </w: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43,279</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37,670</w:t>
            </w:r>
          </w:p>
        </w:tc>
      </w:tr>
      <w:tr>
        <w:trPr>
          <w:trHeight w:val="24"/>
        </w:trPr>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11"/>
        </w:trPr>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Ginnie Mae</w:t>
            </w:r>
          </w:p>
        </w:tc>
        <w:tc>
          <w:tcPr>
            <w:tcW w:w="4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204"/>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91,394</w:t>
            </w:r>
          </w:p>
        </w:tc>
        <w:tc>
          <w:tcPr>
            <w:tcW w:w="18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81,088</w:t>
            </w:r>
          </w:p>
        </w:tc>
      </w:tr>
      <w:tr>
        <w:trPr>
          <w:trHeight w:val="20"/>
        </w:trPr>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September 30, 2026 and December 31, 2025, our investments in CRT and non-Agency securities had the following credit ratings (in millions):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CRT and Non-Agency Security Credit Ratings </w:t>
            </w:r>
            <w:r>
              <w:rPr>
                <w:rFonts w:ascii="Times New Roman" w:cs="Times New Roman" w:eastAsia="Times New Roman" w:hAnsi="Times New Roman"/>
                <w:sz w:val="18"/>
                <w:szCs w:val="18"/>
                <w:b w:val="1"/>
                <w:bCs w:val="1"/>
                <w:color w:val="auto"/>
                <w:vertAlign w:val="superscript"/>
              </w:rPr>
              <w:t>1</w:t>
            </w:r>
          </w:p>
        </w:tc>
        <w:tc>
          <w:tcPr>
            <w:tcW w:w="16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9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CRT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0"/>
              <w:spacing w:after="0" w:line="205" w:lineRule="exact"/>
              <w:rPr>
                <w:sz w:val="20"/>
                <w:szCs w:val="20"/>
                <w:color w:val="auto"/>
              </w:rPr>
            </w:pPr>
            <w:r>
              <w:rPr>
                <w:rFonts w:ascii="Times New Roman" w:cs="Times New Roman" w:eastAsia="Times New Roman" w:hAnsi="Times New Roman"/>
                <w:sz w:val="14"/>
                <w:szCs w:val="14"/>
                <w:b w:val="1"/>
                <w:bCs w:val="1"/>
                <w:color w:val="auto"/>
              </w:rPr>
              <w:t xml:space="preserve">RMBS </w:t>
            </w:r>
            <w:r>
              <w:rPr>
                <w:rFonts w:ascii="Times New Roman" w:cs="Times New Roman" w:eastAsia="Times New Roman" w:hAnsi="Times New Roman"/>
                <w:sz w:val="18"/>
                <w:szCs w:val="18"/>
                <w:b w:val="1"/>
                <w:bCs w:val="1"/>
                <w:color w:val="auto"/>
                <w:vertAlign w:val="superscript"/>
              </w:rPr>
              <w:t>2</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CMBS</w:t>
            </w: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CRT</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0"/>
              <w:spacing w:after="0" w:line="205" w:lineRule="exact"/>
              <w:rPr>
                <w:sz w:val="20"/>
                <w:szCs w:val="20"/>
                <w:color w:val="auto"/>
              </w:rPr>
            </w:pPr>
            <w:r>
              <w:rPr>
                <w:rFonts w:ascii="Times New Roman" w:cs="Times New Roman" w:eastAsia="Times New Roman" w:hAnsi="Times New Roman"/>
                <w:sz w:val="14"/>
                <w:szCs w:val="14"/>
                <w:b w:val="1"/>
                <w:bCs w:val="1"/>
                <w:color w:val="auto"/>
              </w:rPr>
              <w:t xml:space="preserve">RMBS </w:t>
            </w:r>
            <w:r>
              <w:rPr>
                <w:rFonts w:ascii="Times New Roman" w:cs="Times New Roman" w:eastAsia="Times New Roman" w:hAnsi="Times New Roman"/>
                <w:sz w:val="18"/>
                <w:szCs w:val="18"/>
                <w:b w:val="1"/>
                <w:bCs w:val="1"/>
                <w:color w:val="auto"/>
                <w:vertAlign w:val="superscript"/>
              </w:rPr>
              <w:t>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CMBS</w:t>
            </w:r>
          </w:p>
        </w:tc>
        <w:tc>
          <w:tcPr>
            <w:tcW w:w="0" w:type="dxa"/>
            <w:vAlign w:val="bottom"/>
          </w:tcPr>
          <w:p>
            <w:pPr>
              <w:spacing w:after="0"/>
              <w:rPr>
                <w:sz w:val="1"/>
                <w:szCs w:val="1"/>
                <w:color w:val="auto"/>
              </w:rPr>
            </w:pPr>
          </w:p>
        </w:tc>
      </w:tr>
      <w:tr>
        <w:trPr>
          <w:trHeight w:val="184"/>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AAA</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AA</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6"/>
                <w:szCs w:val="16"/>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BBB</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BB</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6"/>
                <w:szCs w:val="16"/>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 Rated</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ind w:left="640" w:hanging="317"/>
        <w:spacing w:after="0" w:line="252" w:lineRule="auto"/>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lowest of Standard and Poor’s (“S&amp;P”), Moody’s, Fitch, DBRS, Kroll Bond Rating Agency (“KBRA”) and Morningstar credit ratings, stated in terms of the S&amp;P equivalent rating as of each date.</w:t>
      </w: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RMBS excludes other mortgage credit investments of $72 million and $70 million as of September 30, 2026 and December 31, 2025, respectively.</w:t>
      </w:r>
    </w:p>
    <w:p>
      <w:pPr>
        <w:spacing w:after="0" w:line="228" w:lineRule="exact"/>
        <w:rPr>
          <w:sz w:val="20"/>
          <w:szCs w:val="20"/>
          <w:color w:val="auto"/>
        </w:rPr>
      </w:pPr>
    </w:p>
    <w:p>
      <w:pPr>
        <w:jc w:val="both"/>
        <w:ind w:firstLine="436"/>
        <w:spacing w:after="0" w:line="236" w:lineRule="auto"/>
        <w:rPr>
          <w:sz w:val="20"/>
          <w:szCs w:val="20"/>
          <w:color w:val="auto"/>
        </w:rPr>
      </w:pPr>
      <w:r>
        <w:rPr>
          <w:rFonts w:ascii="Times New Roman" w:cs="Times New Roman" w:eastAsia="Times New Roman" w:hAnsi="Times New Roman"/>
          <w:sz w:val="18"/>
          <w:szCs w:val="18"/>
          <w:color w:val="auto"/>
        </w:rPr>
        <w:t>Our CRT securities primarily reference the performance of single-family and multifamily mortgage loans underlying Agency RMBS and CMBS issued by Fannie Mae or Freddie Mac, which are subject to the respective agency’s underwriting standards. The remainder of our CRT holdings reference single-family loans originated and issued by third-party market participants and may not be subject to the same standards.</w:t>
      </w:r>
    </w:p>
    <w:p>
      <w:pPr>
        <w:spacing w:after="0" w:line="142" w:lineRule="exact"/>
        <w:rPr>
          <w:sz w:val="20"/>
          <w:szCs w:val="20"/>
          <w:color w:val="auto"/>
        </w:rPr>
      </w:pPr>
    </w:p>
    <w:p>
      <w:pPr>
        <w:jc w:val="both"/>
        <w:ind w:firstLine="436"/>
        <w:spacing w:after="0" w:line="266" w:lineRule="auto"/>
        <w:rPr>
          <w:sz w:val="20"/>
          <w:szCs w:val="20"/>
          <w:color w:val="auto"/>
        </w:rPr>
      </w:pPr>
      <w:r>
        <w:rPr>
          <w:rFonts w:ascii="Times New Roman" w:cs="Times New Roman" w:eastAsia="Times New Roman" w:hAnsi="Times New Roman"/>
          <w:sz w:val="17"/>
          <w:szCs w:val="17"/>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September 30, 2026 and December 31, 2025, the weighted average expected constant prepayment rate (“CPR”) over the remaining life of our Agency and high credit quality non-Agency RMBS investment portfolio was 6.7% and 9.6%, respectively. Our estimates can differ materially for different securities and thus our individual holdings have a wide range of projected CPRs. The following table summarizes our investments as of September 30, 2026 and December 31, 2025 according to their estimated weighted average life classification (dollars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Weighted Average Life of</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2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18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4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9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3"/>
        </w:trPr>
        <w:tc>
          <w:tcPr>
            <w:tcW w:w="2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2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18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0" w:type="dxa"/>
            <w:vAlign w:val="bottom"/>
          </w:tcPr>
          <w:p>
            <w:pPr>
              <w:spacing w:after="0"/>
              <w:rPr>
                <w:sz w:val="12"/>
                <w:szCs w:val="12"/>
                <w:color w:val="auto"/>
              </w:rPr>
            </w:pPr>
          </w:p>
        </w:tc>
        <w:tc>
          <w:tcPr>
            <w:tcW w:w="8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98"/>
        </w:trPr>
        <w:tc>
          <w:tcPr>
            <w:tcW w:w="2640" w:type="dxa"/>
            <w:vAlign w:val="bottom"/>
            <w:tcBorders>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Investment Securities </w:t>
            </w:r>
            <w:r>
              <w:rPr>
                <w:rFonts w:ascii="Times New Roman" w:cs="Times New Roman" w:eastAsia="Times New Roman" w:hAnsi="Times New Roman"/>
                <w:sz w:val="18"/>
                <w:szCs w:val="18"/>
                <w:b w:val="1"/>
                <w:bCs w:val="1"/>
                <w:color w:val="auto"/>
                <w:vertAlign w:val="superscript"/>
              </w:rPr>
              <w:t>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84"/>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 years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6.52%</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6.45%</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4,630</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6.59%</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0" w:type="dxa"/>
            <w:vAlign w:val="bottom"/>
          </w:tcPr>
          <w:p>
            <w:pPr>
              <w:spacing w:after="0"/>
              <w:rPr>
                <w:sz w:val="1"/>
                <w:szCs w:val="1"/>
                <w:color w:val="auto"/>
              </w:rPr>
            </w:pPr>
          </w:p>
        </w:tc>
      </w:tr>
      <w:tr>
        <w:trPr>
          <w:trHeight w:val="187"/>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&gt; 3 years and ≤ 5 years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4.10%</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18,755</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5.85%</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0" w:type="dxa"/>
            <w:vAlign w:val="bottom"/>
          </w:tcPr>
          <w:p>
            <w:pPr>
              <w:spacing w:after="0"/>
              <w:rPr>
                <w:sz w:val="1"/>
                <w:szCs w:val="1"/>
                <w:color w:val="auto"/>
              </w:rPr>
            </w:pPr>
          </w:p>
        </w:tc>
      </w:tr>
      <w:tr>
        <w:trPr>
          <w:trHeight w:val="24"/>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&gt; 5 years and ≤ 10 years</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65,977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70,751</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5.09%</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4.90%</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55,562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56,048</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4.86%</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4.68%</w:t>
            </w:r>
          </w:p>
        </w:tc>
        <w:tc>
          <w:tcPr>
            <w:tcW w:w="0" w:type="dxa"/>
            <w:vAlign w:val="bottom"/>
          </w:tcPr>
          <w:p>
            <w:pPr>
              <w:spacing w:after="0"/>
              <w:rPr>
                <w:sz w:val="1"/>
                <w:szCs w:val="1"/>
                <w:color w:val="auto"/>
              </w:rPr>
            </w:pPr>
          </w:p>
        </w:tc>
      </w:tr>
      <w:tr>
        <w:trPr>
          <w:trHeight w:val="187"/>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&gt; 10 years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25,397</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4.92%</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2,384</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4.93%</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5.11%</w:t>
            </w:r>
          </w:p>
        </w:tc>
        <w:tc>
          <w:tcPr>
            <w:tcW w:w="0" w:type="dxa"/>
            <w:vAlign w:val="bottom"/>
          </w:tcPr>
          <w:p>
            <w:pPr>
              <w:spacing w:after="0"/>
              <w:rPr>
                <w:sz w:val="1"/>
                <w:szCs w:val="1"/>
                <w:color w:val="auto"/>
              </w:rPr>
            </w:pPr>
          </w:p>
        </w:tc>
      </w:tr>
      <w:tr>
        <w:trPr>
          <w:trHeight w:val="24"/>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91,932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98,178</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5.04%</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4.99%</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81,719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81,817</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5.19%</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4.93%</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49" w:lineRule="exact"/>
        <w:rPr>
          <w:sz w:val="20"/>
          <w:szCs w:val="20"/>
          <w:color w:val="auto"/>
        </w:rPr>
      </w:pPr>
    </w:p>
    <w:p>
      <w:pPr>
        <w:ind w:left="640" w:hanging="317"/>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excludes other mortgage credit investments of $72 million and $70 million as of September 30, 2026 and December 31, 2025, respectively.</w:t>
      </w:r>
    </w:p>
    <w:p>
      <w:pPr>
        <w:spacing w:after="0" w:line="160" w:lineRule="exact"/>
        <w:rPr>
          <w:sz w:val="20"/>
          <w:szCs w:val="20"/>
          <w:color w:val="auto"/>
        </w:rPr>
      </w:pPr>
    </w:p>
    <w:p>
      <w:pPr>
        <w:ind w:firstLine="475"/>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gross unrealized loss and fair values of securities classified as available-for-sale by length of time that such securities have been in a continuous unrealized loss position as of September 30, 2026 and December 31, 2025 (in millions):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 Loss Position For</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12 Months or More</w:t>
            </w:r>
          </w:p>
        </w:tc>
        <w:tc>
          <w:tcPr>
            <w:tcW w:w="22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Classified as Available-for-Sale</w:t>
            </w:r>
          </w:p>
        </w:tc>
        <w:tc>
          <w:tcPr>
            <w:tcW w:w="100" w:type="dxa"/>
            <w:vAlign w:val="bottom"/>
            <w:vMerge w:val="restart"/>
          </w:tcPr>
          <w:p>
            <w:pPr>
              <w:spacing w:after="0"/>
              <w:rPr>
                <w:sz w:val="12"/>
                <w:szCs w:val="12"/>
                <w:color w:val="auto"/>
              </w:rPr>
            </w:pPr>
          </w:p>
        </w:tc>
        <w:tc>
          <w:tcPr>
            <w:tcW w:w="820" w:type="dxa"/>
            <w:vAlign w:val="bottom"/>
          </w:tcPr>
          <w:p>
            <w:pPr>
              <w:jc w:val="right"/>
              <w:ind w:right="70"/>
              <w:spacing w:after="0" w:line="141" w:lineRule="exact"/>
              <w:rPr>
                <w:sz w:val="20"/>
                <w:szCs w:val="20"/>
                <w:color w:val="auto"/>
              </w:rPr>
            </w:pPr>
            <w:r>
              <w:rPr>
                <w:rFonts w:ascii="Times New Roman" w:cs="Times New Roman" w:eastAsia="Times New Roman" w:hAnsi="Times New Roman"/>
                <w:sz w:val="14"/>
                <w:szCs w:val="14"/>
                <w:b w:val="1"/>
                <w:bCs w:val="1"/>
                <w:color w:val="auto"/>
              </w:rPr>
              <w:t>Fair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960" w:type="dxa"/>
            <w:vAlign w:val="bottom"/>
            <w:gridSpan w:val="2"/>
          </w:tcPr>
          <w:p>
            <w:pPr>
              <w:ind w:left="180"/>
              <w:spacing w:after="0" w:line="141" w:lineRule="exact"/>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2"/>
                <w:szCs w:val="12"/>
                <w:color w:val="auto"/>
              </w:rPr>
            </w:pPr>
          </w:p>
        </w:tc>
        <w:tc>
          <w:tcPr>
            <w:tcW w:w="940" w:type="dxa"/>
            <w:vAlign w:val="bottom"/>
          </w:tcPr>
          <w:p>
            <w:pPr>
              <w:jc w:val="right"/>
              <w:ind w:right="170"/>
              <w:spacing w:after="0" w:line="14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1"/>
        </w:trPr>
        <w:tc>
          <w:tcPr>
            <w:tcW w:w="3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348"/>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2026</w:t>
            </w:r>
          </w:p>
        </w:tc>
        <w:tc>
          <w:tcPr>
            <w:tcW w:w="82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0" w:type="dxa"/>
            <w:vAlign w:val="bottom"/>
          </w:tcPr>
          <w:p>
            <w:pPr>
              <w:spacing w:after="0"/>
              <w:rPr>
                <w:sz w:val="1"/>
                <w:szCs w:val="1"/>
                <w:color w:val="auto"/>
              </w:rPr>
            </w:pPr>
          </w:p>
        </w:tc>
      </w:tr>
      <w:tr>
        <w:trPr>
          <w:trHeight w:val="346"/>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82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20" w:type="dxa"/>
            <w:vAlign w:val="bottom"/>
          </w:tcPr>
          <w:p>
            <w:pPr>
              <w:spacing w:after="0"/>
              <w:rPr>
                <w:sz w:val="24"/>
                <w:szCs w:val="24"/>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3,391</w:t>
            </w:r>
          </w:p>
        </w:tc>
        <w:tc>
          <w:tcPr>
            <w:tcW w:w="100" w:type="dxa"/>
            <w:vAlign w:val="bottom"/>
          </w:tcPr>
          <w:p>
            <w:pPr>
              <w:spacing w:after="0"/>
              <w:rPr>
                <w:sz w:val="24"/>
                <w:szCs w:val="24"/>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Gains and Losses on Sale of Investment Securities</w:t>
      </w:r>
    </w:p>
    <w:p>
      <w:pPr>
        <w:spacing w:after="0" w:line="167" w:lineRule="exact"/>
        <w:rPr>
          <w:sz w:val="20"/>
          <w:szCs w:val="20"/>
          <w:color w:val="auto"/>
        </w:rPr>
      </w:pPr>
    </w:p>
    <w:p>
      <w:pPr>
        <w:jc w:val="both"/>
        <w:ind w:firstLine="475"/>
        <w:spacing w:after="0" w:line="270" w:lineRule="auto"/>
        <w:rPr>
          <w:sz w:val="20"/>
          <w:szCs w:val="20"/>
          <w:color w:val="auto"/>
        </w:rPr>
      </w:pPr>
      <w:r>
        <w:rPr>
          <w:rFonts w:ascii="Times New Roman" w:cs="Times New Roman" w:eastAsia="Times New Roman" w:hAnsi="Times New Roman"/>
          <w:sz w:val="18"/>
          <w:szCs w:val="18"/>
          <w:color w:val="auto"/>
        </w:rPr>
        <w:t>The following table is a summary of our net gain (loss) from the sale of investment securities for the three and nine months ended September 30, 2026 and 2025 by investment classification of accounting (in millions):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4"/>
        </w:trPr>
        <w:tc>
          <w:tcPr>
            <w:tcW w:w="5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0"/>
        </w:trPr>
        <w:tc>
          <w:tcPr>
            <w:tcW w:w="5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4"/>
        </w:trPr>
        <w:tc>
          <w:tcPr>
            <w:tcW w:w="5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25"/>
        </w:trPr>
        <w:tc>
          <w:tcPr>
            <w:tcW w:w="5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2"/>
                <w:szCs w:val="12"/>
                <w:b w:val="1"/>
                <w:bCs w:val="1"/>
                <w:color w:val="auto"/>
                <w:w w:val="99"/>
              </w:rPr>
              <w:t>Available-for-</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2"/>
                <w:szCs w:val="12"/>
                <w:b w:val="1"/>
                <w:bCs w:val="1"/>
                <w:color w:val="auto"/>
              </w:rPr>
              <w:t>Available-for-</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19"/>
        </w:trPr>
        <w:tc>
          <w:tcPr>
            <w:tcW w:w="5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b w:val="1"/>
                <w:bCs w:val="1"/>
                <w:color w:val="auto"/>
              </w:rPr>
              <w:t>Sale</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b w:val="1"/>
                <w:bCs w:val="1"/>
                <w:color w:val="auto"/>
              </w:rPr>
              <w:t>Option</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b w:val="1"/>
                <w:bCs w:val="1"/>
                <w:color w:val="auto"/>
              </w:rPr>
              <w:t>Sale</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b w:val="1"/>
                <w:bCs w:val="1"/>
                <w:color w:val="auto"/>
              </w:rPr>
              <w:t>Option</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85"/>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Investment Securities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2"/>
                <w:szCs w:val="12"/>
                <w:b w:val="1"/>
                <w:bCs w:val="1"/>
                <w:color w:val="auto"/>
                <w:w w:val="99"/>
              </w:rPr>
              <w:t xml:space="preserve">Securities </w:t>
            </w:r>
            <w:r>
              <w:rPr>
                <w:rFonts w:ascii="Times New Roman" w:cs="Times New Roman" w:eastAsia="Times New Roman" w:hAnsi="Times New Roman"/>
                <w:sz w:val="16"/>
                <w:szCs w:val="16"/>
                <w:b w:val="1"/>
                <w:bCs w:val="1"/>
                <w:color w:val="auto"/>
                <w:w w:val="99"/>
                <w:vertAlign w:val="superscript"/>
              </w:rPr>
              <w:t>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2"/>
                <w:szCs w:val="12"/>
                <w:b w:val="1"/>
                <w:bCs w:val="1"/>
                <w:color w:val="auto"/>
                <w:w w:val="99"/>
              </w:rPr>
              <w:t>Securities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2"/>
                <w:szCs w:val="12"/>
                <w:b w:val="1"/>
                <w:bCs w:val="1"/>
                <w:color w:val="auto"/>
                <w:w w:val="99"/>
              </w:rPr>
              <w:t xml:space="preserve">Securities </w:t>
            </w:r>
            <w:r>
              <w:rPr>
                <w:rFonts w:ascii="Times New Roman" w:cs="Times New Roman" w:eastAsia="Times New Roman" w:hAnsi="Times New Roman"/>
                <w:sz w:val="16"/>
                <w:szCs w:val="16"/>
                <w:b w:val="1"/>
                <w:bCs w:val="1"/>
                <w:color w:val="auto"/>
                <w:w w:val="99"/>
                <w:vertAlign w:val="superscript"/>
              </w:rPr>
              <w:t>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2"/>
                <w:szCs w:val="12"/>
                <w:b w:val="1"/>
                <w:bCs w:val="1"/>
                <w:color w:val="auto"/>
                <w:w w:val="99"/>
              </w:rPr>
              <w:t>Securities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8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 securities sold, at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(8,055)</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(8,055)</w:t>
            </w:r>
          </w:p>
        </w:tc>
      </w:tr>
      <w:tr>
        <w:trPr>
          <w:trHeight w:val="24"/>
        </w:trPr>
        <w:tc>
          <w:tcPr>
            <w:tcW w:w="5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11"/>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Proceeds from investment securities sold </w:t>
            </w:r>
            <w:r>
              <w:rPr>
                <w:rFonts w:ascii="Times New Roman" w:cs="Times New Roman" w:eastAsia="Times New Roman" w:hAnsi="Times New Roman"/>
                <w:sz w:val="18"/>
                <w:szCs w:val="18"/>
                <w:color w:val="auto"/>
                <w:vertAlign w:val="superscript"/>
              </w:rPr>
              <w:t>1</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7,974</w:t>
            </w:r>
          </w:p>
        </w:tc>
      </w:tr>
      <w:tr>
        <w:trPr>
          <w:trHeight w:val="204"/>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7"/>
                <w:szCs w:val="17"/>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78"/>
        </w:trPr>
        <w:tc>
          <w:tcPr>
            <w:tcW w:w="5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bl>
    <w:p>
      <w:pPr>
        <w:spacing w:after="0" w:line="4" w:lineRule="exact"/>
        <w:rPr>
          <w:sz w:val="20"/>
          <w:szCs w:val="20"/>
          <w:color w:val="auto"/>
        </w:rPr>
      </w:pPr>
    </w:p>
    <w:p>
      <w:pPr>
        <w:sectPr>
          <w:pgSz w:w="11900" w:h="16838" w:orient="portrait"/>
          <w:cols w:equalWidth="0" w:num="1">
            <w:col w:w="11240"/>
          </w:cols>
          <w:pgMar w:left="320" w:top="1079" w:right="339" w:bottom="1440" w:gutter="0" w:footer="0" w:header="0"/>
        </w:sectPr>
      </w:pPr>
    </w:p>
    <w:p>
      <w:pPr>
        <w:ind w:left="20"/>
        <w:spacing w:after="0"/>
        <w:rPr>
          <w:sz w:val="20"/>
          <w:szCs w:val="20"/>
          <w:color w:val="auto"/>
        </w:rPr>
      </w:pPr>
      <w:r>
        <w:rPr>
          <w:rFonts w:ascii="Times New Roman" w:cs="Times New Roman" w:eastAsia="Times New Roman" w:hAnsi="Times New Roman"/>
          <w:sz w:val="14"/>
          <w:szCs w:val="14"/>
          <w:color w:val="auto"/>
        </w:rPr>
        <w:t>Gross gain on sale of investment securities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Gross loss on sale of investment securities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Investment Securities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44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5"/>
                <w:szCs w:val="15"/>
                <w:color w:val="auto"/>
              </w:rPr>
            </w:pPr>
          </w:p>
        </w:tc>
        <w:tc>
          <w:tcPr>
            <w:tcW w:w="44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11"/>
        </w:trPr>
        <w:tc>
          <w:tcPr>
            <w:tcW w:w="440" w:type="dxa"/>
            <w:vAlign w:val="bottom"/>
          </w:tcPr>
          <w:p>
            <w:pPr>
              <w:spacing w:after="0"/>
              <w:rPr>
                <w:sz w:val="18"/>
                <w:szCs w:val="18"/>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24"/>
        </w:trPr>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0"/>
        </w:trPr>
        <w:tc>
          <w:tcPr>
            <w:tcW w:w="44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80" w:type="dxa"/>
            <w:vAlign w:val="bottom"/>
          </w:tcPr>
          <w:p>
            <w:pPr>
              <w:spacing w:after="0"/>
              <w:rPr>
                <w:sz w:val="15"/>
                <w:szCs w:val="15"/>
                <w:color w:val="auto"/>
              </w:rPr>
            </w:pPr>
          </w:p>
        </w:tc>
        <w:tc>
          <w:tcPr>
            <w:tcW w:w="44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4"/>
        </w:trPr>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-309880</wp:posOffset>
            </wp:positionV>
            <wp:extent cx="7135495" cy="133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16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0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top w:val="single" w:sz="8" w:color="auto"/>
            </w:tcBorders>
          </w:tcPr>
          <w:p>
            <w:pPr>
              <w:spacing w:after="0"/>
              <w:rPr>
                <w:sz w:val="17"/>
                <w:szCs w:val="17"/>
                <w:color w:val="auto"/>
              </w:rPr>
            </w:pPr>
          </w:p>
        </w:tc>
      </w:tr>
      <w:tr>
        <w:trPr>
          <w:trHeight w:val="24"/>
        </w:trPr>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25"/>
        </w:trPr>
        <w:tc>
          <w:tcPr>
            <w:tcW w:w="10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9"/>
              </w:rPr>
              <w:t>Available-for-</w:t>
            </w: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rPr>
              <w:t>Available-for-</w:t>
            </w: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800" w:type="dxa"/>
            <w:vAlign w:val="bottom"/>
          </w:tcPr>
          <w:p>
            <w:pPr>
              <w:spacing w:after="0"/>
              <w:rPr>
                <w:sz w:val="10"/>
                <w:szCs w:val="10"/>
                <w:color w:val="auto"/>
              </w:rPr>
            </w:pPr>
          </w:p>
        </w:tc>
      </w:tr>
      <w:tr>
        <w:trPr>
          <w:trHeight w:val="119"/>
        </w:trPr>
        <w:tc>
          <w:tcPr>
            <w:tcW w:w="104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rPr>
              <w:t>Sale</w:t>
            </w:r>
          </w:p>
        </w:tc>
        <w:tc>
          <w:tcPr>
            <w:tcW w:w="100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rPr>
              <w:t>Option</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rPr>
              <w:t>Sale</w:t>
            </w:r>
          </w:p>
        </w:tc>
        <w:tc>
          <w:tcPr>
            <w:tcW w:w="100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rPr>
              <w:t>Option</w:t>
            </w:r>
          </w:p>
        </w:tc>
        <w:tc>
          <w:tcPr>
            <w:tcW w:w="800" w:type="dxa"/>
            <w:vAlign w:val="bottom"/>
          </w:tcPr>
          <w:p>
            <w:pPr>
              <w:spacing w:after="0"/>
              <w:rPr>
                <w:sz w:val="10"/>
                <w:szCs w:val="10"/>
                <w:color w:val="auto"/>
              </w:rPr>
            </w:pPr>
          </w:p>
        </w:tc>
      </w:tr>
      <w:tr>
        <w:trPr>
          <w:trHeight w:val="185"/>
        </w:trPr>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 xml:space="preserve">Securities </w:t>
            </w:r>
            <w:r>
              <w:rPr>
                <w:rFonts w:ascii="Times New Roman" w:cs="Times New Roman" w:eastAsia="Times New Roman" w:hAnsi="Times New Roman"/>
                <w:sz w:val="16"/>
                <w:szCs w:val="16"/>
                <w:b w:val="1"/>
                <w:bCs w:val="1"/>
                <w:color w:val="auto"/>
                <w:w w:val="96"/>
                <w:vertAlign w:val="superscript"/>
              </w:rPr>
              <w:t>2,3</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Securities</w:t>
            </w: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 xml:space="preserve">Securities </w:t>
            </w:r>
            <w:r>
              <w:rPr>
                <w:rFonts w:ascii="Times New Roman" w:cs="Times New Roman" w:eastAsia="Times New Roman" w:hAnsi="Times New Roman"/>
                <w:sz w:val="16"/>
                <w:szCs w:val="16"/>
                <w:b w:val="1"/>
                <w:bCs w:val="1"/>
                <w:color w:val="auto"/>
                <w:w w:val="96"/>
                <w:vertAlign w:val="superscript"/>
              </w:rPr>
              <w:t>2,3</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Securities</w:t>
            </w:r>
          </w:p>
        </w:tc>
        <w:tc>
          <w:tcPr>
            <w:tcW w:w="80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Total</w:t>
            </w:r>
          </w:p>
        </w:tc>
      </w:tr>
    </w:tbl>
    <w:p>
      <w:pPr>
        <w:spacing w:after="0" w:line="1" w:lineRule="exact"/>
        <w:rPr>
          <w:sz w:val="20"/>
          <w:szCs w:val="20"/>
          <w:color w:val="auto"/>
        </w:rPr>
      </w:pPr>
    </w:p>
    <w:p>
      <w:pPr>
        <w:sectPr>
          <w:pgSz w:w="11900" w:h="16838" w:orient="portrait"/>
          <w:cols w:equalWidth="0" w:num="2">
            <w:col w:w="4680" w:space="720"/>
            <w:col w:w="5840"/>
          </w:cols>
          <w:pgMar w:left="320" w:top="1079"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5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 securities sold, at cost</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(22,572)</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(22,665)</w:t>
            </w:r>
          </w:p>
        </w:tc>
        <w:tc>
          <w:tcPr>
            <w:tcW w:w="180" w:type="dxa"/>
            <w:vAlign w:val="bottom"/>
          </w:tcPr>
          <w:p>
            <w:pPr>
              <w:spacing w:after="0"/>
              <w:rPr>
                <w:sz w:val="15"/>
                <w:szCs w:val="15"/>
                <w:color w:val="auto"/>
              </w:rPr>
            </w:pPr>
          </w:p>
        </w:tc>
        <w:tc>
          <w:tcPr>
            <w:tcW w:w="3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(20,959)</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(21,068)</w:t>
            </w:r>
          </w:p>
        </w:tc>
      </w:tr>
      <w:tr>
        <w:trPr>
          <w:trHeight w:val="21"/>
        </w:trPr>
        <w:tc>
          <w:tcPr>
            <w:tcW w:w="5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1"/>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Proceeds from investment securities sold </w:t>
            </w:r>
            <w:r>
              <w:rPr>
                <w:rFonts w:ascii="Times New Roman" w:cs="Times New Roman" w:eastAsia="Times New Roman" w:hAnsi="Times New Roman"/>
                <w:sz w:val="18"/>
                <w:szCs w:val="18"/>
                <w:color w:val="auto"/>
                <w:vertAlign w:val="superscript"/>
              </w:rPr>
              <w:t>1</w:t>
            </w:r>
          </w:p>
        </w:tc>
        <w:tc>
          <w:tcPr>
            <w:tcW w:w="4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22,706</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20,565</w:t>
            </w:r>
          </w:p>
        </w:tc>
      </w:tr>
      <w:tr>
        <w:trPr>
          <w:trHeight w:val="204"/>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30"/>
        </w:trPr>
        <w:tc>
          <w:tcPr>
            <w:tcW w:w="5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187"/>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Gross gain on sale of investment securities</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80" w:type="dxa"/>
            <w:vAlign w:val="bottom"/>
          </w:tcPr>
          <w:p>
            <w:pPr>
              <w:spacing w:after="0"/>
              <w:rPr>
                <w:sz w:val="16"/>
                <w:szCs w:val="16"/>
                <w:color w:val="auto"/>
              </w:rPr>
            </w:pP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24"/>
        </w:trPr>
        <w:tc>
          <w:tcPr>
            <w:tcW w:w="5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11"/>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loss on sale of investment securities</w:t>
            </w:r>
          </w:p>
        </w:tc>
        <w:tc>
          <w:tcPr>
            <w:tcW w:w="4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r>
      <w:tr>
        <w:trPr>
          <w:trHeight w:val="204"/>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4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w:t>
            </w:r>
          </w:p>
        </w:tc>
      </w:tr>
      <w:tr>
        <w:trPr>
          <w:trHeight w:val="20"/>
        </w:trPr>
        <w:tc>
          <w:tcPr>
            <w:tcW w:w="5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49" w:lineRule="exact"/>
        <w:rPr>
          <w:sz w:val="20"/>
          <w:szCs w:val="20"/>
          <w:color w:val="auto"/>
        </w:rPr>
      </w:pPr>
    </w:p>
    <w:p>
      <w:pPr>
        <w:ind w:left="640" w:hanging="317"/>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Proceeds include cash received during the period, plus receivable for investment securities sold during the period as of period end.</w:t>
      </w:r>
    </w:p>
    <w:p>
      <w:pPr>
        <w:spacing w:after="0" w:line="22"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9 for a summary of changes in accumulated OCI.</w:t>
      </w:r>
    </w:p>
    <w:p>
      <w:pPr>
        <w:spacing w:after="0" w:line="10"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During the nine months ended September 30, 2026 and 2025, we received principal repayments on available-for-sale securities of $333 million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4"/>
          <w:szCs w:val="14"/>
          <w:color w:val="auto"/>
        </w:rPr>
        <w:t xml:space="preserve"> $408 million, respectively.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Repurchase Agreements and Reverse Repurchase Agreements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167" w:lineRule="exact"/>
        <w:rPr>
          <w:sz w:val="20"/>
          <w:szCs w:val="20"/>
          <w:color w:val="auto"/>
        </w:rPr>
      </w:pPr>
    </w:p>
    <w:p>
      <w:pPr>
        <w:jc w:val="both"/>
        <w:ind w:firstLine="436"/>
        <w:spacing w:after="0" w:line="250" w:lineRule="auto"/>
        <w:rPr>
          <w:sz w:val="20"/>
          <w:szCs w:val="20"/>
          <w:color w:val="auto"/>
        </w:rPr>
      </w:pPr>
      <w:r>
        <w:rPr>
          <w:rFonts w:ascii="Times New Roman" w:cs="Times New Roman" w:eastAsia="Times New Roman" w:hAnsi="Times New Roman"/>
          <w:sz w:val="18"/>
          <w:szCs w:val="18"/>
          <w:color w:val="auto"/>
        </w:rPr>
        <w:t>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September 30, 2026, we had met all margin call requirements. For additional information regarding our pledged assets, please refer to Note 6.</w:t>
      </w:r>
    </w:p>
    <w:p>
      <w:pPr>
        <w:spacing w:after="0" w:line="132"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As of September 30, 2026 and December 31, 2025, we had $96.7 billion and $85.3 billion, respectively, of repurchase agreements outstanding used to fund our investment portfolio and temporary holdings of U.S. Treasury securities. The terms and conditions of our repurchase agreements are typically negotiated on a transaction-by-transaction basis or subject to a tri-</w:t>
      </w:r>
    </w:p>
    <w:p>
      <w:pPr>
        <w:sectPr>
          <w:pgSz w:w="11900" w:h="16838" w:orient="portrait"/>
          <w:cols w:equalWidth="0" w:num="1">
            <w:col w:w="11240"/>
          </w:cols>
          <w:pgMar w:left="320" w:top="1079" w:right="339" w:bottom="1440" w:gutter="0" w:footer="0" w:header="0"/>
          <w:type w:val="continuous"/>
        </w:sect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type w:val="continuous"/>
        </w:sectPr>
      </w:pPr>
    </w:p>
    <w:bookmarkStart w:id="14" w:name="page15"/>
    <w:bookmarkEnd w:id="14"/>
    <w:p>
      <w:pPr>
        <w:jc w:val="both"/>
        <w:spacing w:after="0" w:line="270" w:lineRule="auto"/>
        <w:rPr>
          <w:sz w:val="20"/>
          <w:szCs w:val="20"/>
          <w:color w:val="auto"/>
        </w:rPr>
      </w:pPr>
      <w:r>
        <w:rPr>
          <w:rFonts w:ascii="Times New Roman" w:cs="Times New Roman" w:eastAsia="Times New Roman" w:hAnsi="Times New Roman"/>
          <w:sz w:val="18"/>
          <w:szCs w:val="18"/>
          <w:color w:val="auto"/>
        </w:rPr>
        <w:t>party repo agreement. The following table summarizes our borrowings under repurchase agreements by their remaining maturities as of September 30, 2026 and December 31, 2025 (dollars in millions):</w:t>
      </w:r>
    </w:p>
    <w:p>
      <w:pPr>
        <w:spacing w:after="0" w:line="162" w:lineRule="exact"/>
        <w:rPr>
          <w:sz w:val="20"/>
          <w:szCs w:val="20"/>
          <w:color w:val="auto"/>
        </w:rPr>
      </w:pPr>
    </w:p>
    <w:tbl>
      <w:tblPr>
        <w:tblLayout w:type="fixed"/>
        <w:tblInd w:w="140" w:type="dxa"/>
        <w:tblCellMar>
          <w:top w:w="0" w:type="dxa"/>
          <w:left w:w="0" w:type="dxa"/>
          <w:bottom w:w="0" w:type="dxa"/>
          <w:right w:w="0" w:type="dxa"/>
        </w:tblCellMar>
      </w:tblPr>
      <w:tr>
        <w:trPr>
          <w:trHeight w:val="185"/>
        </w:trPr>
        <w:tc>
          <w:tcPr>
            <w:tcW w:w="2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140"/>
              <w:spacing w:after="0" w:line="14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3"/>
        </w:trPr>
        <w:tc>
          <w:tcPr>
            <w:tcW w:w="2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42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44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Remaining Maturity</w:t>
            </w:r>
          </w:p>
        </w:tc>
        <w:tc>
          <w:tcPr>
            <w:tcW w:w="2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2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4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Average Days</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4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1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Average Days</w:t>
            </w:r>
          </w:p>
        </w:tc>
        <w:tc>
          <w:tcPr>
            <w:tcW w:w="0" w:type="dxa"/>
            <w:vAlign w:val="bottom"/>
          </w:tcPr>
          <w:p>
            <w:pPr>
              <w:spacing w:after="0"/>
              <w:rPr>
                <w:sz w:val="1"/>
                <w:szCs w:val="1"/>
                <w:color w:val="auto"/>
              </w:rPr>
            </w:pPr>
          </w:p>
        </w:tc>
      </w:tr>
      <w:tr>
        <w:trPr>
          <w:trHeight w:val="193"/>
        </w:trPr>
        <w:tc>
          <w:tcPr>
            <w:tcW w:w="26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Maturity</w:t>
            </w:r>
          </w:p>
        </w:tc>
        <w:tc>
          <w:tcPr>
            <w:tcW w:w="2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Maturity</w:t>
            </w:r>
          </w:p>
        </w:tc>
        <w:tc>
          <w:tcPr>
            <w:tcW w:w="0" w:type="dxa"/>
            <w:vAlign w:val="bottom"/>
          </w:tcPr>
          <w:p>
            <w:pPr>
              <w:spacing w:after="0"/>
              <w:rPr>
                <w:sz w:val="1"/>
                <w:szCs w:val="1"/>
                <w:color w:val="auto"/>
              </w:rPr>
            </w:pPr>
          </w:p>
        </w:tc>
      </w:tr>
      <w:tr>
        <w:trPr>
          <w:trHeight w:val="223"/>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Securities Repo:</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1 month</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83,637</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69,997</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3.98 %</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24"/>
        </w:trPr>
        <w:tc>
          <w:tcPr>
            <w:tcW w:w="2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&gt; 1 to ≤ 3 months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2,066</w:t>
            </w:r>
          </w:p>
        </w:tc>
        <w:tc>
          <w:tcPr>
            <w:tcW w:w="14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3.94 %</w:t>
            </w:r>
          </w:p>
        </w:tc>
        <w:tc>
          <w:tcPr>
            <w:tcW w:w="14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w:t>
            </w:r>
          </w:p>
        </w:tc>
        <w:tc>
          <w:tcPr>
            <w:tcW w:w="14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4.01 %</w:t>
            </w:r>
          </w:p>
        </w:tc>
        <w:tc>
          <w:tcPr>
            <w:tcW w:w="14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8"/>
        </w:trPr>
        <w:tc>
          <w:tcPr>
            <w:tcW w:w="2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Total Investment Securities Repo</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85,703</w:t>
            </w:r>
          </w:p>
        </w:tc>
        <w:tc>
          <w:tcPr>
            <w:tcW w:w="1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3.95 %</w:t>
            </w: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72,946</w:t>
            </w: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3.98 %</w:t>
            </w: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7"/>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U.S. Treasury Repo:</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9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 1 month</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11,016</w:t>
            </w: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3.94 %</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12,340</w:t>
            </w: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3.90 %</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45"/>
        </w:trPr>
        <w:tc>
          <w:tcPr>
            <w:tcW w:w="2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Repo</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96,719</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3.95 %</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85,286</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3.97 %</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As of September 30, 2026 and December 31, 2025, $39.8 billion and $27.5 billion, respectively, of our investment securities repurchase agreements and $11.0 billion and $10.9 billion, respectively, of our U.S. Treasury repurchase agreements had an overnight maturity of one business day and none of our repurchase agreements were due on demand. As of September 30, 2026, we had $31.7 billion of forward commitments to enter into repurchase agreements with a weighted average forward start date of 1 day and a weighted average interest rate of 3.95%. As of December 31, 2025, we had $24.7 billion of forward commitments to enter into repurchase agreements, with a weighted average forward start date of 2 days and a weighted average interest rate of 3.81%. As of September 30, 2026 and December 31, 2025, 59% and 57%,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43% and 44% of our repurchase agreement funding outstanding as of September 30, 2026 and December 31, 2025,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Repurchase Agreements</w:t>
      </w:r>
    </w:p>
    <w:p>
      <w:pPr>
        <w:spacing w:after="0" w:line="167"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As of September 30, 2026 and December 31, 2025, we had $23.8 billion and $16.6 billion, respectively, of reverse repurchase agreements outstanding used primarily to borrow securities to cover short sales of U.S. Treasury securities, for which we had associated obligations to return borrowed securities at fair value of $23.5 billion and $16.5 billion, respectively. As of September 30, 2026 and December 31, 2025, $6.0 billion and $5.2 billion, respectively, of our reverse repurchase agreements were with the FICC sourced through BES.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Derivative and Other Hedging Instruments</w:t>
      </w:r>
    </w:p>
    <w:p>
      <w:pPr>
        <w:spacing w:after="0" w:line="165"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For the periods presented, our interest rate based hedges primarily consisted of interest rate swaps, interest rate swaptions, U.S. Treasury securities and U.S. Treasury futures contracts. We also utilized forward contracts consisting of TBA securities, for the purchase and sale of Agency RMBS. For additional information regarding our derivative instruments and our overall risk management strategy, please refer to the discussion of derivative and other hedging instruments in Note 2.</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and Other Hedging Instrument Assets (Liabilities), at Fair Value</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summarizes fair value information about our derivative and other hedging instrument assets/(liabilities) as of September 30, 2026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and Other Hedging Instruments</w:t>
            </w:r>
          </w:p>
        </w:tc>
        <w:tc>
          <w:tcPr>
            <w:tcW w:w="100" w:type="dxa"/>
            <w:vAlign w:val="bottom"/>
            <w:vMerge w:val="restart"/>
          </w:tcPr>
          <w:p>
            <w:pPr>
              <w:spacing w:after="0"/>
              <w:rPr>
                <w:sz w:val="13"/>
                <w:szCs w:val="13"/>
                <w:color w:val="auto"/>
              </w:rPr>
            </w:pPr>
          </w:p>
        </w:tc>
        <w:tc>
          <w:tcPr>
            <w:tcW w:w="4200" w:type="dxa"/>
            <w:vAlign w:val="bottom"/>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4"/>
        </w:trPr>
        <w:tc>
          <w:tcPr>
            <w:tcW w:w="4420" w:type="dxa"/>
            <w:vAlign w:val="bottom"/>
            <w:gridSpan w:val="2"/>
            <w:shd w:val="clear" w:color="auto" w:fill="CCEEFF"/>
          </w:tcPr>
          <w:p>
            <w:pPr>
              <w:ind w:left="20"/>
              <w:spacing w:after="0" w:line="224" w:lineRule="exact"/>
              <w:rPr>
                <w:sz w:val="20"/>
                <w:szCs w:val="20"/>
                <w:color w:val="auto"/>
              </w:rPr>
            </w:pPr>
            <w:r>
              <w:rPr>
                <w:rFonts w:ascii="Times New Roman" w:cs="Times New Roman" w:eastAsia="Times New Roman" w:hAnsi="Times New Roman"/>
                <w:sz w:val="16"/>
                <w:szCs w:val="16"/>
                <w:color w:val="auto"/>
              </w:rPr>
              <w:t xml:space="preserve">Interest rate swaps </w:t>
            </w:r>
            <w:r>
              <w:rPr>
                <w:rFonts w:ascii="Times New Roman" w:cs="Times New Roman" w:eastAsia="Times New Roman" w:hAnsi="Times New Roman"/>
                <w:sz w:val="20"/>
                <w:szCs w:val="20"/>
                <w:color w:val="auto"/>
                <w:vertAlign w:val="superscript"/>
              </w:rPr>
              <w:t>1</w:t>
            </w:r>
          </w:p>
        </w:tc>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22"/>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Swaptions</w:t>
            </w: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2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27"/>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securities</w:t>
            </w:r>
          </w:p>
        </w:tc>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22"/>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 long</w:t>
            </w: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4"/>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futures - short</w:t>
            </w:r>
          </w:p>
        </w:tc>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20"/>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derivative assets, at fair value</w:t>
            </w:r>
          </w:p>
        </w:tc>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2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6"/>
                <w:szCs w:val="16"/>
                <w:color w:val="auto"/>
              </w:rPr>
              <w:t xml:space="preserve">Interest rate swaps </w:t>
            </w:r>
            <w:r>
              <w:rPr>
                <w:rFonts w:ascii="Times New Roman" w:cs="Times New Roman" w:eastAsia="Times New Roman" w:hAnsi="Times New Roman"/>
                <w:sz w:val="20"/>
                <w:szCs w:val="20"/>
                <w:color w:val="auto"/>
                <w:vertAlign w:val="superscript"/>
              </w:rPr>
              <w:t>1</w:t>
            </w: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securities</w:t>
            </w:r>
          </w:p>
        </w:tc>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2"/>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 long</w:t>
            </w: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4420" w:type="dxa"/>
            <w:vAlign w:val="bottom"/>
            <w:gridSpan w:val="2"/>
            <w:shd w:val="clear" w:color="auto" w:fill="CCEEFF"/>
          </w:tcPr>
          <w:p>
            <w:pPr>
              <w:ind w:left="20"/>
              <w:spacing w:after="0" w:line="227" w:lineRule="exact"/>
              <w:rPr>
                <w:sz w:val="20"/>
                <w:szCs w:val="20"/>
                <w:color w:val="auto"/>
              </w:rPr>
            </w:pPr>
            <w:r>
              <w:rPr>
                <w:rFonts w:ascii="Times New Roman" w:cs="Times New Roman" w:eastAsia="Times New Roman" w:hAnsi="Times New Roman"/>
                <w:sz w:val="16"/>
                <w:szCs w:val="16"/>
                <w:color w:val="auto"/>
              </w:rPr>
              <w:t xml:space="preserve">Credit default swaps </w:t>
            </w:r>
            <w:r>
              <w:rPr>
                <w:rFonts w:ascii="Times New Roman" w:cs="Times New Roman" w:eastAsia="Times New Roman" w:hAnsi="Times New Roman"/>
                <w:sz w:val="20"/>
                <w:szCs w:val="20"/>
                <w:color w:val="auto"/>
                <w:vertAlign w:val="superscript"/>
              </w:rPr>
              <w:t>1</w:t>
            </w:r>
          </w:p>
        </w:tc>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derivative liabilities, at fair value</w:t>
            </w: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long</w:t>
            </w: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at fair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13,028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13,477</w:t>
            </w:r>
          </w:p>
        </w:tc>
        <w:tc>
          <w:tcPr>
            <w:tcW w:w="0" w:type="dxa"/>
            <w:vAlign w:val="bottom"/>
          </w:tcPr>
          <w:p>
            <w:pPr>
              <w:spacing w:after="0"/>
              <w:rPr>
                <w:sz w:val="1"/>
                <w:szCs w:val="1"/>
                <w:color w:val="auto"/>
              </w:rPr>
            </w:pPr>
          </w:p>
        </w:tc>
      </w:tr>
      <w:tr>
        <w:trPr>
          <w:trHeight w:val="174"/>
        </w:trPr>
        <w:tc>
          <w:tcPr>
            <w:tcW w:w="4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w:t>
            </w:r>
          </w:p>
        </w:tc>
        <w:tc>
          <w:tcPr>
            <w:tcW w:w="432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Obligation to return securities borrowed under reverse</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(16,452)</w:t>
            </w:r>
          </w:p>
        </w:tc>
        <w:tc>
          <w:tcPr>
            <w:tcW w:w="0" w:type="dxa"/>
            <w:vAlign w:val="bottom"/>
          </w:tcPr>
          <w:p>
            <w:pPr>
              <w:spacing w:after="0"/>
              <w:rPr>
                <w:sz w:val="1"/>
                <w:szCs w:val="1"/>
                <w:color w:val="auto"/>
              </w:rPr>
            </w:pPr>
          </w:p>
        </w:tc>
      </w:tr>
      <w:tr>
        <w:trPr>
          <w:trHeight w:val="209"/>
        </w:trPr>
        <w:tc>
          <w:tcPr>
            <w:tcW w:w="4420" w:type="dxa"/>
            <w:vAlign w:val="bottom"/>
            <w:gridSpan w:val="2"/>
            <w:vMerge w:val="continue"/>
            <w:shd w:val="clear" w:color="auto" w:fill="CCEEFF"/>
          </w:tcPr>
          <w:p>
            <w:pPr>
              <w:spacing w:after="0"/>
              <w:rPr>
                <w:sz w:val="18"/>
                <w:szCs w:val="18"/>
                <w:color w:val="auto"/>
              </w:rPr>
            </w:pPr>
          </w:p>
        </w:tc>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agreements, at fair value</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U.S. Treasury securities, net at fair value</w:t>
            </w:r>
          </w:p>
        </w:tc>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jc w:val="both"/>
        <w:ind w:left="640" w:hanging="317"/>
        <w:spacing w:after="0" w:line="27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2026 and December 31, 2025, the net fair value of our interest rate swaps excluding the recognition of variation margin settlements as a direct reduction of carrying value (see Note 2) was a net asset (liability) of $4.2 billion and $1.3 billion, respectively. As of September 30, 2026, the net fair value of our credit default swaps excluding the recognition of variation margin settlements was a net asset (liability) of $(9) million.</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summarize certain characteristics of our derivative and other hedging instruments outstanding as of September 30, 2026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(dollars in millions):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Pay Fixed / Receive Variable Interest</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Rate Swaps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08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08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5"/>
        </w:trPr>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Variable</w:t>
            </w: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Variable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to Maturity</w:t>
            </w:r>
          </w:p>
        </w:tc>
        <w:tc>
          <w:tcPr>
            <w:tcW w:w="2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Fixed Pay</w:t>
            </w:r>
          </w:p>
        </w:tc>
        <w:tc>
          <w:tcPr>
            <w:tcW w:w="10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Receive</w:t>
            </w:r>
          </w:p>
        </w:tc>
        <w:tc>
          <w:tcPr>
            <w:tcW w:w="118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Maturity</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Fixed Pay</w:t>
            </w:r>
          </w:p>
        </w:tc>
        <w:tc>
          <w:tcPr>
            <w:tcW w:w="10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Receive</w:t>
            </w:r>
          </w:p>
        </w:tc>
        <w:tc>
          <w:tcPr>
            <w:tcW w:w="9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Maturity</w:t>
            </w:r>
          </w:p>
        </w:tc>
        <w:tc>
          <w:tcPr>
            <w:tcW w:w="0" w:type="dxa"/>
            <w:vAlign w:val="bottom"/>
          </w:tcPr>
          <w:p>
            <w:pPr>
              <w:spacing w:after="0"/>
              <w:rPr>
                <w:sz w:val="1"/>
                <w:szCs w:val="1"/>
                <w:color w:val="auto"/>
              </w:rPr>
            </w:pPr>
          </w:p>
        </w:tc>
      </w:tr>
      <w:tr>
        <w:trPr>
          <w:trHeight w:val="198"/>
        </w:trPr>
        <w:tc>
          <w:tcPr>
            <w:tcW w:w="23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5"/>
              </w:rPr>
              <w:t xml:space="preserve">Rate </w:t>
            </w:r>
            <w:r>
              <w:rPr>
                <w:rFonts w:ascii="Times New Roman" w:cs="Times New Roman" w:eastAsia="Times New Roman" w:hAnsi="Times New Roman"/>
                <w:sz w:val="18"/>
                <w:szCs w:val="18"/>
                <w:b w:val="1"/>
                <w:bCs w:val="1"/>
                <w:color w:val="auto"/>
                <w:w w:val="95"/>
                <w:vertAlign w:val="superscript"/>
              </w:rPr>
              <w:t>1</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5"/>
              </w:rPr>
              <w:t xml:space="preserve">Rate </w:t>
            </w:r>
            <w:r>
              <w:rPr>
                <w:rFonts w:ascii="Times New Roman" w:cs="Times New Roman" w:eastAsia="Times New Roman" w:hAnsi="Times New Roman"/>
                <w:sz w:val="18"/>
                <w:szCs w:val="18"/>
                <w:b w:val="1"/>
                <w:bCs w:val="1"/>
                <w:color w:val="auto"/>
                <w:w w:val="95"/>
                <w:vertAlign w:val="superscript"/>
              </w:rPr>
              <w:t>1</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0" w:type="dxa"/>
            <w:vAlign w:val="bottom"/>
          </w:tcPr>
          <w:p>
            <w:pPr>
              <w:spacing w:after="0"/>
              <w:rPr>
                <w:sz w:val="1"/>
                <w:szCs w:val="1"/>
                <w:color w:val="auto"/>
              </w:rPr>
            </w:pPr>
          </w:p>
        </w:tc>
      </w:tr>
      <w:tr>
        <w:trPr>
          <w:trHeight w:val="218"/>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 year</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0.26%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3.90%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0.20%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3.80%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0.5</w:t>
            </w:r>
          </w:p>
        </w:tc>
        <w:tc>
          <w:tcPr>
            <w:tcW w:w="0" w:type="dxa"/>
            <w:vAlign w:val="bottom"/>
          </w:tcPr>
          <w:p>
            <w:pPr>
              <w:spacing w:after="0"/>
              <w:rPr>
                <w:sz w:val="1"/>
                <w:szCs w:val="1"/>
                <w:color w:val="auto"/>
              </w:rPr>
            </w:pPr>
          </w:p>
        </w:tc>
      </w:tr>
      <w:tr>
        <w:trPr>
          <w:trHeight w:val="222"/>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1 to ≤ 3 years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31,271</w:t>
            </w: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2.85%</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3.90%</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20,421</w:t>
            </w:r>
          </w:p>
        </w:tc>
        <w:tc>
          <w:tcPr>
            <w:tcW w:w="1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2.38%</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3.86%</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0" w:type="dxa"/>
            <w:vAlign w:val="bottom"/>
          </w:tcPr>
          <w:p>
            <w:pPr>
              <w:spacing w:after="0"/>
              <w:rPr>
                <w:sz w:val="1"/>
                <w:szCs w:val="1"/>
                <w:color w:val="auto"/>
              </w:rPr>
            </w:pPr>
          </w:p>
        </w:tc>
      </w:tr>
      <w:tr>
        <w:trPr>
          <w:trHeight w:val="227"/>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3 to ≤ 5 years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2.58%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3.90%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2.26%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3.85%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0" w:type="dxa"/>
            <w:vAlign w:val="bottom"/>
          </w:tcPr>
          <w:p>
            <w:pPr>
              <w:spacing w:after="0"/>
              <w:rPr>
                <w:sz w:val="1"/>
                <w:szCs w:val="1"/>
                <w:color w:val="auto"/>
              </w:rPr>
            </w:pPr>
          </w:p>
        </w:tc>
      </w:tr>
      <w:tr>
        <w:trPr>
          <w:trHeight w:val="222"/>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5 to ≤ 7 years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15,896</w:t>
            </w: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3.30%</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3.90%</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13,980</w:t>
            </w:r>
          </w:p>
        </w:tc>
        <w:tc>
          <w:tcPr>
            <w:tcW w:w="1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3.43%</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3.87%</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6.8</w:t>
            </w:r>
          </w:p>
        </w:tc>
        <w:tc>
          <w:tcPr>
            <w:tcW w:w="0" w:type="dxa"/>
            <w:vAlign w:val="bottom"/>
          </w:tcPr>
          <w:p>
            <w:pPr>
              <w:spacing w:after="0"/>
              <w:rPr>
                <w:sz w:val="1"/>
                <w:szCs w:val="1"/>
                <w:color w:val="auto"/>
              </w:rPr>
            </w:pPr>
          </w:p>
        </w:tc>
      </w:tr>
      <w:tr>
        <w:trPr>
          <w:trHeight w:val="227"/>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7 to ≤ 10 years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3.59%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3.90%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13,961</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3.43%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3.87%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8.6</w:t>
            </w:r>
          </w:p>
        </w:tc>
        <w:tc>
          <w:tcPr>
            <w:tcW w:w="0" w:type="dxa"/>
            <w:vAlign w:val="bottom"/>
          </w:tcPr>
          <w:p>
            <w:pPr>
              <w:spacing w:after="0"/>
              <w:rPr>
                <w:sz w:val="1"/>
                <w:szCs w:val="1"/>
                <w:color w:val="auto"/>
              </w:rPr>
            </w:pPr>
          </w:p>
        </w:tc>
      </w:tr>
      <w:tr>
        <w:trPr>
          <w:trHeight w:val="222"/>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10 years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4.47%</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3.90%</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5"/>
              </w:rPr>
              <w:t>—%</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5"/>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0.0</w:t>
            </w:r>
          </w:p>
        </w:tc>
        <w:tc>
          <w:tcPr>
            <w:tcW w:w="0" w:type="dxa"/>
            <w:vAlign w:val="bottom"/>
          </w:tcPr>
          <w:p>
            <w:pPr>
              <w:spacing w:after="0"/>
              <w:rPr>
                <w:sz w:val="1"/>
                <w:szCs w:val="1"/>
                <w:color w:val="auto"/>
              </w:rPr>
            </w:pPr>
          </w:p>
        </w:tc>
      </w:tr>
      <w:tr>
        <w:trPr>
          <w:trHeight w:val="245"/>
        </w:trPr>
        <w:tc>
          <w:tcPr>
            <w:tcW w:w="2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64,632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ind w:left="640" w:hanging="317"/>
        <w:spacing w:after="0" w:line="267"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2026, 98% and 2% of notional amount receive index references SOFR and OIS, respectively. As of December 31, 2025, 95% and 5% of notional amount receive index references SOFR and OIS, respectively.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16" w:name="page17"/>
    <w:bookmarkEnd w:id="16"/>
    <w:tbl>
      <w:tblPr>
        <w:tblLayout w:type="fixed"/>
        <w:tblInd w:w="100" w:type="dxa"/>
        <w:tblCellMar>
          <w:top w:w="0" w:type="dxa"/>
          <w:left w:w="0" w:type="dxa"/>
          <w:bottom w:w="0" w:type="dxa"/>
          <w:right w:w="0" w:type="dxa"/>
        </w:tblCellMar>
      </w:tblPr>
      <w:tr>
        <w:trPr>
          <w:trHeight w:val="185"/>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Receiver Swaptions</w:t>
            </w:r>
          </w:p>
        </w:tc>
        <w:tc>
          <w:tcPr>
            <w:tcW w:w="1140" w:type="dxa"/>
            <w:vAlign w:val="bottom"/>
          </w:tcPr>
          <w:p>
            <w:pPr>
              <w:spacing w:after="0"/>
              <w:rPr>
                <w:sz w:val="16"/>
                <w:szCs w:val="16"/>
                <w:color w:val="auto"/>
              </w:rPr>
            </w:pPr>
          </w:p>
        </w:tc>
        <w:tc>
          <w:tcPr>
            <w:tcW w:w="110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 Receiver Swap</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88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Average Fixed</w:t>
            </w:r>
          </w:p>
        </w:tc>
        <w:tc>
          <w:tcPr>
            <w:tcW w:w="880" w:type="dxa"/>
            <w:vAlign w:val="bottom"/>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5"/>
        </w:trPr>
        <w:tc>
          <w:tcPr>
            <w:tcW w:w="3980" w:type="dxa"/>
            <w:vAlign w:val="bottom"/>
            <w:gridSpan w:val="2"/>
            <w:vMerge w:val="restart"/>
          </w:tcPr>
          <w:p>
            <w:pPr>
              <w:jc w:val="center"/>
              <w:ind w:left="197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Months to</w:t>
            </w:r>
          </w:p>
        </w:tc>
        <w:tc>
          <w:tcPr>
            <w:tcW w:w="8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7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80" w:type="dxa"/>
            <w:vAlign w:val="bottom"/>
            <w:gridSpan w:val="2"/>
            <w:vMerge w:val="continue"/>
          </w:tcPr>
          <w:p>
            <w:pPr>
              <w:spacing w:after="0"/>
              <w:rPr>
                <w:sz w:val="12"/>
                <w:szCs w:val="12"/>
                <w:color w:val="auto"/>
              </w:rPr>
            </w:pPr>
          </w:p>
        </w:tc>
        <w:tc>
          <w:tcPr>
            <w:tcW w:w="11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100" w:type="dxa"/>
            <w:vAlign w:val="bottom"/>
            <w:vMerge w:val="restart"/>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3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880" w:type="dxa"/>
            <w:vAlign w:val="bottom"/>
            <w:vMerge w:val="continue"/>
          </w:tcPr>
          <w:p>
            <w:pPr>
              <w:spacing w:after="0"/>
              <w:rPr>
                <w:sz w:val="12"/>
                <w:szCs w:val="12"/>
                <w:color w:val="auto"/>
              </w:rPr>
            </w:pPr>
          </w:p>
        </w:tc>
        <w:tc>
          <w:tcPr>
            <w:tcW w:w="1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Receive</w:t>
            </w:r>
          </w:p>
        </w:tc>
        <w:tc>
          <w:tcPr>
            <w:tcW w:w="880" w:type="dxa"/>
            <w:vAlign w:val="bottom"/>
          </w:tcPr>
          <w:p>
            <w:pPr>
              <w:jc w:val="center"/>
              <w:ind w:right="150"/>
              <w:spacing w:after="0" w:line="145" w:lineRule="exact"/>
              <w:rPr>
                <w:sz w:val="20"/>
                <w:szCs w:val="20"/>
                <w:color w:val="auto"/>
              </w:rPr>
            </w:pPr>
            <w:r>
              <w:rPr>
                <w:rFonts w:ascii="Times New Roman" w:cs="Times New Roman" w:eastAsia="Times New Roman" w:hAnsi="Times New Roman"/>
                <w:sz w:val="14"/>
                <w:szCs w:val="14"/>
                <w:b w:val="1"/>
                <w:bCs w:val="1"/>
                <w:color w:val="auto"/>
              </w:rPr>
              <w:t>Term</w:t>
            </w:r>
          </w:p>
        </w:tc>
        <w:tc>
          <w:tcPr>
            <w:tcW w:w="0" w:type="dxa"/>
            <w:vAlign w:val="bottom"/>
          </w:tcPr>
          <w:p>
            <w:pPr>
              <w:spacing w:after="0"/>
              <w:rPr>
                <w:sz w:val="1"/>
                <w:szCs w:val="1"/>
                <w:color w:val="auto"/>
              </w:rPr>
            </w:pPr>
          </w:p>
        </w:tc>
      </w:tr>
      <w:tr>
        <w:trPr>
          <w:trHeight w:val="198"/>
        </w:trPr>
        <w:tc>
          <w:tcPr>
            <w:tcW w:w="3980" w:type="dxa"/>
            <w:vAlign w:val="bottom"/>
            <w:gridSpan w:val="2"/>
          </w:tcPr>
          <w:p>
            <w:pPr>
              <w:jc w:val="center"/>
              <w:ind w:left="1990"/>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c>
          <w:tcPr>
            <w:tcW w:w="114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c>
          <w:tcPr>
            <w:tcW w:w="8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40" w:type="dxa"/>
            <w:vAlign w:val="bottom"/>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5"/>
              </w:rPr>
              <w:t xml:space="preserve">Rate </w:t>
            </w:r>
            <w:r>
              <w:rPr>
                <w:rFonts w:ascii="Times New Roman" w:cs="Times New Roman" w:eastAsia="Times New Roman" w:hAnsi="Times New Roman"/>
                <w:sz w:val="18"/>
                <w:szCs w:val="18"/>
                <w:b w:val="1"/>
                <w:bCs w:val="1"/>
                <w:color w:val="auto"/>
                <w:w w:val="95"/>
                <w:vertAlign w:val="superscript"/>
              </w:rPr>
              <w:t>1</w:t>
            </w: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0" w:type="dxa"/>
            <w:vAlign w:val="bottom"/>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2026</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 year</w:t>
            </w: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87"/>
              </w:rPr>
              <w:t>33</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6,250</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4.04%</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1 year</w:t>
            </w:r>
          </w:p>
        </w:tc>
        <w:tc>
          <w:tcPr>
            <w:tcW w:w="140" w:type="dxa"/>
            <w:vAlign w:val="bottom"/>
          </w:tcPr>
          <w:p>
            <w:pPr>
              <w:spacing w:after="0"/>
              <w:rPr>
                <w:sz w:val="19"/>
                <w:szCs w:val="19"/>
                <w:color w:val="auto"/>
              </w:rPr>
            </w:pPr>
          </w:p>
        </w:tc>
        <w:tc>
          <w:tcPr>
            <w:tcW w:w="102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9"/>
                <w:szCs w:val="19"/>
                <w:color w:val="auto"/>
              </w:rPr>
            </w:pPr>
          </w:p>
        </w:tc>
        <w:tc>
          <w:tcPr>
            <w:tcW w:w="56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87"/>
              </w:rPr>
              <w:t>24</w:t>
            </w:r>
          </w:p>
        </w:tc>
        <w:tc>
          <w:tcPr>
            <w:tcW w:w="100" w:type="dxa"/>
            <w:vAlign w:val="bottom"/>
          </w:tcPr>
          <w:p>
            <w:pPr>
              <w:spacing w:after="0"/>
              <w:rPr>
                <w:sz w:val="19"/>
                <w:szCs w:val="19"/>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7,000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3.04%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1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2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   Pay index references SOFR.</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2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U.S. Treasury Securities </w:t>
            </w:r>
            <w:r>
              <w:rPr>
                <w:rFonts w:ascii="Times New Roman" w:cs="Times New Roman" w:eastAsia="Times New Roman" w:hAnsi="Times New Roman"/>
                <w:sz w:val="18"/>
                <w:szCs w:val="18"/>
                <w:b w:val="1"/>
                <w:bCs w:val="1"/>
                <w:color w:val="auto"/>
                <w:vertAlign w:val="superscript"/>
              </w:rPr>
              <w:t>1</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to Maturity</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right"/>
              <w:ind w:right="101"/>
              <w:spacing w:after="0" w:line="141" w:lineRule="exact"/>
              <w:rPr>
                <w:sz w:val="20"/>
                <w:szCs w:val="20"/>
                <w:color w:val="auto"/>
              </w:rPr>
            </w:pPr>
            <w:r>
              <w:rPr>
                <w:rFonts w:ascii="Times New Roman" w:cs="Times New Roman" w:eastAsia="Times New Roman" w:hAnsi="Times New Roman"/>
                <w:sz w:val="14"/>
                <w:szCs w:val="14"/>
                <w:b w:val="1"/>
                <w:bCs w:val="1"/>
                <w:color w:val="auto"/>
              </w:rPr>
              <w:t>Face Amount</w:t>
            </w:r>
          </w:p>
        </w:tc>
        <w:tc>
          <w:tcPr>
            <w:tcW w:w="160" w:type="dxa"/>
            <w:vAlign w:val="bottom"/>
          </w:tcPr>
          <w:p>
            <w:pPr>
              <w:spacing w:after="0"/>
              <w:rPr>
                <w:sz w:val="12"/>
                <w:szCs w:val="12"/>
                <w:color w:val="auto"/>
              </w:rPr>
            </w:pPr>
          </w:p>
        </w:tc>
        <w:tc>
          <w:tcPr>
            <w:tcW w:w="11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5"/>
          </w:tcPr>
          <w:p>
            <w:pPr>
              <w:jc w:val="right"/>
              <w:ind w:right="340"/>
              <w:spacing w:after="0" w:line="141" w:lineRule="exact"/>
              <w:rPr>
                <w:sz w:val="20"/>
                <w:szCs w:val="20"/>
                <w:color w:val="auto"/>
              </w:rPr>
            </w:pPr>
            <w:r>
              <w:rPr>
                <w:rFonts w:ascii="Times New Roman" w:cs="Times New Roman" w:eastAsia="Times New Roman" w:hAnsi="Times New Roman"/>
                <w:sz w:val="14"/>
                <w:szCs w:val="14"/>
                <w:b w:val="1"/>
                <w:bCs w:val="1"/>
                <w:color w:val="auto"/>
              </w:rPr>
              <w:t>Face Amount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60" w:type="dxa"/>
            <w:vAlign w:val="bottom"/>
            <w:gridSpan w:val="2"/>
            <w:vMerge w:val="restart"/>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2260" w:type="dxa"/>
            <w:vAlign w:val="bottom"/>
            <w:tcBorders>
              <w:bottom w:val="single" w:sz="8" w:color="auto"/>
            </w:tcBorders>
            <w:gridSpan w:val="3"/>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Long/(Short)</w:t>
            </w:r>
          </w:p>
        </w:tc>
        <w:tc>
          <w:tcPr>
            <w:tcW w:w="1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Long/(Short)</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5 years</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9,476</w:t>
            </w:r>
          </w:p>
        </w:tc>
        <w:tc>
          <w:tcPr>
            <w:tcW w:w="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9,297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12,470</w:t>
            </w:r>
          </w:p>
        </w:tc>
        <w:tc>
          <w:tcPr>
            <w:tcW w:w="12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12,467</w:t>
            </w:r>
          </w:p>
        </w:tc>
        <w:tc>
          <w:tcPr>
            <w:tcW w:w="0" w:type="dxa"/>
            <w:vAlign w:val="bottom"/>
          </w:tcPr>
          <w:p>
            <w:pPr>
              <w:spacing w:after="0"/>
              <w:rPr>
                <w:sz w:val="1"/>
                <w:szCs w:val="1"/>
                <w:color w:val="auto"/>
              </w:rPr>
            </w:pPr>
          </w:p>
        </w:tc>
      </w:tr>
      <w:tr>
        <w:trPr>
          <w:trHeight w:val="222"/>
        </w:trPr>
        <w:tc>
          <w:tcPr>
            <w:tcW w:w="2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&gt; 5 to ≤ 7 years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27"/>
        </w:trPr>
        <w:tc>
          <w:tcPr>
            <w:tcW w:w="2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7 to ≤ 10 years</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(18,902)</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(18,575)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(12,390)</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(12,493)</w:t>
            </w:r>
          </w:p>
        </w:tc>
        <w:tc>
          <w:tcPr>
            <w:tcW w:w="0" w:type="dxa"/>
            <w:vAlign w:val="bottom"/>
          </w:tcPr>
          <w:p>
            <w:pPr>
              <w:spacing w:after="0"/>
              <w:rPr>
                <w:sz w:val="1"/>
                <w:szCs w:val="1"/>
                <w:color w:val="auto"/>
              </w:rPr>
            </w:pPr>
          </w:p>
        </w:tc>
      </w:tr>
      <w:tr>
        <w:trPr>
          <w:trHeight w:val="222"/>
        </w:trPr>
        <w:tc>
          <w:tcPr>
            <w:tcW w:w="22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&gt; 10 years</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(2,175)</w:t>
            </w:r>
          </w:p>
        </w:tc>
        <w:tc>
          <w:tcPr>
            <w:tcW w:w="0" w:type="dxa"/>
            <w:vAlign w:val="bottom"/>
          </w:tcPr>
          <w:p>
            <w:pPr>
              <w:spacing w:after="0"/>
              <w:rPr>
                <w:sz w:val="1"/>
                <w:szCs w:val="1"/>
                <w:color w:val="auto"/>
              </w:rPr>
            </w:pPr>
          </w:p>
        </w:tc>
      </w:tr>
      <w:tr>
        <w:trPr>
          <w:trHeight w:val="240"/>
        </w:trPr>
        <w:tc>
          <w:tcPr>
            <w:tcW w:w="2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U.S. Treasury securities, net</w:t>
            </w: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(11,800)</w:t>
            </w:r>
          </w:p>
        </w:tc>
        <w:tc>
          <w:tcPr>
            <w:tcW w:w="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(11,552)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w:t>
            </w:r>
          </w:p>
        </w:tc>
        <w:tc>
          <w:tcPr>
            <w:tcW w:w="120" w:type="dxa"/>
            <w:vAlign w:val="bottom"/>
            <w:shd w:val="clear" w:color="auto" w:fill="CCEEFF"/>
          </w:tcPr>
          <w:p>
            <w:pPr>
              <w:spacing w:after="0"/>
              <w:rPr>
                <w:sz w:val="20"/>
                <w:szCs w:val="20"/>
                <w:color w:val="auto"/>
              </w:rPr>
            </w:pP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(2,975)</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jc w:val="both"/>
        <w:ind w:left="640" w:hanging="317"/>
        <w:spacing w:after="0" w:line="25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2026 and December 31, 2025, short U.S. Treasury securities totaling $(23.5) billion and $(16.5) billion, at fair value, respectively, had a weighted average yield of 4.48% and 4.21%, respectively. As of September 30, 2026 and December 31, 2025, long U.S. Treasury securities totaling $13.0 billion and $13.5 billion, at fair value, respectively, had a weighted average yield of 3.76% and 3.67%, respectively.</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U.S. Treasury Futures</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2"/>
                <w:szCs w:val="12"/>
                <w:b w:val="1"/>
                <w:bCs w:val="1"/>
                <w:color w:val="auto"/>
              </w:rPr>
              <w:t>Notional</w:t>
            </w:r>
          </w:p>
        </w:tc>
        <w:tc>
          <w:tcPr>
            <w:tcW w:w="180" w:type="dxa"/>
            <w:vAlign w:val="bottom"/>
          </w:tcPr>
          <w:p>
            <w:pPr>
              <w:spacing w:after="0"/>
              <w:rPr>
                <w:sz w:val="10"/>
                <w:szCs w:val="10"/>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00" w:type="dxa"/>
            <w:vAlign w:val="bottom"/>
          </w:tcPr>
          <w:p>
            <w:pPr>
              <w:spacing w:after="0"/>
              <w:rPr>
                <w:sz w:val="10"/>
                <w:szCs w:val="10"/>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Fair</w:t>
            </w:r>
          </w:p>
        </w:tc>
        <w:tc>
          <w:tcPr>
            <w:tcW w:w="100" w:type="dxa"/>
            <w:vAlign w:val="bottom"/>
          </w:tcPr>
          <w:p>
            <w:pPr>
              <w:spacing w:after="0"/>
              <w:rPr>
                <w:sz w:val="10"/>
                <w:szCs w:val="10"/>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Net Carrying</w:t>
            </w:r>
          </w:p>
        </w:tc>
        <w:tc>
          <w:tcPr>
            <w:tcW w:w="160" w:type="dxa"/>
            <w:vAlign w:val="bottom"/>
          </w:tcPr>
          <w:p>
            <w:pPr>
              <w:spacing w:after="0"/>
              <w:rPr>
                <w:sz w:val="10"/>
                <w:szCs w:val="10"/>
                <w:color w:val="auto"/>
              </w:rPr>
            </w:pPr>
          </w:p>
        </w:tc>
        <w:tc>
          <w:tcPr>
            <w:tcW w:w="112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2"/>
                <w:szCs w:val="12"/>
                <w:b w:val="1"/>
                <w:bCs w:val="1"/>
                <w:color w:val="auto"/>
              </w:rPr>
              <w:t>Notional</w:t>
            </w:r>
          </w:p>
        </w:tc>
        <w:tc>
          <w:tcPr>
            <w:tcW w:w="180" w:type="dxa"/>
            <w:vAlign w:val="bottom"/>
          </w:tcPr>
          <w:p>
            <w:pPr>
              <w:spacing w:after="0"/>
              <w:rPr>
                <w:sz w:val="10"/>
                <w:szCs w:val="10"/>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00" w:type="dxa"/>
            <w:vAlign w:val="bottom"/>
          </w:tcPr>
          <w:p>
            <w:pPr>
              <w:spacing w:after="0"/>
              <w:rPr>
                <w:sz w:val="10"/>
                <w:szCs w:val="10"/>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Fair</w:t>
            </w:r>
          </w:p>
        </w:tc>
        <w:tc>
          <w:tcPr>
            <w:tcW w:w="100" w:type="dxa"/>
            <w:vAlign w:val="bottom"/>
          </w:tcPr>
          <w:p>
            <w:pPr>
              <w:spacing w:after="0"/>
              <w:rPr>
                <w:sz w:val="10"/>
                <w:szCs w:val="10"/>
                <w:color w:val="auto"/>
              </w:rPr>
            </w:pPr>
          </w:p>
        </w:tc>
        <w:tc>
          <w:tcPr>
            <w:tcW w:w="820" w:type="dxa"/>
            <w:vAlign w:val="bottom"/>
            <w:vMerge w:val="restart"/>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w w:val="99"/>
              </w:rPr>
              <w:t>Net Carrying</w:t>
            </w: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1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1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Years to Maturity</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2"/>
                <w:szCs w:val="12"/>
                <w:b w:val="1"/>
                <w:bCs w:val="1"/>
                <w:color w:val="auto"/>
              </w:rPr>
              <w:t>Long (Short)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2"/>
                <w:szCs w:val="12"/>
                <w:b w:val="1"/>
                <w:bCs w:val="1"/>
                <w:color w:val="auto"/>
              </w:rPr>
              <w:t>Basis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2"/>
                <w:szCs w:val="12"/>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2"/>
                <w:szCs w:val="12"/>
                <w:b w:val="1"/>
                <w:bCs w:val="1"/>
                <w:color w:val="auto"/>
              </w:rPr>
              <w:t xml:space="preserve">Value </w:t>
            </w:r>
            <w:r>
              <w:rPr>
                <w:rFonts w:ascii="Times New Roman" w:cs="Times New Roman" w:eastAsia="Times New Roman" w:hAnsi="Times New Roman"/>
                <w:sz w:val="16"/>
                <w:szCs w:val="16"/>
                <w:b w:val="1"/>
                <w:bCs w:val="1"/>
                <w:color w:val="auto"/>
                <w:vertAlign w:val="superscript"/>
              </w:rPr>
              <w:t>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2"/>
                <w:szCs w:val="12"/>
                <w:b w:val="1"/>
                <w:bCs w:val="1"/>
                <w:color w:val="auto"/>
              </w:rPr>
              <w:t>Long (Short)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2"/>
                <w:szCs w:val="12"/>
                <w:b w:val="1"/>
                <w:bCs w:val="1"/>
                <w:color w:val="auto"/>
              </w:rPr>
              <w:t>Basis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2"/>
                <w:szCs w:val="12"/>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2"/>
                <w:szCs w:val="12"/>
                <w:b w:val="1"/>
                <w:bCs w:val="1"/>
                <w:color w:val="auto"/>
              </w:rPr>
              <w:t xml:space="preserve">Value </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84"/>
        </w:trPr>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 years</w:t>
            </w: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&gt; 5 to ≤ 7 years</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4"/>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&gt; 7 to ≤ 10 years</w:t>
            </w: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&gt; 10 years</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4"/>
        </w:trPr>
        <w:tc>
          <w:tcPr>
            <w:tcW w:w="2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U.S. Treasury futures, net</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ind w:left="640" w:hanging="317"/>
        <w:spacing w:after="0" w:line="243"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2026 and December 31, 2025, short U.S. Treasury futures totaled $(7.4) billion and $(3.7) billion, at fair value, respectively. As of September 30, 2026 and December 31, 2025, long U.S. Treasury futures totaled $6.9 billion and $5.2 billion, at fair value, respectively.</w:t>
      </w:r>
    </w:p>
    <w:p>
      <w:pPr>
        <w:ind w:left="640" w:hanging="317"/>
        <w:spacing w:after="0" w:line="271"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5"/>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2"/>
                <w:szCs w:val="12"/>
                <w:b w:val="1"/>
                <w:bCs w:val="1"/>
                <w:color w:val="auto"/>
              </w:rPr>
              <w:t>Notional</w:t>
            </w:r>
          </w:p>
        </w:tc>
        <w:tc>
          <w:tcPr>
            <w:tcW w:w="180" w:type="dxa"/>
            <w:vAlign w:val="bottom"/>
          </w:tcPr>
          <w:p>
            <w:pPr>
              <w:spacing w:after="0"/>
              <w:rPr>
                <w:sz w:val="10"/>
                <w:szCs w:val="10"/>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80" w:type="dxa"/>
            <w:vAlign w:val="bottom"/>
          </w:tcPr>
          <w:p>
            <w:pPr>
              <w:spacing w:after="0"/>
              <w:rPr>
                <w:sz w:val="10"/>
                <w:szCs w:val="10"/>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Fair</w:t>
            </w:r>
          </w:p>
        </w:tc>
        <w:tc>
          <w:tcPr>
            <w:tcW w:w="10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Net Carrying</w:t>
            </w:r>
          </w:p>
        </w:tc>
        <w:tc>
          <w:tcPr>
            <w:tcW w:w="160" w:type="dxa"/>
            <w:vAlign w:val="bottom"/>
          </w:tcPr>
          <w:p>
            <w:pPr>
              <w:spacing w:after="0"/>
              <w:rPr>
                <w:sz w:val="10"/>
                <w:szCs w:val="10"/>
                <w:color w:val="auto"/>
              </w:rPr>
            </w:pPr>
          </w:p>
        </w:tc>
        <w:tc>
          <w:tcPr>
            <w:tcW w:w="112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2"/>
                <w:szCs w:val="12"/>
                <w:b w:val="1"/>
                <w:bCs w:val="1"/>
                <w:color w:val="auto"/>
              </w:rPr>
              <w:t>Notional</w:t>
            </w:r>
          </w:p>
        </w:tc>
        <w:tc>
          <w:tcPr>
            <w:tcW w:w="180" w:type="dxa"/>
            <w:vAlign w:val="bottom"/>
          </w:tcPr>
          <w:p>
            <w:pPr>
              <w:spacing w:after="0"/>
              <w:rPr>
                <w:sz w:val="10"/>
                <w:szCs w:val="10"/>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00" w:type="dxa"/>
            <w:vAlign w:val="bottom"/>
          </w:tcPr>
          <w:p>
            <w:pPr>
              <w:spacing w:after="0"/>
              <w:rPr>
                <w:sz w:val="10"/>
                <w:szCs w:val="10"/>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Fair</w:t>
            </w:r>
          </w:p>
        </w:tc>
        <w:tc>
          <w:tcPr>
            <w:tcW w:w="100" w:type="dxa"/>
            <w:vAlign w:val="bottom"/>
          </w:tcPr>
          <w:p>
            <w:pPr>
              <w:spacing w:after="0"/>
              <w:rPr>
                <w:sz w:val="10"/>
                <w:szCs w:val="10"/>
                <w:color w:val="auto"/>
              </w:rPr>
            </w:pPr>
          </w:p>
        </w:tc>
        <w:tc>
          <w:tcPr>
            <w:tcW w:w="820" w:type="dxa"/>
            <w:vAlign w:val="bottom"/>
            <w:vMerge w:val="restart"/>
          </w:tcPr>
          <w:p>
            <w:pPr>
              <w:jc w:val="right"/>
              <w:ind w:right="51"/>
              <w:spacing w:after="0"/>
              <w:rPr>
                <w:sz w:val="20"/>
                <w:szCs w:val="20"/>
                <w:color w:val="auto"/>
              </w:rPr>
            </w:pPr>
            <w:r>
              <w:rPr>
                <w:rFonts w:ascii="Times New Roman" w:cs="Times New Roman" w:eastAsia="Times New Roman" w:hAnsi="Times New Roman"/>
                <w:sz w:val="12"/>
                <w:szCs w:val="12"/>
                <w:b w:val="1"/>
                <w:bCs w:val="1"/>
                <w:color w:val="auto"/>
                <w:w w:val="99"/>
              </w:rPr>
              <w:t>Net Carrying</w:t>
            </w: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1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TBA Securities by Coupon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2"/>
                <w:szCs w:val="12"/>
                <w:b w:val="1"/>
                <w:bCs w:val="1"/>
                <w:color w:val="auto"/>
              </w:rPr>
              <w:t>Long (Short)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2"/>
                <w:szCs w:val="12"/>
                <w:b w:val="1"/>
                <w:bCs w:val="1"/>
                <w:color w:val="auto"/>
              </w:rPr>
              <w:t>Basis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2"/>
                <w:szCs w:val="12"/>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2"/>
                <w:szCs w:val="12"/>
                <w:b w:val="1"/>
                <w:bCs w:val="1"/>
                <w:color w:val="auto"/>
              </w:rPr>
              <w:t xml:space="preserve">Value </w:t>
            </w:r>
            <w:r>
              <w:rPr>
                <w:rFonts w:ascii="Times New Roman" w:cs="Times New Roman" w:eastAsia="Times New Roman" w:hAnsi="Times New Roman"/>
                <w:sz w:val="16"/>
                <w:szCs w:val="16"/>
                <w:b w:val="1"/>
                <w:bCs w:val="1"/>
                <w:color w:val="auto"/>
                <w:vertAlign w:val="superscript"/>
              </w:rPr>
              <w:t>1</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2"/>
                <w:szCs w:val="12"/>
                <w:b w:val="1"/>
                <w:bCs w:val="1"/>
                <w:color w:val="auto"/>
              </w:rPr>
              <w:t>Long (Short)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2"/>
                <w:szCs w:val="12"/>
                <w:b w:val="1"/>
                <w:bCs w:val="1"/>
                <w:color w:val="auto"/>
              </w:rPr>
              <w:t>Basis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2"/>
                <w:szCs w:val="12"/>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2"/>
                <w:szCs w:val="12"/>
                <w:b w:val="1"/>
                <w:bCs w:val="1"/>
                <w:color w:val="auto"/>
              </w:rPr>
              <w:t xml:space="preserve">Value </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84"/>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15-Year TBA securities:</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4.5%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15-Year TBA securities</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30-Year TBA securities:</w:t>
            </w: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3.0%</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2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2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7"/>
        </w:trPr>
        <w:tc>
          <w:tcPr>
            <w:tcW w:w="2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7"/>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6.5%</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4"/>
        </w:trPr>
        <w:tc>
          <w:tcPr>
            <w:tcW w:w="2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30-Year TBA securities, net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04"/>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TBA securities,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12,988</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ind w:left="640" w:hanging="317"/>
        <w:spacing w:after="0" w:line="247"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Derivative Instruments and Other Securities, Net</w:t>
      </w:r>
    </w:p>
    <w:p>
      <w:pPr>
        <w:spacing w:after="0" w:line="167"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The following table summarizes changes in our derivative and other hedge portfolio and their effect on our consolidated statements of comprehensive income for the three and nine months ended September 30, 2026 and 2025 (in millions):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8" w:name="page19"/>
    <w:bookmarkEnd w:id="18"/>
    <w:tbl>
      <w:tblPr>
        <w:tblLayout w:type="fixed"/>
        <w:tblInd w:w="40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left="63"/>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0" w:type="dxa"/>
            <w:vAlign w:val="bottom"/>
          </w:tcPr>
          <w:p>
            <w:pPr>
              <w:spacing w:after="0"/>
              <w:rPr>
                <w:sz w:val="1"/>
                <w:szCs w:val="1"/>
                <w:color w:val="auto"/>
              </w:rPr>
            </w:pPr>
          </w:p>
        </w:tc>
      </w:tr>
      <w:tr>
        <w:trPr>
          <w:trHeight w:val="92"/>
        </w:trPr>
        <w:tc>
          <w:tcPr>
            <w:tcW w:w="4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vMerge w:val="restart"/>
          </w:tcPr>
          <w:p>
            <w:pPr>
              <w:jc w:val="center"/>
              <w:ind w:left="63"/>
              <w:spacing w:after="0" w:line="143" w:lineRule="exact"/>
              <w:rPr>
                <w:sz w:val="20"/>
                <w:szCs w:val="20"/>
                <w:color w:val="auto"/>
              </w:rPr>
            </w:pPr>
            <w:r>
              <w:rPr>
                <w:rFonts w:ascii="Times New Roman" w:cs="Times New Roman" w:eastAsia="Times New Roman" w:hAnsi="Times New Roman"/>
                <w:sz w:val="14"/>
                <w:szCs w:val="14"/>
                <w:b w:val="1"/>
                <w:bCs w:val="1"/>
                <w:color w:val="auto"/>
                <w:w w:val="99"/>
              </w:rPr>
              <w:t>on Derivative</w:t>
            </w:r>
          </w:p>
        </w:tc>
        <w:tc>
          <w:tcPr>
            <w:tcW w:w="0" w:type="dxa"/>
            <w:vAlign w:val="bottom"/>
          </w:tcPr>
          <w:p>
            <w:pPr>
              <w:spacing w:after="0"/>
              <w:rPr>
                <w:sz w:val="1"/>
                <w:szCs w:val="1"/>
                <w:color w:val="auto"/>
              </w:rPr>
            </w:pPr>
          </w:p>
        </w:tc>
      </w:tr>
      <w:tr>
        <w:trPr>
          <w:trHeight w:val="51"/>
        </w:trPr>
        <w:tc>
          <w:tcPr>
            <w:tcW w:w="4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Termination,</w:t>
            </w: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4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Beginning</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120" w:type="dxa"/>
            <w:vAlign w:val="bottom"/>
          </w:tcPr>
          <w:p>
            <w:pPr>
              <w:spacing w:after="0"/>
              <w:rPr>
                <w:sz w:val="11"/>
                <w:szCs w:val="11"/>
                <w:color w:val="auto"/>
              </w:rPr>
            </w:pPr>
          </w:p>
        </w:tc>
        <w:tc>
          <w:tcPr>
            <w:tcW w:w="94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b w:val="1"/>
                <w:bCs w:val="1"/>
                <w:color w:val="auto"/>
              </w:rPr>
              <w:t>Instruments an</w:t>
            </w:r>
          </w:p>
        </w:tc>
        <w:tc>
          <w:tcPr>
            <w:tcW w:w="0" w:type="dxa"/>
            <w:vAlign w:val="bottom"/>
          </w:tcPr>
          <w:p>
            <w:pPr>
              <w:spacing w:after="0"/>
              <w:rPr>
                <w:sz w:val="1"/>
                <w:szCs w:val="1"/>
                <w:color w:val="auto"/>
              </w:rPr>
            </w:pPr>
          </w:p>
        </w:tc>
      </w:tr>
      <w:tr>
        <w:trPr>
          <w:trHeight w:val="145"/>
        </w:trPr>
        <w:tc>
          <w:tcPr>
            <w:tcW w:w="4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and Other Hedging Instruments</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3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Expiration or</w:t>
            </w:r>
          </w:p>
        </w:tc>
        <w:tc>
          <w:tcPr>
            <w:tcW w:w="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6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Other Securities,</w:t>
            </w:r>
          </w:p>
        </w:tc>
        <w:tc>
          <w:tcPr>
            <w:tcW w:w="0" w:type="dxa"/>
            <w:vAlign w:val="bottom"/>
          </w:tcPr>
          <w:p>
            <w:pPr>
              <w:spacing w:after="0"/>
              <w:rPr>
                <w:sz w:val="1"/>
                <w:szCs w:val="1"/>
                <w:color w:val="auto"/>
              </w:rPr>
            </w:pPr>
          </w:p>
        </w:tc>
      </w:tr>
      <w:tr>
        <w:trPr>
          <w:trHeight w:val="53"/>
        </w:trPr>
        <w:tc>
          <w:tcPr>
            <w:tcW w:w="4640" w:type="dxa"/>
            <w:vAlign w:val="bottom"/>
            <w:gridSpan w:val="2"/>
            <w:vMerge w:val="continue"/>
          </w:tcPr>
          <w:p>
            <w:pPr>
              <w:spacing w:after="0"/>
              <w:rPr>
                <w:sz w:val="4"/>
                <w:szCs w:val="4"/>
                <w:color w:val="auto"/>
              </w:rPr>
            </w:pPr>
          </w:p>
        </w:tc>
        <w:tc>
          <w:tcPr>
            <w:tcW w:w="1280" w:type="dxa"/>
            <w:vAlign w:val="bottom"/>
            <w:gridSpan w:val="3"/>
          </w:tcPr>
          <w:p>
            <w:pPr>
              <w:jc w:val="center"/>
              <w:ind w:right="120"/>
              <w:spacing w:after="0" w:line="53" w:lineRule="exact"/>
              <w:rPr>
                <w:sz w:val="20"/>
                <w:szCs w:val="20"/>
                <w:color w:val="auto"/>
              </w:rPr>
            </w:pPr>
            <w:r>
              <w:rPr>
                <w:rFonts w:ascii="Times New Roman" w:cs="Times New Roman" w:eastAsia="Times New Roman" w:hAnsi="Times New Roman"/>
                <w:sz w:val="6"/>
                <w:szCs w:val="6"/>
                <w:b w:val="1"/>
                <w:bCs w:val="1"/>
                <w:color w:val="auto"/>
              </w:rPr>
              <w:t>Notional Amount</w:t>
            </w:r>
          </w:p>
        </w:tc>
        <w:tc>
          <w:tcPr>
            <w:tcW w:w="1280" w:type="dxa"/>
            <w:vAlign w:val="bottom"/>
            <w:gridSpan w:val="2"/>
            <w:vMerge w:val="continue"/>
          </w:tcPr>
          <w:p>
            <w:pPr>
              <w:spacing w:after="0"/>
              <w:rPr>
                <w:sz w:val="4"/>
                <w:szCs w:val="4"/>
                <w:color w:val="auto"/>
              </w:rPr>
            </w:pPr>
          </w:p>
        </w:tc>
        <w:tc>
          <w:tcPr>
            <w:tcW w:w="1300" w:type="dxa"/>
            <w:vAlign w:val="bottom"/>
            <w:gridSpan w:val="2"/>
          </w:tcPr>
          <w:p>
            <w:pPr>
              <w:jc w:val="center"/>
              <w:ind w:right="120"/>
              <w:spacing w:after="0" w:line="53" w:lineRule="exact"/>
              <w:rPr>
                <w:sz w:val="20"/>
                <w:szCs w:val="20"/>
                <w:color w:val="auto"/>
              </w:rPr>
            </w:pPr>
            <w:r>
              <w:rPr>
                <w:rFonts w:ascii="Times New Roman" w:cs="Times New Roman" w:eastAsia="Times New Roman" w:hAnsi="Times New Roman"/>
                <w:sz w:val="6"/>
                <w:szCs w:val="6"/>
                <w:b w:val="1"/>
                <w:bCs w:val="1"/>
                <w:color w:val="auto"/>
              </w:rPr>
              <w:t>Exercise</w:t>
            </w:r>
          </w:p>
        </w:tc>
        <w:tc>
          <w:tcPr>
            <w:tcW w:w="1380" w:type="dxa"/>
            <w:vAlign w:val="bottom"/>
            <w:gridSpan w:val="4"/>
          </w:tcPr>
          <w:p>
            <w:pPr>
              <w:jc w:val="center"/>
              <w:ind w:right="220"/>
              <w:spacing w:after="0" w:line="53" w:lineRule="exact"/>
              <w:rPr>
                <w:sz w:val="20"/>
                <w:szCs w:val="20"/>
                <w:color w:val="auto"/>
              </w:rPr>
            </w:pPr>
            <w:r>
              <w:rPr>
                <w:rFonts w:ascii="Times New Roman" w:cs="Times New Roman" w:eastAsia="Times New Roman" w:hAnsi="Times New Roman"/>
                <w:sz w:val="6"/>
                <w:szCs w:val="6"/>
                <w:b w:val="1"/>
                <w:bCs w:val="1"/>
                <w:color w:val="auto"/>
              </w:rPr>
              <w:t>Notional Amount</w:t>
            </w:r>
          </w:p>
        </w:tc>
        <w:tc>
          <w:tcPr>
            <w:tcW w:w="120" w:type="dxa"/>
            <w:vAlign w:val="bottom"/>
          </w:tcPr>
          <w:p>
            <w:pPr>
              <w:spacing w:after="0"/>
              <w:rPr>
                <w:sz w:val="4"/>
                <w:szCs w:val="4"/>
                <w:color w:val="auto"/>
              </w:rPr>
            </w:pPr>
          </w:p>
        </w:tc>
        <w:tc>
          <w:tcPr>
            <w:tcW w:w="940" w:type="dxa"/>
            <w:vAlign w:val="bottom"/>
            <w:vMerge w:val="restart"/>
          </w:tcPr>
          <w:p>
            <w:pPr>
              <w:jc w:val="center"/>
              <w:ind w:left="63"/>
              <w:spacing w:after="0"/>
              <w:rPr>
                <w:sz w:val="20"/>
                <w:szCs w:val="20"/>
                <w:color w:val="auto"/>
              </w:rPr>
            </w:pPr>
            <w:r>
              <w:rPr>
                <w:rFonts w:ascii="Times New Roman" w:cs="Times New Roman" w:eastAsia="Times New Roman" w:hAnsi="Times New Roman"/>
                <w:sz w:val="9"/>
                <w:szCs w:val="9"/>
                <w:b w:val="1"/>
                <w:bCs w:val="1"/>
                <w:color w:val="auto"/>
                <w:w w:val="87"/>
              </w:rPr>
              <w:t>1</w:t>
            </w:r>
          </w:p>
        </w:tc>
        <w:tc>
          <w:tcPr>
            <w:tcW w:w="0" w:type="dxa"/>
            <w:vAlign w:val="bottom"/>
          </w:tcPr>
          <w:p>
            <w:pPr>
              <w:spacing w:after="0"/>
              <w:rPr>
                <w:sz w:val="1"/>
                <w:szCs w:val="1"/>
                <w:color w:val="auto"/>
              </w:rPr>
            </w:pPr>
          </w:p>
        </w:tc>
      </w:tr>
      <w:tr>
        <w:trPr>
          <w:trHeight w:val="69"/>
        </w:trPr>
        <w:tc>
          <w:tcPr>
            <w:tcW w:w="4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4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10,047</w:t>
            </w:r>
          </w:p>
        </w:tc>
        <w:tc>
          <w:tcPr>
            <w:tcW w:w="10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28,827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(36,704)</w:t>
            </w:r>
          </w:p>
        </w:tc>
        <w:tc>
          <w:tcPr>
            <w:tcW w:w="12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payer</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73,752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4,156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74,608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22"/>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Credit default swaps - buy protection</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Receiver swaptions</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3,644</w:t>
            </w:r>
          </w:p>
        </w:tc>
        <w:tc>
          <w:tcPr>
            <w:tcW w:w="12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2,197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2"/>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6,669</w:t>
            </w:r>
          </w:p>
        </w:tc>
        <w:tc>
          <w:tcPr>
            <w:tcW w:w="12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4"/>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long position</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8,667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11,417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58"/>
        </w:trPr>
        <w:tc>
          <w:tcPr>
            <w:tcW w:w="4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20"/>
        </w:trPr>
        <w:tc>
          <w:tcPr>
            <w:tcW w:w="45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8,407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53,321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2"/>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swaps - payer</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45,096</w:t>
            </w:r>
          </w:p>
        </w:tc>
        <w:tc>
          <w:tcPr>
            <w:tcW w:w="10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6,750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2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48,096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Receiver Swaptions</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2"/>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3,545</w:t>
            </w:r>
          </w:p>
        </w:tc>
        <w:tc>
          <w:tcPr>
            <w:tcW w:w="10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5,780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w:t>
            </w:r>
          </w:p>
        </w:tc>
        <w:tc>
          <w:tcPr>
            <w:tcW w:w="12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8"/>
        </w:trPr>
        <w:tc>
          <w:tcPr>
            <w:tcW w:w="4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45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13,180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133,892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2"/>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swaps - payer</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64,632</w:t>
            </w:r>
          </w:p>
        </w:tc>
        <w:tc>
          <w:tcPr>
            <w:tcW w:w="10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55,176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(45,200)</w:t>
            </w:r>
          </w:p>
        </w:tc>
        <w:tc>
          <w:tcPr>
            <w:tcW w:w="12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74,608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default swaps - buy protection</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Receiver swaptions</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2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(25,175)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2"/>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13,458</w:t>
            </w:r>
          </w:p>
        </w:tc>
        <w:tc>
          <w:tcPr>
            <w:tcW w:w="10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28,004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(28,087)</w:t>
            </w:r>
          </w:p>
        </w:tc>
        <w:tc>
          <w:tcPr>
            <w:tcW w:w="12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2"/>
        </w:trPr>
        <w:tc>
          <w:tcPr>
            <w:tcW w:w="4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long position</w:t>
            </w:r>
          </w:p>
        </w:tc>
        <w:tc>
          <w:tcPr>
            <w:tcW w:w="180" w:type="dxa"/>
            <w:vAlign w:val="bottom"/>
            <w:tcBorders>
              <w:bottom w:val="single" w:sz="8" w:color="CCEEFF"/>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4,606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48,616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(46,555)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6,955</w:t>
            </w:r>
          </w:p>
        </w:tc>
        <w:tc>
          <w:tcPr>
            <w:tcW w:w="10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116,987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(109,976)</w:t>
            </w:r>
          </w:p>
        </w:tc>
        <w:tc>
          <w:tcPr>
            <w:tcW w:w="12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payer</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39,646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17,500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22"/>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2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Receiver swaptions</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13,413</w:t>
            </w:r>
          </w:p>
        </w:tc>
        <w:tc>
          <w:tcPr>
            <w:tcW w:w="12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1,585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15,136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11,836</w:t>
            </w:r>
          </w:p>
        </w:tc>
        <w:tc>
          <w:tcPr>
            <w:tcW w:w="12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4"/>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long position</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1,350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4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ind w:left="640" w:right="100" w:hanging="317"/>
        <w:spacing w:after="0" w:line="265"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other miscellaneous gains and losses and other interest income (expense) recognized in gain (loss) on derivative instruments and other securities, net in our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063" w:right="239" w:bottom="1440" w:gutter="0" w:footer="0" w:header="0"/>
        </w:sectPr>
      </w:pPr>
    </w:p>
    <w:bookmarkStart w:id="19" w:name="page20"/>
    <w:bookmarkEnd w:id="19"/>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Additionally, as of September 30, 2025, we held SOFR futures contracts with a long notional position of $1.2 billion measured on a two-year swap equivalent basis. As of September 30, 2026, we did not hold any SOFR futures contracts. For the three and nine months ended September 30, 2026, we recognized a gain of $6 million and $2 million, respectively, and for the three and nine months ended September 30, 2025, we recognized a gain of $8 million and $21 million, respectively, on our SOFR futures contracts in gain (loss) on derivative instruments and other securities, net in our consolidated statements of comprehensive income.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Pledged Assets</w:t>
      </w:r>
    </w:p>
    <w:p>
      <w:pPr>
        <w:spacing w:after="0" w:line="165" w:lineRule="exact"/>
        <w:rPr>
          <w:sz w:val="20"/>
          <w:szCs w:val="20"/>
          <w:color w:val="auto"/>
        </w:rPr>
      </w:pPr>
    </w:p>
    <w:p>
      <w:pPr>
        <w:jc w:val="both"/>
        <w:ind w:firstLine="436"/>
        <w:spacing w:after="0" w:line="270" w:lineRule="auto"/>
        <w:rPr>
          <w:sz w:val="20"/>
          <w:szCs w:val="20"/>
          <w:color w:val="auto"/>
        </w:rPr>
      </w:pPr>
      <w:r>
        <w:rPr>
          <w:rFonts w:ascii="Times New Roman" w:cs="Times New Roman" w:eastAsia="Times New Roman" w:hAnsi="Times New Roman"/>
          <w:sz w:val="18"/>
          <w:szCs w:val="18"/>
          <w:color w:val="auto"/>
        </w:rPr>
        <w:t>Our funding agreements require us to fully collateralize our obligations based on our counterparties’ collateral requirements and their determination of the fair value of the securities pledged, which fluctuates with changes in interest rates, credit spreads, liquidity, and overall market conditions.</w:t>
      </w:r>
    </w:p>
    <w:p>
      <w:pPr>
        <w:spacing w:after="0" w:line="115"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Bilateral funding agreements typically include a “haircut,” or discount applied to the market value of pledged collateral, which reflects the risk characteristics of the underlying securities. Haircuts are determined on a transaction-specific basis and are not contractually fixed under the applicable Master Repurchase Agreement.</w:t>
      </w:r>
    </w:p>
    <w:p>
      <w:pPr>
        <w:spacing w:after="0" w:line="127" w:lineRule="exact"/>
        <w:rPr>
          <w:sz w:val="20"/>
          <w:szCs w:val="20"/>
          <w:color w:val="auto"/>
        </w:rPr>
      </w:pPr>
    </w:p>
    <w:p>
      <w:pPr>
        <w:jc w:val="both"/>
        <w:ind w:firstLine="436"/>
        <w:spacing w:after="0" w:line="250" w:lineRule="auto"/>
        <w:rPr>
          <w:sz w:val="20"/>
          <w:szCs w:val="20"/>
          <w:color w:val="auto"/>
        </w:rPr>
      </w:pPr>
      <w:r>
        <w:rPr>
          <w:rFonts w:ascii="Times New Roman" w:cs="Times New Roman" w:eastAsia="Times New Roman" w:hAnsi="Times New Roman"/>
          <w:sz w:val="18"/>
          <w:szCs w:val="18"/>
          <w:color w:val="auto"/>
        </w:rPr>
        <w:t>Margin requirements for centrally cleared repurchase agreements executed through the FICC are determined in accordance with the FICC’s clearing rules. These include an initial margin requirement, calculated daily using a Value-at-Risk (“VaR”) model, which takes into account any offsetting risk sensitivities of positions such as repos and reverse repos and is intended to protect the FICC against potential future exposure from a member default. The FICC also imposes variation margin based on amounts borrowed plus accrued interest, adjusted daily for fluctuations in collateral value, which is intended to cover our current repo exposure. Initial margin posted to the FICC may also be mutualized, meaning it can be used to absorb losses from the default of another clearing member, subject to applicable caps and withdrawal provisions.</w:t>
      </w:r>
    </w:p>
    <w:p>
      <w:pPr>
        <w:spacing w:after="0" w:line="132"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We are also required to post collateral under our derivative agreements. These agreements typically require the posting of initial margin at inception and the daily exchange of variation margin as market values change. Initial margin for derivatives is generally based on counterparty risk models, including VaR-based approaches, and is intended to cover potential future exposure in the event of a default. Variation margin reflects current exposure and serves to settle gains and losses on a daily basis.</w:t>
      </w:r>
    </w:p>
    <w:p>
      <w:pPr>
        <w:spacing w:after="0" w:line="131" w:lineRule="exact"/>
        <w:rPr>
          <w:sz w:val="20"/>
          <w:szCs w:val="20"/>
          <w:color w:val="auto"/>
        </w:rPr>
      </w:pPr>
    </w:p>
    <w:p>
      <w:pPr>
        <w:jc w:val="both"/>
        <w:ind w:firstLine="436"/>
        <w:spacing w:after="0" w:line="250" w:lineRule="auto"/>
        <w:rPr>
          <w:sz w:val="20"/>
          <w:szCs w:val="20"/>
          <w:color w:val="auto"/>
        </w:rPr>
      </w:pPr>
      <w:r>
        <w:rPr>
          <w:rFonts w:ascii="Times New Roman" w:cs="Times New Roman" w:eastAsia="Times New Roman" w:hAnsi="Times New Roman"/>
          <w:sz w:val="18"/>
          <w:szCs w:val="18"/>
          <w:color w:val="auto"/>
        </w:rPr>
        <w:t>Our funding and derivative agreements expose us to credit risk in the event a counterparty fails to perform its obligations. We seek to mitigate this risk by actively monitoring our collateral positions and limiting our counterparties to registered clearinghouses and regulated financial institutions, including banks and broker-dealers (both bank affiliated and independent) with acceptable credit ratings. In the event of a counterparty default, we may experience delays or losses in recovering pledged collateral or receiving payments due. We believe the credit risk associated with centrally cleared transactions is limited by the clearinghouses’ daily margin practices, mutualized loss protections, designations as systemically important financial market utilities, and other risk management safeguards.</w:t>
      </w:r>
    </w:p>
    <w:p>
      <w:pPr>
        <w:spacing w:after="0" w:line="13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As of September 30, 2026, our maximum amount at risk with any counterparty related to our repurchase agreements (i.e., the excess/shortfall of the value of collateral pledged/received over our repurchase agreement liabilities/reverse repurchase agreement receivables), excluding the FICC, was less than 2% of our tangible stockholders’ equity. As of September 30, 2026, less than 14% of our tangible stockholders’ equity was at risk with the FICC.</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Assets Pledged to Counterparties</w:t>
      </w:r>
    </w:p>
    <w:p>
      <w:pPr>
        <w:spacing w:after="0" w:line="167" w:lineRule="exact"/>
        <w:rPr>
          <w:sz w:val="20"/>
          <w:szCs w:val="20"/>
          <w:color w:val="auto"/>
        </w:rPr>
      </w:pPr>
    </w:p>
    <w:p>
      <w:pPr>
        <w:ind w:firstLine="436"/>
        <w:spacing w:after="0" w:line="270" w:lineRule="auto"/>
        <w:rPr>
          <w:sz w:val="20"/>
          <w:szCs w:val="20"/>
          <w:color w:val="auto"/>
        </w:rPr>
      </w:pPr>
      <w:r>
        <w:rPr>
          <w:rFonts w:ascii="Times New Roman" w:cs="Times New Roman" w:eastAsia="Times New Roman" w:hAnsi="Times New Roman"/>
          <w:sz w:val="18"/>
          <w:szCs w:val="18"/>
          <w:color w:val="auto"/>
        </w:rPr>
        <w:t>The following tables summarize our assets pledged as collateral under our funding, derivative and brokerage and clearing agreements by type, including securities pledged related to securities sold but not yet settled, as of September 30, 2026 and December 31, 2025 (in millions):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left="190"/>
              <w:spacing w:after="0" w:line="141" w:lineRule="exact"/>
              <w:rPr>
                <w:sz w:val="20"/>
                <w:szCs w:val="20"/>
                <w:color w:val="auto"/>
              </w:rPr>
            </w:pPr>
            <w:r>
              <w:rPr>
                <w:rFonts w:ascii="Times New Roman" w:cs="Times New Roman" w:eastAsia="Times New Roman" w:hAnsi="Times New Roman"/>
                <w:sz w:val="14"/>
                <w:szCs w:val="14"/>
                <w:b w:val="1"/>
                <w:bCs w:val="1"/>
                <w:color w:val="auto"/>
              </w:rPr>
              <w:t>Debt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Derivative Agreements</w:t>
            </w: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Assets Pledged to Counterparties </w:t>
            </w:r>
            <w:r>
              <w:rPr>
                <w:rFonts w:ascii="Times New Roman" w:cs="Times New Roman" w:eastAsia="Times New Roman" w:hAnsi="Times New Roman"/>
                <w:sz w:val="18"/>
                <w:szCs w:val="18"/>
                <w:b w:val="1"/>
                <w:bCs w:val="1"/>
                <w:color w:val="auto"/>
                <w:vertAlign w:val="superscript"/>
              </w:rPr>
              <w:t>1</w:t>
            </w:r>
          </w:p>
        </w:tc>
        <w:tc>
          <w:tcPr>
            <w:tcW w:w="120" w:type="dxa"/>
            <w:vAlign w:val="bottom"/>
            <w:vMerge w:val="restart"/>
          </w:tcPr>
          <w:p>
            <w:pPr>
              <w:spacing w:after="0"/>
              <w:rPr>
                <w:sz w:val="12"/>
                <w:szCs w:val="12"/>
                <w:color w:val="auto"/>
              </w:rPr>
            </w:pPr>
          </w:p>
        </w:tc>
        <w:tc>
          <w:tcPr>
            <w:tcW w:w="1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Repurchase Agreements</w:t>
            </w:r>
          </w:p>
        </w:tc>
        <w:tc>
          <w:tcPr>
            <w:tcW w:w="100" w:type="dxa"/>
            <w:vAlign w:val="bottom"/>
            <w:vMerge w:val="restart"/>
          </w:tcPr>
          <w:p>
            <w:pPr>
              <w:spacing w:after="0"/>
              <w:rPr>
                <w:sz w:val="12"/>
                <w:szCs w:val="12"/>
                <w:color w:val="auto"/>
              </w:rPr>
            </w:pPr>
          </w:p>
        </w:tc>
        <w:tc>
          <w:tcPr>
            <w:tcW w:w="1300" w:type="dxa"/>
            <w:vAlign w:val="bottom"/>
          </w:tcPr>
          <w:p>
            <w:pPr>
              <w:jc w:val="center"/>
              <w:ind w:left="21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restart"/>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4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58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0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 - fair value</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86,639</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11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86,653</w:t>
            </w:r>
          </w:p>
        </w:tc>
        <w:tc>
          <w:tcPr>
            <w:tcW w:w="0" w:type="dxa"/>
            <w:vAlign w:val="bottom"/>
          </w:tcPr>
          <w:p>
            <w:pPr>
              <w:spacing w:after="0"/>
              <w:rPr>
                <w:sz w:val="1"/>
                <w:szCs w:val="1"/>
                <w:color w:val="auto"/>
              </w:rPr>
            </w:pPr>
          </w:p>
        </w:tc>
      </w:tr>
      <w:tr>
        <w:trPr>
          <w:trHeight w:val="18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CRT - fair value</w:t>
            </w:r>
          </w:p>
        </w:tc>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 fair value</w:t>
            </w:r>
          </w:p>
        </w:tc>
        <w:tc>
          <w:tcPr>
            <w:tcW w:w="6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11,520</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12,005</w:t>
            </w: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on pledged securities</w:t>
            </w:r>
          </w:p>
        </w:tc>
        <w:tc>
          <w:tcPr>
            <w:tcW w:w="6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0" w:type="dxa"/>
            <w:vAlign w:val="bottom"/>
          </w:tcPr>
          <w:p>
            <w:pPr>
              <w:spacing w:after="0"/>
              <w:rPr>
                <w:sz w:val="1"/>
                <w:szCs w:val="1"/>
                <w:color w:val="auto"/>
              </w:rPr>
            </w:pPr>
          </w:p>
        </w:tc>
      </w:tr>
      <w:tr>
        <w:trPr>
          <w:trHeight w:val="18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0" w:type="dxa"/>
            <w:vAlign w:val="bottom"/>
          </w:tcPr>
          <w:p>
            <w:pPr>
              <w:spacing w:after="0"/>
              <w:rPr>
                <w:sz w:val="1"/>
                <w:szCs w:val="1"/>
                <w:color w:val="auto"/>
              </w:rPr>
            </w:pPr>
          </w:p>
        </w:tc>
      </w:tr>
      <w:tr>
        <w:trPr>
          <w:trHeight w:val="24"/>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99,596</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101,357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left="190"/>
              <w:spacing w:after="0" w:line="141" w:lineRule="exact"/>
              <w:rPr>
                <w:sz w:val="20"/>
                <w:szCs w:val="20"/>
                <w:color w:val="auto"/>
              </w:rPr>
            </w:pPr>
            <w:r>
              <w:rPr>
                <w:rFonts w:ascii="Times New Roman" w:cs="Times New Roman" w:eastAsia="Times New Roman" w:hAnsi="Times New Roman"/>
                <w:sz w:val="14"/>
                <w:szCs w:val="14"/>
                <w:b w:val="1"/>
                <w:bCs w:val="1"/>
                <w:color w:val="auto"/>
              </w:rPr>
              <w:t>Debt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Derivative Agreements</w:t>
            </w: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Assets Pledged to Counterparties </w:t>
            </w:r>
            <w:r>
              <w:rPr>
                <w:rFonts w:ascii="Times New Roman" w:cs="Times New Roman" w:eastAsia="Times New Roman" w:hAnsi="Times New Roman"/>
                <w:sz w:val="18"/>
                <w:szCs w:val="18"/>
                <w:b w:val="1"/>
                <w:bCs w:val="1"/>
                <w:color w:val="auto"/>
                <w:vertAlign w:val="superscript"/>
              </w:rPr>
              <w:t>1</w:t>
            </w:r>
          </w:p>
        </w:tc>
        <w:tc>
          <w:tcPr>
            <w:tcW w:w="120" w:type="dxa"/>
            <w:vAlign w:val="bottom"/>
            <w:vMerge w:val="restart"/>
          </w:tcPr>
          <w:p>
            <w:pPr>
              <w:spacing w:after="0"/>
              <w:rPr>
                <w:sz w:val="12"/>
                <w:szCs w:val="12"/>
                <w:color w:val="auto"/>
              </w:rPr>
            </w:pPr>
          </w:p>
        </w:tc>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 xml:space="preserve">Repurchase Agreements </w:t>
            </w:r>
            <w:r>
              <w:rPr>
                <w:rFonts w:ascii="Times New Roman" w:cs="Times New Roman" w:eastAsia="Times New Roman" w:hAnsi="Times New Roman"/>
                <w:sz w:val="18"/>
                <w:szCs w:val="18"/>
                <w:b w:val="1"/>
                <w:bCs w:val="1"/>
                <w:color w:val="auto"/>
                <w:w w:val="99"/>
                <w:vertAlign w:val="superscript"/>
              </w:rPr>
              <w:t>2</w:t>
            </w:r>
          </w:p>
        </w:tc>
        <w:tc>
          <w:tcPr>
            <w:tcW w:w="100" w:type="dxa"/>
            <w:vAlign w:val="bottom"/>
            <w:vMerge w:val="restart"/>
          </w:tcPr>
          <w:p>
            <w:pPr>
              <w:spacing w:after="0"/>
              <w:rPr>
                <w:sz w:val="12"/>
                <w:szCs w:val="12"/>
                <w:color w:val="auto"/>
              </w:rPr>
            </w:pPr>
          </w:p>
        </w:tc>
        <w:tc>
          <w:tcPr>
            <w:tcW w:w="1300" w:type="dxa"/>
            <w:vAlign w:val="bottom"/>
          </w:tcPr>
          <w:p>
            <w:pPr>
              <w:jc w:val="center"/>
              <w:ind w:left="21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restart"/>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4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58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0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 - fair value</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74,213</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113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74,413</w:t>
            </w:r>
          </w:p>
        </w:tc>
        <w:tc>
          <w:tcPr>
            <w:tcW w:w="0" w:type="dxa"/>
            <w:vAlign w:val="bottom"/>
          </w:tcPr>
          <w:p>
            <w:pPr>
              <w:spacing w:after="0"/>
              <w:rPr>
                <w:sz w:val="1"/>
                <w:szCs w:val="1"/>
                <w:color w:val="auto"/>
              </w:rPr>
            </w:pPr>
          </w:p>
        </w:tc>
      </w:tr>
      <w:tr>
        <w:trPr>
          <w:trHeight w:val="18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CRT - fair value</w:t>
            </w:r>
          </w:p>
        </w:tc>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24"/>
        </w:trPr>
        <w:tc>
          <w:tcPr>
            <w:tcW w:w="45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 fair value</w:t>
            </w:r>
          </w:p>
        </w:tc>
        <w:tc>
          <w:tcPr>
            <w:tcW w:w="6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12,636</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13,076</w:t>
            </w:r>
          </w:p>
        </w:tc>
        <w:tc>
          <w:tcPr>
            <w:tcW w:w="0" w:type="dxa"/>
            <w:vAlign w:val="bottom"/>
          </w:tcPr>
          <w:p>
            <w:pPr>
              <w:spacing w:after="0"/>
              <w:rPr>
                <w:sz w:val="1"/>
                <w:szCs w:val="1"/>
                <w:color w:val="auto"/>
              </w:rPr>
            </w:pPr>
          </w:p>
        </w:tc>
      </w:tr>
      <w:tr>
        <w:trPr>
          <w:trHeight w:val="24"/>
        </w:trPr>
        <w:tc>
          <w:tcPr>
            <w:tcW w:w="45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on pledged securities</w:t>
            </w:r>
          </w:p>
        </w:tc>
        <w:tc>
          <w:tcPr>
            <w:tcW w:w="6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0" w:type="dxa"/>
            <w:vAlign w:val="bottom"/>
          </w:tcPr>
          <w:p>
            <w:pPr>
              <w:spacing w:after="0"/>
              <w:rPr>
                <w:sz w:val="1"/>
                <w:szCs w:val="1"/>
                <w:color w:val="auto"/>
              </w:rPr>
            </w:pPr>
          </w:p>
        </w:tc>
      </w:tr>
      <w:tr>
        <w:trPr>
          <w:trHeight w:val="18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0" w:type="dxa"/>
            <w:vAlign w:val="bottom"/>
          </w:tcPr>
          <w:p>
            <w:pPr>
              <w:spacing w:after="0"/>
              <w:rPr>
                <w:sz w:val="1"/>
                <w:szCs w:val="1"/>
                <w:color w:val="auto"/>
              </w:rPr>
            </w:pPr>
          </w:p>
        </w:tc>
      </w:tr>
      <w:tr>
        <w:trPr>
          <w:trHeight w:val="24"/>
        </w:trPr>
        <w:tc>
          <w:tcPr>
            <w:tcW w:w="4580" w:type="dxa"/>
            <w:vAlign w:val="bottom"/>
            <w:tcBorders>
              <w:bottom w:val="single" w:sz="8" w:color="CCEEFF"/>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87,894</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89,786</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0" w:lineRule="exact"/>
        <w:rPr>
          <w:sz w:val="20"/>
          <w:szCs w:val="20"/>
          <w:color w:val="auto"/>
        </w:rPr>
      </w:pPr>
    </w:p>
    <w:p>
      <w:pPr>
        <w:ind w:left="640" w:hanging="317"/>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repledged assets received as collateral from counterparties and securities sold but not yet settled.</w:t>
      </w:r>
    </w:p>
    <w:p>
      <w:pPr>
        <w:ind w:left="640" w:hanging="317"/>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 million of retained interests in our consolidated VIEs pledged as collateral under repurchase agreements as of December 31, 2025.</w:t>
      </w:r>
    </w:p>
    <w:p>
      <w:pPr>
        <w:spacing w:after="0" w:line="157"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The following table summarizes our securities pledged as collateral under our repurchase agreements by the remaining maturity of our borrowings, including securities pledged related to sold but not yet settled securities, as of September 30, 2026 and December 31, 2025 (in millions). For the corresponding borrowings associated with the following amounts and the interest rates thereon, refer to Note 4</w:t>
      </w:r>
      <w:r>
        <w:rPr>
          <w:rFonts w:ascii="Times New Roman" w:cs="Times New Roman" w:eastAsia="Times New Roman" w:hAnsi="Times New Roman"/>
          <w:sz w:val="18"/>
          <w:szCs w:val="18"/>
          <w:i w:val="1"/>
          <w:iCs w:val="1"/>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38"/>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4"/>
                <w:szCs w:val="14"/>
                <w:b w:val="1"/>
                <w:bCs w:val="1"/>
                <w:color w:val="auto"/>
                <w:w w:val="98"/>
              </w:rPr>
              <w:t>Accrued</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2"/>
                <w:szCs w:val="12"/>
                <w:color w:val="auto"/>
              </w:rPr>
            </w:pPr>
          </w:p>
        </w:tc>
        <w:tc>
          <w:tcPr>
            <w:tcW w:w="900" w:type="dxa"/>
            <w:vAlign w:val="bottom"/>
          </w:tcPr>
          <w:p>
            <w:pPr>
              <w:jc w:val="center"/>
              <w:ind w:right="50"/>
              <w:spacing w:after="0" w:line="139" w:lineRule="exact"/>
              <w:rPr>
                <w:sz w:val="20"/>
                <w:szCs w:val="20"/>
                <w:color w:val="auto"/>
              </w:rPr>
            </w:pPr>
            <w:r>
              <w:rPr>
                <w:rFonts w:ascii="Times New Roman" w:cs="Times New Roman" w:eastAsia="Times New Roman" w:hAnsi="Times New Roman"/>
                <w:sz w:val="14"/>
                <w:szCs w:val="14"/>
                <w:b w:val="1"/>
                <w:bCs w:val="1"/>
                <w:color w:val="auto"/>
                <w:w w:val="98"/>
              </w:rPr>
              <w:t>Accrued</w:t>
            </w:r>
          </w:p>
        </w:tc>
      </w:tr>
      <w:tr>
        <w:trPr>
          <w:trHeight w:val="134"/>
        </w:trPr>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Interest on</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Cost of</w:t>
            </w:r>
          </w:p>
        </w:tc>
        <w:tc>
          <w:tcPr>
            <w:tcW w:w="140" w:type="dxa"/>
            <w:vAlign w:val="bottom"/>
          </w:tcPr>
          <w:p>
            <w:pPr>
              <w:spacing w:after="0"/>
              <w:rPr>
                <w:sz w:val="11"/>
                <w:szCs w:val="11"/>
                <w:color w:val="auto"/>
              </w:rPr>
            </w:pPr>
          </w:p>
        </w:tc>
        <w:tc>
          <w:tcPr>
            <w:tcW w:w="900" w:type="dxa"/>
            <w:vAlign w:val="bottom"/>
          </w:tcPr>
          <w:p>
            <w:pPr>
              <w:jc w:val="center"/>
              <w:ind w:right="50"/>
              <w:spacing w:after="0" w:line="134" w:lineRule="exact"/>
              <w:rPr>
                <w:sz w:val="20"/>
                <w:szCs w:val="20"/>
                <w:color w:val="auto"/>
              </w:rPr>
            </w:pPr>
            <w:r>
              <w:rPr>
                <w:rFonts w:ascii="Times New Roman" w:cs="Times New Roman" w:eastAsia="Times New Roman" w:hAnsi="Times New Roman"/>
                <w:sz w:val="14"/>
                <w:szCs w:val="14"/>
                <w:b w:val="1"/>
                <w:bCs w:val="1"/>
                <w:color w:val="auto"/>
              </w:rPr>
              <w:t>Interest on</w:t>
            </w:r>
          </w:p>
        </w:tc>
      </w:tr>
      <w:tr>
        <w:trPr>
          <w:trHeight w:val="157"/>
        </w:trPr>
        <w:tc>
          <w:tcPr>
            <w:tcW w:w="394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Securities Pledged by Remaining Maturity of Repurchase</w:t>
            </w:r>
          </w:p>
        </w:tc>
        <w:tc>
          <w:tcPr>
            <w:tcW w:w="140" w:type="dxa"/>
            <w:vAlign w:val="bottom"/>
          </w:tcPr>
          <w:p>
            <w:pPr>
              <w:spacing w:after="0"/>
              <w:rPr>
                <w:sz w:val="13"/>
                <w:szCs w:val="13"/>
                <w:color w:val="auto"/>
              </w:rPr>
            </w:pPr>
          </w:p>
        </w:tc>
        <w:tc>
          <w:tcPr>
            <w:tcW w:w="1020" w:type="dxa"/>
            <w:vAlign w:val="bottom"/>
          </w:tcPr>
          <w:p>
            <w:pPr>
              <w:jc w:val="right"/>
              <w:ind w:right="110"/>
              <w:spacing w:after="0" w:line="157"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Pledged</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w w:val="96"/>
              </w:rPr>
              <w:t>Pledged</w:t>
            </w:r>
          </w:p>
        </w:tc>
        <w:tc>
          <w:tcPr>
            <w:tcW w:w="140" w:type="dxa"/>
            <w:vAlign w:val="bottom"/>
          </w:tcPr>
          <w:p>
            <w:pPr>
              <w:spacing w:after="0"/>
              <w:rPr>
                <w:sz w:val="13"/>
                <w:szCs w:val="13"/>
                <w:color w:val="auto"/>
              </w:rPr>
            </w:pPr>
          </w:p>
        </w:tc>
        <w:tc>
          <w:tcPr>
            <w:tcW w:w="1080" w:type="dxa"/>
            <w:vAlign w:val="bottom"/>
          </w:tcPr>
          <w:p>
            <w:pPr>
              <w:jc w:val="right"/>
              <w:ind w:right="150"/>
              <w:spacing w:after="0" w:line="157"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Pledged</w:t>
            </w:r>
          </w:p>
        </w:tc>
        <w:tc>
          <w:tcPr>
            <w:tcW w:w="140" w:type="dxa"/>
            <w:vAlign w:val="bottom"/>
          </w:tcPr>
          <w:p>
            <w:pPr>
              <w:spacing w:after="0"/>
              <w:rPr>
                <w:sz w:val="13"/>
                <w:szCs w:val="13"/>
                <w:color w:val="auto"/>
              </w:rPr>
            </w:pPr>
          </w:p>
        </w:tc>
        <w:tc>
          <w:tcPr>
            <w:tcW w:w="900" w:type="dxa"/>
            <w:vAlign w:val="bottom"/>
          </w:tcPr>
          <w:p>
            <w:pPr>
              <w:jc w:val="center"/>
              <w:ind w:right="70"/>
              <w:spacing w:after="0" w:line="157" w:lineRule="exact"/>
              <w:rPr>
                <w:sz w:val="20"/>
                <w:szCs w:val="20"/>
                <w:color w:val="auto"/>
              </w:rPr>
            </w:pPr>
            <w:r>
              <w:rPr>
                <w:rFonts w:ascii="Times New Roman" w:cs="Times New Roman" w:eastAsia="Times New Roman" w:hAnsi="Times New Roman"/>
                <w:sz w:val="14"/>
                <w:szCs w:val="14"/>
                <w:b w:val="1"/>
                <w:bCs w:val="1"/>
                <w:color w:val="auto"/>
              </w:rPr>
              <w:t>Pledged</w:t>
            </w:r>
          </w:p>
        </w:tc>
      </w:tr>
      <w:tr>
        <w:trPr>
          <w:trHeight w:val="192"/>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Pledged Securities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Pledged Securities </w:t>
            </w:r>
            <w:r>
              <w:rPr>
                <w:rFonts w:ascii="Times New Roman" w:cs="Times New Roman" w:eastAsia="Times New Roman" w:hAnsi="Times New Roman"/>
                <w:sz w:val="9"/>
                <w:szCs w:val="9"/>
                <w:b w:val="1"/>
                <w:bCs w:val="1"/>
                <w:color w:val="auto"/>
              </w:rPr>
              <w:t>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r>
      <w:tr>
        <w:trPr>
          <w:trHeight w:val="191"/>
        </w:trPr>
        <w:tc>
          <w:tcPr>
            <w:tcW w:w="39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1 month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95,731</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101,601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83,600</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83,502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r>
      <w:tr>
        <w:trPr>
          <w:trHeight w:val="187"/>
        </w:trPr>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&gt; 1 and ≤ 2 months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4"/>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1"/>
        </w:trPr>
        <w:tc>
          <w:tcPr>
            <w:tcW w:w="39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&gt; 2 and ≤ 3 months</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1,120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7"/>
        </w:trPr>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&gt; 3 months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3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4"/>
        </w:trPr>
        <w:tc>
          <w:tcPr>
            <w:tcW w:w="3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98,634</w:t>
            </w: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104,760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87,420</w:t>
            </w: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ind w:left="640" w:hanging="317"/>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 million of retained interests in our consolidated VIEs pledged as collateral under repurchase agreements as of December 31,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Pledged from Counterparties</w:t>
      </w:r>
    </w:p>
    <w:p>
      <w:pPr>
        <w:spacing w:after="0" w:line="167"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As of September 30, 2026 and December 31, 2025, we had assets pledged to us from counterparties as collateral under our reverse repurchase and derivative agreements summarized in the tables below (in millions).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5"/>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Reverse</w:t>
            </w:r>
          </w:p>
        </w:tc>
        <w:tc>
          <w:tcPr>
            <w:tcW w:w="12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Reverse</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120" w:type="dxa"/>
            <w:vAlign w:val="bottom"/>
          </w:tcPr>
          <w:p>
            <w:pPr>
              <w:spacing w:after="0"/>
              <w:rPr>
                <w:sz w:val="12"/>
                <w:szCs w:val="12"/>
                <w:color w:val="auto"/>
              </w:rPr>
            </w:pP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 Pledged to AGNC</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Repurchase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Repurchase</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Agreements</w:t>
            </w:r>
          </w:p>
        </w:tc>
        <w:tc>
          <w:tcPr>
            <w:tcW w:w="12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Pr>
          <w:p>
            <w:pPr>
              <w:spacing w:after="0"/>
              <w:rPr>
                <w:sz w:val="16"/>
                <w:szCs w:val="16"/>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3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Pr>
          <w:p>
            <w:pPr>
              <w:spacing w:after="0"/>
              <w:rPr>
                <w:sz w:val="16"/>
                <w:szCs w:val="16"/>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3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securities - fair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7"/>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16,439</w:t>
            </w:r>
          </w:p>
        </w:tc>
        <w:tc>
          <w:tcPr>
            <w:tcW w:w="0" w:type="dxa"/>
            <w:vAlign w:val="bottom"/>
          </w:tcPr>
          <w:p>
            <w:pPr>
              <w:spacing w:after="0"/>
              <w:rPr>
                <w:sz w:val="1"/>
                <w:szCs w:val="1"/>
                <w:color w:val="auto"/>
              </w:rPr>
            </w:pPr>
          </w:p>
        </w:tc>
      </w:tr>
      <w:tr>
        <w:trPr>
          <w:trHeight w:val="24"/>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42</w:t>
            </w:r>
          </w:p>
        </w:tc>
        <w:tc>
          <w:tcPr>
            <w:tcW w:w="3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w:t>
            </w:r>
          </w:p>
        </w:tc>
        <w:tc>
          <w:tcPr>
            <w:tcW w:w="3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204"/>
        </w:trPr>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23,414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44</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23,476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62</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16,591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Offsetting Assets and Liabilities</w:t>
      </w:r>
    </w:p>
    <w:p>
      <w:pPr>
        <w:spacing w:after="0" w:line="167"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September 30, 2026 and December 31, 2025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40" w:type="dxa"/>
            <w:vAlign w:val="bottom"/>
            <w:gridSpan w:val="1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Offsetting of Financial and Derivative Assets</w:t>
            </w: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5"/>
          </w:tcPr>
          <w:p>
            <w:pPr>
              <w:jc w:val="right"/>
              <w:ind w:right="70"/>
              <w:spacing w:after="0" w:line="143" w:lineRule="exact"/>
              <w:rPr>
                <w:sz w:val="20"/>
                <w:szCs w:val="20"/>
                <w:color w:val="auto"/>
              </w:rPr>
            </w:pPr>
            <w:r>
              <w:rPr>
                <w:rFonts w:ascii="Times New Roman" w:cs="Times New Roman" w:eastAsia="Times New Roman" w:hAnsi="Times New Roman"/>
                <w:sz w:val="14"/>
                <w:szCs w:val="14"/>
                <w:b w:val="1"/>
                <w:bCs w:val="1"/>
                <w:color w:val="auto"/>
              </w:rPr>
              <w:t>in the</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12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8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20" w:type="dxa"/>
            <w:vAlign w:val="bottom"/>
            <w:vMerge w:val="restart"/>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1240" w:type="dxa"/>
            <w:vAlign w:val="bottom"/>
            <w:gridSpan w:val="4"/>
            <w:vMerge w:val="restart"/>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rPr>
              <w:t>Assets Presented</w:t>
            </w: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60" w:type="dxa"/>
            <w:vAlign w:val="bottom"/>
          </w:tcPr>
          <w:p>
            <w:pPr>
              <w:spacing w:after="0"/>
              <w:rPr>
                <w:sz w:val="7"/>
                <w:szCs w:val="7"/>
                <w:color w:val="auto"/>
              </w:rPr>
            </w:pPr>
          </w:p>
        </w:tc>
        <w:tc>
          <w:tcPr>
            <w:tcW w:w="38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320"/>
              <w:spacing w:after="0" w:line="132" w:lineRule="exact"/>
              <w:rPr>
                <w:sz w:val="20"/>
                <w:szCs w:val="20"/>
                <w:color w:val="auto"/>
              </w:rPr>
            </w:pPr>
            <w:r>
              <w:rPr>
                <w:rFonts w:ascii="Times New Roman" w:cs="Times New Roman" w:eastAsia="Times New Roman" w:hAnsi="Times New Roman"/>
                <w:sz w:val="14"/>
                <w:szCs w:val="14"/>
                <w:b w:val="1"/>
                <w:bCs w:val="1"/>
                <w:color w:val="auto"/>
              </w:rPr>
              <w:t>in the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1140" w:type="dxa"/>
            <w:vAlign w:val="bottom"/>
            <w:gridSpan w:val="3"/>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98"/>
              </w:rPr>
              <w:t>Instruments</w:t>
            </w:r>
          </w:p>
        </w:tc>
        <w:tc>
          <w:tcPr>
            <w:tcW w:w="12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71"/>
              <w:spacing w:after="0" w:line="198" w:lineRule="exact"/>
              <w:rPr>
                <w:sz w:val="20"/>
                <w:szCs w:val="20"/>
                <w:color w:val="auto"/>
              </w:rPr>
            </w:pPr>
            <w:r>
              <w:rPr>
                <w:rFonts w:ascii="Times New Roman" w:cs="Times New Roman" w:eastAsia="Times New Roman" w:hAnsi="Times New Roman"/>
                <w:sz w:val="14"/>
                <w:szCs w:val="14"/>
                <w:b w:val="1"/>
                <w:bCs w:val="1"/>
                <w:color w:val="auto"/>
                <w:w w:val="98"/>
              </w:rPr>
              <w:t xml:space="preserve">Received </w:t>
            </w:r>
            <w:r>
              <w:rPr>
                <w:rFonts w:ascii="Times New Roman" w:cs="Times New Roman" w:eastAsia="Times New Roman" w:hAnsi="Times New Roman"/>
                <w:sz w:val="18"/>
                <w:szCs w:val="18"/>
                <w:b w:val="1"/>
                <w:bCs w:val="1"/>
                <w:color w:val="auto"/>
                <w:w w:val="98"/>
                <w:vertAlign w:val="superscript"/>
              </w:rPr>
              <w:t>2</w:t>
            </w:r>
          </w:p>
        </w:tc>
        <w:tc>
          <w:tcPr>
            <w:tcW w:w="12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xml:space="preserve">Interest rate swap and swaption agreements, at fair value </w:t>
            </w:r>
            <w:r>
              <w:rPr>
                <w:rFonts w:ascii="Times New Roman" w:cs="Times New Roman" w:eastAsia="Times New Roman" w:hAnsi="Times New Roman"/>
                <w:sz w:val="18"/>
                <w:szCs w:val="18"/>
                <w:color w:val="auto"/>
                <w:vertAlign w:val="superscript"/>
              </w:rPr>
              <w:t>1</w:t>
            </w:r>
          </w:p>
        </w:tc>
        <w:tc>
          <w:tcPr>
            <w:tcW w:w="1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8"/>
                <w:szCs w:val="18"/>
                <w:color w:val="auto"/>
              </w:rPr>
            </w:pPr>
          </w:p>
        </w:tc>
        <w:tc>
          <w:tcPr>
            <w:tcW w:w="1060" w:type="dxa"/>
            <w:vAlign w:val="bottom"/>
            <w:gridSpan w:val="3"/>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Receivable under reverse repurchase agreements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0" w:type="dxa"/>
            <w:vAlign w:val="bottom"/>
            <w:shd w:val="clear" w:color="auto" w:fill="CCEEFF"/>
          </w:tcPr>
          <w:p>
            <w:pPr>
              <w:spacing w:after="0"/>
              <w:rPr>
                <w:sz w:val="19"/>
                <w:szCs w:val="19"/>
                <w:color w:val="auto"/>
              </w:rPr>
            </w:pPr>
          </w:p>
        </w:tc>
        <w:tc>
          <w:tcPr>
            <w:tcW w:w="39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xml:space="preserve">Interest rate swap and swaption agreements, at fair value </w:t>
            </w:r>
            <w:r>
              <w:rPr>
                <w:rFonts w:ascii="Times New Roman" w:cs="Times New Roman" w:eastAsia="Times New Roman" w:hAnsi="Times New Roman"/>
                <w:sz w:val="18"/>
                <w:szCs w:val="18"/>
                <w:color w:val="auto"/>
                <w:vertAlign w:val="superscript"/>
              </w:rPr>
              <w:t>1</w:t>
            </w:r>
          </w:p>
        </w:tc>
        <w:tc>
          <w:tcPr>
            <w:tcW w:w="1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8"/>
                <w:szCs w:val="18"/>
                <w:color w:val="auto"/>
              </w:rPr>
            </w:pPr>
          </w:p>
        </w:tc>
        <w:tc>
          <w:tcPr>
            <w:tcW w:w="1060" w:type="dxa"/>
            <w:vAlign w:val="bottom"/>
            <w:gridSpan w:val="3"/>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Receivable under reverse repurchase agreements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0" w:type="dxa"/>
            <w:vAlign w:val="bottom"/>
            <w:tcBorders>
              <w:bottom w:val="single" w:sz="8" w:color="CCEEFF"/>
            </w:tcBorders>
            <w:shd w:val="clear" w:color="auto" w:fill="CCEEFF"/>
          </w:tcPr>
          <w:p>
            <w:pPr>
              <w:spacing w:after="0"/>
              <w:rPr>
                <w:sz w:val="19"/>
                <w:szCs w:val="19"/>
                <w:color w:val="auto"/>
              </w:rPr>
            </w:pPr>
          </w:p>
        </w:tc>
        <w:tc>
          <w:tcPr>
            <w:tcW w:w="398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(12,509)</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(4,207)</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13"/>
          </w:tcPr>
          <w:p>
            <w:pPr>
              <w:ind w:left="900"/>
              <w:spacing w:after="0"/>
              <w:rPr>
                <w:sz w:val="20"/>
                <w:szCs w:val="20"/>
                <w:color w:val="auto"/>
              </w:rPr>
            </w:pPr>
            <w:r>
              <w:rPr>
                <w:rFonts w:ascii="Times New Roman" w:cs="Times New Roman" w:eastAsia="Times New Roman" w:hAnsi="Times New Roman"/>
                <w:sz w:val="14"/>
                <w:szCs w:val="14"/>
                <w:b w:val="1"/>
                <w:bCs w:val="1"/>
                <w:color w:val="auto"/>
              </w:rPr>
              <w:t>Offsetting of Financial and Derivative Liabilities</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8"/>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Gross Amounts Not Offset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5"/>
          </w:tcPr>
          <w:p>
            <w:pPr>
              <w:jc w:val="center"/>
              <w:ind w:left="771"/>
              <w:spacing w:after="0" w:line="143" w:lineRule="exact"/>
              <w:rPr>
                <w:sz w:val="20"/>
                <w:szCs w:val="20"/>
                <w:color w:val="auto"/>
              </w:rPr>
            </w:pPr>
            <w:r>
              <w:rPr>
                <w:rFonts w:ascii="Times New Roman" w:cs="Times New Roman" w:eastAsia="Times New Roman" w:hAnsi="Times New Roman"/>
                <w:sz w:val="14"/>
                <w:szCs w:val="14"/>
                <w:b w:val="1"/>
                <w:bCs w:val="1"/>
                <w:color w:val="auto"/>
              </w:rPr>
              <w:t>in the</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Net Amounts of</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8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vMerge w:val="restart"/>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60" w:type="dxa"/>
            <w:vAlign w:val="bottom"/>
          </w:tcPr>
          <w:p>
            <w:pPr>
              <w:spacing w:after="0"/>
              <w:rPr>
                <w:sz w:val="7"/>
                <w:szCs w:val="7"/>
                <w:color w:val="auto"/>
              </w:rPr>
            </w:pPr>
          </w:p>
        </w:tc>
        <w:tc>
          <w:tcPr>
            <w:tcW w:w="38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00" w:type="dxa"/>
            <w:vAlign w:val="bottom"/>
          </w:tcPr>
          <w:p>
            <w:pPr>
              <w:spacing w:after="0"/>
              <w:rPr>
                <w:sz w:val="11"/>
                <w:szCs w:val="11"/>
                <w:color w:val="auto"/>
              </w:rPr>
            </w:pPr>
          </w:p>
        </w:tc>
        <w:tc>
          <w:tcPr>
            <w:tcW w:w="1140" w:type="dxa"/>
            <w:vAlign w:val="bottom"/>
            <w:gridSpan w:val="3"/>
          </w:tcPr>
          <w:p>
            <w:pPr>
              <w:jc w:val="center"/>
              <w:ind w:right="20"/>
              <w:spacing w:after="0" w:line="132" w:lineRule="exact"/>
              <w:rPr>
                <w:sz w:val="20"/>
                <w:szCs w:val="20"/>
                <w:color w:val="auto"/>
              </w:rPr>
            </w:pPr>
            <w:r>
              <w:rPr>
                <w:rFonts w:ascii="Times New Roman" w:cs="Times New Roman" w:eastAsia="Times New Roman" w:hAnsi="Times New Roman"/>
                <w:sz w:val="14"/>
                <w:szCs w:val="14"/>
                <w:b w:val="1"/>
                <w:bCs w:val="1"/>
                <w:color w:val="auto"/>
                <w:w w:val="99"/>
              </w:rPr>
              <w:t>Presented in the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Recognized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40" w:type="dxa"/>
            <w:vAlign w:val="bottom"/>
          </w:tcPr>
          <w:p>
            <w:pPr>
              <w:spacing w:after="0"/>
              <w:rPr>
                <w:sz w:val="16"/>
                <w:szCs w:val="16"/>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Collateral Pledged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38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3"/>
          </w:tcPr>
          <w:p>
            <w:pPr>
              <w:jc w:val="center"/>
              <w:ind w:right="220"/>
              <w:spacing w:after="0" w:line="53" w:lineRule="exact"/>
              <w:rPr>
                <w:sz w:val="20"/>
                <w:szCs w:val="20"/>
                <w:color w:val="auto"/>
              </w:rPr>
            </w:pPr>
            <w:r>
              <w:rPr>
                <w:rFonts w:ascii="Times New Roman" w:cs="Times New Roman" w:eastAsia="Times New Roman" w:hAnsi="Times New Roman"/>
                <w:sz w:val="6"/>
                <w:szCs w:val="6"/>
                <w:b w:val="1"/>
                <w:bCs w:val="1"/>
                <w:color w:val="auto"/>
              </w:rPr>
              <w:t>Liabilities</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tcPr>
          <w:p>
            <w:pPr>
              <w:jc w:val="center"/>
              <w:ind w:right="100"/>
              <w:spacing w:after="0" w:line="53" w:lineRule="exact"/>
              <w:rPr>
                <w:sz w:val="20"/>
                <w:szCs w:val="20"/>
                <w:color w:val="auto"/>
              </w:rPr>
            </w:pPr>
            <w:r>
              <w:rPr>
                <w:rFonts w:ascii="Times New Roman" w:cs="Times New Roman" w:eastAsia="Times New Roman" w:hAnsi="Times New Roman"/>
                <w:sz w:val="6"/>
                <w:szCs w:val="6"/>
                <w:b w:val="1"/>
                <w:bCs w:val="1"/>
                <w:color w:val="auto"/>
              </w:rPr>
              <w:t>Balance Sheets</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2"/>
          </w:tcPr>
          <w:p>
            <w:pPr>
              <w:jc w:val="center"/>
              <w:ind w:right="120"/>
              <w:spacing w:after="0" w:line="53" w:lineRule="exact"/>
              <w:rPr>
                <w:sz w:val="20"/>
                <w:szCs w:val="20"/>
                <w:color w:val="auto"/>
              </w:rPr>
            </w:pPr>
            <w:r>
              <w:rPr>
                <w:rFonts w:ascii="Times New Roman" w:cs="Times New Roman" w:eastAsia="Times New Roman" w:hAnsi="Times New Roman"/>
                <w:sz w:val="6"/>
                <w:szCs w:val="6"/>
                <w:b w:val="1"/>
                <w:bCs w:val="1"/>
                <w:color w:val="auto"/>
              </w:rPr>
              <w:t>Balance Sheets</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3"/>
          </w:tcPr>
          <w:p>
            <w:pPr>
              <w:jc w:val="center"/>
              <w:ind w:right="160"/>
              <w:spacing w:after="0" w:line="53" w:lineRule="exact"/>
              <w:rPr>
                <w:sz w:val="20"/>
                <w:szCs w:val="20"/>
                <w:color w:val="auto"/>
              </w:rPr>
            </w:pPr>
            <w:r>
              <w:rPr>
                <w:rFonts w:ascii="Times New Roman" w:cs="Times New Roman" w:eastAsia="Times New Roman" w:hAnsi="Times New Roman"/>
                <w:sz w:val="6"/>
                <w:szCs w:val="6"/>
                <w:b w:val="1"/>
                <w:bCs w:val="1"/>
                <w:color w:val="auto"/>
              </w:rPr>
              <w:t>Instruments</w:t>
            </w: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vMerge w:val="restart"/>
          </w:tcPr>
          <w:p>
            <w:pPr>
              <w:jc w:val="right"/>
              <w:ind w:right="431"/>
              <w:spacing w:after="0"/>
              <w:rPr>
                <w:sz w:val="20"/>
                <w:szCs w:val="20"/>
                <w:color w:val="auto"/>
              </w:rPr>
            </w:pPr>
            <w:r>
              <w:rPr>
                <w:rFonts w:ascii="Times New Roman" w:cs="Times New Roman" w:eastAsia="Times New Roman" w:hAnsi="Times New Roman"/>
                <w:sz w:val="9"/>
                <w:szCs w:val="9"/>
                <w:b w:val="1"/>
                <w:bCs w:val="1"/>
                <w:color w:val="auto"/>
              </w:rPr>
              <w:t>2</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60" w:type="dxa"/>
            <w:vAlign w:val="bottom"/>
          </w:tcPr>
          <w:p>
            <w:pPr>
              <w:spacing w:after="0"/>
              <w:rPr>
                <w:sz w:val="5"/>
                <w:szCs w:val="5"/>
                <w:color w:val="auto"/>
              </w:rPr>
            </w:pPr>
          </w:p>
        </w:tc>
        <w:tc>
          <w:tcPr>
            <w:tcW w:w="38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390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3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9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(386)</w:t>
            </w:r>
          </w:p>
        </w:tc>
        <w:tc>
          <w:tcPr>
            <w:tcW w:w="80" w:type="dxa"/>
            <w:vAlign w:val="bottom"/>
          </w:tcPr>
          <w:p>
            <w:pPr>
              <w:spacing w:after="0"/>
              <w:rPr>
                <w:sz w:val="18"/>
                <w:szCs w:val="18"/>
                <w:color w:val="auto"/>
              </w:rPr>
            </w:pPr>
          </w:p>
        </w:tc>
        <w:tc>
          <w:tcPr>
            <w:tcW w:w="2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(70)</w:t>
            </w:r>
          </w:p>
        </w:tc>
        <w:tc>
          <w:tcPr>
            <w:tcW w:w="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9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 agreements</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96,719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96,719</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(12,130)</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(84,589)</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398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97,175</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97,175</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(12,516)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(84,659)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39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0" w:type="dxa"/>
            <w:vAlign w:val="bottom"/>
          </w:tcPr>
          <w:p>
            <w:pPr>
              <w:spacing w:after="0"/>
              <w:rPr>
                <w:sz w:val="18"/>
                <w:szCs w:val="18"/>
                <w:color w:val="auto"/>
              </w:rPr>
            </w:pPr>
          </w:p>
        </w:tc>
        <w:tc>
          <w:tcPr>
            <w:tcW w:w="3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9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Repurchase agreements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85,286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85,286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(12,503)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(72,783)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390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85,292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(12,509)</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(72,783)</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ind w:left="640" w:right="60" w:hanging="317"/>
        <w:spacing w:after="0" w:line="247"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under derivative assets / liabilities, at fair value in the accompanying consolidated balance sheets. Refer to Note 5 for a reconciliation of derivative assets / liabilities, at fair value to their sub-components.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22" w:name="page23"/>
    <w:bookmarkEnd w:id="22"/>
    <w:p>
      <w:pPr>
        <w:ind w:left="640" w:right="20" w:hanging="317"/>
        <w:spacing w:after="0" w:line="289"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Measurements</w:t>
      </w:r>
    </w:p>
    <w:p>
      <w:pPr>
        <w:spacing w:after="0" w:line="165"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The following table provides a summary of our assets and liabilities that are measured at fair value on a recurring basis, as of September 30, 2026 and December 31, 2025, based on their categorization within the valuation hierarchy (in millions). There were no transfers between valuation hierarchy levels during the periods presented in our accompanying consolidated statements of comprehensive income.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5"/>
                <w:szCs w:val="15"/>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8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
        </w:trPr>
        <w:tc>
          <w:tcPr>
            <w:tcW w:w="4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Agency securities</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91,394</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81,003</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Agency securities transferred to consolidated VIEs</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Credit risk transfer securities</w:t>
            </w:r>
          </w:p>
        </w:tc>
        <w:tc>
          <w:tcPr>
            <w:tcW w:w="18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Non-Agency securities</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p>
        </w:tc>
        <w:tc>
          <w:tcPr>
            <w:tcW w:w="18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13,028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13,477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Interest rate swaps </w:t>
            </w:r>
            <w:r>
              <w:rPr>
                <w:rFonts w:ascii="Times New Roman" w:cs="Times New Roman" w:eastAsia="Times New Roman" w:hAnsi="Times New Roman"/>
                <w:sz w:val="9"/>
                <w:szCs w:val="9"/>
                <w:color w:val="auto"/>
              </w:rPr>
              <w:t>1</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Swaptions</w:t>
            </w:r>
          </w:p>
        </w:tc>
        <w:tc>
          <w:tcPr>
            <w:tcW w:w="18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 securities</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futures</w:t>
            </w:r>
          </w:p>
        </w:tc>
        <w:tc>
          <w:tcPr>
            <w:tcW w:w="18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4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13,412</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13,488</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Debt of consolidated VIEs</w:t>
            </w: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Obligation to return U.S. Treasury securities borrowed under reverse</w:t>
            </w:r>
          </w:p>
        </w:tc>
        <w:tc>
          <w:tcPr>
            <w:tcW w:w="180" w:type="dxa"/>
            <w:vAlign w:val="bottom"/>
          </w:tcPr>
          <w:p>
            <w:pPr>
              <w:spacing w:after="0"/>
              <w:rPr>
                <w:sz w:val="12"/>
                <w:szCs w:val="12"/>
                <w:color w:val="auto"/>
              </w:rPr>
            </w:pP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23,542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16,452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agreements</w:t>
            </w: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Interest rate swaps </w:t>
            </w:r>
            <w:r>
              <w:rPr>
                <w:rFonts w:ascii="Times New Roman" w:cs="Times New Roman" w:eastAsia="Times New Roman" w:hAnsi="Times New Roman"/>
                <w:sz w:val="9"/>
                <w:szCs w:val="9"/>
                <w:color w:val="auto"/>
              </w:rPr>
              <w:t>1</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xml:space="preserve">Credit default swaps </w:t>
            </w:r>
            <w:r>
              <w:rPr>
                <w:rFonts w:ascii="Times New Roman" w:cs="Times New Roman" w:eastAsia="Times New Roman" w:hAnsi="Times New Roman"/>
                <w:sz w:val="9"/>
                <w:szCs w:val="9"/>
                <w:color w:val="auto"/>
              </w:rPr>
              <w:t>1</w:t>
            </w:r>
          </w:p>
        </w:tc>
        <w:tc>
          <w:tcPr>
            <w:tcW w:w="18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 securities</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futures</w:t>
            </w:r>
          </w:p>
        </w:tc>
        <w:tc>
          <w:tcPr>
            <w:tcW w:w="18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4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23,732</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16,452</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jc w:val="both"/>
        <w:ind w:left="640" w:hanging="317"/>
        <w:spacing w:after="0" w:line="261" w:lineRule="auto"/>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2026 and December 31, 2025, the net fair value of our interest rate swaps excluding the recognition of variation margin settlements as a direct reduction of carrying value was a net asset of $4.2 billion and $1.3 billion, respectively, based on “Level 2” inputs. As of September 30, 2026, the net fair value of our credit default swaps excluding the recognition of variation margin settlements was a net liability of $9 million based on “Level 2” inputs. See Notes 2 and 5 for additional details.</w:t>
      </w:r>
    </w:p>
    <w:p>
      <w:pPr>
        <w:spacing w:after="0" w:line="217"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Excluded from the table above are financial instruments reported at cost and other mortgage credit investments reported under the equity method of accounting in our consolidated financial statements. As of September 30, 2026 and December 31, 2025, the fair value of our repurchase agreements approximated cost, given their short-term nature (less than one year) and because the rates on our outstanding repurchase agreements largely corresponded to prevailing rates observed in the repo market. The fair value of cash and cash equivalents, restricted cash, receivables and other payables was determined to approximate cost as of such dates due to their short duration. We estimate the fair value of these instruments carried at cost using “Level 1” or “Level 2” inputs. As of September 30, 2026 and December 31, 2025, the carrying value of other mortgage credit investments reported under the equity method of accounting was $72 million and $70 million,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Net Income (Loss) Per Common Share</w:t>
      </w:r>
    </w:p>
    <w:p>
      <w:pPr>
        <w:spacing w:after="0" w:line="165"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that were outstanding during the period, which were granted under our long-term incentive program to employees and non-employee members of the Board of Directors (the “Board”). Diluted net income (loss) per common share assumes the issuance of all potential common stock equivalents unless doing so would reduce a loss or increase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r>
      <w:tr>
        <w:trPr>
          <w:trHeight w:val="192"/>
        </w:trPr>
        <w:tc>
          <w:tcPr>
            <w:tcW w:w="7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0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30,</w:t>
            </w:r>
          </w:p>
        </w:tc>
        <w:tc>
          <w:tcPr>
            <w:tcW w:w="700" w:type="dxa"/>
            <w:vAlign w:val="bottom"/>
          </w:tcPr>
          <w:p>
            <w:pPr>
              <w:spacing w:after="0"/>
              <w:rPr>
                <w:sz w:val="16"/>
                <w:szCs w:val="16"/>
                <w:color w:val="auto"/>
              </w:rPr>
            </w:pPr>
          </w:p>
        </w:tc>
      </w:tr>
      <w:tr>
        <w:trPr>
          <w:trHeight w:val="187"/>
        </w:trPr>
        <w:tc>
          <w:tcPr>
            <w:tcW w:w="7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7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4"/>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issued and outstanding</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994.8</w:t>
            </w:r>
          </w:p>
        </w:tc>
      </w:tr>
      <w:tr>
        <w:trPr>
          <w:trHeight w:val="187"/>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fully vested restricted stock units outstanding</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4"/>
        </w:trPr>
        <w:tc>
          <w:tcPr>
            <w:tcW w:w="7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4"/>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996.7</w:t>
            </w:r>
          </w:p>
        </w:tc>
      </w:tr>
      <w:tr>
        <w:trPr>
          <w:trHeight w:val="187"/>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dilutive unvested restricted stock units outstanding</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4"/>
        </w:trPr>
        <w:tc>
          <w:tcPr>
            <w:tcW w:w="7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9"/>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999.9</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available (attributable) to common stockholders</w:t>
            </w: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Pr>
          <w:p>
            <w:pPr>
              <w:spacing w:after="0"/>
              <w:rPr>
                <w:sz w:val="16"/>
                <w:szCs w:val="16"/>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9"/>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basic</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0.60</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diluted</w:t>
            </w: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0.72</w:t>
            </w:r>
          </w:p>
        </w:tc>
        <w:tc>
          <w:tcPr>
            <w:tcW w:w="100" w:type="dxa"/>
            <w:vAlign w:val="bottom"/>
          </w:tcPr>
          <w:p>
            <w:pPr>
              <w:spacing w:after="0"/>
              <w:rPr>
                <w:sz w:val="16"/>
                <w:szCs w:val="16"/>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(0.85)</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0.60</w:t>
            </w:r>
          </w:p>
        </w:tc>
      </w:tr>
      <w:tr>
        <w:trPr>
          <w:trHeight w:val="20"/>
        </w:trPr>
        <w:tc>
          <w:tcPr>
            <w:tcW w:w="7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For the three and nine months ended September 30, 2026, 4.6 million and 4.5 million, respectively, of potentially dilutive unvested time- and performance-based RSUs outstanding were excluded from the computation of diluted net income (loss) per common share because inclusion of such RSUs would have otherwise been anti-dilutive for the period.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67"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We are authorized to designate and issue up to 10.0 million shares of preferred stock in one or more classes or series. As of September 30, 2026 and December 31, 2025, 13,800, 10,350, 16,100, 23,000, 6,900 and 13,800 shares of preferred stock were designated as 7.00% Series C Fixed-to-Floating Rate Cumulative Redeemable Preferred Stock, 6.875% Series D Fixed-to-Floating Rate Cumulative Redeemable Preferred Stock, 6.50% Series E Fixed-to-Floating Rate Cumulative Redeemable Preferred Stock, 6.125% Series F Fixed-to-Floating Rate Cumulative Redeemable Preferred Stock, 7.75% Series G Fixed-Rate Reset Cumulative Redeemable Preferred Stock and 8.75% Series H Fixed-Rate Cumulative Redeemable Preferred Stock, respectively (referred to as “Series C, D, E, F, G and H Preferred Stock,” respectively). As of September 30, 2026 and December 31, 2025, 13,000, 9,400, 16,100, 23,000, 6,000 and 13,800 shares of Series C, D, E, F, G and H Preferred Stock, respectively, were issued and outstanding. Each share of preferred stock is represented by 1,000 depositary shares. Each share of preferred stock has a liquidation preference of $25,000 per share ($25 per depositary share).</w:t>
      </w:r>
    </w:p>
    <w:p>
      <w:pPr>
        <w:spacing w:after="0" w:line="138"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w:t>
      </w:r>
    </w:p>
    <w:p>
      <w:pPr>
        <w:spacing w:after="0" w:line="13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following table includes a summary of preferred stock depositary shares issued and outstanding as of September 30, 2026 (dollars and shares in millions):</w:t>
      </w: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Depositary</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 Annum</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First Optional</w:t>
            </w:r>
          </w:p>
        </w:tc>
        <w:tc>
          <w:tcPr>
            <w:tcW w:w="0" w:type="dxa"/>
            <w:vAlign w:val="bottom"/>
          </w:tcPr>
          <w:p>
            <w:pPr>
              <w:spacing w:after="0"/>
              <w:rPr>
                <w:sz w:val="1"/>
                <w:szCs w:val="1"/>
                <w:color w:val="auto"/>
              </w:rPr>
            </w:pPr>
          </w:p>
        </w:tc>
      </w:tr>
      <w:tr>
        <w:trPr>
          <w:trHeight w:val="132"/>
        </w:trPr>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00" w:type="dxa"/>
            <w:vAlign w:val="bottom"/>
            <w:gridSpan w:val="2"/>
          </w:tcPr>
          <w:p>
            <w:pPr>
              <w:ind w:left="180"/>
              <w:spacing w:after="0" w:line="145" w:lineRule="exact"/>
              <w:rPr>
                <w:sz w:val="20"/>
                <w:szCs w:val="20"/>
                <w:color w:val="auto"/>
              </w:rPr>
            </w:pPr>
            <w:r>
              <w:rPr>
                <w:rFonts w:ascii="Times New Roman" w:cs="Times New Roman" w:eastAsia="Times New Roman" w:hAnsi="Times New Roman"/>
                <w:sz w:val="14"/>
                <w:szCs w:val="14"/>
                <w:b w:val="1"/>
                <w:bCs w:val="1"/>
                <w:color w:val="auto"/>
              </w:rPr>
              <w:t>Cumulative Redeemable</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Issue Date</w:t>
            </w:r>
          </w:p>
        </w:tc>
        <w:tc>
          <w:tcPr>
            <w:tcW w:w="100" w:type="dxa"/>
            <w:vAlign w:val="bottom"/>
            <w:vMerge w:val="restart"/>
          </w:tcPr>
          <w:p>
            <w:pPr>
              <w:spacing w:after="0"/>
              <w:rPr>
                <w:sz w:val="12"/>
                <w:szCs w:val="12"/>
                <w:color w:val="auto"/>
              </w:rPr>
            </w:pPr>
          </w:p>
        </w:tc>
        <w:tc>
          <w:tcPr>
            <w:tcW w:w="11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40" w:type="dxa"/>
            <w:vAlign w:val="bottom"/>
          </w:tcPr>
          <w:p>
            <w:pPr>
              <w:spacing w:after="0"/>
              <w:rPr>
                <w:sz w:val="12"/>
                <w:szCs w:val="12"/>
                <w:color w:val="auto"/>
              </w:rPr>
            </w:pPr>
          </w:p>
        </w:tc>
        <w:tc>
          <w:tcPr>
            <w:tcW w:w="92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900" w:type="dxa"/>
            <w:vAlign w:val="bottom"/>
          </w:tcPr>
          <w:p>
            <w:pPr>
              <w:jc w:val="center"/>
              <w:ind w:right="72"/>
              <w:spacing w:after="0" w:line="145" w:lineRule="exact"/>
              <w:rPr>
                <w:sz w:val="20"/>
                <w:szCs w:val="20"/>
                <w:color w:val="auto"/>
              </w:rPr>
            </w:pPr>
            <w:r>
              <w:rPr>
                <w:rFonts w:ascii="Times New Roman" w:cs="Times New Roman" w:eastAsia="Times New Roman" w:hAnsi="Times New Roman"/>
                <w:sz w:val="14"/>
                <w:szCs w:val="14"/>
                <w:b w:val="1"/>
                <w:bCs w:val="1"/>
                <w:color w:val="auto"/>
                <w:w w:val="95"/>
              </w:rPr>
              <w:t>Liquidation</w:t>
            </w:r>
          </w:p>
        </w:tc>
        <w:tc>
          <w:tcPr>
            <w:tcW w:w="13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5"/>
              </w:rPr>
              <w:t>Dividend</w:t>
            </w:r>
          </w:p>
        </w:tc>
        <w:tc>
          <w:tcPr>
            <w:tcW w:w="15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Redemption Date /</w:t>
            </w:r>
          </w:p>
        </w:tc>
        <w:tc>
          <w:tcPr>
            <w:tcW w:w="0" w:type="dxa"/>
            <w:vAlign w:val="bottom"/>
          </w:tcPr>
          <w:p>
            <w:pPr>
              <w:spacing w:after="0"/>
              <w:rPr>
                <w:sz w:val="1"/>
                <w:szCs w:val="1"/>
                <w:color w:val="auto"/>
              </w:rPr>
            </w:pPr>
          </w:p>
        </w:tc>
      </w:tr>
      <w:tr>
        <w:trPr>
          <w:trHeight w:val="185"/>
        </w:trPr>
        <w:tc>
          <w:tcPr>
            <w:tcW w:w="17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6"/>
              </w:rPr>
              <w:t>Preference</w:t>
            </w:r>
          </w:p>
        </w:tc>
        <w:tc>
          <w:tcPr>
            <w:tcW w:w="1200" w:type="dxa"/>
            <w:vAlign w:val="bottom"/>
            <w:tcBorders>
              <w:bottom w:val="single" w:sz="8" w:color="auto"/>
            </w:tcBorders>
          </w:tcPr>
          <w:p>
            <w:pPr>
              <w:jc w:val="center"/>
              <w:ind w:left="92"/>
              <w:spacing w:after="0" w:line="185" w:lineRule="exact"/>
              <w:rPr>
                <w:sz w:val="20"/>
                <w:szCs w:val="20"/>
                <w:color w:val="auto"/>
              </w:rPr>
            </w:pPr>
            <w:r>
              <w:rPr>
                <w:rFonts w:ascii="Times New Roman" w:cs="Times New Roman" w:eastAsia="Times New Roman" w:hAnsi="Times New Roman"/>
                <w:sz w:val="14"/>
                <w:szCs w:val="14"/>
                <w:b w:val="1"/>
                <w:bCs w:val="1"/>
                <w:color w:val="auto"/>
                <w:w w:val="87"/>
              </w:rPr>
              <w:t xml:space="preserve">Rate </w:t>
            </w:r>
            <w:r>
              <w:rPr>
                <w:rFonts w:ascii="Times New Roman" w:cs="Times New Roman" w:eastAsia="Times New Roman" w:hAnsi="Times New Roman"/>
                <w:sz w:val="17"/>
                <w:szCs w:val="17"/>
                <w:b w:val="1"/>
                <w:bCs w:val="1"/>
                <w:color w:val="auto"/>
                <w:w w:val="87"/>
                <w:vertAlign w:val="superscript"/>
              </w:rPr>
              <w:t>1,2</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line="185" w:lineRule="exact"/>
              <w:rPr>
                <w:sz w:val="20"/>
                <w:szCs w:val="20"/>
                <w:color w:val="auto"/>
              </w:rPr>
            </w:pPr>
            <w:r>
              <w:rPr>
                <w:rFonts w:ascii="Times New Roman" w:cs="Times New Roman" w:eastAsia="Times New Roman" w:hAnsi="Times New Roman"/>
                <w:sz w:val="14"/>
                <w:szCs w:val="14"/>
                <w:b w:val="1"/>
                <w:bCs w:val="1"/>
                <w:color w:val="auto"/>
                <w:w w:val="95"/>
              </w:rPr>
              <w:t xml:space="preserve">Conversion Date </w:t>
            </w:r>
            <w:r>
              <w:rPr>
                <w:rFonts w:ascii="Times New Roman" w:cs="Times New Roman" w:eastAsia="Times New Roman" w:hAnsi="Times New Roman"/>
                <w:sz w:val="17"/>
                <w:szCs w:val="17"/>
                <w:b w:val="1"/>
                <w:bCs w:val="1"/>
                <w:color w:val="auto"/>
                <w:w w:val="95"/>
                <w:vertAlign w:val="superscript"/>
              </w:rPr>
              <w:t>2,3</w:t>
            </w:r>
          </w:p>
        </w:tc>
        <w:tc>
          <w:tcPr>
            <w:tcW w:w="0" w:type="dxa"/>
            <w:vAlign w:val="bottom"/>
          </w:tcPr>
          <w:p>
            <w:pPr>
              <w:spacing w:after="0"/>
              <w:rPr>
                <w:sz w:val="1"/>
                <w:szCs w:val="1"/>
                <w:color w:val="auto"/>
              </w:rPr>
            </w:pPr>
          </w:p>
        </w:tc>
      </w:tr>
      <w:tr>
        <w:trPr>
          <w:trHeight w:val="191"/>
        </w:trPr>
        <w:tc>
          <w:tcPr>
            <w:tcW w:w="1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Fixed-to-Floating Rate:</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Series C</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August 22, 2017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200" w:type="dxa"/>
            <w:vAlign w:val="bottom"/>
          </w:tcPr>
          <w:p>
            <w:pPr>
              <w:jc w:val="center"/>
              <w:ind w:left="92"/>
              <w:spacing w:after="0"/>
              <w:rPr>
                <w:sz w:val="20"/>
                <w:szCs w:val="20"/>
                <w:color w:val="auto"/>
              </w:rPr>
            </w:pPr>
            <w:r>
              <w:rPr>
                <w:rFonts w:ascii="Times New Roman" w:cs="Times New Roman" w:eastAsia="Times New Roman" w:hAnsi="Times New Roman"/>
                <w:sz w:val="14"/>
                <w:szCs w:val="14"/>
                <w:color w:val="auto"/>
                <w:w w:val="97"/>
              </w:rPr>
              <w:t>9.16547%</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October 15, 2022</w:t>
            </w:r>
          </w:p>
        </w:tc>
        <w:tc>
          <w:tcPr>
            <w:tcW w:w="0" w:type="dxa"/>
            <w:vAlign w:val="bottom"/>
          </w:tcPr>
          <w:p>
            <w:pPr>
              <w:spacing w:after="0"/>
              <w:rPr>
                <w:sz w:val="1"/>
                <w:szCs w:val="1"/>
                <w:color w:val="auto"/>
              </w:rPr>
            </w:pPr>
          </w:p>
        </w:tc>
      </w:tr>
      <w:tr>
        <w:trPr>
          <w:trHeight w:val="204"/>
        </w:trPr>
        <w:tc>
          <w:tcPr>
            <w:tcW w:w="1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Series D</w:t>
            </w: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March 6, 2019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20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4"/>
                <w:szCs w:val="14"/>
                <w:color w:val="auto"/>
                <w:w w:val="97"/>
              </w:rPr>
              <w:t>8.38647%</w:t>
            </w: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April 15, 2024</w:t>
            </w:r>
          </w:p>
        </w:tc>
        <w:tc>
          <w:tcPr>
            <w:tcW w:w="0" w:type="dxa"/>
            <w:vAlign w:val="bottom"/>
          </w:tcPr>
          <w:p>
            <w:pPr>
              <w:spacing w:after="0"/>
              <w:rPr>
                <w:sz w:val="1"/>
                <w:szCs w:val="1"/>
                <w:color w:val="auto"/>
              </w:rPr>
            </w:pPr>
          </w:p>
        </w:tc>
      </w:tr>
      <w:tr>
        <w:trPr>
          <w:trHeight w:val="192"/>
        </w:trPr>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Series E</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October 3, 2019</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200" w:type="dxa"/>
            <w:vAlign w:val="bottom"/>
          </w:tcPr>
          <w:p>
            <w:pPr>
              <w:jc w:val="center"/>
              <w:ind w:left="92"/>
              <w:spacing w:after="0"/>
              <w:rPr>
                <w:sz w:val="20"/>
                <w:szCs w:val="20"/>
                <w:color w:val="auto"/>
              </w:rPr>
            </w:pPr>
            <w:r>
              <w:rPr>
                <w:rFonts w:ascii="Times New Roman" w:cs="Times New Roman" w:eastAsia="Times New Roman" w:hAnsi="Times New Roman"/>
                <w:sz w:val="14"/>
                <w:szCs w:val="14"/>
                <w:color w:val="auto"/>
                <w:w w:val="97"/>
              </w:rPr>
              <w:t>9.04747%</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October 15, 2024</w:t>
            </w:r>
          </w:p>
        </w:tc>
        <w:tc>
          <w:tcPr>
            <w:tcW w:w="0" w:type="dxa"/>
            <w:vAlign w:val="bottom"/>
          </w:tcPr>
          <w:p>
            <w:pPr>
              <w:spacing w:after="0"/>
              <w:rPr>
                <w:sz w:val="1"/>
                <w:szCs w:val="1"/>
                <w:color w:val="auto"/>
              </w:rPr>
            </w:pPr>
          </w:p>
        </w:tc>
      </w:tr>
      <w:tr>
        <w:trPr>
          <w:trHeight w:val="204"/>
        </w:trPr>
        <w:tc>
          <w:tcPr>
            <w:tcW w:w="1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Series F</w:t>
            </w: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February 11, 2020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20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4"/>
                <w:szCs w:val="14"/>
                <w:color w:val="auto"/>
                <w:w w:val="97"/>
              </w:rPr>
              <w:t>8.75147%</w:t>
            </w: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April 15, 2025</w:t>
            </w:r>
          </w:p>
        </w:tc>
        <w:tc>
          <w:tcPr>
            <w:tcW w:w="0" w:type="dxa"/>
            <w:vAlign w:val="bottom"/>
          </w:tcPr>
          <w:p>
            <w:pPr>
              <w:spacing w:after="0"/>
              <w:rPr>
                <w:sz w:val="1"/>
                <w:szCs w:val="1"/>
                <w:color w:val="auto"/>
              </w:rPr>
            </w:pPr>
          </w:p>
        </w:tc>
      </w:tr>
      <w:tr>
        <w:trPr>
          <w:trHeight w:val="192"/>
        </w:trPr>
        <w:tc>
          <w:tcPr>
            <w:tcW w:w="1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Fixed-Rate Reset:</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Series G</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September 14, 2022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4"/>
                <w:szCs w:val="14"/>
                <w:color w:val="auto"/>
                <w:w w:val="97"/>
              </w:rPr>
              <w:t>7.75000%</w:t>
            </w: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October 15, 2027</w:t>
            </w:r>
          </w:p>
        </w:tc>
        <w:tc>
          <w:tcPr>
            <w:tcW w:w="0" w:type="dxa"/>
            <w:vAlign w:val="bottom"/>
          </w:tcPr>
          <w:p>
            <w:pPr>
              <w:spacing w:after="0"/>
              <w:rPr>
                <w:sz w:val="1"/>
                <w:szCs w:val="1"/>
                <w:color w:val="auto"/>
              </w:rPr>
            </w:pPr>
          </w:p>
        </w:tc>
      </w:tr>
      <w:tr>
        <w:trPr>
          <w:trHeight w:val="192"/>
        </w:trPr>
        <w:tc>
          <w:tcPr>
            <w:tcW w:w="1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Fixed-Rate:</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Series H</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September 10, 2025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20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4"/>
                <w:szCs w:val="14"/>
                <w:color w:val="auto"/>
                <w:w w:val="97"/>
              </w:rPr>
              <w:t>8.75000%</w:t>
            </w: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October 15, 2030</w:t>
            </w:r>
          </w:p>
        </w:tc>
        <w:tc>
          <w:tcPr>
            <w:tcW w:w="0" w:type="dxa"/>
            <w:vAlign w:val="bottom"/>
          </w:tcPr>
          <w:p>
            <w:pPr>
              <w:spacing w:after="0"/>
              <w:rPr>
                <w:sz w:val="1"/>
                <w:szCs w:val="1"/>
                <w:color w:val="auto"/>
              </w:rPr>
            </w:pPr>
          </w:p>
        </w:tc>
      </w:tr>
      <w:tr>
        <w:trPr>
          <w:trHeight w:val="191"/>
        </w:trPr>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jc w:val="both"/>
        <w:ind w:left="640" w:hanging="317"/>
        <w:spacing w:after="0" w:line="25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shares underlying our preferred stock accrue dividends on the $25.00 liquidation preference per depositary share from the issuance date until they are redeemed in accordance with their terms. The per annum dividend rates for the depositary shares underlying the Series C, D, E and F Preferred Stock represent the rates in effect as of September 30, 2026, and are reset quarterly. The depositary shares underlying the Series G</w:t>
      </w:r>
    </w:p>
    <w:p>
      <w:pPr>
        <w:sectPr>
          <w:pgSz w:w="11900" w:h="16838" w:orient="portrait"/>
          <w:cols w:equalWidth="0" w:num="1">
            <w:col w:w="11240"/>
          </w:cols>
          <w:pgMar w:left="320" w:top="995"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24" w:name="page25"/>
    <w:bookmarkEnd w:id="24"/>
    <w:p>
      <w:pPr>
        <w:ind w:left="640"/>
        <w:spacing w:after="0" w:line="264" w:lineRule="auto"/>
        <w:rPr>
          <w:sz w:val="20"/>
          <w:szCs w:val="20"/>
          <w:color w:val="auto"/>
        </w:rPr>
      </w:pPr>
      <w:r>
        <w:rPr>
          <w:rFonts w:ascii="Times New Roman" w:cs="Times New Roman" w:eastAsia="Times New Roman" w:hAnsi="Times New Roman"/>
          <w:sz w:val="14"/>
          <w:szCs w:val="14"/>
          <w:color w:val="auto"/>
        </w:rPr>
        <w:t>Preferred Stock accrue dividends at an initial annual fixed rate until the fixed-rate-reset conversion date, after which dividends on these depositary shares accrue on a fixed-rate-reset basis equal to the conversion rate plus a fixed spread. The depositary shares underlying the Series H Preferred Stock accrue dividends at a fixed rate.</w:t>
      </w:r>
    </w:p>
    <w:p>
      <w:pPr>
        <w:spacing w:after="0" w:line="1" w:lineRule="exact"/>
        <w:rPr>
          <w:sz w:val="20"/>
          <w:szCs w:val="20"/>
          <w:color w:val="auto"/>
        </w:rPr>
      </w:pPr>
    </w:p>
    <w:p>
      <w:pPr>
        <w:jc w:val="both"/>
        <w:ind w:left="640" w:hanging="317"/>
        <w:spacing w:after="0" w:line="250"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C, D, E and F dividends accrue at a rate equal to the 3-Month CME Term SOFR plus 0.26161%, plus spreads of 5.111%, 4.332%, 4.993% and 4.697%, respectively, per annum, resetting quarterly in accordance with the certificate of designations for such series and the Adjustable Interest Rate (LIBOR) Act of 2021 (the “LIBOR Act”). At the conclusion of the fixed rate period for the Series G Preferred Stock, the dividend will accrue at a floating rate equal to the 5-Year U.S. Treasury rate plus a spread of 4.39% per annum and will reset in accordance with the certificate of designations for such series.</w:t>
      </w:r>
    </w:p>
    <w:p>
      <w:pPr>
        <w:spacing w:after="0" w:line="2"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may be redeemed prior to our optional redemption date under certain circumstances intended to preserve our qualification as a REIT for U.S. federal income tax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167"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We are authorized by our Board of Directors to enter into agreements with sales agents to publicly offer and sell shares of our common stock in privately negotiated and/or at-the-market transactions from time to time, up to a maximum aggregate offering price. As of September 30, 2026, shares of our common stock with an aggregate offering price of $1.1 billion remained authorized for issuance under this program through December 31, 2027. The following table includes a summary of shares of our common stock issued under the sales agreements during the three and nine months ended September 30, 2026 and 2025 (in millions, except for per share data).</w:t>
      </w:r>
    </w:p>
    <w:p>
      <w:pPr>
        <w:spacing w:after="0" w:line="161"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ATM Offerings</w:t>
            </w:r>
          </w:p>
        </w:tc>
        <w:tc>
          <w:tcPr>
            <w:tcW w:w="120" w:type="dxa"/>
            <w:vAlign w:val="bottom"/>
            <w:vMerge w:val="restart"/>
          </w:tcPr>
          <w:p>
            <w:pPr>
              <w:spacing w:after="0"/>
              <w:rPr>
                <w:sz w:val="13"/>
                <w:szCs w:val="13"/>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Received</w:t>
            </w:r>
          </w:p>
        </w:tc>
        <w:tc>
          <w:tcPr>
            <w:tcW w:w="1480" w:type="dxa"/>
            <w:vAlign w:val="bottom"/>
            <w:vMerge w:val="restart"/>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3"/>
                <w:szCs w:val="13"/>
                <w:color w:val="auto"/>
              </w:rPr>
            </w:pPr>
          </w:p>
        </w:tc>
        <w:tc>
          <w:tcPr>
            <w:tcW w:w="14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Per Share, Net</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6"/>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September 30, 2026</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September 30, 2025</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187"/>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3"/>
        </w:trPr>
        <w:tc>
          <w:tcPr>
            <w:tcW w:w="2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September 30, 2026</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0" w:type="dxa"/>
            <w:vAlign w:val="bottom"/>
          </w:tcPr>
          <w:p>
            <w:pPr>
              <w:spacing w:after="0"/>
              <w:rPr>
                <w:sz w:val="1"/>
                <w:szCs w:val="1"/>
                <w:color w:val="auto"/>
              </w:rPr>
            </w:pPr>
          </w:p>
        </w:tc>
      </w:tr>
      <w:tr>
        <w:trPr>
          <w:trHeight w:val="200"/>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September 30, 2025</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changes to accumulated OCI for the three and nine months ended September 30, 2026 and 2025 (in millions):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76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7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76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w:t>
            </w: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
        </w:trPr>
        <w:tc>
          <w:tcPr>
            <w:tcW w:w="7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24"/>
        </w:trPr>
        <w:tc>
          <w:tcPr>
            <w:tcW w:w="7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7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49"/>
        </w:trPr>
        <w:tc>
          <w:tcPr>
            <w:tcW w:w="71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(gain) loss amounts for available-for-sale securities reclassified from accumulated OCI to realized gain (loss) on sale</w:t>
            </w:r>
          </w:p>
        </w:tc>
        <w:tc>
          <w:tcPr>
            <w:tcW w:w="200" w:type="dxa"/>
            <w:vAlign w:val="bottom"/>
          </w:tcPr>
          <w:p>
            <w:pPr>
              <w:spacing w:after="0"/>
              <w:rPr>
                <w:sz w:val="12"/>
                <w:szCs w:val="12"/>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9"/>
        </w:trPr>
        <w:tc>
          <w:tcPr>
            <w:tcW w:w="7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of investment securities, net</w:t>
            </w: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1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Segment Reporting</w:t>
      </w:r>
    </w:p>
    <w:p>
      <w:pPr>
        <w:spacing w:after="0" w:line="165"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Our investment portfolio consists primarily of Agency RMBS, and we fund our investments primarily through collateralized borrowings structured as repurchase agreements. As part of our operations, we are exposed to market risks, including interest rate, prepayment, extension, spread, and credit risks.</w:t>
      </w:r>
    </w:p>
    <w:p>
      <w:pPr>
        <w:spacing w:after="0" w:line="115"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 xml:space="preserve">Our portfolio is managed as a whole, with investment and hedging decisions assessed collectively by the Chief Operating Decision Maker (“CODM”). The CODM, represented by our Chief Executive Officer with the support of our Executive Management Committee, allocates resources and evaluates financial performance by considering the market risks identified above. The CODM also considers factors such as total assets and repurchase agreements outstanding, as reported on the consolidated balance sheet; our TBA position, as disclosed in Note 5. </w:t>
      </w:r>
      <w:r>
        <w:rPr>
          <w:rFonts w:ascii="Times New Roman" w:cs="Times New Roman" w:eastAsia="Times New Roman" w:hAnsi="Times New Roman"/>
          <w:sz w:val="18"/>
          <w:szCs w:val="18"/>
          <w:i w:val="1"/>
          <w:iCs w:val="1"/>
          <w:color w:val="auto"/>
        </w:rPr>
        <w:t>Derivative and Other Hedging Instruments</w:t>
      </w:r>
      <w:r>
        <w:rPr>
          <w:rFonts w:ascii="Times New Roman" w:cs="Times New Roman" w:eastAsia="Times New Roman" w:hAnsi="Times New Roman"/>
          <w:sz w:val="18"/>
          <w:szCs w:val="18"/>
          <w:color w:val="auto"/>
        </w:rPr>
        <w:t>; our ability to hedge certain risks; and our intention to qualify as a REIT. Consequently, the Company operates as a single reportable segment, as reflected in the accompanying consolidated financial statements and notes.</w:t>
      </w:r>
    </w:p>
    <w:p>
      <w:pPr>
        <w:spacing w:after="0" w:line="132"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color w:val="auto"/>
        </w:rPr>
        <w:t>The CODM assesses performance using comprehensive income (loss), as reported on the consolidated statement of comprehensive income (loss). Comprehensive income (loss) is a key determinant of the Company’s economic return, calculated as the change in tangible stockholders’ equity attributable to common stockholders plus common stock dividends declared, divided by the prior period’s ending tangible stockholders’ equity attributable to common stockholders, each computed on a per common share basis. This measure is used to monitor actual results, benchmark performance against peers, and inform</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25" w:name="page26"/>
    <w:bookmarkEnd w:id="25"/>
    <w:p>
      <w:pPr>
        <w:jc w:val="both"/>
        <w:spacing w:after="0" w:line="270" w:lineRule="auto"/>
        <w:rPr>
          <w:sz w:val="20"/>
          <w:szCs w:val="20"/>
          <w:color w:val="auto"/>
        </w:rPr>
      </w:pPr>
      <w:r>
        <w:rPr>
          <w:rFonts w:ascii="Times New Roman" w:cs="Times New Roman" w:eastAsia="Times New Roman" w:hAnsi="Times New Roman"/>
          <w:sz w:val="18"/>
          <w:szCs w:val="18"/>
          <w:color w:val="auto"/>
        </w:rPr>
        <w:t>management’s compensation. The CODM also evaluates consolidated expense information, including interest expense, compensation and benefits, and other operating expenses, as significant metrics in decision-making.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Program</w:t>
      </w:r>
    </w:p>
    <w:p>
      <w:pPr>
        <w:spacing w:after="0" w:line="167"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We have maintained a stock repurchase plan that enables us to repurchase shares of our common stock from time to time. We intend to repurchase shares under the stock repurchase plan only when the repurchase price is equal to or less than our then-current estimate of tangible net book value per common share. Our existing stock repurchase plan, which had $1 billion in remaining capacity, was due to expire on December 31, 2026. During October 2026, our Board of Directors terminated this stock repurchase plan and replaced it with a new plan authorizing us to repurchase up to $1 billion of common stock through December 31, 2028. Under the new plan, we may repurchase shares in the open market or through privately negotiated transactions or pursuant to a trading plan that may be adopted in accordance with Rule 10b5-1 of the Securities Exchange Act of 1934, as amended (the “Exchange Act”). Our stock repurchase plan may be limited or terminated at any time without prior notice.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67"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the quarterly period ended September 30, 2026. Our MD&amp;A is presented in the following sections:</w:t>
      </w:r>
    </w:p>
    <w:p>
      <w:pPr>
        <w:spacing w:after="0" w:line="65" w:lineRule="exact"/>
        <w:rPr>
          <w:sz w:val="20"/>
          <w:szCs w:val="20"/>
          <w:color w:val="auto"/>
        </w:rPr>
      </w:pPr>
    </w:p>
    <w:p>
      <w:pPr>
        <w:ind w:left="640" w:hanging="31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w:t>
      </w:r>
    </w:p>
    <w:p>
      <w:pPr>
        <w:spacing w:after="0" w:line="5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w:t>
      </w:r>
    </w:p>
    <w:p>
      <w:pPr>
        <w:spacing w:after="0" w:line="5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5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5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5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5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and Social Media Disclosure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65"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Federal National Mortgage Association (“Fannie Mae”) and Federal Home Loan Mortgage Corporation (“Freddie Mac,” and together with Fannie Mae, the “GSEs”), or by a U.S. Government agency, such as Government National Mortgage Association (“Ginnie Mae”). We may also invest in Agency multifamily MBS that are similarly guaranteed by a GSE and in other assets related to the housing, mortgage or real estate markets that are not guaranteed by a GSE or U.S. Government agency.</w:t>
      </w:r>
    </w:p>
    <w:p>
      <w:pPr>
        <w:spacing w:after="0" w:line="13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w:t>
      </w:r>
    </w:p>
    <w:p>
      <w:pPr>
        <w:spacing w:after="0" w:line="13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employ an active management strategy that is dynamic and responsive to evolving market conditions. The composition of our portfolio and our investment, funding, and hedging strategies are tailored to reflect our analysis of market conditions and the relative values of available options.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Recent Market Impacts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67"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18"/>
          <w:szCs w:val="18"/>
          <w:color w:val="auto"/>
        </w:rPr>
        <w:t>Fixed income markets experienced significant pressure during the third quarter of 2026, particularly in the final weeks of September, as a confluence of adverse developments caused investor sentiment to turn decidedly bearish, interest rates to increase sharply, and interest rate volatility to spike. Instability in the U.S. Treasury market drove pronounced weakness in the Agency RMBS market, and Agency RMBS was the worst performing sector of the Bloomberg U.S. Aggregate Bond Index during the quarter. Consistent with the material underperformance of our underlying asset class, AGNC's economic return on tangible common equity per share was -12.7% for the third quarter.</w:t>
      </w:r>
      <w:r>
        <w:rPr>
          <w:rFonts w:ascii="Times New Roman" w:cs="Times New Roman" w:eastAsia="Times New Roman" w:hAnsi="Times New Roman"/>
          <w:sz w:val="22"/>
          <w:szCs w:val="22"/>
          <w:color w:val="auto"/>
          <w:vertAlign w:val="superscript"/>
        </w:rPr>
        <w:t>1</w:t>
      </w:r>
    </w:p>
    <w:p>
      <w:pPr>
        <w:spacing w:after="0" w:line="62"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The challenging fixed income environment was driven by a number of negative catalysts, including substantial monetary policy uncertainty, mixed inflation data, historically high levels of corporate debt issuance, heightened geopolitical risk, elevated energy prices associated with the conflict in the Middle East, and stronger-than-expected domestic economic growth. Monetary policy uncertainty was potentially the most significant of these factors. At the Jackson Hole Economic Symposium in August, Federal Reserve (“Fed”) Chairman Warsh signaled a more restrictive policy stance, and the Fed raised the federal funds rate by 25 basis points at its September meeting, its first increase since 2023. Although Chairman Warsh characterized the increase as the removal of a “dose of accommodation,” the market's subsequent repricing of monetary policy expectations was considerably sharper. In late February 2026, federal funds futures reflected the expectation of three rate cuts by year-end, consistent with the Fed's own projections and its gradual progression toward a neutral policy stance. Following the September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27" w:name="page28"/>
    <w:bookmarkEnd w:id="27"/>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rate increase, however, federal funds futures priced in four additional rate increases by mid-2027, representing a 200-basis-point increase in the expected path of monetary policy over a very short period of time.</w:t>
      </w:r>
    </w:p>
    <w:p>
      <w:pPr>
        <w:spacing w:after="0" w:line="115"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Against this backdrop, the yield on the 10-year U.S. Treasury increased 82 basis points during the quarter to 5.29%, with 54 basis points of that increase occurring in September. A quarterly increase of that magnitude has occurred on only four other occasions over the last 30 years. This weakness in the U.S. Treasury market extended to other fixed income asset classes, as evidenced by the approximately -3.5% total return of the Bloomberg U.S. Aggregate Bond Index for the third quarter.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Agency RMBS Performance Drivers</w:t>
      </w:r>
    </w:p>
    <w:p>
      <w:pPr>
        <w:spacing w:after="0" w:line="154"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7"/>
          <w:szCs w:val="17"/>
          <w:color w:val="auto"/>
        </w:rPr>
        <w:t>As is often the case when U.S. Treasury yields rise sharply, Agency RMBS experienced greater weakness than other fixed income sectors during the third quarter. The Bloomberg U.S. Mortgage Backed Securities Index (the “Agency MBS Index”) generated a total return of approximately -4.25% for the quarter and, on a duration-matched basis, underperformed U.S. Treasuries by nearly 120 basis points. Since 2010, the Agency MBS Index has underperformed U.S. Treasuries by a wider margin in only two other quarters: the third quarter of 2022, when the Fed raised short-term interest rates by 150 basis points while rapidly reducing its balance sheet, and the third quarter of 2011, when the S&amp;P 500 Index declined 14% and the 10-year U.S. Treasury yield fell below 2%.</w:t>
      </w:r>
    </w:p>
    <w:p>
      <w:pPr>
        <w:spacing w:after="0" w:line="119"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Agency RMBS underperformance was fairly uniform across the coupon stack, with negative excess returns by coupon, as measured by the Agency MBS Index, ranging from 110 to 140 basis points. Middle-coupon securities modestly underperformed lower-coupon securities, which benefited from limited supply and bond fund inflows, and higher-coupon securities, which experienced sharply reduced prepayment risk as interest rates moved higher. At quarter-end, the spread differential between current-coupon Agency RMBS and a blend of hedges was approximately 165 basis points against the swap curve and 135 basis points against the Treasury curve, in each case approximately 20 basis points higher than at June 30, 2026, placing Agency RMBS spreads near the upper end of their multi-year trading range.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Outlook</w:t>
      </w:r>
    </w:p>
    <w:p>
      <w:pPr>
        <w:spacing w:after="0" w:line="167"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Despite the challenging environment, we believe there are a number of reasons for optimism in the outlook for Agency RMBS once interest rate volatility subsides. First, the return profile of Agency RMBS is considerably more attractive at current valuation levels. At quarter-end, the yield on a new production current-coupon Agency RMBS was approximately 6.4%, which, for a security backed by the support of the U.S. government, should appeal to a broad range of investors. For hedged investors, the return opportunity is also compelling, with spreads to benchmark rates ending the quarter near the upper end of their multi-year trading range. Agency RMBS also appear increasingly attractive relative to investment grade corporate debt.</w:t>
      </w:r>
    </w:p>
    <w:p>
      <w:pPr>
        <w:spacing w:after="0" w:line="13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Second, mortgage cash flows have become more stable. As interest rates increase, the duration of Agency RMBS also increases, reflecting the extension risk inherent in mortgage-backed securities. At a certain rate level, however, mortgage durations plateau and become relatively insensitive to further rate increases. Given the magnitude of the increase in interest rates during the third quarter, we believe that inflection point has largely been reached and that the vast majority of the duration extension in the mortgage universe has already occurred. Prepayment risk has also diminished. With the primary mortgage rate meaningfully above the average note rate of the outstanding mortgage universe, less than 2% of outstanding Agency RMBS has a refinance incentive of 50 basis points or more, and a one percentage point decline in mortgage rates would increase that share to only approximately 10%.</w:t>
      </w:r>
    </w:p>
    <w:p>
      <w:pPr>
        <w:spacing w:after="0" w:line="13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Third, supply and demand technicals continue to support favorable Agency RMBS performance once interest rate volatility subsides. With the 30-year primary mortgage rate near 7.4% at quarter-end and seasonal factors that typically slow origination activity late in the year, the supply of new Agency RMBS for the remainder of 2026 and into 2027 is expected to be materially lower than previously anticipated. At the same time, we expect demand for Agency RMBS to remain steady, supported by strong bond fund inflows, the finalization of bank capital rules, the reemergence of the GSEs as purchasers, and increased participation from other investors seeking to take advantage of attractive return opportunities in the Agency RMBS market.</w:t>
      </w:r>
    </w:p>
    <w:p>
      <w:pPr>
        <w:spacing w:after="0" w:line="13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Taken together, we believe these conditions should benefit Agency RMBS performance over time. Interest rate volatility and macroeconomic uncertainty, however, are likely to remain elevated over the near term, and Agency RMBS performance will likely remain sensitive to that backdrop.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and Summary Financial Highlights</w:t>
      </w:r>
    </w:p>
    <w:p>
      <w:pPr>
        <w:spacing w:after="0" w:line="15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AGNC generated a total comprehensive loss of $1.28 per diluted common share and an economic return on tangible common equity per share of -12.7% for the third quarter, consisting of $0.36 of dividends declared per common share and a $1.45 decrease in tangible net book value per common share, due to the underperformance of our Agency RMBS assets relative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28" w:name="page29"/>
    <w:bookmarkEnd w:id="28"/>
    <w:p>
      <w:pPr>
        <w:jc w:val="both"/>
        <w:spacing w:after="0" w:line="279" w:lineRule="auto"/>
        <w:rPr>
          <w:sz w:val="20"/>
          <w:szCs w:val="20"/>
          <w:color w:val="auto"/>
        </w:rPr>
      </w:pPr>
      <w:r>
        <w:rPr>
          <w:rFonts w:ascii="Times New Roman" w:cs="Times New Roman" w:eastAsia="Times New Roman" w:hAnsi="Times New Roman"/>
          <w:sz w:val="17"/>
          <w:szCs w:val="17"/>
          <w:color w:val="auto"/>
        </w:rPr>
        <w:t>to our interest rate hedges. This compares to total comprehensive income of $0.52 per diluted common share and an economic return of 6.7% for the second quarter of 2026. For the first nine months of 2026, AGNC had a total comprehensive loss of $0.98 per diluted common share and an economic return of -7.5% on tangible common equity, consisting of $1.08 of dividends declared per common share and a $1.75 decrease in tangible net book value per common share.</w:t>
      </w:r>
    </w:p>
    <w:p>
      <w:pPr>
        <w:spacing w:after="0" w:line="11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Net spread and dollar roll income (a non-GAAP measure) was $0.37 per diluted common share for the third quarter, compared to $0.40 in the prior quarter. The decrease primarily reflects a 14-basis-point decline in our net interest spread to 1.86%, as higher funding costs more than offset higher asset yields and, to a lesser extent, a modest earnings drag associated with the timing of deployment of newly raised equity capital.</w:t>
      </w:r>
    </w:p>
    <w:p>
      <w:pPr>
        <w:spacing w:after="0" w:line="127"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During the third quarter, AGNC was added to the S&amp;P MidCap 400 Index. The announcement and subsequent index rebalancing activity drove elevated trading volume in our common stock, and we took advantage of this liquidity to issue 97.6 million shares of common stock at a significant premium to our tangible net book value per common share through our At-the-Market (“ATM”) offering program for net proceeds of $992 million.</w:t>
      </w:r>
    </w:p>
    <w:p>
      <w:pPr>
        <w:spacing w:after="0" w:line="127" w:lineRule="exact"/>
        <w:rPr>
          <w:sz w:val="20"/>
          <w:szCs w:val="20"/>
          <w:color w:val="auto"/>
        </w:rPr>
      </w:pPr>
    </w:p>
    <w:p>
      <w:pPr>
        <w:jc w:val="both"/>
        <w:ind w:firstLine="396"/>
        <w:spacing w:after="0"/>
        <w:rPr>
          <w:sz w:val="20"/>
          <w:szCs w:val="20"/>
          <w:color w:val="auto"/>
        </w:rPr>
      </w:pPr>
      <w:r>
        <w:rPr>
          <w:rFonts w:ascii="Times New Roman" w:cs="Times New Roman" w:eastAsia="Times New Roman" w:hAnsi="Times New Roman"/>
          <w:sz w:val="18"/>
          <w:szCs w:val="18"/>
          <w:color w:val="auto"/>
        </w:rPr>
        <w:t>At September 30, 2026, our investment portfolio, inclusive of TBAs, totaled $94.4 billion, compared to $97.2 billion as of June 30, 2026, as the decline in asset valuations more than offset growth of approximately $2.5 billion in our portfolio on a cost basis. During the third quarter, we purchased primarily intermediate-coupon specified pools and shifted the coupon composition of our portfolio higher given the more attractive yield profile of that segment of the market. As a result, the weighted average coupon of our fixed-rate Agency RMBS and TBA securities increased to 5.13% from 5.04% as of June 30, 2026, while the portion of our fixed-rate portfolio with favorable prepayment attributes (“specified pools”)</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increased to 83% from 79% as of June 30, 2026. In addition to providing call protection in declining rate scenarios, certain specified pools can also provide extension protection in rising rate scenarios through seasoning and faster borrower turnover.</w:t>
      </w:r>
    </w:p>
    <w:p>
      <w:pPr>
        <w:spacing w:after="0" w:line="14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average projected life Constant Prepayment Rate (“CPR”) for our portfolio declined to 6.7% at quarter-end from 8.6% as of June 30, 2026, consistent with higher interest rates. Actual CPRs averaged 8.2% during the quarter, compared to 13.0% in the prior quarter.</w:t>
      </w:r>
    </w:p>
    <w:p>
      <w:pPr>
        <w:spacing w:after="0" w:line="115"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At September 30, 2026, “at risk” leverage was 7.9x tangible equity, compared to 7.4x as of June 30, 2026, while average leverage for the quarter was 7.6x, compared to 7.4x for the second quarter. AGNC ended the quarter with $6.3 billion of unencumbered cash and Agency RMBS, representing 57% of tangible equity, compared to $7.5 billion and 62%, respectively, at June 30, 2026.</w:t>
      </w:r>
    </w:p>
    <w:p>
      <w:pPr>
        <w:spacing w:after="0" w:line="127"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At September 30, 2026, our hedge ratio was 97%, reflecting the level of interest rate swap and U.S. Treasury hedges (excluding option-based hedges) relative to total funding liabilities, compared to 82% as of June 30, 2026. The increase primarily reflects the addition of longer-term U.S. Treasury-based hedges, consistent with our decision to offset nearly all of the duration extension of our asset portfolio during the quarter as it occurred. Our net short U.S. Treasury position totaled $11.1 billion as of September 30, 2026, compared to $2.1 billion as of June 30, 2026.</w:t>
      </w:r>
    </w:p>
    <w:p>
      <w:pPr>
        <w:spacing w:after="0" w:line="13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The notional balance of our interest rate swaps increased to $74.6 billion, representing 85% of our funding liabilities as of September 30, 2026, compared to $73.8 billion and 83%, respectively, as of June 30, 2026. Our duration gap, which measures the estimated difference between the interest rate sensitivity of our assets and liabilities, including hedges, was 0.8 years as of quarter-end, compared to 0.7 years as of June 30, 2026. At current interest rate levels, the duration of our asset portfolio is close to fully extended and, as such, should be relatively insensitive to further rate increases.</w:t>
      </w:r>
    </w:p>
    <w:p>
      <w:pPr>
        <w:spacing w:after="0" w:line="131"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 xml:space="preserve">For information regarding non-GAAP financial measures, including reconciliations to the most comparable GAAP measure, please refer to Results of Operations included in this MD&amp;A below. For information regarding the sensitivity of our tangible net book value per common share to changes in interest rates and mortgage spreads, please 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ind w:left="640" w:hanging="317"/>
        <w:spacing w:after="0" w:line="263"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return represents the sum of the change in tangible net book value per common share and dividends declared per share of common stock during the period over beginning tangible net book value per common share.</w:t>
      </w:r>
    </w:p>
    <w:p>
      <w:pPr>
        <w:ind w:left="640" w:hanging="317"/>
        <w:spacing w:after="0" w:line="252"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Specified pools include pools backed by loans with characteristics related to loan size, borrower credit profiles, loan-to-value ratios, geographic concentrations, occupancy types, seasoning and other characteristics that are expected to result in more favorable prepayment behavior than generic TBA-deliverable pools.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benchmark interest rates and prices of generic fixed rate Agency RMBS as of each date presented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 30, 2026</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 30, 2026</w:t>
            </w:r>
          </w:p>
        </w:tc>
        <w:tc>
          <w:tcPr>
            <w:tcW w:w="0" w:type="dxa"/>
            <w:vAlign w:val="bottom"/>
          </w:tcPr>
          <w:p>
            <w:pPr>
              <w:spacing w:after="0"/>
              <w:rPr>
                <w:sz w:val="1"/>
                <w:szCs w:val="1"/>
                <w:color w:val="auto"/>
              </w:rPr>
            </w:pPr>
          </w:p>
        </w:tc>
      </w:tr>
      <w:tr>
        <w:trPr>
          <w:trHeight w:val="143"/>
        </w:trPr>
        <w:tc>
          <w:tcPr>
            <w:tcW w:w="3960" w:type="dxa"/>
            <w:vAlign w:val="bottom"/>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 xml:space="preserve">Interest Rate/Security Price </w:t>
            </w:r>
            <w:r>
              <w:rPr>
                <w:rFonts w:ascii="Times New Roman" w:cs="Times New Roman" w:eastAsia="Times New Roman" w:hAnsi="Times New Roman"/>
                <w:sz w:val="18"/>
                <w:szCs w:val="18"/>
                <w:b w:val="1"/>
                <w:bCs w:val="1"/>
                <w:color w:val="auto"/>
                <w:vertAlign w:val="superscript"/>
              </w:rPr>
              <w:t>1</w:t>
            </w:r>
          </w:p>
        </w:tc>
        <w:tc>
          <w:tcPr>
            <w:tcW w:w="160" w:type="dxa"/>
            <w:vAlign w:val="bottom"/>
            <w:vMerge w:val="restart"/>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tcPr>
          <w:p>
            <w:pPr>
              <w:jc w:val="center"/>
              <w:ind w:right="680"/>
              <w:spacing w:after="0" w:line="143" w:lineRule="exact"/>
              <w:rPr>
                <w:sz w:val="20"/>
                <w:szCs w:val="20"/>
                <w:color w:val="auto"/>
              </w:rPr>
            </w:pPr>
            <w:r>
              <w:rPr>
                <w:rFonts w:ascii="Times New Roman" w:cs="Times New Roman" w:eastAsia="Times New Roman" w:hAnsi="Times New Roman"/>
                <w:sz w:val="14"/>
                <w:szCs w:val="14"/>
                <w:b w:val="1"/>
                <w:bCs w:val="1"/>
                <w:color w:val="auto"/>
                <w:w w:val="96"/>
              </w:rPr>
              <w:t>vs</w:t>
            </w:r>
          </w:p>
        </w:tc>
        <w:tc>
          <w:tcPr>
            <w:tcW w:w="520" w:type="dxa"/>
            <w:vAlign w:val="bottom"/>
          </w:tcPr>
          <w:p>
            <w:pPr>
              <w:spacing w:after="0"/>
              <w:rPr>
                <w:sz w:val="12"/>
                <w:szCs w:val="12"/>
                <w:color w:val="auto"/>
              </w:rPr>
            </w:pPr>
          </w:p>
        </w:tc>
        <w:tc>
          <w:tcPr>
            <w:tcW w:w="640" w:type="dxa"/>
            <w:vAlign w:val="bottom"/>
          </w:tcPr>
          <w:p>
            <w:pPr>
              <w:jc w:val="center"/>
              <w:ind w:right="450"/>
              <w:spacing w:after="0" w:line="143" w:lineRule="exact"/>
              <w:rPr>
                <w:sz w:val="20"/>
                <w:szCs w:val="20"/>
                <w:color w:val="auto"/>
              </w:rPr>
            </w:pPr>
            <w:r>
              <w:rPr>
                <w:rFonts w:ascii="Times New Roman" w:cs="Times New Roman" w:eastAsia="Times New Roman" w:hAnsi="Times New Roman"/>
                <w:sz w:val="14"/>
                <w:szCs w:val="14"/>
                <w:b w:val="1"/>
                <w:bCs w:val="1"/>
                <w:color w:val="auto"/>
                <w:w w:val="96"/>
              </w:rPr>
              <w:t>vs</w:t>
            </w:r>
          </w:p>
        </w:tc>
        <w:tc>
          <w:tcPr>
            <w:tcW w:w="0" w:type="dxa"/>
            <w:vAlign w:val="bottom"/>
          </w:tcPr>
          <w:p>
            <w:pPr>
              <w:spacing w:after="0"/>
              <w:rPr>
                <w:sz w:val="1"/>
                <w:szCs w:val="1"/>
                <w:color w:val="auto"/>
              </w:rPr>
            </w:pPr>
          </w:p>
        </w:tc>
      </w:tr>
      <w:tr>
        <w:trPr>
          <w:trHeight w:val="198"/>
        </w:trPr>
        <w:tc>
          <w:tcPr>
            <w:tcW w:w="39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vMerge w:val="continue"/>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June 30, 2026</w:t>
            </w:r>
          </w:p>
        </w:tc>
        <w:tc>
          <w:tcPr>
            <w:tcW w:w="1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 31, 2025</w:t>
            </w:r>
          </w:p>
        </w:tc>
        <w:tc>
          <w:tcPr>
            <w:tcW w:w="0" w:type="dxa"/>
            <w:vAlign w:val="bottom"/>
          </w:tcPr>
          <w:p>
            <w:pPr>
              <w:spacing w:after="0"/>
              <w:rPr>
                <w:sz w:val="1"/>
                <w:szCs w:val="1"/>
                <w:color w:val="auto"/>
              </w:rPr>
            </w:pPr>
          </w:p>
        </w:tc>
      </w:tr>
      <w:tr>
        <w:trPr>
          <w:trHeight w:val="18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Target Federal Funds Rate:</w:t>
            </w:r>
          </w:p>
        </w:tc>
        <w:tc>
          <w:tcPr>
            <w:tcW w:w="7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Target Federal Funds Rate - Upper Band</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SOFR:</w:t>
            </w:r>
          </w:p>
        </w:tc>
        <w:tc>
          <w:tcPr>
            <w:tcW w:w="7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SOFR Rate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3.87%</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3.68%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3.68%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3.90%</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SOFR Interest Rate Swap Rate:</w:t>
            </w:r>
          </w:p>
        </w:tc>
        <w:tc>
          <w:tcPr>
            <w:tcW w:w="7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2-Year Swap</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3.40%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3.31%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3.62%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4.75%</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5-Year Swap</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3.39%</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3.46%</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3.62%</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3.93%</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4.81%</w:t>
            </w: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87"/>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10-Year Swap</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3.66%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4.90%</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30-Year Swap</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3.93%</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4.17%</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4.13%</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4.21%</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4.96%</w:t>
            </w: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87"/>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U.S. Treasury Security Rate:</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2-Year U.S. Treasury</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3.61%</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3.48%</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3.80%</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4.18%</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4.89%</w:t>
            </w: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87"/>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5-Year U.S. Treasury</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5.09%</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10-Year U.S. Treasury</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4.15%</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4.17%</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4.32%</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4.47%</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5.29%</w:t>
            </w: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87"/>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U.S. Treasury</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5.63%</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30-Year Fixed Rate Agency Price:</w:t>
            </w:r>
          </w:p>
        </w:tc>
        <w:tc>
          <w:tcPr>
            <w:tcW w:w="7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$84.25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$84.63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$84.16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$83.71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$77.74</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-$5.97</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-$6.89</w:t>
            </w: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$87.85</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$88.50</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$87.97</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$87.40</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$81.37</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-$6.03</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-$7.13</w:t>
            </w:r>
          </w:p>
        </w:tc>
        <w:tc>
          <w:tcPr>
            <w:tcW w:w="0" w:type="dxa"/>
            <w:vAlign w:val="bottom"/>
          </w:tcPr>
          <w:p>
            <w:pPr>
              <w:spacing w:after="0"/>
              <w:rPr>
                <w:sz w:val="1"/>
                <w:szCs w:val="1"/>
                <w:color w:val="auto"/>
              </w:rPr>
            </w:pPr>
          </w:p>
        </w:tc>
      </w:tr>
      <w:tr>
        <w:trPr>
          <w:trHeight w:val="187"/>
        </w:trPr>
        <w:tc>
          <w:tcPr>
            <w:tcW w:w="3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$91.40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$92.53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$91.67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$90.95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$84.59</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-$6.36</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-$7.94</w:t>
            </w: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$94.27</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$94.95</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$94.28</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$93.63</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$87.08</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-$6.55</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-$7.87</w:t>
            </w:r>
          </w:p>
        </w:tc>
        <w:tc>
          <w:tcPr>
            <w:tcW w:w="0" w:type="dxa"/>
            <w:vAlign w:val="bottom"/>
          </w:tcPr>
          <w:p>
            <w:pPr>
              <w:spacing w:after="0"/>
              <w:rPr>
                <w:sz w:val="1"/>
                <w:szCs w:val="1"/>
                <w:color w:val="auto"/>
              </w:rPr>
            </w:pPr>
          </w:p>
        </w:tc>
      </w:tr>
      <w:tr>
        <w:trPr>
          <w:trHeight w:val="187"/>
        </w:trPr>
        <w:tc>
          <w:tcPr>
            <w:tcW w:w="3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$97.02</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$97.70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$96.48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$96.02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$89.72</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-$6.30</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-$7.98</w:t>
            </w: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$99.19</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$99.83</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$98.59</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$98.41</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$92.50</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-$5.91</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-$7.33</w:t>
            </w:r>
          </w:p>
        </w:tc>
        <w:tc>
          <w:tcPr>
            <w:tcW w:w="0" w:type="dxa"/>
            <w:vAlign w:val="bottom"/>
          </w:tcPr>
          <w:p>
            <w:pPr>
              <w:spacing w:after="0"/>
              <w:rPr>
                <w:sz w:val="1"/>
                <w:szCs w:val="1"/>
                <w:color w:val="auto"/>
              </w:rPr>
            </w:pPr>
          </w:p>
        </w:tc>
      </w:tr>
      <w:tr>
        <w:trPr>
          <w:trHeight w:val="187"/>
        </w:trPr>
        <w:tc>
          <w:tcPr>
            <w:tcW w:w="3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$100.84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$101.45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$100.44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$100.44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$95.28</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-$5.16</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-$6.17</w:t>
            </w: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$102.16</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$102.69</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$101.91</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$102.23</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$97.96</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-$4.27</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-$4.73</w:t>
            </w:r>
          </w:p>
        </w:tc>
        <w:tc>
          <w:tcPr>
            <w:tcW w:w="0" w:type="dxa"/>
            <w:vAlign w:val="bottom"/>
          </w:tcPr>
          <w:p>
            <w:pPr>
              <w:spacing w:after="0"/>
              <w:rPr>
                <w:sz w:val="1"/>
                <w:szCs w:val="1"/>
                <w:color w:val="auto"/>
              </w:rPr>
            </w:pPr>
          </w:p>
        </w:tc>
      </w:tr>
      <w:tr>
        <w:trPr>
          <w:trHeight w:val="187"/>
        </w:trPr>
        <w:tc>
          <w:tcPr>
            <w:tcW w:w="3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6.5%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$103.34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$103.94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$103.44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$103.46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$100.47</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-$2.99</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-$3.47</w:t>
            </w: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7.0%</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$104.59</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$105.19</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$105.17</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$105.60</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$102.39</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-$3.21</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-$2.80</w:t>
            </w:r>
          </w:p>
        </w:tc>
        <w:tc>
          <w:tcPr>
            <w:tcW w:w="0" w:type="dxa"/>
            <w:vAlign w:val="bottom"/>
          </w:tcPr>
          <w:p>
            <w:pPr>
              <w:spacing w:after="0"/>
              <w:rPr>
                <w:sz w:val="1"/>
                <w:szCs w:val="1"/>
                <w:color w:val="auto"/>
              </w:rPr>
            </w:pPr>
          </w:p>
        </w:tc>
      </w:tr>
      <w:tr>
        <w:trPr>
          <w:trHeight w:val="187"/>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15-Year Fixed Rate Agency Price:</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$89.48</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$90.39</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$89.84</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$89.19</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$86.02</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-$3.17</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-$4.37</w:t>
            </w:r>
          </w:p>
        </w:tc>
        <w:tc>
          <w:tcPr>
            <w:tcW w:w="0" w:type="dxa"/>
            <w:vAlign w:val="bottom"/>
          </w:tcPr>
          <w:p>
            <w:pPr>
              <w:spacing w:after="0"/>
              <w:rPr>
                <w:sz w:val="1"/>
                <w:szCs w:val="1"/>
                <w:color w:val="auto"/>
              </w:rPr>
            </w:pPr>
          </w:p>
        </w:tc>
      </w:tr>
      <w:tr>
        <w:trPr>
          <w:trHeight w:val="187"/>
        </w:trPr>
        <w:tc>
          <w:tcPr>
            <w:tcW w:w="3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$91.97</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$92.52</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$91.86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$91.20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$88.08</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-$3.12</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-$4.44</w:t>
            </w: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$94.05</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$94.55</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$94.38</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$93.60</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$89.76</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-$3.84</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-$4.79</w:t>
            </w:r>
          </w:p>
        </w:tc>
        <w:tc>
          <w:tcPr>
            <w:tcW w:w="0" w:type="dxa"/>
            <w:vAlign w:val="bottom"/>
          </w:tcPr>
          <w:p>
            <w:pPr>
              <w:spacing w:after="0"/>
              <w:rPr>
                <w:sz w:val="1"/>
                <w:szCs w:val="1"/>
                <w:color w:val="auto"/>
              </w:rPr>
            </w:pPr>
          </w:p>
        </w:tc>
      </w:tr>
      <w:tr>
        <w:trPr>
          <w:trHeight w:val="187"/>
        </w:trPr>
        <w:tc>
          <w:tcPr>
            <w:tcW w:w="3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$95.83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$96.23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$95.42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$94.57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$90.81</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-$3.76</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-$5.42</w:t>
            </w: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$96.89</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$97.23</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$96.22</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$95.38</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$90.81</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-$4.57</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-$6.42</w:t>
            </w:r>
          </w:p>
        </w:tc>
        <w:tc>
          <w:tcPr>
            <w:tcW w:w="0" w:type="dxa"/>
            <w:vAlign w:val="bottom"/>
          </w:tcPr>
          <w:p>
            <w:pPr>
              <w:spacing w:after="0"/>
              <w:rPr>
                <w:sz w:val="1"/>
                <w:szCs w:val="1"/>
                <w:color w:val="auto"/>
              </w:rPr>
            </w:pPr>
          </w:p>
        </w:tc>
      </w:tr>
      <w:tr>
        <w:trPr>
          <w:trHeight w:val="187"/>
        </w:trPr>
        <w:tc>
          <w:tcPr>
            <w:tcW w:w="3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$98.36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$98.67</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$97.57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$97.24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$92.67</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-$4.57</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-$6.00</w:t>
            </w: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$99.89</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$100.06</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$99.23</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$98.88</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$94.63</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-$5.43</w:t>
            </w:r>
          </w:p>
        </w:tc>
        <w:tc>
          <w:tcPr>
            <w:tcW w:w="0" w:type="dxa"/>
            <w:vAlign w:val="bottom"/>
          </w:tcPr>
          <w:p>
            <w:pPr>
              <w:spacing w:after="0"/>
              <w:rPr>
                <w:sz w:val="1"/>
                <w:szCs w:val="1"/>
                <w:color w:val="auto"/>
              </w:rPr>
            </w:pPr>
          </w:p>
        </w:tc>
      </w:tr>
      <w:tr>
        <w:trPr>
          <w:trHeight w:val="187"/>
        </w:trPr>
        <w:tc>
          <w:tcPr>
            <w:tcW w:w="3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$101.06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$101.27</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$100.69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$100.45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$96.80</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-$3.65</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-$4.47</w:t>
            </w: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$102.22</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$102.51</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$101.91</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$101.61</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$98.73</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-$2.88</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-$3.78</w:t>
            </w:r>
          </w:p>
        </w:tc>
        <w:tc>
          <w:tcPr>
            <w:tcW w:w="0" w:type="dxa"/>
            <w:vAlign w:val="bottom"/>
          </w:tcPr>
          <w:p>
            <w:pPr>
              <w:spacing w:after="0"/>
              <w:rPr>
                <w:sz w:val="1"/>
                <w:szCs w:val="1"/>
                <w:color w:val="auto"/>
              </w:rPr>
            </w:pPr>
          </w:p>
        </w:tc>
      </w:tr>
      <w:tr>
        <w:trPr>
          <w:trHeight w:val="187"/>
        </w:trPr>
        <w:tc>
          <w:tcPr>
            <w:tcW w:w="3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$103.26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$103.78</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$103.07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$102.69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$100.31</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-$2.38</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-$3.47</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ind w:left="640" w:hanging="317"/>
        <w:spacing w:after="0" w:line="267"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information is for generic instruments only and is not reflective of our specific portfolio holdings. Price information is as of 3:00 p.m. (ET) on such date and can vary by source. Price information is sourced from Barclays. Interest rate information is sourced from Bloomberg.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30" w:name="page31"/>
    <w:bookmarkEnd w:id="30"/>
    <w:p>
      <w:pPr>
        <w:ind w:left="400"/>
        <w:spacing w:after="0"/>
        <w:rPr>
          <w:sz w:val="20"/>
          <w:szCs w:val="20"/>
          <w:color w:val="auto"/>
        </w:rPr>
      </w:pPr>
      <w:r>
        <w:rPr>
          <w:rFonts w:ascii="Times New Roman" w:cs="Times New Roman" w:eastAsia="Times New Roman" w:hAnsi="Times New Roman"/>
          <w:sz w:val="18"/>
          <w:szCs w:val="18"/>
          <w:color w:val="auto"/>
        </w:rPr>
        <w:t>The following table summarizes mortgage and credit spreads as of each date presented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 30, 2026</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 30, 2026</w:t>
            </w:r>
          </w:p>
        </w:tc>
        <w:tc>
          <w:tcPr>
            <w:tcW w:w="0" w:type="dxa"/>
            <w:vAlign w:val="bottom"/>
          </w:tcPr>
          <w:p>
            <w:pPr>
              <w:spacing w:after="0"/>
              <w:rPr>
                <w:sz w:val="1"/>
                <w:szCs w:val="1"/>
                <w:color w:val="auto"/>
              </w:rPr>
            </w:pPr>
          </w:p>
        </w:tc>
      </w:tr>
      <w:tr>
        <w:trPr>
          <w:trHeight w:val="143"/>
        </w:trPr>
        <w:tc>
          <w:tcPr>
            <w:tcW w:w="414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Mortgage Rate/Credit Spread</w:t>
            </w: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tcPr>
          <w:p>
            <w:pPr>
              <w:jc w:val="center"/>
              <w:ind w:right="680"/>
              <w:spacing w:after="0" w:line="143" w:lineRule="exact"/>
              <w:rPr>
                <w:sz w:val="20"/>
                <w:szCs w:val="20"/>
                <w:color w:val="auto"/>
              </w:rPr>
            </w:pPr>
            <w:r>
              <w:rPr>
                <w:rFonts w:ascii="Times New Roman" w:cs="Times New Roman" w:eastAsia="Times New Roman" w:hAnsi="Times New Roman"/>
                <w:sz w:val="14"/>
                <w:szCs w:val="14"/>
                <w:b w:val="1"/>
                <w:bCs w:val="1"/>
                <w:color w:val="auto"/>
                <w:w w:val="96"/>
              </w:rPr>
              <w:t>vs</w:t>
            </w:r>
          </w:p>
        </w:tc>
        <w:tc>
          <w:tcPr>
            <w:tcW w:w="520" w:type="dxa"/>
            <w:vAlign w:val="bottom"/>
          </w:tcPr>
          <w:p>
            <w:pPr>
              <w:spacing w:after="0"/>
              <w:rPr>
                <w:sz w:val="12"/>
                <w:szCs w:val="12"/>
                <w:color w:val="auto"/>
              </w:rPr>
            </w:pPr>
          </w:p>
        </w:tc>
        <w:tc>
          <w:tcPr>
            <w:tcW w:w="640" w:type="dxa"/>
            <w:vAlign w:val="bottom"/>
          </w:tcPr>
          <w:p>
            <w:pPr>
              <w:jc w:val="center"/>
              <w:ind w:right="450"/>
              <w:spacing w:after="0" w:line="143" w:lineRule="exact"/>
              <w:rPr>
                <w:sz w:val="20"/>
                <w:szCs w:val="20"/>
                <w:color w:val="auto"/>
              </w:rPr>
            </w:pPr>
            <w:r>
              <w:rPr>
                <w:rFonts w:ascii="Times New Roman" w:cs="Times New Roman" w:eastAsia="Times New Roman" w:hAnsi="Times New Roman"/>
                <w:sz w:val="14"/>
                <w:szCs w:val="14"/>
                <w:b w:val="1"/>
                <w:bCs w:val="1"/>
                <w:color w:val="auto"/>
                <w:w w:val="96"/>
              </w:rPr>
              <w:t>vs</w:t>
            </w:r>
          </w:p>
        </w:tc>
        <w:tc>
          <w:tcPr>
            <w:tcW w:w="0" w:type="dxa"/>
            <w:vAlign w:val="bottom"/>
          </w:tcPr>
          <w:p>
            <w:pPr>
              <w:spacing w:after="0"/>
              <w:rPr>
                <w:sz w:val="1"/>
                <w:szCs w:val="1"/>
                <w:color w:val="auto"/>
              </w:rPr>
            </w:pPr>
          </w:p>
        </w:tc>
      </w:tr>
      <w:tr>
        <w:trPr>
          <w:trHeight w:val="193"/>
        </w:trPr>
        <w:tc>
          <w:tcPr>
            <w:tcW w:w="4140" w:type="dxa"/>
            <w:vAlign w:val="bottom"/>
            <w:gridSpan w:val="2"/>
            <w:vMerge w:val="continue"/>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0" w:type="dxa"/>
            <w:vAlign w:val="bottom"/>
          </w:tcPr>
          <w:p>
            <w:pPr>
              <w:spacing w:after="0"/>
              <w:rPr>
                <w:sz w:val="16"/>
                <w:szCs w:val="16"/>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June 30, 2026</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 31, 2025</w:t>
            </w:r>
          </w:p>
        </w:tc>
        <w:tc>
          <w:tcPr>
            <w:tcW w:w="0" w:type="dxa"/>
            <w:vAlign w:val="bottom"/>
          </w:tcPr>
          <w:p>
            <w:pPr>
              <w:spacing w:after="0"/>
              <w:rPr>
                <w:sz w:val="1"/>
                <w:szCs w:val="1"/>
                <w:color w:val="auto"/>
              </w:rPr>
            </w:pPr>
          </w:p>
        </w:tc>
      </w:tr>
      <w:tr>
        <w:trPr>
          <w:trHeight w:val="210"/>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Mortgage Rate: </w:t>
            </w:r>
            <w:r>
              <w:rPr>
                <w:rFonts w:ascii="Times New Roman" w:cs="Times New Roman" w:eastAsia="Times New Roman" w:hAnsi="Times New Roman"/>
                <w:sz w:val="18"/>
                <w:szCs w:val="18"/>
                <w:b w:val="1"/>
                <w:bCs w:val="1"/>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1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30-Year Agency Current Coupon Yield to 5-Year U.S. Treasury</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146</w:t>
            </w: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131</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144</w:t>
            </w: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118</w:t>
            </w: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135</w:t>
            </w:r>
          </w:p>
        </w:tc>
        <w:tc>
          <w:tcPr>
            <w:tcW w:w="16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9"/>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Spread</w:t>
            </w: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140" w:type="dxa"/>
            <w:vAlign w:val="bottom"/>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30-Year Agency Current Coupon Yield to 10-Year U.S. Treasury</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105</w:t>
            </w: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87</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94</w:t>
            </w: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115</w:t>
            </w:r>
          </w:p>
        </w:tc>
        <w:tc>
          <w:tcPr>
            <w:tcW w:w="16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4"/>
        </w:trPr>
        <w:tc>
          <w:tcPr>
            <w:tcW w:w="4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Spread</w:t>
            </w:r>
          </w:p>
        </w:tc>
        <w:tc>
          <w:tcPr>
            <w:tcW w:w="7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30-Year Agency Current Coupon Yield to 5/10-Year U.S. Treasury</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126</w:t>
            </w: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110</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124</w:t>
            </w: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125</w:t>
            </w:r>
          </w:p>
        </w:tc>
        <w:tc>
          <w:tcPr>
            <w:tcW w:w="16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9"/>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Spread</w:t>
            </w: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30-Year Agency Current Coupon Yield to 5/10-Year Swap Spread</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168</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141</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163</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142</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158</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9"/>
        </w:trPr>
        <w:tc>
          <w:tcPr>
            <w:tcW w:w="41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30-Year Agency Current Coupon Yield to 2/5/10-Year U.S.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137</w:t>
            </w: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125</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136</w:t>
            </w: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112</w:t>
            </w: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135</w:t>
            </w:r>
          </w:p>
        </w:tc>
        <w:tc>
          <w:tcPr>
            <w:tcW w:w="16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9"/>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Treasury Spread</w:t>
            </w: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140" w:type="dxa"/>
            <w:vAlign w:val="bottom"/>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30-Year Agency Current Coupon Yield to 2/5/10-Year Swap</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172</w:t>
            </w: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152</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168</w:t>
            </w: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141</w:t>
            </w: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162</w:t>
            </w:r>
          </w:p>
        </w:tc>
        <w:tc>
          <w:tcPr>
            <w:tcW w:w="16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4"/>
        </w:trPr>
        <w:tc>
          <w:tcPr>
            <w:tcW w:w="4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Spread</w:t>
            </w:r>
          </w:p>
        </w:tc>
        <w:tc>
          <w:tcPr>
            <w:tcW w:w="7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Agency Current Coupon Yield</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5.38%</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6.44%</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4"/>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30-Year Mortgage Rate</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6.32%</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6.16%</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6.35%</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6.45%</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7.39%</w:t>
            </w: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1"/>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Credit Spread (in bps): </w:t>
            </w:r>
            <w:r>
              <w:rPr>
                <w:rFonts w:ascii="Times New Roman" w:cs="Times New Roman" w:eastAsia="Times New Roman" w:hAnsi="Times New Roman"/>
                <w:sz w:val="18"/>
                <w:szCs w:val="18"/>
                <w:b w:val="1"/>
                <w:bCs w:val="1"/>
                <w:color w:val="auto"/>
                <w:vertAlign w:val="superscript"/>
              </w:rPr>
              <w:t>2</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CRT M2</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151</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150</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144</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144</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151</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7"/>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CMBS AAA</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77</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75</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center"/>
              <w:ind w:right="45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4"/>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CDX IG</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52</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7"/>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CDX HY</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318</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338</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63" w:lineRule="exact"/>
        <w:rPr>
          <w:sz w:val="20"/>
          <w:szCs w:val="20"/>
          <w:color w:val="auto"/>
        </w:rPr>
      </w:pPr>
    </w:p>
    <w:p>
      <w:pPr>
        <w:ind w:left="640" w:hanging="317"/>
        <w:spacing w:after="0" w:line="254"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30-Year Current Coupon Yield represents the yield on new production Agency RMBS. 30-Year Current Coupon Yields are sourced from Bloomberg and 30-Year Mortgage Rates are sourced from Optimal Blue.</w:t>
      </w:r>
    </w:p>
    <w:p>
      <w:pPr>
        <w:spacing w:after="0" w:line="1"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CRT and CDX spreads sourced from JP Morgan. CMBS spreads are the average of spreads sourced from Bank of America, JP Morgan and Wells Fargo.</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65"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As of September 30, 2026 and December 31, 2025, our investment portfolio totaled $94.4 billion and $94.8 billion, respectively, consisting of: $91.4 billion and $81.1 billion Agency RMBS, at fair value, respectively; $2.4 billion and $13.0 billion net TBA securities, at fair value, respectively; $0.5 billion and $0.6 billion CRT, non-Agency RMBS and CMBS, at fair value, respectively; and other mortgage credit investments of $72 million and $70 million, respectively, which we account for under the equity method of accounting. The following table is a summary of our investment securities (including TBA securities) as of September 30, 2026 and December 31, 2025 (dollars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Investment Securities (Includes TBAs) </w:t>
            </w:r>
            <w:r>
              <w:rPr>
                <w:rFonts w:ascii="Times New Roman" w:cs="Times New Roman" w:eastAsia="Times New Roman" w:hAnsi="Times New Roman"/>
                <w:sz w:val="18"/>
                <w:szCs w:val="18"/>
                <w:b w:val="1"/>
                <w:bCs w:val="1"/>
                <w:color w:val="auto"/>
                <w:vertAlign w:val="superscript"/>
              </w:rPr>
              <w:t>1</w:t>
            </w:r>
          </w:p>
        </w:tc>
        <w:tc>
          <w:tcPr>
            <w:tcW w:w="1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2"/>
                <w:szCs w:val="12"/>
                <w:color w:val="auto"/>
              </w:rPr>
            </w:pPr>
          </w:p>
        </w:tc>
        <w:tc>
          <w:tcPr>
            <w:tcW w:w="74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vMerge w:val="restart"/>
          </w:tcPr>
          <w:p>
            <w:pPr>
              <w:spacing w:after="0"/>
              <w:rPr>
                <w:sz w:val="12"/>
                <w:szCs w:val="12"/>
                <w:color w:val="auto"/>
              </w:rPr>
            </w:pPr>
          </w:p>
        </w:tc>
        <w:tc>
          <w:tcPr>
            <w:tcW w:w="1080" w:type="dxa"/>
            <w:vAlign w:val="bottom"/>
            <w:gridSpan w:val="2"/>
          </w:tcPr>
          <w:p>
            <w:pPr>
              <w:ind w:left="240"/>
              <w:spacing w:after="0" w:line="14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2"/>
                <w:szCs w:val="12"/>
                <w:color w:val="auto"/>
              </w:rPr>
            </w:pPr>
          </w:p>
        </w:tc>
        <w:tc>
          <w:tcPr>
            <w:tcW w:w="7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vMerge w:val="restart"/>
          </w:tcPr>
          <w:p>
            <w:pPr>
              <w:spacing w:after="0"/>
              <w:rPr>
                <w:sz w:val="12"/>
                <w:szCs w:val="12"/>
                <w:color w:val="auto"/>
              </w:rPr>
            </w:pPr>
          </w:p>
        </w:tc>
        <w:tc>
          <w:tcPr>
            <w:tcW w:w="1060" w:type="dxa"/>
            <w:vAlign w:val="bottom"/>
            <w:gridSpan w:val="2"/>
          </w:tcPr>
          <w:p>
            <w:pPr>
              <w:ind w:left="240"/>
              <w:spacing w:after="0" w:line="14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Agency RMBS and TBA securities:</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15-year:</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5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15-year RMBS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3.43 %</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4.47 %</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7"/>
        </w:trPr>
        <w:tc>
          <w:tcPr>
            <w:tcW w:w="3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15-year TBA securities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4"/>
        </w:trPr>
        <w:tc>
          <w:tcPr>
            <w:tcW w:w="34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 15-year</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4.85 %</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4.78 %</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7"/>
        </w:trPr>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20-year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3.74 %</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4"/>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5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30-year:</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30-year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86,622</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5.07 %</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77,008</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0" w:type="dxa"/>
            <w:vAlign w:val="bottom"/>
          </w:tcPr>
          <w:p>
            <w:pPr>
              <w:spacing w:after="0"/>
              <w:rPr>
                <w:sz w:val="1"/>
                <w:szCs w:val="1"/>
                <w:color w:val="auto"/>
              </w:rPr>
            </w:pPr>
          </w:p>
        </w:tc>
      </w:tr>
      <w:tr>
        <w:trPr>
          <w:trHeight w:val="24"/>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xml:space="preserve">30-year TBA securities, net </w:t>
            </w:r>
            <w:r>
              <w:rPr>
                <w:rFonts w:ascii="Times New Roman" w:cs="Times New Roman" w:eastAsia="Times New Roman" w:hAnsi="Times New Roman"/>
                <w:sz w:val="18"/>
                <w:szCs w:val="18"/>
                <w:color w:val="auto"/>
                <w:vertAlign w:val="superscript"/>
              </w:rPr>
              <w:t>2</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8.33 %</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12,837</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4.72 %</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180"/>
        </w:trPr>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 30-year</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88,730</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5.13 %</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89,845</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0" w:type="dxa"/>
            <w:vAlign w:val="bottom"/>
          </w:tcPr>
          <w:p>
            <w:pPr>
              <w:spacing w:after="0"/>
              <w:rPr>
                <w:sz w:val="1"/>
                <w:szCs w:val="1"/>
                <w:color w:val="auto"/>
              </w:rPr>
            </w:pPr>
          </w:p>
        </w:tc>
      </w:tr>
      <w:tr>
        <w:trPr>
          <w:trHeight w:val="24"/>
        </w:trPr>
        <w:tc>
          <w:tcPr>
            <w:tcW w:w="34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fixed rate Agency RMBS and TBA securities</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95,369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89,242</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5.13 %</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90,560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90,471</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5.12 %</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0" w:type="dxa"/>
            <w:vAlign w:val="bottom"/>
          </w:tcPr>
          <w:p>
            <w:pPr>
              <w:spacing w:after="0"/>
              <w:rPr>
                <w:sz w:val="1"/>
                <w:szCs w:val="1"/>
                <w:color w:val="auto"/>
              </w:rPr>
            </w:pPr>
          </w:p>
        </w:tc>
      </w:tr>
      <w:tr>
        <w:trPr>
          <w:trHeight w:val="18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Adjustable rate Agency RMBS</w:t>
            </w: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4.82 %</w:t>
            </w:r>
          </w:p>
        </w:tc>
        <w:tc>
          <w:tcPr>
            <w:tcW w:w="12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4.87 %</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4"/>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3,563</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4.03 %</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4.36 %</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87"/>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CMO Agency RMBS: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5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CMO</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3.27 %</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7"/>
        </w:trPr>
        <w:tc>
          <w:tcPr>
            <w:tcW w:w="3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Interest-only strips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0.59 %</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0.52 %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4"/>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5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Principal-only strips</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4"/>
        </w:trPr>
        <w:tc>
          <w:tcPr>
            <w:tcW w:w="3560" w:type="dxa"/>
            <w:vAlign w:val="bottom"/>
            <w:tcBorders>
              <w:bottom w:val="single" w:sz="8" w:color="CCEEFF"/>
            </w:tcBorders>
            <w:gridSpan w:val="2"/>
          </w:tcPr>
          <w:p>
            <w:pPr>
              <w:ind w:left="20"/>
              <w:spacing w:after="0" w:line="205" w:lineRule="exact"/>
              <w:rPr>
                <w:sz w:val="20"/>
                <w:szCs w:val="20"/>
                <w:color w:val="auto"/>
              </w:rPr>
            </w:pPr>
            <w:r>
              <w:rPr>
                <w:rFonts w:ascii="Times New Roman" w:cs="Times New Roman" w:eastAsia="Times New Roman" w:hAnsi="Times New Roman"/>
                <w:sz w:val="14"/>
                <w:szCs w:val="14"/>
                <w:color w:val="auto"/>
              </w:rPr>
              <w:t xml:space="preserve">Total CMO Agency RMBS </w:t>
            </w:r>
            <w:r>
              <w:rPr>
                <w:rFonts w:ascii="Times New Roman" w:cs="Times New Roman" w:eastAsia="Times New Roman" w:hAnsi="Times New Roman"/>
                <w:sz w:val="18"/>
                <w:szCs w:val="18"/>
                <w:color w:val="auto"/>
                <w:vertAlign w:val="superscript"/>
              </w:rPr>
              <w:t>3</w:t>
            </w:r>
          </w:p>
        </w:tc>
        <w:tc>
          <w:tcPr>
            <w:tcW w:w="1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12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3.27 %</w:t>
            </w:r>
          </w:p>
        </w:tc>
        <w:tc>
          <w:tcPr>
            <w:tcW w:w="10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4"/>
        </w:trPr>
        <w:tc>
          <w:tcPr>
            <w:tcW w:w="356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4"/>
                <w:szCs w:val="14"/>
                <w:color w:val="auto"/>
              </w:rPr>
              <w:t xml:space="preserve">Total Agency RMBS and TBA securities </w:t>
            </w:r>
            <w:r>
              <w:rPr>
                <w:rFonts w:ascii="Times New Roman" w:cs="Times New Roman" w:eastAsia="Times New Roman" w:hAnsi="Times New Roman"/>
                <w:sz w:val="18"/>
                <w:szCs w:val="18"/>
                <w:color w:val="auto"/>
                <w:vertAlign w:val="superscript"/>
              </w:rPr>
              <w:t>3</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100,109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93,762</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5.08 %</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94,146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94,076</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5.09 %</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0" w:type="dxa"/>
            <w:vAlign w:val="bottom"/>
          </w:tcPr>
          <w:p>
            <w:pPr>
              <w:spacing w:after="0"/>
              <w:rPr>
                <w:sz w:val="1"/>
                <w:szCs w:val="1"/>
                <w:color w:val="auto"/>
              </w:rPr>
            </w:pPr>
          </w:p>
        </w:tc>
      </w:tr>
      <w:tr>
        <w:trPr>
          <w:trHeight w:val="204"/>
        </w:trPr>
        <w:tc>
          <w:tcPr>
            <w:tcW w:w="356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4"/>
                <w:szCs w:val="14"/>
                <w:color w:val="auto"/>
              </w:rPr>
              <w:t xml:space="preserve">Non-Agency RMBS </w:t>
            </w:r>
            <w:r>
              <w:rPr>
                <w:rFonts w:ascii="Times New Roman" w:cs="Times New Roman" w:eastAsia="Times New Roman" w:hAnsi="Times New Roman"/>
                <w:sz w:val="18"/>
                <w:szCs w:val="18"/>
                <w:color w:val="auto"/>
                <w:vertAlign w:val="superscript"/>
              </w:rPr>
              <w:t>1,3</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5.12 %</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5.12 %</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1"/>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CMBS </w:t>
            </w:r>
            <w:r>
              <w:rPr>
                <w:rFonts w:ascii="Times New Roman" w:cs="Times New Roman" w:eastAsia="Times New Roman" w:hAnsi="Times New Roman"/>
                <w:sz w:val="18"/>
                <w:szCs w:val="18"/>
                <w:color w:val="auto"/>
                <w:vertAlign w:val="superscript"/>
              </w:rPr>
              <w:t>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6.06 %</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7"/>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10.14 %</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4"/>
        </w:trPr>
        <w:tc>
          <w:tcPr>
            <w:tcW w:w="34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560" w:type="dxa"/>
            <w:vAlign w:val="bottom"/>
            <w:tcBorders>
              <w:bottom w:val="single" w:sz="8" w:color="CCEEFF"/>
            </w:tcBorders>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4"/>
                <w:szCs w:val="14"/>
                <w:color w:val="auto"/>
              </w:rPr>
              <w:t xml:space="preserve">Total investment securities </w:t>
            </w:r>
            <w:r>
              <w:rPr>
                <w:rFonts w:ascii="Times New Roman" w:cs="Times New Roman" w:eastAsia="Times New Roman" w:hAnsi="Times New Roman"/>
                <w:sz w:val="18"/>
                <w:szCs w:val="18"/>
                <w:color w:val="auto"/>
                <w:vertAlign w:val="superscript"/>
              </w:rPr>
              <w:t>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100,616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94,300</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5.11 %</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94,734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94,707</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5.12 %</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0" w:lineRule="exact"/>
        <w:rPr>
          <w:sz w:val="20"/>
          <w:szCs w:val="20"/>
          <w:color w:val="auto"/>
        </w:rPr>
      </w:pPr>
    </w:p>
    <w:p>
      <w:pPr>
        <w:ind w:left="640" w:hanging="317"/>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excludes other mortgage credit investments of $72 million and $70 million as of September 30, 2026 and December 31, 2025, respectively.</w:t>
      </w:r>
    </w:p>
    <w:p>
      <w:pPr>
        <w:ind w:left="640" w:hanging="317"/>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TBA securities are presented net of long and short positions. For further details of our TBA securities, refer to Note 5 of our Consolidated Financial Statements in this Form 10-Q.</w:t>
      </w:r>
    </w:p>
    <w:p>
      <w:pPr>
        <w:spacing w:after="0" w:line="6"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coupon excludes interest-only and principal-only securities.</w:t>
      </w:r>
    </w:p>
    <w:p>
      <w:pPr>
        <w:spacing w:after="0" w:line="162"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color w:val="auto"/>
        </w:rPr>
        <w:t>TBA securities are recorded as derivative instruments in our accompanying consolidated financial statements, and our TBA dollar roll transactions represent a form of off-balance sheet financing. As of September 30, 2026 and December 31, 2025, our TBA securities had a net carrying value of $(70) million and $71 million, respectively, reported in derivative assets/(liabilities) on our accompanying consolidated balance sheets. The net carrying value represents the difference between the fair value of the underlying security in the TBA contract and the price to be paid or received for the underlying security.</w:t>
      </w:r>
    </w:p>
    <w:p>
      <w:pPr>
        <w:spacing w:after="0" w:line="11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As of September 30, 2026 and December 31, 2025, the weighted average yield on our investment securities (excluding TBA securities) was 4.99% and 4.93%, respectively.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32" w:name="page33"/>
    <w:bookmarkEnd w:id="32"/>
    <w:p>
      <w:pPr>
        <w:ind w:firstLine="396"/>
        <w:spacing w:after="0" w:line="270" w:lineRule="auto"/>
        <w:rPr>
          <w:sz w:val="20"/>
          <w:szCs w:val="20"/>
          <w:color w:val="auto"/>
        </w:rPr>
      </w:pPr>
      <w:r>
        <w:rPr>
          <w:rFonts w:ascii="Times New Roman" w:cs="Times New Roman" w:eastAsia="Times New Roman" w:hAnsi="Times New Roman"/>
          <w:sz w:val="18"/>
          <w:szCs w:val="18"/>
          <w:color w:val="auto"/>
        </w:rPr>
        <w:t>The following tables summarize certain characteristics of our fixed rate Agency RMBS portfolio, inclusive of TBA securities, as of September 30, 2026 and December 31, 2025 (dollars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7"/>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Includes Net TBA Position</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Excludes Net TBA Position</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Agency RMBS and TBA</w:t>
            </w: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Specified Pool</w:t>
            </w:r>
          </w:p>
        </w:tc>
        <w:tc>
          <w:tcPr>
            <w:tcW w:w="1240" w:type="dxa"/>
            <w:vAlign w:val="bottom"/>
            <w:gridSpan w:val="3"/>
            <w:vMerge w:val="continue"/>
          </w:tcPr>
          <w:p>
            <w:pPr>
              <w:spacing w:after="0"/>
              <w:rPr>
                <w:sz w:val="2"/>
                <w:szCs w:val="2"/>
                <w:color w:val="auto"/>
              </w:rPr>
            </w:pPr>
          </w:p>
        </w:tc>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143"/>
        </w:trPr>
        <w:tc>
          <w:tcPr>
            <w:tcW w:w="2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6"/>
              </w:rPr>
              <w:t>Par Value</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40" w:type="dxa"/>
            <w:vAlign w:val="bottom"/>
            <w:gridSpan w:val="3"/>
          </w:tcPr>
          <w:p>
            <w:pPr>
              <w:jc w:val="center"/>
              <w:ind w:right="38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Yield </w:t>
            </w:r>
            <w:r>
              <w:rPr>
                <w:rFonts w:ascii="Times New Roman" w:cs="Times New Roman" w:eastAsia="Times New Roman" w:hAnsi="Times New Roman"/>
                <w:sz w:val="18"/>
                <w:szCs w:val="18"/>
                <w:b w:val="1"/>
                <w:bCs w:val="1"/>
                <w:color w:val="auto"/>
                <w:vertAlign w:val="superscript"/>
              </w:rPr>
              <w:t>2</w:t>
            </w:r>
          </w:p>
        </w:tc>
        <w:tc>
          <w:tcPr>
            <w:tcW w:w="120" w:type="dxa"/>
            <w:vAlign w:val="bottom"/>
            <w:vMerge w:val="restart"/>
          </w:tcPr>
          <w:p>
            <w:pPr>
              <w:spacing w:after="0"/>
              <w:rPr>
                <w:sz w:val="12"/>
                <w:szCs w:val="12"/>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Age (Months)</w:t>
            </w:r>
          </w:p>
        </w:tc>
        <w:tc>
          <w:tcPr>
            <w:tcW w:w="100" w:type="dxa"/>
            <w:vAlign w:val="bottom"/>
            <w:vMerge w:val="restart"/>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92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3"/>
              </w:rPr>
              <w:t xml:space="preserve">% </w:t>
            </w:r>
            <w:r>
              <w:rPr>
                <w:rFonts w:ascii="Times New Roman" w:cs="Times New Roman" w:eastAsia="Times New Roman" w:hAnsi="Times New Roman"/>
                <w:sz w:val="18"/>
                <w:szCs w:val="18"/>
                <w:b w:val="1"/>
                <w:bCs w:val="1"/>
                <w:color w:val="auto"/>
                <w:w w:val="93"/>
                <w:vertAlign w:val="superscript"/>
              </w:rPr>
              <w:t>1</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90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9"/>
              </w:rPr>
              <w:t xml:space="preserve">CPR </w:t>
            </w:r>
            <w:r>
              <w:rPr>
                <w:rFonts w:ascii="Times New Roman" w:cs="Times New Roman" w:eastAsia="Times New Roman" w:hAnsi="Times New Roman"/>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184"/>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15-year:</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rPr>
              <w:t>102.3%</w:t>
            </w:r>
          </w:p>
        </w:tc>
        <w:tc>
          <w:tcPr>
            <w:tcW w:w="860" w:type="dxa"/>
            <w:vAlign w:val="bottom"/>
            <w:tcBorders>
              <w:bottom w:val="single" w:sz="8" w:color="CCEEFF"/>
            </w:tcBorders>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1.36%</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69</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187"/>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w w:val="99"/>
              </w:rPr>
              <w:t>99.6%</w:t>
            </w:r>
          </w:p>
        </w:tc>
        <w:tc>
          <w:tcPr>
            <w:tcW w:w="86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color w:val="auto"/>
                <w:w w:val="99"/>
              </w:rPr>
              <w:t>2.79%</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162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rPr>
              <w:t>100.6%</w:t>
            </w:r>
          </w:p>
        </w:tc>
        <w:tc>
          <w:tcPr>
            <w:tcW w:w="860" w:type="dxa"/>
            <w:vAlign w:val="bottom"/>
            <w:tcBorders>
              <w:bottom w:val="single" w:sz="8" w:color="CCEEFF"/>
            </w:tcBorders>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2.34%</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156</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7"/>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rPr>
              <w:t>100.7%</w:t>
            </w:r>
          </w:p>
        </w:tc>
        <w:tc>
          <w:tcPr>
            <w:tcW w:w="86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color w:val="auto"/>
                <w:w w:val="99"/>
              </w:rPr>
              <w:t>2.63%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156</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gridSpan w:val="3"/>
            <w:shd w:val="clear" w:color="auto" w:fill="CCEEFF"/>
          </w:tcPr>
          <w:p>
            <w:pPr>
              <w:jc w:val="center"/>
              <w:ind w:righ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center"/>
              <w:ind w:right="11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4.5%</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rPr>
              <w:t>102.8%</w:t>
            </w:r>
          </w:p>
        </w:tc>
        <w:tc>
          <w:tcPr>
            <w:tcW w:w="86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color w:val="auto"/>
                <w:w w:val="99"/>
              </w:rPr>
              <w:t>4.82%</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4"/>
        </w:trPr>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3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 15-year</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4.85%</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rPr>
              <w:t>101.9%</w:t>
            </w:r>
          </w:p>
        </w:tc>
        <w:tc>
          <w:tcPr>
            <w:tcW w:w="860" w:type="dxa"/>
            <w:vAlign w:val="bottom"/>
            <w:tcBorders>
              <w:bottom w:val="single" w:sz="8" w:color="CCEEFF"/>
            </w:tcBorders>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2.82%</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75</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167"/>
        </w:trPr>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20-year:</w:t>
            </w: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rPr>
              <w:t>103.8%</w:t>
            </w:r>
          </w:p>
        </w:tc>
        <w:tc>
          <w:tcPr>
            <w:tcW w:w="860" w:type="dxa"/>
            <w:vAlign w:val="bottom"/>
            <w:tcBorders>
              <w:bottom w:val="single" w:sz="8" w:color="CCEEFF"/>
            </w:tcBorders>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1.76%</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78</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0" w:type="dxa"/>
            <w:vAlign w:val="bottom"/>
          </w:tcPr>
          <w:p>
            <w:pPr>
              <w:spacing w:after="0"/>
              <w:rPr>
                <w:sz w:val="1"/>
                <w:szCs w:val="1"/>
                <w:color w:val="auto"/>
              </w:rPr>
            </w:pPr>
          </w:p>
        </w:tc>
      </w:tr>
      <w:tr>
        <w:trPr>
          <w:trHeight w:val="187"/>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rPr>
              <w:t>103.2%</w:t>
            </w:r>
          </w:p>
        </w:tc>
        <w:tc>
          <w:tcPr>
            <w:tcW w:w="86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color w:val="auto"/>
                <w:w w:val="99"/>
              </w:rPr>
              <w:t>2.29%</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86</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rPr>
              <w:t>101.4%</w:t>
            </w:r>
          </w:p>
        </w:tc>
        <w:tc>
          <w:tcPr>
            <w:tcW w:w="860" w:type="dxa"/>
            <w:vAlign w:val="bottom"/>
            <w:tcBorders>
              <w:bottom w:val="single" w:sz="8" w:color="CCEEFF"/>
            </w:tcBorders>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2.97%</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156</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7"/>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rPr>
              <w:t>103.3%</w:t>
            </w:r>
          </w:p>
        </w:tc>
        <w:tc>
          <w:tcPr>
            <w:tcW w:w="86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color w:val="auto"/>
                <w:w w:val="99"/>
              </w:rPr>
              <w:t>3.09%</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112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3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4.5%</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4.65%</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rPr>
              <w:t>104.4%</w:t>
            </w:r>
          </w:p>
        </w:tc>
        <w:tc>
          <w:tcPr>
            <w:tcW w:w="860" w:type="dxa"/>
            <w:vAlign w:val="bottom"/>
            <w:tcBorders>
              <w:bottom w:val="single" w:sz="8" w:color="CCEEFF"/>
            </w:tcBorders>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3.43%</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104</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0"/>
        </w:trPr>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20-year</w:t>
            </w: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5"/>
                <w:szCs w:val="15"/>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3.74%</w:t>
            </w: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color w:val="auto"/>
              </w:rPr>
              <w:t>103.0%</w:t>
            </w:r>
          </w:p>
        </w:tc>
        <w:tc>
          <w:tcPr>
            <w:tcW w:w="140" w:type="dxa"/>
            <w:vAlign w:val="bottom"/>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2.92%</w:t>
            </w:r>
          </w:p>
        </w:tc>
        <w:tc>
          <w:tcPr>
            <w:tcW w:w="120" w:type="dxa"/>
            <w:vAlign w:val="bottom"/>
          </w:tcPr>
          <w:p>
            <w:pPr>
              <w:spacing w:after="0"/>
              <w:rPr>
                <w:sz w:val="15"/>
                <w:szCs w:val="15"/>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118</w:t>
            </w:r>
          </w:p>
        </w:tc>
        <w:tc>
          <w:tcPr>
            <w:tcW w:w="100" w:type="dxa"/>
            <w:vAlign w:val="bottom"/>
          </w:tcPr>
          <w:p>
            <w:pPr>
              <w:spacing w:after="0"/>
              <w:rPr>
                <w:sz w:val="15"/>
                <w:szCs w:val="15"/>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4"/>
        </w:trPr>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3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30-year:</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3.0%</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w w:val="99"/>
              </w:rPr>
              <w:t>95.7%</w:t>
            </w:r>
          </w:p>
        </w:tc>
        <w:tc>
          <w:tcPr>
            <w:tcW w:w="86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color w:val="auto"/>
                <w:w w:val="99"/>
              </w:rPr>
              <w:t>3.07%</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3,343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2,832</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rPr>
              <w:t>103.6%</w:t>
            </w:r>
          </w:p>
        </w:tc>
        <w:tc>
          <w:tcPr>
            <w:tcW w:w="860" w:type="dxa"/>
            <w:vAlign w:val="bottom"/>
            <w:tcBorders>
              <w:bottom w:val="single" w:sz="8" w:color="CCEEFF"/>
            </w:tcBorders>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2.90%</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129</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187"/>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4,673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rPr>
              <w:t>105.6%</w:t>
            </w:r>
          </w:p>
        </w:tc>
        <w:tc>
          <w:tcPr>
            <w:tcW w:w="86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color w:val="auto"/>
                <w:w w:val="99"/>
              </w:rPr>
              <w:t>3.10%</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112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8,616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7,731</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9"/>
              </w:rPr>
              <w:t>98.4%</w:t>
            </w:r>
          </w:p>
        </w:tc>
        <w:tc>
          <w:tcPr>
            <w:tcW w:w="860" w:type="dxa"/>
            <w:vAlign w:val="bottom"/>
            <w:tcBorders>
              <w:bottom w:val="single" w:sz="8" w:color="CCEEFF"/>
            </w:tcBorders>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4.65%</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34</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187"/>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27,921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26,150</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w w:val="99"/>
              </w:rPr>
              <w:t>99.0%</w:t>
            </w:r>
          </w:p>
        </w:tc>
        <w:tc>
          <w:tcPr>
            <w:tcW w:w="86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color w:val="auto"/>
                <w:w w:val="99"/>
              </w:rPr>
              <w:t>5.13%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28,774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27,544</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rPr>
              <w:t>100.5%</w:t>
            </w:r>
          </w:p>
        </w:tc>
        <w:tc>
          <w:tcPr>
            <w:tcW w:w="860" w:type="dxa"/>
            <w:vAlign w:val="bottom"/>
            <w:tcBorders>
              <w:bottom w:val="single" w:sz="8" w:color="CCEEFF"/>
            </w:tcBorders>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5.42%</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87"/>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13,406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12,969</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rPr>
              <w:t>102.3%</w:t>
            </w:r>
          </w:p>
        </w:tc>
        <w:tc>
          <w:tcPr>
            <w:tcW w:w="86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color w:val="auto"/>
                <w:w w:val="99"/>
              </w:rPr>
              <w:t>5.63%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3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6.5%</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4,908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4,785</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rPr>
              <w:t>103.9%</w:t>
            </w:r>
          </w:p>
        </w:tc>
        <w:tc>
          <w:tcPr>
            <w:tcW w:w="860" w:type="dxa"/>
            <w:vAlign w:val="bottom"/>
            <w:tcBorders>
              <w:bottom w:val="single" w:sz="8" w:color="CCEEFF"/>
            </w:tcBorders>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5.81%</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0"/>
        </w:trPr>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30-year</w:t>
            </w: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94,304</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94,805</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88,730</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5"/>
                <w:szCs w:val="15"/>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5.13%</w:t>
            </w: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color w:val="auto"/>
              </w:rPr>
              <w:t>100.3%</w:t>
            </w:r>
          </w:p>
        </w:tc>
        <w:tc>
          <w:tcPr>
            <w:tcW w:w="140" w:type="dxa"/>
            <w:vAlign w:val="bottom"/>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4.99%</w:t>
            </w:r>
          </w:p>
        </w:tc>
        <w:tc>
          <w:tcPr>
            <w:tcW w:w="120" w:type="dxa"/>
            <w:vAlign w:val="bottom"/>
          </w:tcPr>
          <w:p>
            <w:pPr>
              <w:spacing w:after="0"/>
              <w:rPr>
                <w:sz w:val="15"/>
                <w:szCs w:val="15"/>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32</w:t>
            </w:r>
          </w:p>
        </w:tc>
        <w:tc>
          <w:tcPr>
            <w:tcW w:w="100" w:type="dxa"/>
            <w:vAlign w:val="bottom"/>
          </w:tcPr>
          <w:p>
            <w:pPr>
              <w:spacing w:after="0"/>
              <w:rPr>
                <w:sz w:val="15"/>
                <w:szCs w:val="15"/>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4"/>
        </w:trPr>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95,369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89,242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rPr>
              <w:t>100.3%</w:t>
            </w:r>
          </w:p>
        </w:tc>
        <w:tc>
          <w:tcPr>
            <w:tcW w:w="86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4.98%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ind w:left="640" w:hanging="317"/>
        <w:spacing w:after="0" w:line="243"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Specified pools include pools backed by loans with characteristics related to loan size, borrower credit profiles, loan-to-value ratios, geographic concentrations, occupancy types, seasoning and other characteristics that are expected to result in more favorable prepayment behavior than generic TBA-deliverable pools.</w:t>
      </w:r>
    </w:p>
    <w:p>
      <w:pPr>
        <w:ind w:left="640" w:hanging="317"/>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yield incorporates a projected life CPR based on forward rate assumptions as of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5"/>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7"/>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Includes Net TBA Position</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Excludes Net TBA Position</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380" w:type="dxa"/>
            <w:vAlign w:val="bottom"/>
            <w:gridSpan w:val="2"/>
            <w:vMerge w:val="restart"/>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Fixed Rate Agency RMBS and TBA</w:t>
            </w: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restart"/>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rPr>
              <w:t>Specified Pool</w:t>
            </w:r>
          </w:p>
        </w:tc>
        <w:tc>
          <w:tcPr>
            <w:tcW w:w="1260" w:type="dxa"/>
            <w:vAlign w:val="bottom"/>
            <w:gridSpan w:val="3"/>
            <w:vMerge w:val="restart"/>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99"/>
        </w:trPr>
        <w:tc>
          <w:tcPr>
            <w:tcW w:w="23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6"/>
              </w:rPr>
              <w:t>Par Value</w:t>
            </w:r>
          </w:p>
        </w:tc>
        <w:tc>
          <w:tcPr>
            <w:tcW w:w="10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7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xml:space="preserve">Yield </w:t>
            </w:r>
            <w:r>
              <w:rPr>
                <w:rFonts w:ascii="Times New Roman" w:cs="Times New Roman" w:eastAsia="Times New Roman" w:hAnsi="Times New Roman"/>
                <w:sz w:val="18"/>
                <w:szCs w:val="18"/>
                <w:b w:val="1"/>
                <w:bCs w:val="1"/>
                <w:color w:val="auto"/>
                <w:vertAlign w:val="superscript"/>
              </w:rPr>
              <w:t>2</w:t>
            </w:r>
          </w:p>
        </w:tc>
        <w:tc>
          <w:tcPr>
            <w:tcW w:w="100" w:type="dxa"/>
            <w:vAlign w:val="bottom"/>
            <w:vMerge w:val="restart"/>
          </w:tcPr>
          <w:p>
            <w:pPr>
              <w:spacing w:after="0"/>
              <w:rPr>
                <w:sz w:val="8"/>
                <w:szCs w:val="8"/>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Age (Months)</w:t>
            </w:r>
          </w:p>
        </w:tc>
        <w:tc>
          <w:tcPr>
            <w:tcW w:w="100" w:type="dxa"/>
            <w:vAlign w:val="bottom"/>
            <w:vMerge w:val="restart"/>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90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3"/>
              </w:rPr>
              <w:t xml:space="preserve">% </w:t>
            </w:r>
            <w:r>
              <w:rPr>
                <w:rFonts w:ascii="Times New Roman" w:cs="Times New Roman" w:eastAsia="Times New Roman" w:hAnsi="Times New Roman"/>
                <w:sz w:val="18"/>
                <w:szCs w:val="18"/>
                <w:b w:val="1"/>
                <w:bCs w:val="1"/>
                <w:color w:val="auto"/>
                <w:w w:val="93"/>
                <w:vertAlign w:val="superscript"/>
              </w:rPr>
              <w:t>1</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90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9"/>
              </w:rPr>
              <w:t xml:space="preserve">CPR </w:t>
            </w:r>
            <w:r>
              <w:rPr>
                <w:rFonts w:ascii="Times New Roman" w:cs="Times New Roman" w:eastAsia="Times New Roman" w:hAnsi="Times New Roman"/>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184"/>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15-year:</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3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rPr>
              <w:t>102.3%</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7"/>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9"/>
              </w:rPr>
              <w:t>99.6%</w:t>
            </w:r>
          </w:p>
        </w:tc>
        <w:tc>
          <w:tcPr>
            <w:tcW w:w="12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154</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rPr>
              <w:t>100.7%</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148</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7"/>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rPr>
              <w:t>100.9%</w:t>
            </w:r>
          </w:p>
        </w:tc>
        <w:tc>
          <w:tcPr>
            <w:tcW w:w="12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148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rPr>
              <w:t>100.5%</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170</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87"/>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rPr>
              <w:t>101.5%</w:t>
            </w:r>
          </w:p>
        </w:tc>
        <w:tc>
          <w:tcPr>
            <w:tcW w:w="12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4"/>
        </w:trPr>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3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 15-year</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4.78%</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rPr>
              <w:t>101.4%</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7"/>
        </w:trPr>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20-year:</w:t>
            </w: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rPr>
              <w:t>104.0%</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69</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187"/>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rPr>
              <w:t>103.3%</w:t>
            </w:r>
          </w:p>
        </w:tc>
        <w:tc>
          <w:tcPr>
            <w:tcW w:w="12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rPr>
              <w:t>101.5%</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147</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7"/>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rPr>
              <w:t>103.4%</w:t>
            </w:r>
          </w:p>
        </w:tc>
        <w:tc>
          <w:tcPr>
            <w:tcW w:w="12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103</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3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4.5%</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4.66%</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rPr>
              <w:t>104.5%</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97</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0"/>
        </w:trPr>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20-year:</w:t>
            </w: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5"/>
                <w:szCs w:val="15"/>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5"/>
                <w:szCs w:val="15"/>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3.76%</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color w:val="auto"/>
              </w:rPr>
              <w:t>103.1%</w:t>
            </w:r>
          </w:p>
        </w:tc>
        <w:tc>
          <w:tcPr>
            <w:tcW w:w="120" w:type="dxa"/>
            <w:vAlign w:val="bottom"/>
          </w:tcPr>
          <w:p>
            <w:pPr>
              <w:spacing w:after="0"/>
              <w:rPr>
                <w:sz w:val="15"/>
                <w:szCs w:val="15"/>
                <w:color w:val="auto"/>
              </w:rPr>
            </w:pPr>
          </w:p>
        </w:tc>
        <w:tc>
          <w:tcPr>
            <w:tcW w:w="7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110</w:t>
            </w:r>
          </w:p>
        </w:tc>
        <w:tc>
          <w:tcPr>
            <w:tcW w:w="100" w:type="dxa"/>
            <w:vAlign w:val="bottom"/>
          </w:tcPr>
          <w:p>
            <w:pPr>
              <w:spacing w:after="0"/>
              <w:rPr>
                <w:sz w:val="15"/>
                <w:szCs w:val="15"/>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4"/>
        </w:trPr>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3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30-year:</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3.0%</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9"/>
              </w:rPr>
              <w:t>98.2%</w:t>
            </w:r>
          </w:p>
        </w:tc>
        <w:tc>
          <w:tcPr>
            <w:tcW w:w="12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3,746</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rPr>
              <w:t>103.6%</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120</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87"/>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rPr>
              <w:t>105.6%</w:t>
            </w:r>
          </w:p>
        </w:tc>
        <w:tc>
          <w:tcPr>
            <w:tcW w:w="12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11,744</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rPr>
              <w:t>102.1%</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187"/>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24,919</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9"/>
              </w:rPr>
              <w:t>99.1%</w:t>
            </w:r>
          </w:p>
        </w:tc>
        <w:tc>
          <w:tcPr>
            <w:tcW w:w="12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23,136</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rPr>
              <w:t>100.6%</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187"/>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rPr>
              <w:t>101.9%</w:t>
            </w:r>
          </w:p>
        </w:tc>
        <w:tc>
          <w:tcPr>
            <w:tcW w:w="12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3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6.5%</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4,822</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6.51%</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rPr>
              <w:t>103.5%</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0"/>
        </w:trPr>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30-year</w:t>
            </w: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89,267</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89,920</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89,845</w:t>
            </w:r>
          </w:p>
        </w:tc>
        <w:tc>
          <w:tcPr>
            <w:tcW w:w="100" w:type="dxa"/>
            <w:vAlign w:val="bottom"/>
          </w:tcPr>
          <w:p>
            <w:pPr>
              <w:spacing w:after="0"/>
              <w:rPr>
                <w:sz w:val="15"/>
                <w:szCs w:val="15"/>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5"/>
                <w:szCs w:val="15"/>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5.12%</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color w:val="auto"/>
              </w:rPr>
              <w:t>101.2%</w:t>
            </w:r>
          </w:p>
        </w:tc>
        <w:tc>
          <w:tcPr>
            <w:tcW w:w="120" w:type="dxa"/>
            <w:vAlign w:val="bottom"/>
          </w:tcPr>
          <w:p>
            <w:pPr>
              <w:spacing w:after="0"/>
              <w:rPr>
                <w:sz w:val="15"/>
                <w:szCs w:val="15"/>
                <w:color w:val="auto"/>
              </w:rPr>
            </w:pPr>
          </w:p>
        </w:tc>
        <w:tc>
          <w:tcPr>
            <w:tcW w:w="7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33</w:t>
            </w:r>
          </w:p>
        </w:tc>
        <w:tc>
          <w:tcPr>
            <w:tcW w:w="100" w:type="dxa"/>
            <w:vAlign w:val="bottom"/>
          </w:tcPr>
          <w:p>
            <w:pPr>
              <w:spacing w:after="0"/>
              <w:rPr>
                <w:sz w:val="15"/>
                <w:szCs w:val="15"/>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4"/>
        </w:trPr>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fixed rate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89,892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90,560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90,471</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5.12%</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rPr>
              <w:t>101.2%</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34</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0" w:lineRule="exact"/>
        <w:rPr>
          <w:sz w:val="20"/>
          <w:szCs w:val="20"/>
          <w:color w:val="auto"/>
        </w:rPr>
      </w:pPr>
    </w:p>
    <w:p>
      <w:pPr>
        <w:ind w:left="640" w:hanging="317"/>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 of the preceding table for specified pool composition.</w:t>
      </w:r>
    </w:p>
    <w:p>
      <w:pPr>
        <w:ind w:left="640" w:hanging="317"/>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yield incorporates a projected life CPR based on forward rate assumptions as of December 31, 2025.</w:t>
      </w:r>
    </w:p>
    <w:p>
      <w:pPr>
        <w:spacing w:after="0" w:line="157"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For additional details regarding our CRT and non-Agency securities, including credit ratings, as of September 30, 2026 and December 31, 2025, please refer to Note 3 of our Consolidated Financial Statements in this Form 10-Q.</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67"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In addition to the results presented in accordance with GAAP, our results of operations discussed below include certain non-GAAP financial information, including “economic interest income,” “economic interest expense,” and “net spread and dollar roll income available to common stockholders” and the related per common share measures and certain financial metrics derived from such non-GAAP information.</w:t>
      </w:r>
    </w:p>
    <w:p>
      <w:pPr>
        <w:spacing w:after="0" w:line="127"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“Economic interest income” is measured as interest income (GAAP measure), adjusted to (i) exclude retrospective “catch-up” adjustments to premium amortization cost associated with changes in projected CPR estimates and (ii) include TBA dollar roll implied interest income. “Economic interest expense” is measured as interest expense (GAAP measure) adjusted to include TBA dollar roll implied interest expense/benefit and interest rate swap periodic cost/income. “Net spread and dollar roll income available to common stockholders” is measured as comprehensive income (loss) available (attributable) to common stockholders (GAAP measure) adjusted to: (i) exclude gains/losses on investment securities recognized through net income and other comprehensive income and gains/losses on derivative instruments and other securities (GAAP measures); (ii) exclude retrospective “catch-up” adjustments to premium amortization cost associated with changes in projected CPR estimates; and (iii) include interest rate swap periodic income/cost, TBA dollar roll income and other interest income/expense. As defined, “Net spread and dollar roll income available to common stockholders” includes (i) the components of “economic interest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34" w:name="page35"/>
    <w:bookmarkEnd w:id="34"/>
    <w:p>
      <w:pPr>
        <w:jc w:val="both"/>
        <w:spacing w:after="0" w:line="270" w:lineRule="auto"/>
        <w:rPr>
          <w:sz w:val="20"/>
          <w:szCs w:val="20"/>
          <w:color w:val="auto"/>
        </w:rPr>
      </w:pPr>
      <w:r>
        <w:rPr>
          <w:rFonts w:ascii="Times New Roman" w:cs="Times New Roman" w:eastAsia="Times New Roman" w:hAnsi="Times New Roman"/>
          <w:sz w:val="18"/>
          <w:szCs w:val="18"/>
          <w:color w:val="auto"/>
        </w:rPr>
        <w:t>income” and “economic interest expense”, plus (ii) other interest income/expense, and less (iii) total operating expenses and dividends on preferred stock (GAAP measures).</w:t>
      </w:r>
    </w:p>
    <w:p>
      <w:pPr>
        <w:spacing w:after="0" w:line="115"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31"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Specifically, with respect to “net spread and dollar roll income available to common stockholders” and its components, “economic interest income” and “economic interest expense,” we believe the inclusion of TBA dollar roll income is meaningful because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is meaningful because interest rate swaps are the primary instruments we use to economically hedge against fluctuations in our borrowing costs, and their inclusion is more indicative of our total cost of funds than interest expense alone. Additionally, we believe the exclusion of “catch-up” premium amortization adjustments is meaningful because it excludes the cumulative effect from prior reporting periods due to current changes in future prepayment expectations and, therefore, is more indicative of the current earnings potential of our investment portfolio.</w:t>
      </w:r>
    </w:p>
    <w:p>
      <w:pPr>
        <w:spacing w:after="0" w:line="13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 titled measures of other companies.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Financial Data</w:t>
      </w:r>
    </w:p>
    <w:p>
      <w:pPr>
        <w:spacing w:after="0" w:line="233" w:lineRule="exact"/>
        <w:rPr>
          <w:sz w:val="20"/>
          <w:szCs w:val="20"/>
          <w:color w:val="auto"/>
        </w:rPr>
      </w:pPr>
    </w:p>
    <w:p>
      <w:pPr>
        <w:jc w:val="both"/>
        <w:ind w:firstLine="436"/>
        <w:spacing w:after="0" w:line="242" w:lineRule="auto"/>
        <w:rPr>
          <w:sz w:val="20"/>
          <w:szCs w:val="20"/>
          <w:color w:val="auto"/>
        </w:rPr>
      </w:pPr>
      <w:r>
        <w:rPr>
          <w:rFonts w:ascii="Times New Roman" w:cs="Times New Roman" w:eastAsia="Times New Roman" w:hAnsi="Times New Roman"/>
          <w:sz w:val="18"/>
          <w:szCs w:val="18"/>
          <w:color w:val="auto"/>
        </w:rPr>
        <w:t xml:space="preserve">The following selected financial data is derived from our interim consolidated financial statements and the notes thereto. The selected financial data should be read in conjunction with the more detailed information contained in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and in this Item 2.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Financial Condition and Results of Operations </w:t>
      </w:r>
      <w:r>
        <w:rPr>
          <w:rFonts w:ascii="Times New Roman" w:cs="Times New Roman" w:eastAsia="Times New Roman" w:hAnsi="Times New Roman"/>
          <w:sz w:val="18"/>
          <w:szCs w:val="18"/>
          <w:color w:val="auto"/>
        </w:rPr>
        <w:t>(in millions, except per share amounts):</w:t>
      </w:r>
    </w:p>
    <w:p>
      <w:pPr>
        <w:spacing w:after="0" w:line="28" w:lineRule="exact"/>
        <w:rPr>
          <w:sz w:val="20"/>
          <w:szCs w:val="20"/>
          <w:color w:val="auto"/>
        </w:rPr>
      </w:pPr>
    </w:p>
    <w:tbl>
      <w:tblPr>
        <w:tblLayout w:type="fixed"/>
        <w:tblInd w:w="74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16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1"/>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160" w:type="dxa"/>
            <w:vAlign w:val="bottom"/>
          </w:tcPr>
          <w:p>
            <w:pPr>
              <w:spacing w:after="0"/>
              <w:rPr>
                <w:sz w:val="18"/>
                <w:szCs w:val="18"/>
                <w:color w:val="auto"/>
              </w:rPr>
            </w:pPr>
          </w:p>
        </w:tc>
        <w:tc>
          <w:tcPr>
            <w:tcW w:w="120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
        </w:trPr>
        <w:tc>
          <w:tcPr>
            <w:tcW w:w="6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6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(Unaudited)</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70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Investment securities, at fair value of $91,932 and $81,719, respectively, and other mortgage credit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92,004</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81,789</w:t>
            </w:r>
          </w:p>
        </w:tc>
        <w:tc>
          <w:tcPr>
            <w:tcW w:w="0" w:type="dxa"/>
            <w:vAlign w:val="bottom"/>
          </w:tcPr>
          <w:p>
            <w:pPr>
              <w:spacing w:after="0"/>
              <w:rPr>
                <w:sz w:val="1"/>
                <w:szCs w:val="1"/>
                <w:color w:val="auto"/>
              </w:rPr>
            </w:pPr>
          </w:p>
        </w:tc>
      </w:tr>
      <w:tr>
        <w:trPr>
          <w:trHeight w:val="211"/>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133,432</w:t>
            </w:r>
          </w:p>
        </w:tc>
        <w:tc>
          <w:tcPr>
            <w:tcW w:w="8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115,077</w:t>
            </w:r>
          </w:p>
        </w:tc>
        <w:tc>
          <w:tcPr>
            <w:tcW w:w="0" w:type="dxa"/>
            <w:vAlign w:val="bottom"/>
          </w:tcPr>
          <w:p>
            <w:pPr>
              <w:spacing w:after="0"/>
              <w:rPr>
                <w:sz w:val="1"/>
                <w:szCs w:val="1"/>
                <w:color w:val="auto"/>
              </w:rPr>
            </w:pPr>
          </w:p>
        </w:tc>
      </w:tr>
      <w:tr>
        <w:trPr>
          <w:trHeight w:val="227"/>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agreements and other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96,719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85,342</w:t>
            </w:r>
          </w:p>
        </w:tc>
        <w:tc>
          <w:tcPr>
            <w:tcW w:w="0" w:type="dxa"/>
            <w:vAlign w:val="bottom"/>
          </w:tcPr>
          <w:p>
            <w:pPr>
              <w:spacing w:after="0"/>
              <w:rPr>
                <w:sz w:val="1"/>
                <w:szCs w:val="1"/>
                <w:color w:val="auto"/>
              </w:rPr>
            </w:pPr>
          </w:p>
        </w:tc>
      </w:tr>
      <w:tr>
        <w:trPr>
          <w:trHeight w:val="222"/>
        </w:trPr>
        <w:tc>
          <w:tcPr>
            <w:tcW w:w="7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121,872</w:t>
            </w:r>
          </w:p>
        </w:tc>
        <w:tc>
          <w:tcPr>
            <w:tcW w:w="8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102,684</w:t>
            </w:r>
          </w:p>
        </w:tc>
        <w:tc>
          <w:tcPr>
            <w:tcW w:w="0" w:type="dxa"/>
            <w:vAlign w:val="bottom"/>
          </w:tcPr>
          <w:p>
            <w:pPr>
              <w:spacing w:after="0"/>
              <w:rPr>
                <w:sz w:val="1"/>
                <w:szCs w:val="1"/>
                <w:color w:val="auto"/>
              </w:rPr>
            </w:pPr>
          </w:p>
        </w:tc>
      </w:tr>
      <w:tr>
        <w:trPr>
          <w:trHeight w:val="227"/>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11,560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12,393</w:t>
            </w:r>
          </w:p>
        </w:tc>
        <w:tc>
          <w:tcPr>
            <w:tcW w:w="0" w:type="dxa"/>
            <w:vAlign w:val="bottom"/>
          </w:tcPr>
          <w:p>
            <w:pPr>
              <w:spacing w:after="0"/>
              <w:rPr>
                <w:sz w:val="1"/>
                <w:szCs w:val="1"/>
                <w:color w:val="auto"/>
              </w:rPr>
            </w:pPr>
          </w:p>
        </w:tc>
      </w:tr>
      <w:tr>
        <w:trPr>
          <w:trHeight w:val="224"/>
        </w:trPr>
        <w:tc>
          <w:tcPr>
            <w:tcW w:w="7000" w:type="dxa"/>
            <w:vAlign w:val="bottom"/>
            <w:gridSpan w:val="2"/>
          </w:tcPr>
          <w:p>
            <w:pPr>
              <w:spacing w:after="0" w:line="225" w:lineRule="exact"/>
              <w:rPr>
                <w:sz w:val="20"/>
                <w:szCs w:val="20"/>
                <w:color w:val="auto"/>
              </w:rPr>
            </w:pPr>
            <w:r>
              <w:rPr>
                <w:rFonts w:ascii="Times New Roman" w:cs="Times New Roman" w:eastAsia="Times New Roman" w:hAnsi="Times New Roman"/>
                <w:sz w:val="16"/>
                <w:szCs w:val="16"/>
                <w:color w:val="auto"/>
              </w:rPr>
              <w:t xml:space="preserve">Net book value per common share </w:t>
            </w:r>
            <w:r>
              <w:rPr>
                <w:rFonts w:ascii="Times New Roman" w:cs="Times New Roman" w:eastAsia="Times New Roman" w:hAnsi="Times New Roman"/>
                <w:sz w:val="20"/>
                <w:szCs w:val="20"/>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7.55</w:t>
            </w:r>
          </w:p>
        </w:tc>
        <w:tc>
          <w:tcPr>
            <w:tcW w:w="8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0" w:type="dxa"/>
            <w:vAlign w:val="bottom"/>
          </w:tcPr>
          <w:p>
            <w:pPr>
              <w:spacing w:after="0"/>
              <w:rPr>
                <w:sz w:val="1"/>
                <w:szCs w:val="1"/>
                <w:color w:val="auto"/>
              </w:rPr>
            </w:pPr>
          </w:p>
        </w:tc>
      </w:tr>
      <w:tr>
        <w:trPr>
          <w:trHeight w:val="224"/>
        </w:trPr>
        <w:tc>
          <w:tcPr>
            <w:tcW w:w="7000" w:type="dxa"/>
            <w:vAlign w:val="bottom"/>
            <w:gridSpan w:val="2"/>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 xml:space="preserve">Tangible net book value per common share </w:t>
            </w:r>
            <w:r>
              <w:rPr>
                <w:rFonts w:ascii="Times New Roman" w:cs="Times New Roman" w:eastAsia="Times New Roman" w:hAnsi="Times New Roman"/>
                <w:sz w:val="20"/>
                <w:szCs w:val="20"/>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35" w:name="page36"/>
    <w:bookmarkEnd w:id="35"/>
    <w:tbl>
      <w:tblPr>
        <w:tblLayout w:type="fixed"/>
        <w:tblInd w:w="2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2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6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8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880" w:type="dxa"/>
            <w:vAlign w:val="bottom"/>
          </w:tcPr>
          <w:p>
            <w:pPr>
              <w:jc w:val="center"/>
              <w:ind w:right="79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Statement of Comprehensive Income Data (Unaudited)</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8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2025</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903</w:t>
            </w:r>
          </w:p>
        </w:tc>
        <w:tc>
          <w:tcPr>
            <w:tcW w:w="8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w:t>
            </w:r>
          </w:p>
        </w:tc>
        <w:tc>
          <w:tcPr>
            <w:tcW w:w="8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w:t>
            </w:r>
          </w:p>
        </w:tc>
      </w:tr>
      <w:tr>
        <w:trPr>
          <w:trHeight w:val="222"/>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755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2,110</w:t>
            </w:r>
          </w:p>
        </w:tc>
      </w:tr>
      <w:tr>
        <w:trPr>
          <w:trHeight w:val="218"/>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r>
      <w:tr>
        <w:trPr>
          <w:trHeight w:val="218"/>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gain (loss), net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224"/>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8"/>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806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r>
      <w:tr>
        <w:trPr>
          <w:trHeight w:val="224"/>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2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 available (attributable) to common stockholders</w:t>
            </w: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764</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2"/>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20" w:type="dxa"/>
            <w:vAlign w:val="bottom"/>
          </w:tcPr>
          <w:p>
            <w:pPr>
              <w:spacing w:after="0"/>
              <w:rPr>
                <w:sz w:val="19"/>
                <w:szCs w:val="19"/>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806</w:t>
            </w:r>
          </w:p>
        </w:tc>
        <w:tc>
          <w:tcPr>
            <w:tcW w:w="80" w:type="dxa"/>
            <w:vAlign w:val="bottom"/>
          </w:tcPr>
          <w:p>
            <w:pPr>
              <w:spacing w:after="0"/>
              <w:rPr>
                <w:sz w:val="19"/>
                <w:szCs w:val="19"/>
                <w:color w:val="auto"/>
              </w:rPr>
            </w:pP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80" w:type="dxa"/>
            <w:vAlign w:val="bottom"/>
          </w:tcPr>
          <w:p>
            <w:pPr>
              <w:spacing w:after="0"/>
              <w:rPr>
                <w:sz w:val="19"/>
                <w:szCs w:val="19"/>
                <w:color w:val="auto"/>
              </w:rPr>
            </w:pPr>
          </w:p>
        </w:tc>
        <w:tc>
          <w:tcPr>
            <w:tcW w:w="52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r>
      <w:tr>
        <w:trPr>
          <w:trHeight w:val="224"/>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8"/>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867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r>
      <w:tr>
        <w:trPr>
          <w:trHeight w:val="224"/>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2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 (loss) available (attributable) to common stockholders</w:t>
            </w: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825</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1,053.0</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1,160.5</w:t>
            </w: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996.7</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2"/>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3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1,056.6</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1,160.5</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basic</w:t>
            </w: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0.73</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0.60</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2"/>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diluted</w:t>
            </w: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0.72</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 (loss) per common share - basic</w:t>
            </w: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0.78</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0.81</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2"/>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 per common share - diluted</w:t>
            </w: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0.78</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declared per common share</w:t>
            </w: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0.36</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0"/>
        </w:trPr>
        <w:tc>
          <w:tcPr>
            <w:tcW w:w="5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r>
      <w:tr>
        <w:trPr>
          <w:trHeight w:val="189"/>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87"/>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Data (Unaudited) *</w:t>
            </w:r>
          </w:p>
        </w:tc>
        <w:tc>
          <w:tcPr>
            <w:tcW w:w="280" w:type="dxa"/>
            <w:vAlign w:val="bottom"/>
          </w:tcPr>
          <w:p>
            <w:pPr>
              <w:spacing w:after="0"/>
              <w:rPr>
                <w:sz w:val="16"/>
                <w:szCs w:val="16"/>
                <w:color w:val="auto"/>
              </w:rPr>
            </w:pPr>
          </w:p>
        </w:tc>
        <w:tc>
          <w:tcPr>
            <w:tcW w:w="92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24"/>
        </w:trPr>
        <w:tc>
          <w:tcPr>
            <w:tcW w:w="5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8"/>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investment securities - at par</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91,467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73,836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85,894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70,139</w:t>
            </w:r>
          </w:p>
        </w:tc>
      </w:tr>
      <w:tr>
        <w:trPr>
          <w:trHeight w:val="222"/>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investment securities - at cost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91,905</w:t>
            </w:r>
          </w:p>
        </w:tc>
        <w:tc>
          <w:tcPr>
            <w:tcW w:w="120" w:type="dxa"/>
            <w:vAlign w:val="bottom"/>
          </w:tcPr>
          <w:p>
            <w:pPr>
              <w:spacing w:after="0"/>
              <w:rPr>
                <w:sz w:val="19"/>
                <w:szCs w:val="19"/>
                <w:color w:val="auto"/>
              </w:rPr>
            </w:pPr>
          </w:p>
        </w:tc>
        <w:tc>
          <w:tcPr>
            <w:tcW w:w="4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74,783</w:t>
            </w:r>
          </w:p>
        </w:tc>
        <w:tc>
          <w:tcPr>
            <w:tcW w:w="8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86,725</w:t>
            </w:r>
          </w:p>
        </w:tc>
        <w:tc>
          <w:tcPr>
            <w:tcW w:w="80" w:type="dxa"/>
            <w:vAlign w:val="bottom"/>
          </w:tcPr>
          <w:p>
            <w:pPr>
              <w:spacing w:after="0"/>
              <w:rPr>
                <w:sz w:val="19"/>
                <w:szCs w:val="19"/>
                <w:color w:val="auto"/>
              </w:rPr>
            </w:pPr>
          </w:p>
        </w:tc>
        <w:tc>
          <w:tcPr>
            <w:tcW w:w="58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71,127</w:t>
            </w:r>
          </w:p>
        </w:tc>
      </w:tr>
      <w:tr>
        <w:trPr>
          <w:trHeight w:val="227"/>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net TBA dollar roll position - at cost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6,809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10,163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9,947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9,872</w:t>
            </w:r>
          </w:p>
        </w:tc>
      </w:tr>
      <w:tr>
        <w:trPr>
          <w:trHeight w:val="222"/>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total assets - at fair value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125,227</w:t>
            </w:r>
          </w:p>
        </w:tc>
        <w:tc>
          <w:tcPr>
            <w:tcW w:w="120" w:type="dxa"/>
            <w:vAlign w:val="bottom"/>
          </w:tcPr>
          <w:p>
            <w:pPr>
              <w:spacing w:after="0"/>
              <w:rPr>
                <w:sz w:val="19"/>
                <w:szCs w:val="19"/>
                <w:color w:val="auto"/>
              </w:rPr>
            </w:pPr>
          </w:p>
        </w:tc>
        <w:tc>
          <w:tcPr>
            <w:tcW w:w="4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104,432</w:t>
            </w:r>
          </w:p>
        </w:tc>
        <w:tc>
          <w:tcPr>
            <w:tcW w:w="8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119,718</w:t>
            </w:r>
          </w:p>
        </w:tc>
        <w:tc>
          <w:tcPr>
            <w:tcW w:w="80" w:type="dxa"/>
            <w:vAlign w:val="bottom"/>
          </w:tcPr>
          <w:p>
            <w:pPr>
              <w:spacing w:after="0"/>
              <w:rPr>
                <w:sz w:val="19"/>
                <w:szCs w:val="19"/>
                <w:color w:val="auto"/>
              </w:rPr>
            </w:pPr>
          </w:p>
        </w:tc>
        <w:tc>
          <w:tcPr>
            <w:tcW w:w="58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96,192</w:t>
            </w:r>
          </w:p>
        </w:tc>
      </w:tr>
      <w:tr>
        <w:trPr>
          <w:trHeight w:val="227"/>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Average repurchase agreements and other debt outstanding </w:t>
            </w:r>
            <w:r>
              <w:rPr>
                <w:rFonts w:ascii="Times New Roman" w:cs="Times New Roman" w:eastAsia="Times New Roman" w:hAnsi="Times New Roman"/>
                <w:sz w:val="18"/>
                <w:szCs w:val="18"/>
                <w:color w:val="auto"/>
                <w:vertAlign w:val="superscript"/>
              </w:rPr>
              <w:t>3</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82,362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66,654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78,203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62,628</w:t>
            </w:r>
          </w:p>
        </w:tc>
      </w:tr>
      <w:tr>
        <w:trPr>
          <w:trHeight w:val="224"/>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Average stockholders’ equity </w:t>
            </w:r>
            <w:r>
              <w:rPr>
                <w:rFonts w:ascii="Times New Roman" w:cs="Times New Roman" w:eastAsia="Times New Roman" w:hAnsi="Times New Roman"/>
                <w:sz w:val="18"/>
                <w:szCs w:val="18"/>
                <w:color w:val="auto"/>
                <w:vertAlign w:val="superscript"/>
              </w:rPr>
              <w:t>4</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12,206</w:t>
            </w:r>
          </w:p>
        </w:tc>
        <w:tc>
          <w:tcPr>
            <w:tcW w:w="120" w:type="dxa"/>
            <w:vAlign w:val="bottom"/>
          </w:tcPr>
          <w:p>
            <w:pPr>
              <w:spacing w:after="0"/>
              <w:rPr>
                <w:sz w:val="19"/>
                <w:szCs w:val="19"/>
                <w:color w:val="auto"/>
              </w:rPr>
            </w:pPr>
          </w:p>
        </w:tc>
        <w:tc>
          <w:tcPr>
            <w:tcW w:w="4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10,732</w:t>
            </w:r>
          </w:p>
        </w:tc>
        <w:tc>
          <w:tcPr>
            <w:tcW w:w="8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12,351</w:t>
            </w:r>
          </w:p>
        </w:tc>
        <w:tc>
          <w:tcPr>
            <w:tcW w:w="80" w:type="dxa"/>
            <w:vAlign w:val="bottom"/>
          </w:tcPr>
          <w:p>
            <w:pPr>
              <w:spacing w:after="0"/>
              <w:rPr>
                <w:sz w:val="19"/>
                <w:szCs w:val="19"/>
                <w:color w:val="auto"/>
              </w:rPr>
            </w:pPr>
          </w:p>
        </w:tc>
        <w:tc>
          <w:tcPr>
            <w:tcW w:w="58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10,275</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Average tangible net book value “at risk” leverage </w:t>
            </w:r>
            <w:r>
              <w:rPr>
                <w:rFonts w:ascii="Times New Roman" w:cs="Times New Roman" w:eastAsia="Times New Roman" w:hAnsi="Times New Roman"/>
                <w:sz w:val="18"/>
                <w:szCs w:val="18"/>
                <w:color w:val="auto"/>
                <w:vertAlign w:val="superscript"/>
              </w:rPr>
              <w:t>5</w:t>
            </w:r>
          </w:p>
        </w:tc>
        <w:tc>
          <w:tcPr>
            <w:tcW w:w="190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rPr>
              <w:t>7.6:1</w:t>
            </w:r>
          </w:p>
        </w:tc>
        <w:tc>
          <w:tcPr>
            <w:tcW w:w="140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rPr>
              <w:t>7.5:1</w:t>
            </w:r>
          </w:p>
        </w:tc>
        <w:tc>
          <w:tcPr>
            <w:tcW w:w="150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rPr>
              <w:t>7.5:1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r>
      <w:tr>
        <w:trPr>
          <w:trHeight w:val="224"/>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Tangible net book value “at risk” leverage </w:t>
            </w:r>
            <w:r>
              <w:rPr>
                <w:rFonts w:ascii="Times New Roman" w:cs="Times New Roman" w:eastAsia="Times New Roman" w:hAnsi="Times New Roman"/>
                <w:sz w:val="14"/>
                <w:szCs w:val="14"/>
                <w:i w:val="1"/>
                <w:iCs w:val="1"/>
                <w:color w:val="auto"/>
              </w:rPr>
              <w:t>(as of period end)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vertAlign w:val="superscript"/>
              </w:rPr>
              <w:t>6</w:t>
            </w:r>
          </w:p>
        </w:tc>
        <w:tc>
          <w:tcPr>
            <w:tcW w:w="190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rPr>
              <w:t>7.9:1</w:t>
            </w:r>
          </w:p>
        </w:tc>
        <w:tc>
          <w:tcPr>
            <w:tcW w:w="140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7.6:1</w:t>
            </w:r>
          </w:p>
        </w:tc>
        <w:tc>
          <w:tcPr>
            <w:tcW w:w="150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7.9:1</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r>
      <w:tr>
        <w:trPr>
          <w:trHeight w:val="22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Economic return on tangible common equity </w:t>
            </w:r>
            <w:r>
              <w:rPr>
                <w:rFonts w:ascii="Times New Roman" w:cs="Times New Roman" w:eastAsia="Times New Roman" w:hAnsi="Times New Roman"/>
                <w:sz w:val="18"/>
                <w:szCs w:val="18"/>
                <w:color w:val="auto"/>
                <w:vertAlign w:val="superscript"/>
              </w:rPr>
              <w:t>7</w:t>
            </w:r>
          </w:p>
        </w:tc>
        <w:tc>
          <w:tcPr>
            <w:tcW w:w="190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rPr>
              <w:t>(12.7)%</w:t>
            </w:r>
          </w:p>
        </w:tc>
        <w:tc>
          <w:tcPr>
            <w:tcW w:w="140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rPr>
              <w:t>10.6 %</w:t>
            </w:r>
          </w:p>
        </w:tc>
        <w:tc>
          <w:tcPr>
            <w:tcW w:w="150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rPr>
              <w:t>(7.5)%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r>
      <w:tr>
        <w:trPr>
          <w:trHeight w:val="222"/>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 % of average total assets - annualized</w:t>
            </w:r>
          </w:p>
        </w:tc>
        <w:tc>
          <w:tcPr>
            <w:tcW w:w="190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rPr>
              <w:t>0.09 %</w:t>
            </w:r>
          </w:p>
        </w:tc>
        <w:tc>
          <w:tcPr>
            <w:tcW w:w="140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0.11 %</w:t>
            </w:r>
          </w:p>
        </w:tc>
        <w:tc>
          <w:tcPr>
            <w:tcW w:w="150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0.10 %</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0.12 %</w:t>
            </w:r>
          </w:p>
        </w:tc>
      </w:tr>
      <w:tr>
        <w:trPr>
          <w:trHeight w:val="22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 % of average assets, including average net TBA position - annualized</w:t>
            </w:r>
          </w:p>
        </w:tc>
        <w:tc>
          <w:tcPr>
            <w:tcW w:w="190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rPr>
              <w:t>0.08 %</w:t>
            </w:r>
          </w:p>
        </w:tc>
        <w:tc>
          <w:tcPr>
            <w:tcW w:w="140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rPr>
              <w:t>0.10 %</w:t>
            </w:r>
          </w:p>
        </w:tc>
        <w:tc>
          <w:tcPr>
            <w:tcW w:w="150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rPr>
              <w:t>0.09 %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0.11 %</w:t>
            </w:r>
          </w:p>
        </w:tc>
      </w:tr>
      <w:tr>
        <w:trPr>
          <w:trHeight w:val="220"/>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 % of average stockholders’ equity - annualized</w:t>
            </w:r>
          </w:p>
        </w:tc>
        <w:tc>
          <w:tcPr>
            <w:tcW w:w="190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rPr>
              <w:t>0.92 %</w:t>
            </w:r>
          </w:p>
        </w:tc>
        <w:tc>
          <w:tcPr>
            <w:tcW w:w="140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1.12 %</w:t>
            </w:r>
          </w:p>
        </w:tc>
        <w:tc>
          <w:tcPr>
            <w:tcW w:w="150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0.99 %</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1.12 %</w:t>
            </w:r>
          </w:p>
        </w:tc>
      </w:tr>
    </w:tbl>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Except as noted below, average numbers for each period are weighted based on days on our books and records.</w:t>
      </w:r>
    </w:p>
    <w:p>
      <w:pPr>
        <w:ind w:left="640" w:hanging="31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book value per common share is calculated as total stockholders’ equity, less preferred stock liquidation preference, divided by number of common shares outstanding as of period end.</w:t>
      </w:r>
    </w:p>
    <w:p>
      <w:pPr>
        <w:spacing w:after="0" w:line="6"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per common share excludes goodwill.</w:t>
      </w:r>
    </w:p>
    <w:p>
      <w:pPr>
        <w:spacing w:after="0" w:line="10" w:lineRule="exact"/>
        <w:rPr>
          <w:rFonts w:ascii="Times New Roman" w:cs="Times New Roman" w:eastAsia="Times New Roman" w:hAnsi="Times New Roman"/>
          <w:sz w:val="14"/>
          <w:szCs w:val="14"/>
          <w:color w:val="auto"/>
        </w:rPr>
      </w:pPr>
    </w:p>
    <w:p>
      <w:pPr>
        <w:ind w:left="640" w:hanging="317"/>
        <w:spacing w:after="0" w:line="255"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the daily weighted average repurchase agreements outstanding for the period used to fund our investment securities and other debt. Amount excludes U.S. Treasury repurchase agreements and TBA contracts. Other debt includes debt of consolidated VIEs.</w:t>
      </w:r>
    </w:p>
    <w:p>
      <w:pPr>
        <w:spacing w:after="0" w:line="1"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stockholders’ equity calculated as average month-ended stockholders’ equity during the period.</w:t>
      </w:r>
    </w:p>
    <w:p>
      <w:pPr>
        <w:spacing w:after="0" w:line="1" w:lineRule="exact"/>
        <w:rPr>
          <w:rFonts w:ascii="Times New Roman" w:cs="Times New Roman" w:eastAsia="Times New Roman" w:hAnsi="Times New Roman"/>
          <w:sz w:val="14"/>
          <w:szCs w:val="14"/>
          <w:color w:val="auto"/>
        </w:rPr>
      </w:pPr>
    </w:p>
    <w:p>
      <w:pPr>
        <w:jc w:val="both"/>
        <w:ind w:left="640" w:hanging="317"/>
        <w:spacing w:after="0" w:line="253"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tangible net book value “at risk” leverage is calculated by dividing the sum of daily weighted average repurchase agreements used to fund our investment securities, other debt, and TBA securities (at cost) (collectively “mortgage borrowings”) outstanding for the period by the sum of average stockholders’ equity adjusted to exclude goodwill for the period. Leverage excludes U.S. Treasury repurchase agreements.</w:t>
      </w:r>
    </w:p>
    <w:p>
      <w:pPr>
        <w:spacing w:after="0" w:line="1" w:lineRule="exact"/>
        <w:rPr>
          <w:rFonts w:ascii="Times New Roman" w:cs="Times New Roman" w:eastAsia="Times New Roman" w:hAnsi="Times New Roman"/>
          <w:sz w:val="14"/>
          <w:szCs w:val="14"/>
          <w:color w:val="auto"/>
        </w:rPr>
      </w:pPr>
    </w:p>
    <w:p>
      <w:pPr>
        <w:jc w:val="both"/>
        <w:ind w:left="640" w:hanging="317"/>
        <w:spacing w:after="0" w:line="254"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“at risk” leverage as of period end is calculated by dividing the sum of mortgage borrowings outstanding and net receivable/payable for unsettled investment securities as of period end by the sum of total stockholders’ equity and unsettled equity issuances, adjusted to exclude goodwill as of period end. Unsettled equity issuances totaled $110 million and $0 million as of September 30, 2026 and 2025, respectively. Leverage excludes U.S. Treasury repurchase agreements.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6" w:name="page37"/>
    <w:bookmarkEnd w:id="36"/>
    <w:p>
      <w:pPr>
        <w:ind w:left="640" w:hanging="317"/>
        <w:spacing w:after="0" w:line="289"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return on tangible common equity represents the sum of the change in tangible net book value per common share and dividends declared per share of common stock during the period over beginning tangible net book value per common share.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Interest Income and Asset Yields</w:t>
      </w:r>
    </w:p>
    <w:p>
      <w:pPr>
        <w:spacing w:after="0" w:line="167"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The following table summarizes our economic interest income (a non-GAAP measure) for the three and nine months ended September 30, 2026 and 2025, which includes the combination of interest income (a GAAP measure) on our holdings reported as investment securities on our consolidated balance sheets, adjusted to exclude estimated net “catch-up” premium amortization adjustments for the cumulative effect from prior reporting periods due to changes in our CPR forecast, and implied interest income on our TBA securities (dollars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gridSpan w:val="3"/>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40" w:type="dxa"/>
            <w:vAlign w:val="bottom"/>
          </w:tcPr>
          <w:p>
            <w:pPr>
              <w:spacing w:after="0"/>
              <w:rPr>
                <w:sz w:val="15"/>
                <w:szCs w:val="15"/>
                <w:color w:val="auto"/>
              </w:rPr>
            </w:pP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20" w:type="dxa"/>
            <w:vAlign w:val="bottom"/>
          </w:tcPr>
          <w:p>
            <w:pPr>
              <w:spacing w:after="0"/>
              <w:rPr>
                <w:sz w:val="15"/>
                <w:szCs w:val="15"/>
                <w:color w:val="auto"/>
              </w:rPr>
            </w:pPr>
          </w:p>
        </w:tc>
        <w:tc>
          <w:tcPr>
            <w:tcW w:w="9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24"/>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Cash/coupon interest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1,162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5.08 %</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960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3,325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5.16 %</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5.14 %</w:t>
            </w:r>
          </w:p>
        </w:tc>
        <w:tc>
          <w:tcPr>
            <w:tcW w:w="0" w:type="dxa"/>
            <w:vAlign w:val="bottom"/>
          </w:tcPr>
          <w:p>
            <w:pPr>
              <w:spacing w:after="0"/>
              <w:rPr>
                <w:sz w:val="1"/>
                <w:szCs w:val="1"/>
                <w:color w:val="auto"/>
              </w:rPr>
            </w:pPr>
          </w:p>
        </w:tc>
      </w:tr>
      <w:tr>
        <w:trPr>
          <w:trHeight w:val="187"/>
        </w:trPr>
        <w:tc>
          <w:tcPr>
            <w:tcW w:w="4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premium amortization benefit (cost)</w:t>
            </w:r>
          </w:p>
        </w:tc>
        <w:tc>
          <w:tcPr>
            <w:tcW w:w="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24"/>
        </w:trPr>
        <w:tc>
          <w:tcPr>
            <w:tcW w:w="4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(GAAP measure)</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1,196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5.21 %</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4.83 %</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3,260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5.01 %</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2,579</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4.83 %</w:t>
            </w:r>
          </w:p>
        </w:tc>
        <w:tc>
          <w:tcPr>
            <w:tcW w:w="0" w:type="dxa"/>
            <w:vAlign w:val="bottom"/>
          </w:tcPr>
          <w:p>
            <w:pPr>
              <w:spacing w:after="0"/>
              <w:rPr>
                <w:sz w:val="1"/>
                <w:szCs w:val="1"/>
                <w:color w:val="auto"/>
              </w:rPr>
            </w:pPr>
          </w:p>
        </w:tc>
      </w:tr>
      <w:tr>
        <w:trPr>
          <w:trHeight w:val="149"/>
        </w:trPr>
        <w:tc>
          <w:tcPr>
            <w:tcW w:w="4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Estimated net “catch-up” premium amortization cost (benefit) due</w:t>
            </w:r>
          </w:p>
        </w:tc>
        <w:tc>
          <w:tcPr>
            <w:tcW w:w="120" w:type="dxa"/>
            <w:vAlign w:val="bottom"/>
          </w:tcPr>
          <w:p>
            <w:pPr>
              <w:spacing w:after="0"/>
              <w:rPr>
                <w:sz w:val="12"/>
                <w:szCs w:val="12"/>
                <w:color w:val="auto"/>
              </w:rPr>
            </w:pPr>
          </w:p>
        </w:tc>
        <w:tc>
          <w:tcPr>
            <w:tcW w:w="7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0.08 %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0.01 %</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to change in CPR forecast</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excluding net “catch-up” premium amortization</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4.92 %</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4.91 %</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3,194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4.91 %</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2,584</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4.84 %</w:t>
            </w:r>
          </w:p>
        </w:tc>
        <w:tc>
          <w:tcPr>
            <w:tcW w:w="0" w:type="dxa"/>
            <w:vAlign w:val="bottom"/>
          </w:tcPr>
          <w:p>
            <w:pPr>
              <w:spacing w:after="0"/>
              <w:rPr>
                <w:sz w:val="1"/>
                <w:szCs w:val="1"/>
                <w:color w:val="auto"/>
              </w:rPr>
            </w:pPr>
          </w:p>
        </w:tc>
      </w:tr>
      <w:tr>
        <w:trPr>
          <w:trHeight w:val="187"/>
        </w:trPr>
        <w:tc>
          <w:tcPr>
            <w:tcW w:w="4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TBA dollar roll income - implied interest income </w:t>
            </w:r>
            <w:r>
              <w:rPr>
                <w:rFonts w:ascii="Times New Roman" w:cs="Times New Roman" w:eastAsia="Times New Roman" w:hAnsi="Times New Roman"/>
                <w:sz w:val="9"/>
                <w:szCs w:val="9"/>
                <w:color w:val="auto"/>
              </w:rPr>
              <w:t>1,2</w:t>
            </w:r>
          </w:p>
        </w:tc>
        <w:tc>
          <w:tcPr>
            <w:tcW w:w="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5.32 %</w:t>
            </w:r>
          </w:p>
        </w:tc>
        <w:tc>
          <w:tcPr>
            <w:tcW w:w="0" w:type="dxa"/>
            <w:vAlign w:val="bottom"/>
          </w:tcPr>
          <w:p>
            <w:pPr>
              <w:spacing w:after="0"/>
              <w:rPr>
                <w:sz w:val="1"/>
                <w:szCs w:val="1"/>
                <w:color w:val="auto"/>
              </w:rPr>
            </w:pPr>
          </w:p>
        </w:tc>
      </w:tr>
      <w:tr>
        <w:trPr>
          <w:trHeight w:val="24"/>
        </w:trPr>
        <w:tc>
          <w:tcPr>
            <w:tcW w:w="4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Economic interest income (non-GAAP measure) </w:t>
            </w:r>
            <w:r>
              <w:rPr>
                <w:rFonts w:ascii="Times New Roman" w:cs="Times New Roman" w:eastAsia="Times New Roman" w:hAnsi="Times New Roman"/>
                <w:sz w:val="9"/>
                <w:szCs w:val="9"/>
                <w:color w:val="auto"/>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4.90 %</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135495" cy="2178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5495" cy="21780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p>
      <w:pPr>
        <w:spacing w:after="0" w:line="189" w:lineRule="exact"/>
        <w:rPr>
          <w:sz w:val="20"/>
          <w:szCs w:val="20"/>
          <w:color w:val="auto"/>
        </w:rPr>
      </w:pPr>
    </w:p>
    <w:p>
      <w:pPr>
        <w:ind w:left="20" w:right="20"/>
        <w:spacing w:after="0" w:line="249" w:lineRule="auto"/>
        <w:rPr>
          <w:sz w:val="20"/>
          <w:szCs w:val="20"/>
          <w:color w:val="auto"/>
        </w:rPr>
      </w:pPr>
      <w:r>
        <w:rPr>
          <w:rFonts w:ascii="Times New Roman" w:cs="Times New Roman" w:eastAsia="Times New Roman" w:hAnsi="Times New Roman"/>
          <w:sz w:val="14"/>
          <w:szCs w:val="14"/>
          <w:color w:val="auto"/>
        </w:rPr>
        <w:t>Weighted average actual portfolio CPR for investment securities held during the period</w:t>
      </w:r>
    </w:p>
    <w:p>
      <w:pPr>
        <w:spacing w:after="0" w:line="9" w:lineRule="exact"/>
        <w:rPr>
          <w:sz w:val="20"/>
          <w:szCs w:val="20"/>
          <w:color w:val="auto"/>
        </w:rPr>
      </w:pPr>
    </w:p>
    <w:p>
      <w:pPr>
        <w:ind w:left="20"/>
        <w:spacing w:after="0" w:line="249" w:lineRule="auto"/>
        <w:rPr>
          <w:sz w:val="20"/>
          <w:szCs w:val="20"/>
          <w:color w:val="auto"/>
        </w:rPr>
      </w:pPr>
      <w:r>
        <w:rPr>
          <w:rFonts w:ascii="Times New Roman" w:cs="Times New Roman" w:eastAsia="Times New Roman" w:hAnsi="Times New Roman"/>
          <w:sz w:val="14"/>
          <w:szCs w:val="14"/>
          <w:color w:val="auto"/>
        </w:rPr>
        <w:t>Weighted average projected CPR for the remaining life of investment securities held as of period end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30-year fixed rate mortgage rate as of period end </w:t>
      </w:r>
      <w:r>
        <w:rPr>
          <w:rFonts w:ascii="Times New Roman" w:cs="Times New Roman" w:eastAsia="Times New Roman" w:hAnsi="Times New Roman"/>
          <w:sz w:val="9"/>
          <w:szCs w:val="9"/>
          <w:color w:val="auto"/>
        </w:rPr>
        <w:t>4</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10-year U.S. Treasury rate as of period end </w:t>
      </w:r>
      <w:r>
        <w:rPr>
          <w:rFonts w:ascii="Times New Roman" w:cs="Times New Roman" w:eastAsia="Times New Roman" w:hAnsi="Times New Roman"/>
          <w:sz w:val="9"/>
          <w:szCs w:val="9"/>
          <w:color w:val="auto"/>
        </w:rPr>
        <w:t>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100" w:type="dxa"/>
            <w:vAlign w:val="bottom"/>
          </w:tcPr>
          <w:p>
            <w:pPr>
              <w:jc w:val="right"/>
              <w:ind w:right="630"/>
              <w:spacing w:after="0"/>
              <w:rPr>
                <w:sz w:val="20"/>
                <w:szCs w:val="20"/>
                <w:color w:val="auto"/>
              </w:rPr>
            </w:pPr>
            <w:r>
              <w:rPr>
                <w:rFonts w:ascii="Times New Roman" w:cs="Times New Roman" w:eastAsia="Times New Roman" w:hAnsi="Times New Roman"/>
                <w:sz w:val="14"/>
                <w:szCs w:val="14"/>
                <w:color w:val="auto"/>
              </w:rPr>
              <w:t>8.2 %</w:t>
            </w:r>
          </w:p>
        </w:tc>
        <w:tc>
          <w:tcPr>
            <w:tcW w:w="1800" w:type="dxa"/>
            <w:vAlign w:val="bottom"/>
          </w:tcPr>
          <w:p>
            <w:pPr>
              <w:jc w:val="right"/>
              <w:ind w:right="630"/>
              <w:spacing w:after="0"/>
              <w:rPr>
                <w:sz w:val="20"/>
                <w:szCs w:val="20"/>
                <w:color w:val="auto"/>
              </w:rPr>
            </w:pPr>
            <w:r>
              <w:rPr>
                <w:rFonts w:ascii="Times New Roman" w:cs="Times New Roman" w:eastAsia="Times New Roman" w:hAnsi="Times New Roman"/>
                <w:sz w:val="14"/>
                <w:szCs w:val="14"/>
                <w:color w:val="auto"/>
              </w:rPr>
              <w:t>8.3 %</w:t>
            </w:r>
          </w:p>
        </w:tc>
        <w:tc>
          <w:tcPr>
            <w:tcW w:w="184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11.4 %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r>
      <w:tr>
        <w:trPr>
          <w:trHeight w:val="343"/>
        </w:trPr>
        <w:tc>
          <w:tcPr>
            <w:tcW w:w="1100" w:type="dxa"/>
            <w:vAlign w:val="bottom"/>
          </w:tcPr>
          <w:p>
            <w:pPr>
              <w:jc w:val="right"/>
              <w:ind w:right="630"/>
              <w:spacing w:after="0"/>
              <w:rPr>
                <w:sz w:val="20"/>
                <w:szCs w:val="20"/>
                <w:color w:val="auto"/>
              </w:rPr>
            </w:pPr>
            <w:r>
              <w:rPr>
                <w:rFonts w:ascii="Times New Roman" w:cs="Times New Roman" w:eastAsia="Times New Roman" w:hAnsi="Times New Roman"/>
                <w:sz w:val="14"/>
                <w:szCs w:val="14"/>
                <w:color w:val="auto"/>
              </w:rPr>
              <w:t>6.7 %</w:t>
            </w:r>
          </w:p>
        </w:tc>
        <w:tc>
          <w:tcPr>
            <w:tcW w:w="1800" w:type="dxa"/>
            <w:vAlign w:val="bottom"/>
          </w:tcPr>
          <w:p>
            <w:pPr>
              <w:jc w:val="right"/>
              <w:ind w:right="630"/>
              <w:spacing w:after="0"/>
              <w:rPr>
                <w:sz w:val="20"/>
                <w:szCs w:val="20"/>
                <w:color w:val="auto"/>
              </w:rPr>
            </w:pPr>
            <w:r>
              <w:rPr>
                <w:rFonts w:ascii="Times New Roman" w:cs="Times New Roman" w:eastAsia="Times New Roman" w:hAnsi="Times New Roman"/>
                <w:sz w:val="14"/>
                <w:szCs w:val="14"/>
                <w:color w:val="auto"/>
              </w:rPr>
              <w:t>8.6 %</w:t>
            </w:r>
          </w:p>
        </w:tc>
        <w:tc>
          <w:tcPr>
            <w:tcW w:w="184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6.7 %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8.6 %</w:t>
            </w:r>
          </w:p>
        </w:tc>
      </w:tr>
      <w:tr>
        <w:trPr>
          <w:trHeight w:val="211"/>
        </w:trPr>
        <w:tc>
          <w:tcPr>
            <w:tcW w:w="1100" w:type="dxa"/>
            <w:vAlign w:val="bottom"/>
          </w:tcPr>
          <w:p>
            <w:pPr>
              <w:jc w:val="right"/>
              <w:ind w:right="630"/>
              <w:spacing w:after="0"/>
              <w:rPr>
                <w:sz w:val="20"/>
                <w:szCs w:val="20"/>
                <w:color w:val="auto"/>
              </w:rPr>
            </w:pPr>
            <w:r>
              <w:rPr>
                <w:rFonts w:ascii="Times New Roman" w:cs="Times New Roman" w:eastAsia="Times New Roman" w:hAnsi="Times New Roman"/>
                <w:sz w:val="14"/>
                <w:szCs w:val="14"/>
                <w:color w:val="auto"/>
                <w:w w:val="95"/>
              </w:rPr>
              <w:t>7.39 %</w:t>
            </w:r>
          </w:p>
        </w:tc>
        <w:tc>
          <w:tcPr>
            <w:tcW w:w="1800" w:type="dxa"/>
            <w:vAlign w:val="bottom"/>
          </w:tcPr>
          <w:p>
            <w:pPr>
              <w:jc w:val="right"/>
              <w:ind w:right="630"/>
              <w:spacing w:after="0"/>
              <w:rPr>
                <w:sz w:val="20"/>
                <w:szCs w:val="20"/>
                <w:color w:val="auto"/>
              </w:rPr>
            </w:pPr>
            <w:r>
              <w:rPr>
                <w:rFonts w:ascii="Times New Roman" w:cs="Times New Roman" w:eastAsia="Times New Roman" w:hAnsi="Times New Roman"/>
                <w:sz w:val="14"/>
                <w:szCs w:val="14"/>
                <w:color w:val="auto"/>
              </w:rPr>
              <w:t>6.32 %</w:t>
            </w:r>
          </w:p>
        </w:tc>
        <w:tc>
          <w:tcPr>
            <w:tcW w:w="184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7.39 %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6.32 %</w:t>
            </w:r>
          </w:p>
        </w:tc>
      </w:tr>
      <w:tr>
        <w:trPr>
          <w:trHeight w:val="211"/>
        </w:trPr>
        <w:tc>
          <w:tcPr>
            <w:tcW w:w="1100" w:type="dxa"/>
            <w:vAlign w:val="bottom"/>
          </w:tcPr>
          <w:p>
            <w:pPr>
              <w:jc w:val="right"/>
              <w:ind w:right="630"/>
              <w:spacing w:after="0"/>
              <w:rPr>
                <w:sz w:val="20"/>
                <w:szCs w:val="20"/>
                <w:color w:val="auto"/>
              </w:rPr>
            </w:pPr>
            <w:r>
              <w:rPr>
                <w:rFonts w:ascii="Times New Roman" w:cs="Times New Roman" w:eastAsia="Times New Roman" w:hAnsi="Times New Roman"/>
                <w:sz w:val="14"/>
                <w:szCs w:val="14"/>
                <w:color w:val="auto"/>
                <w:w w:val="95"/>
              </w:rPr>
              <w:t>5.29 %</w:t>
            </w:r>
          </w:p>
        </w:tc>
        <w:tc>
          <w:tcPr>
            <w:tcW w:w="1800" w:type="dxa"/>
            <w:vAlign w:val="bottom"/>
          </w:tcPr>
          <w:p>
            <w:pPr>
              <w:jc w:val="right"/>
              <w:ind w:right="630"/>
              <w:spacing w:after="0"/>
              <w:rPr>
                <w:sz w:val="20"/>
                <w:szCs w:val="20"/>
                <w:color w:val="auto"/>
              </w:rPr>
            </w:pPr>
            <w:r>
              <w:rPr>
                <w:rFonts w:ascii="Times New Roman" w:cs="Times New Roman" w:eastAsia="Times New Roman" w:hAnsi="Times New Roman"/>
                <w:sz w:val="14"/>
                <w:szCs w:val="14"/>
                <w:color w:val="auto"/>
              </w:rPr>
              <w:t>4.15 %</w:t>
            </w:r>
          </w:p>
        </w:tc>
        <w:tc>
          <w:tcPr>
            <w:tcW w:w="184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5.29 %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-2827655</wp:posOffset>
            </wp:positionH>
            <wp:positionV relativeFrom="paragraph">
              <wp:posOffset>-252730</wp:posOffset>
            </wp:positionV>
            <wp:extent cx="7135495" cy="133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3940" w:space="520"/>
            <w:col w:w="6780"/>
          </w:cols>
          <w:pgMar w:left="320" w:top="870" w:right="339" w:bottom="1440" w:gutter="0" w:footer="0" w:header="0"/>
          <w:type w:val="continuous"/>
        </w:sectPr>
      </w:pPr>
    </w:p>
    <w:p>
      <w:pPr>
        <w:ind w:left="640" w:hanging="317"/>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 instruments and other securities, net in the accompanying consolidated statements of comprehensive income.</w:t>
      </w:r>
    </w:p>
    <w:p>
      <w:pPr>
        <w:spacing w:after="0" w:line="7" w:lineRule="exact"/>
        <w:rPr>
          <w:rFonts w:ascii="Times New Roman" w:cs="Times New Roman" w:eastAsia="Times New Roman" w:hAnsi="Times New Roman"/>
          <w:sz w:val="14"/>
          <w:szCs w:val="14"/>
          <w:color w:val="auto"/>
        </w:rPr>
      </w:pPr>
    </w:p>
    <w:p>
      <w:pPr>
        <w:jc w:val="both"/>
        <w:ind w:left="640" w:hanging="317"/>
        <w:spacing w:after="0" w:line="250"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Implied interest income from TBA dollar roll transactions is computed as the sum of (i) TBA dollar roll income and (ii) estimated TBA implied funding cost (see </w:t>
      </w:r>
      <w:r>
        <w:rPr>
          <w:rFonts w:ascii="Times New Roman" w:cs="Times New Roman" w:eastAsia="Times New Roman" w:hAnsi="Times New Roman"/>
          <w:sz w:val="14"/>
          <w:szCs w:val="14"/>
          <w:i w:val="1"/>
          <w:iCs w:val="1"/>
          <w:color w:val="auto"/>
        </w:rPr>
        <w:t>Economic Interest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Expense and Aggregate Cost of Funds </w:t>
      </w:r>
      <w:r>
        <w:rPr>
          <w:rFonts w:ascii="Times New Roman" w:cs="Times New Roman" w:eastAsia="Times New Roman" w:hAnsi="Times New Roman"/>
          <w:sz w:val="14"/>
          <w:szCs w:val="14"/>
          <w:color w:val="auto"/>
        </w:rPr>
        <w:t>below). TBA dollar roll income represents the price differential, or “price drop,” between the TBA price for current month settlement versus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TBA price for forward month settlement and is the economic equivalent to interest income on the underlying Agency securities, less an implied funding cost, over the forward settlement period. Amount includes dollar roll income (loss) on long and short TBA securities. Amount excludes TBA mark-to-market adjustments.</w:t>
      </w:r>
    </w:p>
    <w:p>
      <w:pPr>
        <w:spacing w:after="0" w:line="2"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asset yield is calculated on a weighted average basis based on our average investment and net TBA balance outstanding during the period and their respective yields.</w:t>
      </w:r>
    </w:p>
    <w:p>
      <w:pPr>
        <w:spacing w:after="0" w:line="10"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30-year fixed rate mortgage rates are sourced from Optimal Blue. 10-year U.S. Treasury rates are sourced from Bloomberg.</w:t>
      </w:r>
    </w:p>
    <w:p>
      <w:pPr>
        <w:spacing w:after="0" w:line="148"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The principal elements impacting our economic interest income are the average size of our investment portfolio and the average yield on our securities. The following table includes a summary of the estimated impact of each of these elements on our economic interest income for the three and nine months ended September 30, 2026 compared to the prior year period (in millions):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type w:val="continuous"/>
        </w:sectPr>
      </w:pPr>
    </w:p>
    <w:bookmarkStart w:id="37" w:name="page38"/>
    <w:bookmarkEnd w:id="37"/>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Impact of Changes in the Principal Elements Impacting Economic Interest Income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6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c>
          <w:tcPr>
            <w:tcW w:w="0" w:type="dxa"/>
            <w:vAlign w:val="bottom"/>
          </w:tcPr>
          <w:p>
            <w:pPr>
              <w:spacing w:after="0"/>
              <w:rPr>
                <w:sz w:val="1"/>
                <w:szCs w:val="1"/>
                <w:color w:val="auto"/>
              </w:rPr>
            </w:pPr>
          </w:p>
        </w:tc>
      </w:tr>
      <w:tr>
        <w:trPr>
          <w:trHeight w:val="24"/>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Increase /</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ind w:left="160"/>
              <w:spacing w:after="0" w:line="141"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320" w:type="dxa"/>
            <w:vAlign w:val="bottom"/>
          </w:tcPr>
          <w:p>
            <w:pPr>
              <w:spacing w:after="0"/>
              <w:rPr>
                <w:sz w:val="12"/>
                <w:szCs w:val="12"/>
                <w:color w:val="auto"/>
              </w:rPr>
            </w:pPr>
          </w:p>
        </w:tc>
        <w:tc>
          <w:tcPr>
            <w:tcW w:w="1100" w:type="dxa"/>
            <w:vAlign w:val="bottom"/>
          </w:tcPr>
          <w:p>
            <w:pPr>
              <w:jc w:val="right"/>
              <w:ind w:right="490"/>
              <w:spacing w:after="0" w:line="141" w:lineRule="exact"/>
              <w:rPr>
                <w:sz w:val="20"/>
                <w:szCs w:val="20"/>
                <w:color w:val="auto"/>
              </w:rPr>
            </w:pPr>
            <w:r>
              <w:rPr>
                <w:rFonts w:ascii="Times New Roman" w:cs="Times New Roman" w:eastAsia="Times New Roman" w:hAnsi="Times New Roman"/>
                <w:sz w:val="14"/>
                <w:szCs w:val="14"/>
                <w:b w:val="1"/>
                <w:bCs w:val="1"/>
                <w:color w:val="auto"/>
              </w:rPr>
              <w:t>Asset</w:t>
            </w:r>
          </w:p>
        </w:tc>
        <w:tc>
          <w:tcPr>
            <w:tcW w:w="0" w:type="dxa"/>
            <w:vAlign w:val="bottom"/>
          </w:tcPr>
          <w:p>
            <w:pPr>
              <w:spacing w:after="0"/>
              <w:rPr>
                <w:sz w:val="1"/>
                <w:szCs w:val="1"/>
                <w:color w:val="auto"/>
              </w:rPr>
            </w:pPr>
          </w:p>
        </w:tc>
      </w:tr>
      <w:tr>
        <w:trPr>
          <w:trHeight w:val="191"/>
        </w:trPr>
        <w:tc>
          <w:tcPr>
            <w:tcW w:w="6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Size</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(GAAP measure)</w:t>
            </w: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87"/>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Estimated net “catch-up” premium amortization due to change in CPR forecast</w:t>
            </w:r>
          </w:p>
        </w:tc>
        <w:tc>
          <w:tcPr>
            <w:tcW w:w="160" w:type="dxa"/>
            <w:vAlign w:val="bottom"/>
          </w:tcPr>
          <w:p>
            <w:pPr>
              <w:spacing w:after="0"/>
              <w:rPr>
                <w:sz w:val="16"/>
                <w:szCs w:val="16"/>
                <w:color w:val="auto"/>
              </w:rPr>
            </w:pPr>
          </w:p>
        </w:tc>
        <w:tc>
          <w:tcPr>
            <w:tcW w:w="12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4"/>
        </w:trPr>
        <w:tc>
          <w:tcPr>
            <w:tcW w:w="6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excluding net “catch-up” premium amortization</w:t>
            </w:r>
          </w:p>
        </w:tc>
        <w:tc>
          <w:tcPr>
            <w:tcW w:w="1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7"/>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TBA dollar roll income - implied interest income</w:t>
            </w:r>
          </w:p>
        </w:tc>
        <w:tc>
          <w:tcPr>
            <w:tcW w:w="160" w:type="dxa"/>
            <w:vAlign w:val="bottom"/>
          </w:tcPr>
          <w:p>
            <w:pPr>
              <w:spacing w:after="0"/>
              <w:rPr>
                <w:sz w:val="16"/>
                <w:szCs w:val="16"/>
                <w:color w:val="auto"/>
              </w:rPr>
            </w:pPr>
          </w:p>
        </w:tc>
        <w:tc>
          <w:tcPr>
            <w:tcW w:w="12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4"/>
        </w:trPr>
        <w:tc>
          <w:tcPr>
            <w:tcW w:w="6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Economic interest income, excluding net “catch-up” amortization (non-GAAP measure)</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c>
          <w:tcPr>
            <w:tcW w:w="0" w:type="dxa"/>
            <w:vAlign w:val="bottom"/>
          </w:tcPr>
          <w:p>
            <w:pPr>
              <w:spacing w:after="0"/>
              <w:rPr>
                <w:sz w:val="1"/>
                <w:szCs w:val="1"/>
                <w:color w:val="auto"/>
              </w:rPr>
            </w:pPr>
          </w:p>
        </w:tc>
      </w:tr>
      <w:tr>
        <w:trPr>
          <w:trHeight w:val="24"/>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Increase /</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ind w:left="160"/>
              <w:spacing w:after="0" w:line="141"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320" w:type="dxa"/>
            <w:vAlign w:val="bottom"/>
          </w:tcPr>
          <w:p>
            <w:pPr>
              <w:spacing w:after="0"/>
              <w:rPr>
                <w:sz w:val="12"/>
                <w:szCs w:val="12"/>
                <w:color w:val="auto"/>
              </w:rPr>
            </w:pPr>
          </w:p>
        </w:tc>
        <w:tc>
          <w:tcPr>
            <w:tcW w:w="1100" w:type="dxa"/>
            <w:vAlign w:val="bottom"/>
          </w:tcPr>
          <w:p>
            <w:pPr>
              <w:jc w:val="right"/>
              <w:ind w:right="490"/>
              <w:spacing w:after="0" w:line="141" w:lineRule="exact"/>
              <w:rPr>
                <w:sz w:val="20"/>
                <w:szCs w:val="20"/>
                <w:color w:val="auto"/>
              </w:rPr>
            </w:pPr>
            <w:r>
              <w:rPr>
                <w:rFonts w:ascii="Times New Roman" w:cs="Times New Roman" w:eastAsia="Times New Roman" w:hAnsi="Times New Roman"/>
                <w:sz w:val="14"/>
                <w:szCs w:val="14"/>
                <w:b w:val="1"/>
                <w:bCs w:val="1"/>
                <w:color w:val="auto"/>
              </w:rPr>
              <w:t>Asset</w:t>
            </w:r>
          </w:p>
        </w:tc>
        <w:tc>
          <w:tcPr>
            <w:tcW w:w="0" w:type="dxa"/>
            <w:vAlign w:val="bottom"/>
          </w:tcPr>
          <w:p>
            <w:pPr>
              <w:spacing w:after="0"/>
              <w:rPr>
                <w:sz w:val="1"/>
                <w:szCs w:val="1"/>
                <w:color w:val="auto"/>
              </w:rPr>
            </w:pPr>
          </w:p>
        </w:tc>
      </w:tr>
      <w:tr>
        <w:trPr>
          <w:trHeight w:val="191"/>
        </w:trPr>
        <w:tc>
          <w:tcPr>
            <w:tcW w:w="6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Size</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(GAAP measure)</w:t>
            </w: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87"/>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Estimated net “catch-up” premium amortization due to change in CPR forecast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4"/>
        </w:trPr>
        <w:tc>
          <w:tcPr>
            <w:tcW w:w="6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excluding net “catch-up” premium amortization</w:t>
            </w:r>
          </w:p>
        </w:tc>
        <w:tc>
          <w:tcPr>
            <w:tcW w:w="1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7"/>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TBA dollar roll income - implied interest income</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4"/>
        </w:trPr>
        <w:tc>
          <w:tcPr>
            <w:tcW w:w="6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Economic interest income, excluding net “catch-up" amortization (non-GAAP measure)</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ind w:firstLine="436"/>
        <w:spacing w:after="0" w:line="269" w:lineRule="auto"/>
        <w:rPr>
          <w:sz w:val="20"/>
          <w:szCs w:val="20"/>
          <w:color w:val="auto"/>
        </w:rPr>
      </w:pPr>
      <w:r>
        <w:rPr>
          <w:rFonts w:ascii="Times New Roman" w:cs="Times New Roman" w:eastAsia="Times New Roman" w:hAnsi="Times New Roman"/>
          <w:sz w:val="17"/>
          <w:szCs w:val="17"/>
          <w:color w:val="auto"/>
        </w:rPr>
        <w:t>Our average investment portfolio (at cost), inclusive of TBAs, increased 16% and 19% for the three and nine months ended September 30, 2026, respectively, compared to the prior year period, primarily due to an increase in our capital base. The average yield on our investment portfolio, including TBA implied asset yields and excluding net “catch-up” premium amortization, was unchanged for the three months ended September 30, 2026, as a decrease in the average coupon of our portfolio was offset by a decline in net premium amortization cost. The average yield for the nine months ended September 30, 2026 increased 4 basis points, largely due to an increase in the average coupon of our portfolio and a decline in net premium amortization cost.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167"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Our primary measure of leverage is our tangible net book value “at risk” leverage ratio, which is measured as the sum of our repurchase agreements and other debt used to fund our investment securities and net TBA securities position (at cost) (together referred to as “mortgage borrowings”) and our net receivable/payable for unsettled investment securities, divided by the sum of total stockholders’ equity and unsettled equity issuances, adjusted to exclude goodwill.</w:t>
      </w:r>
    </w:p>
    <w:p>
      <w:pPr>
        <w:spacing w:after="0" w:line="131" w:lineRule="exact"/>
        <w:rPr>
          <w:sz w:val="20"/>
          <w:szCs w:val="20"/>
          <w:color w:val="auto"/>
        </w:rPr>
      </w:pPr>
    </w:p>
    <w:p>
      <w:pPr>
        <w:jc w:val="both"/>
        <w:ind w:firstLine="436"/>
        <w:spacing w:after="0" w:line="250" w:lineRule="auto"/>
        <w:rPr>
          <w:sz w:val="20"/>
          <w:szCs w:val="20"/>
          <w:color w:val="auto"/>
        </w:rPr>
      </w:pPr>
      <w:r>
        <w:rPr>
          <w:rFonts w:ascii="Times New Roman" w:cs="Times New Roman" w:eastAsia="Times New Roman" w:hAnsi="Times New Roman"/>
          <w:sz w:val="18"/>
          <w:szCs w:val="18"/>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in this Form 10-Q for further discussion of TBA securities and dollar roll transactions.) Repurchase agreements used to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short-term investments in U.S. Treasury securities (“U.S. Treasury Repo”) are excluded from our measure of leverage due to the temporary and highly liquid nature of these investments. The following table presents a summary of our leverage ratios for the periods listed (dollars in millions):</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gridSpan w:val="9"/>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Investment Securities Repurchase Agreements and</w:t>
            </w:r>
          </w:p>
        </w:tc>
        <w:tc>
          <w:tcPr>
            <w:tcW w:w="160" w:type="dxa"/>
            <w:vAlign w:val="bottom"/>
          </w:tcPr>
          <w:p>
            <w:pPr>
              <w:spacing w:after="0"/>
              <w:rPr>
                <w:sz w:val="12"/>
                <w:szCs w:val="12"/>
                <w:color w:val="auto"/>
              </w:rPr>
            </w:pPr>
          </w:p>
        </w:tc>
        <w:tc>
          <w:tcPr>
            <w:tcW w:w="1700" w:type="dxa"/>
            <w:vAlign w:val="bottom"/>
            <w:gridSpan w:val="4"/>
          </w:tcPr>
          <w:p>
            <w:pPr>
              <w:jc w:val="right"/>
              <w:ind w:right="412"/>
              <w:spacing w:after="0"/>
              <w:rPr>
                <w:sz w:val="20"/>
                <w:szCs w:val="20"/>
                <w:color w:val="auto"/>
              </w:rPr>
            </w:pPr>
            <w:r>
              <w:rPr>
                <w:rFonts w:ascii="Times New Roman" w:cs="Times New Roman" w:eastAsia="Times New Roman" w:hAnsi="Times New Roman"/>
                <w:sz w:val="12"/>
                <w:szCs w:val="12"/>
                <w:b w:val="1"/>
                <w:bCs w:val="1"/>
                <w:color w:val="auto"/>
              </w:rPr>
              <w:t>Net TBA Position</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Tangible Net Book</w:t>
            </w: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0"/>
                <w:szCs w:val="10"/>
                <w:b w:val="1"/>
                <w:bCs w:val="1"/>
                <w:color w:val="auto"/>
              </w:rPr>
              <w:t xml:space="preserve">Other Debt </w:t>
            </w:r>
            <w:r>
              <w:rPr>
                <w:rFonts w:ascii="Times New Roman" w:cs="Times New Roman" w:eastAsia="Times New Roman" w:hAnsi="Times New Roman"/>
                <w:sz w:val="13"/>
                <w:szCs w:val="13"/>
                <w:b w:val="1"/>
                <w:bCs w:val="1"/>
                <w:color w:val="auto"/>
                <w:vertAlign w:val="superscript"/>
              </w:rPr>
              <w:t>1</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4"/>
          </w:tcPr>
          <w:p>
            <w:pPr>
              <w:jc w:val="right"/>
              <w:ind w:right="492"/>
              <w:spacing w:after="0" w:line="119" w:lineRule="exact"/>
              <w:rPr>
                <w:sz w:val="20"/>
                <w:szCs w:val="20"/>
                <w:color w:val="auto"/>
              </w:rPr>
            </w:pPr>
            <w:r>
              <w:rPr>
                <w:rFonts w:ascii="Times New Roman" w:cs="Times New Roman" w:eastAsia="Times New Roman" w:hAnsi="Times New Roman"/>
                <w:sz w:val="10"/>
                <w:szCs w:val="10"/>
                <w:b w:val="1"/>
                <w:bCs w:val="1"/>
                <w:color w:val="auto"/>
              </w:rPr>
              <w:t xml:space="preserve">Long/(Short) </w:t>
            </w:r>
            <w:r>
              <w:rPr>
                <w:rFonts w:ascii="Times New Roman" w:cs="Times New Roman" w:eastAsia="Times New Roman" w:hAnsi="Times New Roman"/>
                <w:sz w:val="13"/>
                <w:szCs w:val="13"/>
                <w:b w:val="1"/>
                <w:bCs w:val="1"/>
                <w:color w:val="auto"/>
                <w:vertAlign w:val="superscript"/>
              </w:rPr>
              <w:t>2</w:t>
            </w: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9"/>
                <w:szCs w:val="9"/>
                <w:b w:val="1"/>
                <w:bCs w:val="1"/>
                <w:color w:val="auto"/>
              </w:rPr>
              <w:t>Average Tangible Net</w:t>
            </w:r>
          </w:p>
        </w:tc>
        <w:tc>
          <w:tcPr>
            <w:tcW w:w="1300" w:type="dxa"/>
            <w:vAlign w:val="bottom"/>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Value “At Risk”</w:t>
            </w: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Average Daily</w:t>
            </w:r>
          </w:p>
        </w:tc>
        <w:tc>
          <w:tcPr>
            <w:tcW w:w="80" w:type="dxa"/>
            <w:vAlign w:val="bottom"/>
          </w:tcPr>
          <w:p>
            <w:pPr>
              <w:spacing w:after="0"/>
              <w:rPr>
                <w:sz w:val="10"/>
                <w:szCs w:val="10"/>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Maximum</w:t>
            </w:r>
          </w:p>
        </w:tc>
        <w:tc>
          <w:tcPr>
            <w:tcW w:w="140" w:type="dxa"/>
            <w:vAlign w:val="bottom"/>
          </w:tcPr>
          <w:p>
            <w:pPr>
              <w:spacing w:after="0"/>
              <w:rPr>
                <w:sz w:val="10"/>
                <w:szCs w:val="10"/>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Ending</w:t>
            </w: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Average Daily</w:t>
            </w:r>
          </w:p>
        </w:tc>
        <w:tc>
          <w:tcPr>
            <w:tcW w:w="160" w:type="dxa"/>
            <w:vAlign w:val="bottom"/>
          </w:tcPr>
          <w:p>
            <w:pPr>
              <w:spacing w:after="0"/>
              <w:rPr>
                <w:sz w:val="10"/>
                <w:szCs w:val="10"/>
                <w:color w:val="auto"/>
              </w:rPr>
            </w:pPr>
          </w:p>
        </w:tc>
        <w:tc>
          <w:tcPr>
            <w:tcW w:w="720" w:type="dxa"/>
            <w:vAlign w:val="bottom"/>
            <w:vMerge w:val="restart"/>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Ending</w:t>
            </w:r>
          </w:p>
        </w:tc>
        <w:tc>
          <w:tcPr>
            <w:tcW w:w="100" w:type="dxa"/>
            <w:vAlign w:val="bottom"/>
          </w:tcPr>
          <w:p>
            <w:pPr>
              <w:spacing w:after="0"/>
              <w:rPr>
                <w:sz w:val="10"/>
                <w:szCs w:val="10"/>
                <w:color w:val="auto"/>
              </w:rPr>
            </w:pPr>
          </w:p>
        </w:tc>
        <w:tc>
          <w:tcPr>
            <w:tcW w:w="142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2"/>
                <w:szCs w:val="12"/>
                <w:b w:val="1"/>
                <w:bCs w:val="1"/>
                <w:color w:val="auto"/>
              </w:rPr>
              <w:t>Book Value</w:t>
            </w:r>
          </w:p>
        </w:tc>
        <w:tc>
          <w:tcPr>
            <w:tcW w:w="130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rPr>
              <w:t>Leverage</w:t>
            </w: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2"/>
                <w:szCs w:val="12"/>
                <w:b w:val="1"/>
                <w:bCs w:val="1"/>
                <w:color w:val="auto"/>
              </w:rPr>
              <w:t>“At Risk” Leverage</w:t>
            </w:r>
          </w:p>
        </w:tc>
        <w:tc>
          <w:tcPr>
            <w:tcW w:w="130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rPr>
              <w:t>as of</w:t>
            </w:r>
          </w:p>
        </w:tc>
        <w:tc>
          <w:tcPr>
            <w:tcW w:w="0" w:type="dxa"/>
            <w:vAlign w:val="bottom"/>
          </w:tcPr>
          <w:p>
            <w:pPr>
              <w:spacing w:after="0"/>
              <w:rPr>
                <w:sz w:val="1"/>
                <w:szCs w:val="1"/>
                <w:color w:val="auto"/>
              </w:rPr>
            </w:pPr>
          </w:p>
        </w:tc>
      </w:tr>
      <w:tr>
        <w:trPr>
          <w:trHeight w:val="185"/>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Quarter Ended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Daily 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 xml:space="preserve">during the Period </w:t>
            </w:r>
            <w:r>
              <w:rPr>
                <w:rFonts w:ascii="Times New Roman" w:cs="Times New Roman" w:eastAsia="Times New Roman" w:hAnsi="Times New Roman"/>
                <w:sz w:val="16"/>
                <w:szCs w:val="16"/>
                <w:b w:val="1"/>
                <w:bCs w:val="1"/>
                <w:color w:val="auto"/>
                <w:vertAlign w:val="superscript"/>
              </w:rPr>
              <w:t>3</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 xml:space="preserve">Period End </w:t>
            </w:r>
            <w:r>
              <w:rPr>
                <w:rFonts w:ascii="Times New Roman" w:cs="Times New Roman" w:eastAsia="Times New Roman" w:hAnsi="Times New Roman"/>
                <w:sz w:val="16"/>
                <w:szCs w:val="16"/>
                <w:b w:val="1"/>
                <w:bCs w:val="1"/>
                <w:color w:val="auto"/>
                <w:vertAlign w:val="superscript"/>
              </w:rPr>
              <w:t>4</w:t>
            </w:r>
          </w:p>
        </w:tc>
        <w:tc>
          <w:tcPr>
            <w:tcW w:w="0" w:type="dxa"/>
            <w:vAlign w:val="bottom"/>
          </w:tcPr>
          <w:p>
            <w:pPr>
              <w:spacing w:after="0"/>
              <w:rPr>
                <w:sz w:val="1"/>
                <w:szCs w:val="1"/>
                <w:color w:val="auto"/>
              </w:rPr>
            </w:pPr>
          </w:p>
        </w:tc>
      </w:tr>
      <w:tr>
        <w:trPr>
          <w:trHeight w:val="184"/>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30, 2026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82,362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87,380</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85,703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2,438</w:t>
            </w:r>
          </w:p>
        </w:tc>
        <w:tc>
          <w:tcPr>
            <w:tcW w:w="14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rPr>
              <w:t>7.6:1</w:t>
            </w: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7.9:1</w:t>
            </w:r>
          </w:p>
        </w:tc>
        <w:tc>
          <w:tcPr>
            <w:tcW w:w="0" w:type="dxa"/>
            <w:vAlign w:val="bottom"/>
          </w:tcPr>
          <w:p>
            <w:pPr>
              <w:spacing w:after="0"/>
              <w:rPr>
                <w:sz w:val="1"/>
                <w:szCs w:val="1"/>
                <w:color w:val="auto"/>
              </w:rPr>
            </w:pPr>
          </w:p>
        </w:tc>
      </w:tr>
      <w:tr>
        <w:trPr>
          <w:trHeight w:val="187"/>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June 30, 2026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75,070</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80,083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79,512</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12,729</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9,676</w:t>
            </w:r>
          </w:p>
        </w:tc>
        <w:tc>
          <w:tcPr>
            <w:tcW w:w="140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rPr>
              <w:t>7.4:1</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7.4:1</w:t>
            </w: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March 31, 2026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77,120</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79,681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75,840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9,742</w:t>
            </w:r>
          </w:p>
        </w:tc>
        <w:tc>
          <w:tcPr>
            <w:tcW w:w="14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rPr>
              <w:t>7.4:1</w:t>
            </w: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7.4:1</w:t>
            </w:r>
          </w:p>
        </w:tc>
        <w:tc>
          <w:tcPr>
            <w:tcW w:w="0" w:type="dxa"/>
            <w:vAlign w:val="bottom"/>
          </w:tcPr>
          <w:p>
            <w:pPr>
              <w:spacing w:after="0"/>
              <w:rPr>
                <w:sz w:val="1"/>
                <w:szCs w:val="1"/>
                <w:color w:val="auto"/>
              </w:rPr>
            </w:pPr>
          </w:p>
        </w:tc>
      </w:tr>
      <w:tr>
        <w:trPr>
          <w:trHeight w:val="187"/>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69,943</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74,195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73,002</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13,764</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12,917</w:t>
            </w:r>
          </w:p>
        </w:tc>
        <w:tc>
          <w:tcPr>
            <w:tcW w:w="140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rPr>
              <w:t>7.4:1</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7.2:1</w:t>
            </w: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30, 2025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66,654</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70,066</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69,057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13,805</w:t>
            </w:r>
          </w:p>
        </w:tc>
        <w:tc>
          <w:tcPr>
            <w:tcW w:w="14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rPr>
              <w:t>7.5:1</w:t>
            </w: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7.6:1</w:t>
            </w:r>
          </w:p>
        </w:tc>
        <w:tc>
          <w:tcPr>
            <w:tcW w:w="0" w:type="dxa"/>
            <w:vAlign w:val="bottom"/>
          </w:tcPr>
          <w:p>
            <w:pPr>
              <w:spacing w:after="0"/>
              <w:rPr>
                <w:sz w:val="1"/>
                <w:szCs w:val="1"/>
                <w:color w:val="auto"/>
              </w:rPr>
            </w:pPr>
          </w:p>
        </w:tc>
      </w:tr>
      <w:tr>
        <w:trPr>
          <w:trHeight w:val="187"/>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June 30,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59,469</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66,790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66,052</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11,996</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8,162</w:t>
            </w:r>
          </w:p>
        </w:tc>
        <w:tc>
          <w:tcPr>
            <w:tcW w:w="140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rPr>
              <w:t>7.5:1</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7.6:1</w:t>
            </w: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March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61,707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63,789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7,429</w:t>
            </w:r>
          </w:p>
        </w:tc>
        <w:tc>
          <w:tcPr>
            <w:tcW w:w="14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rPr>
              <w:t>7.3:1</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7.5:1</w:t>
            </w:r>
          </w:p>
        </w:tc>
        <w:tc>
          <w:tcPr>
            <w:tcW w:w="0" w:type="dxa"/>
            <w:vAlign w:val="bottom"/>
          </w:tcPr>
          <w:p>
            <w:pPr>
              <w:spacing w:after="0"/>
              <w:rPr>
                <w:sz w:val="1"/>
                <w:szCs w:val="1"/>
                <w:color w:val="auto"/>
              </w:rPr>
            </w:pPr>
          </w:p>
        </w:tc>
      </w:tr>
      <w:tr>
        <w:trPr>
          <w:trHeight w:val="24"/>
        </w:trPr>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ind w:left="640" w:hanging="317"/>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debt includes debt of consolidated VIEs. Amounts exclude U.S. Treasury Repo.</w:t>
      </w:r>
    </w:p>
    <w:p>
      <w:pPr>
        <w:spacing w:after="0" w:line="6"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Daily average and ending net TBA position outstanding measured at cost.</w:t>
      </w:r>
    </w:p>
    <w:p>
      <w:pPr>
        <w:spacing w:after="0" w:line="10" w:lineRule="exact"/>
        <w:rPr>
          <w:rFonts w:ascii="Times New Roman" w:cs="Times New Roman" w:eastAsia="Times New Roman" w:hAnsi="Times New Roman"/>
          <w:sz w:val="14"/>
          <w:szCs w:val="14"/>
          <w:color w:val="auto"/>
        </w:rPr>
      </w:pPr>
    </w:p>
    <w:p>
      <w:pPr>
        <w:ind w:left="640" w:hanging="317"/>
        <w:spacing w:after="0" w:line="27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tangible net book value “at risk” leverage during the period represents the sum of our daily weighted average repurchase agreements and other debt used to fund acquisitions of investment securities and net TBA position outstanding, divided by the sum of our average month-ended stockholders’ equity, adjusted to exclude goodwill.</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38" w:name="page39"/>
    <w:bookmarkEnd w:id="38"/>
    <w:p>
      <w:pPr>
        <w:jc w:val="both"/>
        <w:ind w:left="640" w:hanging="317"/>
        <w:spacing w:after="0" w:line="260"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“at risk” leverage as of period end represents the sum of our repurchase agreements and other debt used to fund acquisitions of investment securities, net TBA position (at cost), and net receivable/payable for unsettled investment securities outstanding as of period end, divided by the sum of total stockholders’ equity and unsettled equity issuances, adjusted to exclude goodwill as of period end. Unsettled equity issuances totaled $110 million, $0 million, $0 million, $0 million, $0 million, $0 million and $75 million as of September 30, June 30 and March 31, 2026 and December 31, September 30, June 30 and March 31, 2025,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Interest Expense and Aggregate Cost of Funds</w:t>
      </w:r>
    </w:p>
    <w:p>
      <w:pPr>
        <w:spacing w:after="0" w:line="167"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following table summarizes our economic interest expense and aggregate cost of funds (non-GAAP measures) for the three and nine months ended September 30, 2026 and 2025 (dollars in millions), which includes the combination of interest expense on repurchase agreements and other debt used to fund acquisitions of investment securities (GAAP measure), implied financing cost of our TBA securities and interest rate swap periodic income:</w:t>
      </w:r>
    </w:p>
    <w:p>
      <w:pPr>
        <w:sectPr>
          <w:pgSz w:w="11900" w:h="16838" w:orient="portrait"/>
          <w:cols w:equalWidth="0" w:num="1">
            <w:col w:w="11240"/>
          </w:cols>
          <w:pgMar w:left="320" w:top="8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Economic Interest Expense and Aggregate Cost of Funds </w:t>
      </w:r>
      <w:r>
        <w:rPr>
          <w:rFonts w:ascii="Times New Roman" w:cs="Times New Roman" w:eastAsia="Times New Roman" w:hAnsi="Times New Roman"/>
          <w:sz w:val="18"/>
          <w:szCs w:val="18"/>
          <w:b w:val="1"/>
          <w:bCs w:val="1"/>
          <w:color w:val="auto"/>
          <w:vertAlign w:val="superscript"/>
        </w:rPr>
        <w:t>1</w:t>
      </w:r>
    </w:p>
    <w:p>
      <w:pPr>
        <w:spacing w:after="0" w:line="37" w:lineRule="exact"/>
        <w:rPr>
          <w:sz w:val="20"/>
          <w:szCs w:val="20"/>
          <w:color w:val="auto"/>
        </w:rPr>
      </w:pPr>
    </w:p>
    <w:p>
      <w:pPr>
        <w:ind w:left="80" w:right="220"/>
        <w:spacing w:after="0" w:line="234" w:lineRule="auto"/>
        <w:rPr>
          <w:sz w:val="20"/>
          <w:szCs w:val="20"/>
          <w:color w:val="auto"/>
        </w:rPr>
      </w:pPr>
      <w:r>
        <w:rPr>
          <w:rFonts w:ascii="Times New Roman" w:cs="Times New Roman" w:eastAsia="Times New Roman" w:hAnsi="Times New Roman"/>
          <w:sz w:val="14"/>
          <w:szCs w:val="14"/>
          <w:color w:val="auto"/>
        </w:rPr>
        <w:t>Investment securities repurchase agreements and other debt - interest expense (GAAP measure)</w:t>
      </w:r>
    </w:p>
    <w:p>
      <w:pPr>
        <w:spacing w:after="0" w:line="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 xml:space="preserve">TBA dollar roll income - implied interest expense </w:t>
      </w:r>
      <w:r>
        <w:rPr>
          <w:rFonts w:ascii="Times New Roman" w:cs="Times New Roman" w:eastAsia="Times New Roman" w:hAnsi="Times New Roman"/>
          <w:sz w:val="18"/>
          <w:szCs w:val="18"/>
          <w:color w:val="auto"/>
          <w:vertAlign w:val="superscript"/>
        </w:rPr>
        <w:t>2,3</w:t>
      </w:r>
    </w:p>
    <w:p>
      <w:pPr>
        <w:spacing w:after="0" w:line="23" w:lineRule="exact"/>
        <w:rPr>
          <w:sz w:val="20"/>
          <w:szCs w:val="20"/>
          <w:color w:val="auto"/>
        </w:rPr>
      </w:pPr>
    </w:p>
    <w:p>
      <w:pPr>
        <w:ind w:left="240"/>
        <w:spacing w:after="0" w:line="218" w:lineRule="auto"/>
        <w:rPr>
          <w:sz w:val="20"/>
          <w:szCs w:val="20"/>
          <w:color w:val="auto"/>
        </w:rPr>
      </w:pPr>
      <w:r>
        <w:rPr>
          <w:rFonts w:ascii="Times New Roman" w:cs="Times New Roman" w:eastAsia="Times New Roman" w:hAnsi="Times New Roman"/>
          <w:sz w:val="14"/>
          <w:szCs w:val="14"/>
          <w:color w:val="auto"/>
        </w:rPr>
        <w:t xml:space="preserve">Economic interest expense - before interest rate swap periodic income, net </w:t>
      </w:r>
      <w:r>
        <w:rPr>
          <w:rFonts w:ascii="Times New Roman" w:cs="Times New Roman" w:eastAsia="Times New Roman" w:hAnsi="Times New Roman"/>
          <w:sz w:val="18"/>
          <w:szCs w:val="18"/>
          <w:color w:val="auto"/>
          <w:vertAlign w:val="superscript"/>
        </w:rPr>
        <w:t>4</w:t>
      </w:r>
    </w:p>
    <w:p>
      <w:pPr>
        <w:ind w:left="80"/>
        <w:spacing w:after="0"/>
        <w:rPr>
          <w:sz w:val="20"/>
          <w:szCs w:val="20"/>
          <w:color w:val="auto"/>
        </w:rPr>
      </w:pPr>
      <w:r>
        <w:rPr>
          <w:rFonts w:ascii="Times New Roman" w:cs="Times New Roman" w:eastAsia="Times New Roman" w:hAnsi="Times New Roman"/>
          <w:sz w:val="14"/>
          <w:szCs w:val="14"/>
          <w:color w:val="auto"/>
        </w:rPr>
        <w:t xml:space="preserve">Interest rate swap periodic income, net </w:t>
      </w:r>
      <w:r>
        <w:rPr>
          <w:rFonts w:ascii="Times New Roman" w:cs="Times New Roman" w:eastAsia="Times New Roman" w:hAnsi="Times New Roman"/>
          <w:sz w:val="18"/>
          <w:szCs w:val="18"/>
          <w:color w:val="auto"/>
          <w:vertAlign w:val="superscript"/>
        </w:rPr>
        <w:t>2,5</w:t>
      </w:r>
    </w:p>
    <w:p>
      <w:pPr>
        <w:spacing w:after="0" w:line="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Total economic interest expense (non-GAAP measure)</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3"/>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gridSpan w:val="3"/>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24"/>
        </w:trPr>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64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76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Cost of</w:t>
            </w:r>
          </w:p>
        </w:tc>
        <w:tc>
          <w:tcPr>
            <w:tcW w:w="10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76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Cost of</w:t>
            </w:r>
          </w:p>
        </w:tc>
        <w:tc>
          <w:tcPr>
            <w:tcW w:w="120" w:type="dxa"/>
            <w:vAlign w:val="bottom"/>
          </w:tcPr>
          <w:p>
            <w:pPr>
              <w:spacing w:after="0"/>
              <w:rPr>
                <w:sz w:val="12"/>
                <w:szCs w:val="12"/>
                <w:color w:val="auto"/>
              </w:rPr>
            </w:pPr>
          </w:p>
        </w:tc>
        <w:tc>
          <w:tcPr>
            <w:tcW w:w="66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 of Funds</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 of Funds</w:t>
            </w:r>
          </w:p>
        </w:tc>
        <w:tc>
          <w:tcPr>
            <w:tcW w:w="0" w:type="dxa"/>
            <w:vAlign w:val="bottom"/>
          </w:tcPr>
          <w:p>
            <w:pPr>
              <w:spacing w:after="0"/>
              <w:rPr>
                <w:sz w:val="1"/>
                <w:szCs w:val="1"/>
                <w:color w:val="auto"/>
              </w:rPr>
            </w:pPr>
          </w:p>
        </w:tc>
      </w:tr>
      <w:tr>
        <w:trPr>
          <w:trHeight w:val="191"/>
        </w:trPr>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Funds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Funds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3.77 %</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center"/>
              <w:ind w:left="210"/>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4.43 %</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3.77 %</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4.44 %</w:t>
            </w: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left="230"/>
              <w:spacing w:after="0"/>
              <w:rPr>
                <w:sz w:val="20"/>
                <w:szCs w:val="20"/>
                <w:color w:val="auto"/>
              </w:rPr>
            </w:pPr>
            <w:r>
              <w:rPr>
                <w:rFonts w:ascii="Times New Roman" w:cs="Times New Roman" w:eastAsia="Times New Roman" w:hAnsi="Times New Roman"/>
                <w:sz w:val="14"/>
                <w:szCs w:val="14"/>
                <w:color w:val="auto"/>
                <w:w w:val="95"/>
              </w:rPr>
              <w:t>112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4.31 %</w:t>
            </w:r>
          </w:p>
        </w:tc>
        <w:tc>
          <w:tcPr>
            <w:tcW w:w="0" w:type="dxa"/>
            <w:vAlign w:val="bottom"/>
          </w:tcPr>
          <w:p>
            <w:pPr>
              <w:spacing w:after="0"/>
              <w:rPr>
                <w:sz w:val="1"/>
                <w:szCs w:val="1"/>
                <w:color w:val="auto"/>
              </w:rPr>
            </w:pPr>
          </w:p>
        </w:tc>
      </w:tr>
      <w:tr>
        <w:trPr>
          <w:trHeight w:val="24"/>
        </w:trPr>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9"/>
        </w:trPr>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center"/>
              <w:ind w:left="210"/>
              <w:spacing w:after="0"/>
              <w:rPr>
                <w:sz w:val="20"/>
                <w:szCs w:val="20"/>
                <w:color w:val="auto"/>
              </w:rPr>
            </w:pPr>
            <w:r>
              <w:rPr>
                <w:rFonts w:ascii="Times New Roman" w:cs="Times New Roman" w:eastAsia="Times New Roman" w:hAnsi="Times New Roman"/>
                <w:sz w:val="14"/>
                <w:szCs w:val="14"/>
                <w:color w:val="auto"/>
              </w:rPr>
              <w:t>867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2,497</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4.42 %</w:t>
            </w: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left="210"/>
              <w:spacing w:after="0"/>
              <w:rPr>
                <w:sz w:val="20"/>
                <w:szCs w:val="20"/>
                <w:color w:val="auto"/>
              </w:rPr>
            </w:pPr>
            <w:r>
              <w:rPr>
                <w:rFonts w:ascii="Times New Roman" w:cs="Times New Roman" w:eastAsia="Times New Roman" w:hAnsi="Times New Roman"/>
                <w:sz w:val="14"/>
                <w:szCs w:val="14"/>
                <w:color w:val="auto"/>
                <w:w w:val="98"/>
              </w:rPr>
              <w:t>(245)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4"/>
        </w:trPr>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3.09 %</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center"/>
              <w:ind w:left="210"/>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3.17 %</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2.97 %</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2.93 %</w:t>
            </w:r>
          </w:p>
        </w:tc>
        <w:tc>
          <w:tcPr>
            <w:tcW w:w="0" w:type="dxa"/>
            <w:vAlign w:val="bottom"/>
          </w:tcPr>
          <w:p>
            <w:pPr>
              <w:spacing w:after="0"/>
              <w:rPr>
                <w:sz w:val="1"/>
                <w:szCs w:val="1"/>
                <w:color w:val="auto"/>
              </w:rPr>
            </w:pPr>
          </w:p>
        </w:tc>
      </w:tr>
      <w:tr>
        <w:trPr>
          <w:trHeight w:val="24"/>
        </w:trPr>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-527685</wp:posOffset>
            </wp:positionV>
            <wp:extent cx="7068185" cy="2178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68185" cy="217805"/>
                    </a:xfrm>
                    <a:prstGeom prst="rect">
                      <a:avLst/>
                    </a:prstGeom>
                    <a:noFill/>
                  </pic:spPr>
                </pic:pic>
              </a:graphicData>
            </a:graphic>
          </wp:anchor>
        </w:drawing>
        <w:drawing>
          <wp:anchor simplePos="0" relativeHeight="251657728" behindDoc="1" locked="0" layoutInCell="0" allowOverlap="1">
            <wp:simplePos x="0" y="0"/>
            <wp:positionH relativeFrom="column">
              <wp:posOffset>-2502535</wp:posOffset>
            </wp:positionH>
            <wp:positionV relativeFrom="paragraph">
              <wp:posOffset>-175260</wp:posOffset>
            </wp:positionV>
            <wp:extent cx="7068185" cy="159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68185" cy="159385"/>
                    </a:xfrm>
                    <a:prstGeom prst="rect">
                      <a:avLst/>
                    </a:prstGeom>
                    <a:noFill/>
                  </pic:spPr>
                </pic:pic>
              </a:graphicData>
            </a:graphic>
          </wp:anchor>
        </w:drawing>
        <w:drawing>
          <wp:anchor simplePos="0" relativeHeight="251657728" behindDoc="1" locked="0" layoutInCell="0" allowOverlap="1">
            <wp:simplePos x="0" y="0"/>
            <wp:positionH relativeFrom="column">
              <wp:posOffset>-2502535</wp:posOffset>
            </wp:positionH>
            <wp:positionV relativeFrom="paragraph">
              <wp:posOffset>-888365</wp:posOffset>
            </wp:positionV>
            <wp:extent cx="7068185" cy="2266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68185" cy="226695"/>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2">
            <w:col w:w="3740" w:space="260"/>
            <w:col w:w="7240"/>
          </w:cols>
          <w:pgMar w:left="320" w:top="870" w:right="339" w:bottom="1440" w:gutter="0" w:footer="0" w:header="0"/>
          <w:type w:val="continuous"/>
        </w:sectPr>
      </w:pPr>
    </w:p>
    <w:p>
      <w:pPr>
        <w:ind w:left="640" w:hanging="317"/>
        <w:spacing w:after="0" w:line="246"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interest rate swap termination fees and variation margin settlements paid or received, forward starting swaps and the impact of other supplemental hedges, such as swaptions and U.S. Treasury positions.</w:t>
      </w:r>
    </w:p>
    <w:p>
      <w:pPr>
        <w:spacing w:after="0" w:line="1"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 instruments and other securities, net in our consolidated statements of comprehensive income.</w:t>
      </w:r>
    </w:p>
    <w:p>
      <w:pPr>
        <w:spacing w:after="0" w:line="6" w:lineRule="exact"/>
        <w:rPr>
          <w:rFonts w:ascii="Times New Roman" w:cs="Times New Roman" w:eastAsia="Times New Roman" w:hAnsi="Times New Roman"/>
          <w:sz w:val="14"/>
          <w:szCs w:val="14"/>
          <w:color w:val="auto"/>
        </w:rPr>
      </w:pPr>
    </w:p>
    <w:p>
      <w:pPr>
        <w:jc w:val="both"/>
        <w:ind w:left="640" w:hanging="317"/>
        <w:spacing w:after="0" w:line="252"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for TBA transactions represents our long TBA position, weighted based on our daily average long position outstanding for the period.</w:t>
      </w:r>
    </w:p>
    <w:p>
      <w:pPr>
        <w:spacing w:after="0" w:line="1" w:lineRule="exact"/>
        <w:rPr>
          <w:rFonts w:ascii="Times New Roman" w:cs="Times New Roman" w:eastAsia="Times New Roman" w:hAnsi="Times New Roman"/>
          <w:sz w:val="14"/>
          <w:szCs w:val="14"/>
          <w:color w:val="auto"/>
        </w:rPr>
      </w:pPr>
    </w:p>
    <w:p>
      <w:pPr>
        <w:ind w:left="640" w:hanging="317"/>
        <w:spacing w:after="0" w:line="252"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cost of funds for total mortgage borrowings outstanding, before interest rate swap periodic income, is calculated on a weighted average basis based on average investment securities repurchase agreements, other debt and TBA securities outstanding during the period and their respective cost of funds.</w:t>
      </w:r>
    </w:p>
    <w:p>
      <w:pPr>
        <w:ind w:left="640" w:hanging="31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swap periodic income is measured as a percent of average mortgage borrowings outstanding for the period.</w:t>
      </w:r>
    </w:p>
    <w:p>
      <w:pPr>
        <w:spacing w:after="0" w:line="241"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The principal elements impacting our economic interest expense are (i) the size of our average mortgage borrowings and interest rate swap portfolio outstanding during the period, (ii) the average interest rate on our mortgage borrowings and (iii) the average net interest rate paid/received on our interest rate swaps. The following table includes a summary of the estimated impact of these elements on our economic interest expense for the three and nine months ended September 30, 2026 compared to the prior year period (in millions):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Impact of Changes in the Principal Elements of Economic Interest Expense</w:t>
      </w:r>
    </w:p>
    <w:p>
      <w:pPr>
        <w:spacing w:after="0" w:line="28" w:lineRule="exact"/>
        <w:rPr>
          <w:sz w:val="20"/>
          <w:szCs w:val="20"/>
          <w:color w:val="auto"/>
        </w:rPr>
      </w:pPr>
    </w:p>
    <w:tbl>
      <w:tblPr>
        <w:tblLayout w:type="fixed"/>
        <w:tblInd w:w="80" w:type="dxa"/>
        <w:tblCellMar>
          <w:top w:w="0" w:type="dxa"/>
          <w:left w:w="0" w:type="dxa"/>
          <w:bottom w:w="0" w:type="dxa"/>
          <w:right w:w="0" w:type="dxa"/>
        </w:tblCellMar>
      </w:tblPr>
      <w:tr>
        <w:trPr>
          <w:trHeight w:val="200"/>
        </w:trPr>
        <w:tc>
          <w:tcPr>
            <w:tcW w:w="66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Total Increase /</w:t>
            </w: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4"/>
                <w:szCs w:val="14"/>
                <w:b w:val="1"/>
                <w:bCs w:val="1"/>
                <w:color w:val="auto"/>
              </w:rPr>
              <w:t>Borrowing / Swap</w:t>
            </w:r>
          </w:p>
        </w:tc>
        <w:tc>
          <w:tcPr>
            <w:tcW w:w="120" w:type="dxa"/>
            <w:vAlign w:val="bottom"/>
          </w:tcPr>
          <w:p>
            <w:pPr>
              <w:spacing w:after="0"/>
              <w:rPr>
                <w:sz w:val="12"/>
                <w:szCs w:val="12"/>
                <w:color w:val="auto"/>
              </w:rPr>
            </w:pPr>
          </w:p>
        </w:tc>
        <w:tc>
          <w:tcPr>
            <w:tcW w:w="1260" w:type="dxa"/>
            <w:vAlign w:val="bottom"/>
          </w:tcPr>
          <w:p>
            <w:pPr>
              <w:jc w:val="right"/>
              <w:ind w:right="70"/>
              <w:spacing w:after="0" w:line="139" w:lineRule="exact"/>
              <w:rPr>
                <w:sz w:val="20"/>
                <w:szCs w:val="20"/>
                <w:color w:val="auto"/>
              </w:rPr>
            </w:pPr>
            <w:r>
              <w:rPr>
                <w:rFonts w:ascii="Times New Roman" w:cs="Times New Roman" w:eastAsia="Times New Roman" w:hAnsi="Times New Roman"/>
                <w:sz w:val="14"/>
                <w:szCs w:val="14"/>
                <w:b w:val="1"/>
                <w:bCs w:val="1"/>
                <w:color w:val="auto"/>
              </w:rPr>
              <w:t>Borrowing / Swap</w:t>
            </w:r>
          </w:p>
        </w:tc>
        <w:tc>
          <w:tcPr>
            <w:tcW w:w="0" w:type="dxa"/>
            <w:vAlign w:val="bottom"/>
          </w:tcPr>
          <w:p>
            <w:pPr>
              <w:spacing w:after="0"/>
              <w:rPr>
                <w:sz w:val="1"/>
                <w:szCs w:val="1"/>
                <w:color w:val="auto"/>
              </w:rPr>
            </w:pPr>
          </w:p>
        </w:tc>
      </w:tr>
      <w:tr>
        <w:trPr>
          <w:trHeight w:val="192"/>
        </w:trPr>
        <w:tc>
          <w:tcPr>
            <w:tcW w:w="6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91"/>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repurchase agreements and other debt interest expense</w:t>
            </w: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center"/>
              <w:ind w:left="890"/>
              <w:spacing w:after="0"/>
              <w:rPr>
                <w:sz w:val="20"/>
                <w:szCs w:val="20"/>
                <w:color w:val="auto"/>
              </w:rPr>
            </w:pPr>
            <w:r>
              <w:rPr>
                <w:rFonts w:ascii="Times New Roman" w:cs="Times New Roman" w:eastAsia="Times New Roman" w:hAnsi="Times New Roman"/>
                <w:sz w:val="14"/>
                <w:szCs w:val="14"/>
                <w:color w:val="auto"/>
                <w:w w:val="99"/>
              </w:rPr>
              <w:t>39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87"/>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TBA dollar roll income - implied interest expense</w:t>
            </w:r>
          </w:p>
        </w:tc>
        <w:tc>
          <w:tcPr>
            <w:tcW w:w="160" w:type="dxa"/>
            <w:vAlign w:val="bottom"/>
          </w:tcPr>
          <w:p>
            <w:pPr>
              <w:spacing w:after="0"/>
              <w:rPr>
                <w:sz w:val="16"/>
                <w:szCs w:val="16"/>
                <w:color w:val="auto"/>
              </w:rPr>
            </w:pPr>
          </w:p>
        </w:tc>
        <w:tc>
          <w:tcPr>
            <w:tcW w:w="1220" w:type="dxa"/>
            <w:vAlign w:val="bottom"/>
          </w:tcPr>
          <w:p>
            <w:pPr>
              <w:jc w:val="center"/>
              <w:ind w:left="870"/>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periodic income/cost</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center"/>
              <w:ind w:left="890"/>
              <w:spacing w:after="0"/>
              <w:rPr>
                <w:sz w:val="20"/>
                <w:szCs w:val="20"/>
                <w:color w:val="auto"/>
              </w:rPr>
            </w:pPr>
            <w:r>
              <w:rPr>
                <w:rFonts w:ascii="Times New Roman" w:cs="Times New Roman" w:eastAsia="Times New Roman" w:hAnsi="Times New Roman"/>
                <w:sz w:val="14"/>
                <w:szCs w:val="14"/>
                <w:color w:val="auto"/>
                <w:w w:val="99"/>
              </w:rPr>
              <w:t>92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20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change in economic interest expense</w:t>
            </w: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center"/>
              <w:ind w:left="890"/>
              <w:spacing w:after="0"/>
              <w:rPr>
                <w:sz w:val="20"/>
                <w:szCs w:val="20"/>
                <w:color w:val="auto"/>
              </w:rPr>
            </w:pPr>
            <w:r>
              <w:rPr>
                <w:rFonts w:ascii="Times New Roman" w:cs="Times New Roman" w:eastAsia="Times New Roman" w:hAnsi="Times New Roman"/>
                <w:sz w:val="14"/>
                <w:szCs w:val="14"/>
                <w:color w:val="auto"/>
                <w:w w:val="99"/>
              </w:rPr>
              <w:t>82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4"/>
          <w:szCs w:val="14"/>
          <w:b w:val="1"/>
          <w:bCs w:val="1"/>
          <w:color w:val="auto"/>
        </w:rPr>
        <w:t>Due to Change in Average</w:t>
      </w:r>
    </w:p>
    <w:p>
      <w:pPr>
        <w:spacing w:after="0" w:line="28"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660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Borders>
              <w:top w:val="single" w:sz="8" w:color="CCEEFF"/>
            </w:tcBorders>
            <w:vMerge w:val="restart"/>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gridSpan w:val="2"/>
            <w:shd w:val="clear" w:color="auto" w:fill="CCEEFF"/>
          </w:tcPr>
          <w:p>
            <w:pPr>
              <w:ind w:left="60"/>
              <w:spacing w:after="0" w:line="159" w:lineRule="exact"/>
              <w:rPr>
                <w:sz w:val="20"/>
                <w:szCs w:val="20"/>
                <w:color w:val="auto"/>
              </w:rPr>
            </w:pPr>
            <w:r>
              <w:rPr>
                <w:rFonts w:ascii="Times New Roman" w:cs="Times New Roman" w:eastAsia="Times New Roman" w:hAnsi="Times New Roman"/>
                <w:sz w:val="14"/>
                <w:szCs w:val="14"/>
                <w:b w:val="1"/>
                <w:bCs w:val="1"/>
                <w:color w:val="auto"/>
              </w:rPr>
              <w:t>Total Increase /</w:t>
            </w:r>
          </w:p>
        </w:tc>
        <w:tc>
          <w:tcPr>
            <w:tcW w:w="1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gridSpan w:val="2"/>
            <w:shd w:val="clear" w:color="auto" w:fill="CCEEFF"/>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Borrowing / Swap</w:t>
            </w:r>
          </w:p>
        </w:tc>
        <w:tc>
          <w:tcPr>
            <w:tcW w:w="1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ind w:right="70"/>
              <w:spacing w:after="0" w:line="159" w:lineRule="exact"/>
              <w:rPr>
                <w:sz w:val="20"/>
                <w:szCs w:val="20"/>
                <w:color w:val="auto"/>
              </w:rPr>
            </w:pPr>
            <w:r>
              <w:rPr>
                <w:rFonts w:ascii="Times New Roman" w:cs="Times New Roman" w:eastAsia="Times New Roman" w:hAnsi="Times New Roman"/>
                <w:sz w:val="14"/>
                <w:szCs w:val="14"/>
                <w:b w:val="1"/>
                <w:bCs w:val="1"/>
                <w:color w:val="auto"/>
              </w:rPr>
              <w:t>Borrowing / Swap</w:t>
            </w:r>
          </w:p>
        </w:tc>
        <w:tc>
          <w:tcPr>
            <w:tcW w:w="0" w:type="dxa"/>
            <w:vAlign w:val="bottom"/>
          </w:tcPr>
          <w:p>
            <w:pPr>
              <w:spacing w:after="0"/>
              <w:rPr>
                <w:sz w:val="1"/>
                <w:szCs w:val="1"/>
                <w:color w:val="auto"/>
              </w:rPr>
            </w:pPr>
          </w:p>
        </w:tc>
      </w:tr>
      <w:tr>
        <w:trPr>
          <w:trHeight w:val="192"/>
        </w:trPr>
        <w:tc>
          <w:tcPr>
            <w:tcW w:w="66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87"/>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 securities repurchase agreements and other debt interest expense</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TBA dollar roll income - implied interest benefit/expense</w:t>
            </w:r>
          </w:p>
        </w:tc>
        <w:tc>
          <w:tcPr>
            <w:tcW w:w="1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87"/>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 swap periodic income/cost</w:t>
            </w:r>
          </w:p>
        </w:tc>
        <w:tc>
          <w:tcPr>
            <w:tcW w:w="160" w:type="dxa"/>
            <w:vAlign w:val="bottom"/>
          </w:tcPr>
          <w:p>
            <w:pPr>
              <w:spacing w:after="0"/>
              <w:rPr>
                <w:sz w:val="16"/>
                <w:szCs w:val="16"/>
                <w:color w:val="auto"/>
              </w:rPr>
            </w:pPr>
          </w:p>
        </w:tc>
        <w:tc>
          <w:tcPr>
            <w:tcW w:w="12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0" w:type="dxa"/>
            <w:vAlign w:val="bottom"/>
          </w:tcPr>
          <w:p>
            <w:pPr>
              <w:spacing w:after="0"/>
              <w:rPr>
                <w:sz w:val="1"/>
                <w:szCs w:val="1"/>
                <w:color w:val="auto"/>
              </w:rPr>
            </w:pPr>
          </w:p>
        </w:tc>
      </w:tr>
      <w:tr>
        <w:trPr>
          <w:trHeight w:val="24"/>
        </w:trPr>
        <w:tc>
          <w:tcPr>
            <w:tcW w:w="6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economic interest benefit/expense</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firstLine="436"/>
        <w:spacing w:after="0" w:line="270" w:lineRule="auto"/>
        <w:rPr>
          <w:sz w:val="20"/>
          <w:szCs w:val="20"/>
          <w:color w:val="auto"/>
        </w:rPr>
      </w:pPr>
      <w:r>
        <w:rPr>
          <w:rFonts w:ascii="Times New Roman" w:cs="Times New Roman" w:eastAsia="Times New Roman" w:hAnsi="Times New Roman"/>
          <w:sz w:val="18"/>
          <w:szCs w:val="18"/>
          <w:color w:val="auto"/>
        </w:rPr>
        <w:t>Our average mortgage borrowings, inclusive of TBAs, increased 16% and 22% for the three and nine months ended September 30, 2026, respectively, consistent with the increase to our average investment portfolio. The average interest rate 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type w:val="continuous"/>
        </w:sectPr>
      </w:pPr>
    </w:p>
    <w:bookmarkStart w:id="39" w:name="page40"/>
    <w:bookmarkEnd w:id="39"/>
    <w:p>
      <w:pPr>
        <w:jc w:val="both"/>
        <w:spacing w:after="0" w:line="270" w:lineRule="auto"/>
        <w:rPr>
          <w:sz w:val="20"/>
          <w:szCs w:val="20"/>
          <w:color w:val="auto"/>
        </w:rPr>
      </w:pPr>
      <w:r>
        <w:rPr>
          <w:rFonts w:ascii="Times New Roman" w:cs="Times New Roman" w:eastAsia="Times New Roman" w:hAnsi="Times New Roman"/>
          <w:sz w:val="18"/>
          <w:szCs w:val="18"/>
          <w:color w:val="auto"/>
        </w:rPr>
        <w:t>our mortgage borrowings, excluding the impact of interest rate swap periodic income, decreased 66 and 68 basis points for the three and nine months ended September 30, 2026, respectively, due to a decline in short-term interest rates.</w:t>
      </w:r>
    </w:p>
    <w:p>
      <w:pPr>
        <w:spacing w:after="0" w:line="142"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Interest rate swap periodic income declined for the three and nine months ended September 30, 2026, primarily due to higher pay rates on our pay-fixed swaps, driven by the maturity of lower-cost swaps, an increase in our interest rate swap position at higher prevailing rates, and lower receive rates. The ratio of interest rate swaps outstanding to mortgage borrowings increased due to a greater allocation to interest rate swaps in our hedge portfolio. The following table summarizes our interest rate swaps outstanding during the three and nine months ended September 30, 2026 (dollars in millions). Amounts exclude forward starting swaps not yet in effect.</w:t>
      </w:r>
    </w:p>
    <w:p>
      <w:pPr>
        <w:spacing w:after="0" w:line="177"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4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00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Average Ratio of Interest Rate Swaps (Excluding Forward Starting Swaps) to Mortgage</w:t>
            </w:r>
          </w:p>
        </w:tc>
        <w:tc>
          <w:tcPr>
            <w:tcW w:w="240" w:type="dxa"/>
            <w:vAlign w:val="bottom"/>
          </w:tcPr>
          <w:p>
            <w:pPr>
              <w:spacing w:after="0"/>
              <w:rPr>
                <w:sz w:val="11"/>
                <w:szCs w:val="11"/>
                <w:color w:val="auto"/>
              </w:rPr>
            </w:pPr>
          </w:p>
        </w:tc>
        <w:tc>
          <w:tcPr>
            <w:tcW w:w="860" w:type="dxa"/>
            <w:vAlign w:val="bottom"/>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91"/>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Borrowings Outstanding</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investment securities repo and other debt outstanding</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82,362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66,654</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78,203</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62,628</w:t>
            </w:r>
          </w:p>
        </w:tc>
        <w:tc>
          <w:tcPr>
            <w:tcW w:w="0" w:type="dxa"/>
            <w:vAlign w:val="bottom"/>
          </w:tcPr>
          <w:p>
            <w:pPr>
              <w:spacing w:after="0"/>
              <w:rPr>
                <w:sz w:val="1"/>
                <w:szCs w:val="1"/>
                <w:color w:val="auto"/>
              </w:rPr>
            </w:pPr>
          </w:p>
        </w:tc>
      </w:tr>
      <w:tr>
        <w:trPr>
          <w:trHeight w:val="187"/>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net TBA dollar roll position outstanding - at cost</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6,809</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10,163</w:t>
            </w:r>
          </w:p>
        </w:tc>
        <w:tc>
          <w:tcPr>
            <w:tcW w:w="12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9,947</w:t>
            </w:r>
          </w:p>
        </w:tc>
        <w:tc>
          <w:tcPr>
            <w:tcW w:w="12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9,872</w:t>
            </w:r>
          </w:p>
        </w:tc>
        <w:tc>
          <w:tcPr>
            <w:tcW w:w="0" w:type="dxa"/>
            <w:vAlign w:val="bottom"/>
          </w:tcPr>
          <w:p>
            <w:pPr>
              <w:spacing w:after="0"/>
              <w:rPr>
                <w:sz w:val="1"/>
                <w:szCs w:val="1"/>
                <w:color w:val="auto"/>
              </w:rPr>
            </w:pPr>
          </w:p>
        </w:tc>
      </w:tr>
      <w:tr>
        <w:trPr>
          <w:trHeight w:val="24"/>
        </w:trPr>
        <w:tc>
          <w:tcPr>
            <w:tcW w:w="5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mortgage borrowings outstanding</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89,171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76,817</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88,150</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72,500</w:t>
            </w:r>
          </w:p>
        </w:tc>
        <w:tc>
          <w:tcPr>
            <w:tcW w:w="0" w:type="dxa"/>
            <w:vAlign w:val="bottom"/>
          </w:tcPr>
          <w:p>
            <w:pPr>
              <w:spacing w:after="0"/>
              <w:rPr>
                <w:sz w:val="1"/>
                <w:szCs w:val="1"/>
                <w:color w:val="auto"/>
              </w:rPr>
            </w:pPr>
          </w:p>
        </w:tc>
      </w:tr>
      <w:tr>
        <w:trPr>
          <w:trHeight w:val="187"/>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notional amount of interest rate swaps outstanding (excluding forward starting swaps), net</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73,619</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45,656</w:t>
            </w:r>
          </w:p>
        </w:tc>
        <w:tc>
          <w:tcPr>
            <w:tcW w:w="12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73,487</w:t>
            </w:r>
          </w:p>
        </w:tc>
        <w:tc>
          <w:tcPr>
            <w:tcW w:w="12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45,233</w:t>
            </w:r>
          </w:p>
        </w:tc>
        <w:tc>
          <w:tcPr>
            <w:tcW w:w="0" w:type="dxa"/>
            <w:vAlign w:val="bottom"/>
          </w:tcPr>
          <w:p>
            <w:pPr>
              <w:spacing w:after="0"/>
              <w:rPr>
                <w:sz w:val="1"/>
                <w:szCs w:val="1"/>
                <w:color w:val="auto"/>
              </w:rPr>
            </w:pPr>
          </w:p>
        </w:tc>
      </w:tr>
      <w:tr>
        <w:trPr>
          <w:trHeight w:val="24"/>
        </w:trPr>
        <w:tc>
          <w:tcPr>
            <w:tcW w:w="5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Ratio of average interest rate swaps to mortgage borrowings outstanding</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151130</wp:posOffset>
            </wp:positionV>
            <wp:extent cx="6783070" cy="133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83070" cy="13398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p>
      <w:pPr>
        <w:spacing w:after="0" w:line="2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Average interest rate swap pay-fixed rate (excluding forward starting swaps)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Average interest rate swap receive-floating rate</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Average interest rate swap net pay/(receive) rate</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2.89 %</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2.25 %</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2.75 %</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1.98 %</w:t>
            </w:r>
          </w:p>
        </w:tc>
      </w:tr>
      <w:tr>
        <w:trPr>
          <w:trHeight w:val="211"/>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r>
      <w:tr>
        <w:trPr>
          <w:trHeight w:val="24"/>
        </w:trPr>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0"/>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(0.82)%</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(0.93)%</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24"/>
        </w:trPr>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-3804920</wp:posOffset>
            </wp:positionH>
            <wp:positionV relativeFrom="paragraph">
              <wp:posOffset>-175260</wp:posOffset>
            </wp:positionV>
            <wp:extent cx="6783070" cy="159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83070" cy="1593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0" w:space="720"/>
            <w:col w:w="4740"/>
          </w:cols>
          <w:pgMar w:left="320" w:top="1045" w:right="339" w:bottom="1440" w:gutter="0" w:footer="0" w:header="0"/>
          <w:type w:val="continuous"/>
        </w:sectPr>
      </w:pPr>
    </w:p>
    <w:p>
      <w:pPr>
        <w:spacing w:after="0" w:line="46"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For the three and nine months ended September 30, 2026, we had an average forward starting net pay-fixed rate swap balance of $0.1 billion and $0.8 billion, respectively. For the three and nine months ended September 30, 2025, we had an average forward starting net pay-fixed rate swap balance of $0.2 billion. Forward starting interest rate swaps do not impact our economic interest expense and aggregate cost of funds until they commence accruing net interest settlements on their forward start dates.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Spread</w:t>
      </w:r>
    </w:p>
    <w:p>
      <w:pPr>
        <w:spacing w:after="0" w:line="167"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following table presents a summary of our net interest spread (including the impact of TBA dollar roll income, interest rate swaps and excluding net “catch-up” premium amortization) for the three and nine months ended September 30, 2026 and 2025:</w:t>
      </w:r>
    </w:p>
    <w:tbl>
      <w:tblPr>
        <w:tblLayout w:type="fixed"/>
        <w:tblInd w:w="20" w:type="dxa"/>
        <w:tblCellMar>
          <w:top w:w="0" w:type="dxa"/>
          <w:left w:w="0" w:type="dxa"/>
          <w:bottom w:w="0" w:type="dxa"/>
          <w:right w:w="0" w:type="dxa"/>
        </w:tblCellMar>
      </w:tblPr>
      <w:tr>
        <w:trPr>
          <w:trHeight w:val="149"/>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120" w:type="dxa"/>
            <w:vAlign w:val="bottom"/>
            <w:gridSpan w:val="3"/>
          </w:tcPr>
          <w:p>
            <w:pPr>
              <w:jc w:val="right"/>
              <w:ind w:right="39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6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and TBA Securities - Net Interest Spread</w:t>
            </w: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6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asset yield</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4.95 %</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4.95 %</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4.94 %</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4.90 %</w:t>
            </w:r>
          </w:p>
        </w:tc>
      </w:tr>
      <w:tr>
        <w:trPr>
          <w:trHeight w:val="187"/>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aggregate cost of funds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24"/>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9"/>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net interest spread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1.78 %</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1.97 %</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1.97 %</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Net Spread and Dollar Roll Income</w:t>
      </w:r>
    </w:p>
    <w:p>
      <w:pPr>
        <w:spacing w:after="0" w:line="167"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following table presents a reconciliation of net spread and dollar roll income available to common stockholders (non-GAAP measure) from comprehensive income (loss) available (attributable) to common stockholders (the most comparable GAAP financial measure) for the three and nine months ended September 30, 2026 and 2025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720" w:type="dxa"/>
            <w:vAlign w:val="bottom"/>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2"/>
        </w:trPr>
        <w:tc>
          <w:tcPr>
            <w:tcW w:w="7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72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7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7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4"/>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 available (attributable) to common stockholders</w:t>
            </w: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r>
      <w:tr>
        <w:trPr>
          <w:trHeight w:val="187"/>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 to exclude realized and unrealized (gains) losses reported through net income:</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4"/>
        </w:trPr>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91"/>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Realized (gain) loss on sale of investment securities, net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r>
      <w:tr>
        <w:trPr>
          <w:trHeight w:val="187"/>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Unrealized (gain) loss on investment securities measured at fair value through net income, net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w:t>
            </w:r>
          </w:p>
        </w:tc>
      </w:tr>
      <w:tr>
        <w:trPr>
          <w:trHeight w:val="24"/>
        </w:trPr>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91"/>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loss on derivative instruments and other securities, net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w:t>
            </w:r>
          </w:p>
        </w:tc>
      </w:tr>
      <w:tr>
        <w:trPr>
          <w:trHeight w:val="187"/>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 to exclude unrealized (gain) loss reported through other comprehensive income:</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4"/>
        </w:trPr>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91"/>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Unrealized (gain) loss on available-for-sale securities measured at fair value through other comprehensive income, net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187"/>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adjustments: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4"/>
        </w:trPr>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11"/>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Estimated net “catch-up” premium amortization cost (benefit) due to change in CPR forecast </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11"/>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TBA dollar roll income, net </w:t>
            </w:r>
            <w:r>
              <w:rPr>
                <w:rFonts w:ascii="Times New Roman" w:cs="Times New Roman" w:eastAsia="Times New Roman" w:hAnsi="Times New Roman"/>
                <w:sz w:val="18"/>
                <w:szCs w:val="18"/>
                <w:color w:val="auto"/>
                <w:vertAlign w:val="superscript"/>
              </w:rPr>
              <w:t>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11"/>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Interest rate swap periodic income (cost), net </w:t>
            </w:r>
            <w:r>
              <w:rPr>
                <w:rFonts w:ascii="Times New Roman" w:cs="Times New Roman" w:eastAsia="Times New Roman" w:hAnsi="Times New Roman"/>
                <w:sz w:val="18"/>
                <w:szCs w:val="18"/>
                <w:color w:val="auto"/>
                <w:vertAlign w:val="superscript"/>
              </w:rPr>
              <w:t>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r>
      <w:tr>
        <w:trPr>
          <w:trHeight w:val="211"/>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Other interest income (expense), net </w:t>
            </w:r>
            <w:r>
              <w:rPr>
                <w:rFonts w:ascii="Times New Roman" w:cs="Times New Roman" w:eastAsia="Times New Roman" w:hAnsi="Times New Roman"/>
                <w:sz w:val="18"/>
                <w:szCs w:val="18"/>
                <w:color w:val="auto"/>
                <w:vertAlign w:val="superscript"/>
              </w:rPr>
              <w:t>2,3</w:t>
            </w: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29"/>
        </w:trPr>
        <w:tc>
          <w:tcPr>
            <w:tcW w:w="7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spread and dollar roll income available to common stockholders (non-GAAP measure)</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7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996.7</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1,205.1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1,165.1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999.9</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9"/>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per common share - basic</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per common share - diluted</w:t>
            </w: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20"/>
        </w:trPr>
        <w:tc>
          <w:tcPr>
            <w:tcW w:w="7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ind w:left="640" w:hanging="31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interest income in our consolidated statements of comprehensive income.</w:t>
      </w:r>
    </w:p>
    <w:p>
      <w:pPr>
        <w:spacing w:after="0" w:line="6"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 instruments and other securities, net in our consolidated statements of comprehensive income.</w:t>
      </w:r>
    </w:p>
    <w:p>
      <w:pPr>
        <w:spacing w:after="0" w:line="10" w:lineRule="exact"/>
        <w:rPr>
          <w:rFonts w:ascii="Times New Roman" w:cs="Times New Roman" w:eastAsia="Times New Roman" w:hAnsi="Times New Roman"/>
          <w:sz w:val="14"/>
          <w:szCs w:val="14"/>
          <w:color w:val="auto"/>
        </w:rPr>
      </w:pPr>
    </w:p>
    <w:p>
      <w:pPr>
        <w:ind w:left="640" w:hanging="317"/>
        <w:spacing w:after="0" w:line="27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interest income (expense), net includes interest income on cash and cash equivalents; price alignment interest income (expense) (“PAI”) on interest rate swap margin deposits posted by or (to) the Company; and other miscellaneous interest income (expense).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Investment Securities, Net</w:t>
      </w:r>
    </w:p>
    <w:p>
      <w:pPr>
        <w:spacing w:after="0" w:line="167" w:lineRule="exact"/>
        <w:rPr>
          <w:sz w:val="20"/>
          <w:szCs w:val="20"/>
          <w:color w:val="auto"/>
        </w:rPr>
      </w:pPr>
    </w:p>
    <w:p>
      <w:pPr>
        <w:ind w:firstLine="475"/>
        <w:spacing w:after="0" w:line="270" w:lineRule="auto"/>
        <w:rPr>
          <w:sz w:val="20"/>
          <w:szCs w:val="20"/>
          <w:color w:val="auto"/>
        </w:rPr>
      </w:pPr>
      <w:r>
        <w:rPr>
          <w:rFonts w:ascii="Times New Roman" w:cs="Times New Roman" w:eastAsia="Times New Roman" w:hAnsi="Times New Roman"/>
          <w:sz w:val="18"/>
          <w:szCs w:val="18"/>
          <w:color w:val="auto"/>
        </w:rPr>
        <w:t>The following table is a summary of our net gain (loss) on investment securities for the three and nine months ended September 30, 2026 and 2025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7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Gain (Loss) on Investment Securities, Net </w:t>
            </w:r>
            <w:r>
              <w:rPr>
                <w:rFonts w:ascii="Times New Roman" w:cs="Times New Roman" w:eastAsia="Times New Roman" w:hAnsi="Times New Roman"/>
                <w:sz w:val="9"/>
                <w:szCs w:val="9"/>
                <w:b w:val="1"/>
                <w:bCs w:val="1"/>
                <w:color w:val="auto"/>
              </w:rPr>
              <w:t>1</w:t>
            </w:r>
          </w:p>
        </w:tc>
        <w:tc>
          <w:tcPr>
            <w:tcW w:w="200" w:type="dxa"/>
            <w:vAlign w:val="bottom"/>
          </w:tcPr>
          <w:p>
            <w:pPr>
              <w:spacing w:after="0"/>
              <w:rPr>
                <w:sz w:val="16"/>
                <w:szCs w:val="16"/>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7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4"/>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sale of investment securities, net</w:t>
            </w: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r>
      <w:tr>
        <w:trPr>
          <w:trHeight w:val="187"/>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Unrealized (loss) gain on investment securities measured at fair value through net income, net </w:t>
            </w:r>
            <w:r>
              <w:rPr>
                <w:rFonts w:ascii="Times New Roman" w:cs="Times New Roman" w:eastAsia="Times New Roman" w:hAnsi="Times New Roman"/>
                <w:sz w:val="9"/>
                <w:szCs w:val="9"/>
                <w:color w:val="auto"/>
              </w:rPr>
              <w:t>2</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w:t>
            </w:r>
          </w:p>
        </w:tc>
      </w:tr>
      <w:tr>
        <w:trPr>
          <w:trHeight w:val="24"/>
        </w:trPr>
        <w:tc>
          <w:tcPr>
            <w:tcW w:w="7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1"/>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gain on investment securities measured at fair value through other comprehensive income, net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204"/>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(loss) gain on investment securities, net</w:t>
            </w: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(5,172)</w:t>
            </w: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1,957</w:t>
            </w:r>
          </w:p>
        </w:tc>
      </w:tr>
      <w:tr>
        <w:trPr>
          <w:trHeight w:val="20"/>
        </w:trPr>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ind w:left="640" w:hanging="317"/>
        <w:spacing w:after="0" w:line="253" w:lineRule="auto"/>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gain (loss) on TBA securities, which is reported in gain (loss) on derivative instruments and other securities, net in our Consolidated Statements of Comprehensive Income.</w:t>
      </w:r>
    </w:p>
    <w:p>
      <w:pPr>
        <w:ind w:left="640" w:hanging="317"/>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securities acquired after fiscal year 2016 are measured at fair value through net income (see Note 2 of our Consolidated Financial Statements in this Form 10-Q).</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Derivative Instruments and Other Securities, Net</w:t>
      </w:r>
    </w:p>
    <w:p>
      <w:pPr>
        <w:spacing w:after="0" w:line="167" w:lineRule="exact"/>
        <w:rPr>
          <w:sz w:val="20"/>
          <w:szCs w:val="20"/>
          <w:color w:val="auto"/>
        </w:rPr>
      </w:pPr>
    </w:p>
    <w:p>
      <w:pPr>
        <w:ind w:firstLine="436"/>
        <w:spacing w:after="0" w:line="270" w:lineRule="auto"/>
        <w:rPr>
          <w:sz w:val="20"/>
          <w:szCs w:val="20"/>
          <w:color w:val="auto"/>
        </w:rPr>
      </w:pPr>
      <w:r>
        <w:rPr>
          <w:rFonts w:ascii="Times New Roman" w:cs="Times New Roman" w:eastAsia="Times New Roman" w:hAnsi="Times New Roman"/>
          <w:sz w:val="18"/>
          <w:szCs w:val="18"/>
          <w:color w:val="auto"/>
        </w:rPr>
        <w:t>The following table is a summary of our gain (loss) on derivative instruments and other securities, net for the three and nine months ended September 30, 2026 and 2025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740" w:type="dxa"/>
            <w:vAlign w:val="bottom"/>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7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74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6"/>
        </w:trPr>
        <w:tc>
          <w:tcPr>
            <w:tcW w:w="7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7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4"/>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TBA securities, net dollar roll income</w:t>
            </w: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87"/>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TBA securities, mark-to-market gain (loss)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24"/>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1"/>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 net periodic income</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r>
      <w:tr>
        <w:trPr>
          <w:trHeight w:val="187"/>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 mark-to-market gain (loss)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w:t>
            </w:r>
          </w:p>
        </w:tc>
      </w:tr>
      <w:tr>
        <w:trPr>
          <w:trHeight w:val="24"/>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1"/>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Payer swaptions</w:t>
            </w: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7"/>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Receiver swaptions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4"/>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1"/>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r>
      <w:tr>
        <w:trPr>
          <w:trHeight w:val="187"/>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futures contracts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24"/>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1"/>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 futures contracts - long position</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7"/>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interest income (expense)</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4"/>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1"/>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gain (loss)</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4"/>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gain (loss) on derivative instruments and other securities, net</w:t>
            </w: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(1,422)</w:t>
            </w:r>
          </w:p>
        </w:tc>
      </w:tr>
      <w:tr>
        <w:trPr>
          <w:trHeight w:val="20"/>
        </w:trPr>
        <w:tc>
          <w:tcPr>
            <w:tcW w:w="7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436"/>
        <w:spacing w:after="0" w:line="270" w:lineRule="auto"/>
        <w:rPr>
          <w:sz w:val="20"/>
          <w:szCs w:val="20"/>
          <w:color w:val="auto"/>
        </w:rPr>
      </w:pPr>
      <w:r>
        <w:rPr>
          <w:rFonts w:ascii="Times New Roman" w:cs="Times New Roman" w:eastAsia="Times New Roman" w:hAnsi="Times New Roman"/>
          <w:sz w:val="18"/>
          <w:szCs w:val="18"/>
          <w:color w:val="auto"/>
        </w:rPr>
        <w:t>For further details regarding our use of derivative instruments and related activity refer to Notes 2 and 5 of our Consolidated Financial Statements in this Form 10-Q.</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5" w:lineRule="exact"/>
        <w:rPr>
          <w:sz w:val="20"/>
          <w:szCs w:val="20"/>
          <w:color w:val="auto"/>
        </w:rPr>
      </w:pPr>
    </w:p>
    <w:p>
      <w:pPr>
        <w:jc w:val="both"/>
        <w:ind w:firstLine="436"/>
        <w:spacing w:after="0" w:line="248" w:lineRule="auto"/>
        <w:rPr>
          <w:sz w:val="20"/>
          <w:szCs w:val="20"/>
          <w:color w:val="auto"/>
        </w:rPr>
      </w:pPr>
      <w:r>
        <w:rPr>
          <w:rFonts w:ascii="Times New Roman" w:cs="Times New Roman" w:eastAsia="Times New Roman" w:hAnsi="Times New Roman"/>
          <w:sz w:val="18"/>
          <w:szCs w:val="18"/>
          <w:color w:val="auto"/>
        </w:rPr>
        <w:t xml:space="preserve">Our business is dependent on our ability to maintain adequate levels of liquidity and capital resources to fund day-to-day operations, fulfill collateral requirements under our funding and derivative agreements, and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 There are various risks and uncertainties that can impact our liquidity, such as those described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most recent Annual Report on Form 10-K and Item 3. </w:t>
      </w:r>
      <w:r>
        <w:rPr>
          <w:rFonts w:ascii="Times New Roman" w:cs="Times New Roman" w:eastAsia="Times New Roman" w:hAnsi="Times New Roman"/>
          <w:sz w:val="18"/>
          <w:szCs w:val="18"/>
          <w:i w:val="1"/>
          <w:iCs w:val="1"/>
          <w:color w:val="auto"/>
        </w:rPr>
        <w:t>Quantitative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Qualitative Disclosures about Market Risk </w:t>
      </w:r>
      <w:r>
        <w:rPr>
          <w:rFonts w:ascii="Times New Roman" w:cs="Times New Roman" w:eastAsia="Times New Roman" w:hAnsi="Times New Roman"/>
          <w:sz w:val="18"/>
          <w:szCs w:val="18"/>
          <w:color w:val="auto"/>
        </w:rPr>
        <w:t>in this Form 10-Q. In assessing our liquidity, we consider a number of factors, including our current leverage,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levels, access to capital markets, overall market conditions, and the sensitivity of our tangible net book value over a range of scenarios. We believe that we have sufficient liquidity and capital resources available to meet our obligations and execute our business strategy.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and Financing Sources</w:t>
      </w:r>
    </w:p>
    <w:p>
      <w:pPr>
        <w:spacing w:after="0" w:line="167" w:lineRule="exact"/>
        <w:rPr>
          <w:sz w:val="20"/>
          <w:szCs w:val="20"/>
          <w:color w:val="auto"/>
        </w:rPr>
      </w:pPr>
    </w:p>
    <w:p>
      <w:pPr>
        <w:jc w:val="both"/>
        <w:ind w:firstLine="436"/>
        <w:spacing w:after="0" w:line="250" w:lineRule="auto"/>
        <w:rPr>
          <w:sz w:val="20"/>
          <w:szCs w:val="20"/>
          <w:color w:val="auto"/>
        </w:rPr>
      </w:pPr>
      <w:r>
        <w:rPr>
          <w:rFonts w:ascii="Times New Roman" w:cs="Times New Roman" w:eastAsia="Times New Roman" w:hAnsi="Times New Roman"/>
          <w:sz w:val="18"/>
          <w:szCs w:val="18"/>
          <w:color w:val="auto"/>
        </w:rPr>
        <w:t>Our leverage will vary depending on market conditions and our assessment of relative risks and returns, but we generally expect our leverage to be between six and ten times the amount of our tangible stockholders’ equity, measured as the sum of our total mortgage borrowings and net payable / (receivable) for unsettled investment securities, divided by the sum of our total stockholders’ equity and unsettled equity issuances, adjusted to exclude goodwill. Our tangible net book value “at risk” leverage ratio was 7.9x and 7.2x as of September 30, 2026 and December 31, 2025, respectively. The following table includes a summary of our mortgage borrowings outstanding as of September 30, 2026 and December 31, 2025 (dollars in millions). For additional details of our mortgage borrowings refer to Notes 2, 4 and 5 to our Consolidated Financial Statements in this Form 10-Q.</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Mortgage Borrowings</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8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4"/>
        </w:trPr>
        <w:tc>
          <w:tcPr>
            <w:tcW w:w="5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84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4"/>
                <w:szCs w:val="14"/>
                <w:color w:val="auto"/>
              </w:rPr>
              <w:t xml:space="preserve">Investment securities repurchase agreements </w:t>
            </w:r>
            <w:r>
              <w:rPr>
                <w:rFonts w:ascii="Times New Roman" w:cs="Times New Roman" w:eastAsia="Times New Roman" w:hAnsi="Times New Roman"/>
                <w:sz w:val="18"/>
                <w:szCs w:val="18"/>
                <w:color w:val="auto"/>
                <w:vertAlign w:val="superscript"/>
              </w:rPr>
              <w:t>1,2</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85,703</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72,946</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0" w:type="dxa"/>
            <w:vAlign w:val="bottom"/>
          </w:tcPr>
          <w:p>
            <w:pPr>
              <w:spacing w:after="0"/>
              <w:rPr>
                <w:sz w:val="1"/>
                <w:szCs w:val="1"/>
                <w:color w:val="auto"/>
              </w:rPr>
            </w:pPr>
          </w:p>
        </w:tc>
      </w:tr>
      <w:tr>
        <w:trPr>
          <w:trHeight w:val="187"/>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Debt of consolidated variable interest entities, at fair value</w:t>
            </w:r>
          </w:p>
        </w:tc>
        <w:tc>
          <w:tcPr>
            <w:tcW w:w="2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4"/>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85,703</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73,002</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0" w:type="dxa"/>
            <w:vAlign w:val="bottom"/>
          </w:tcPr>
          <w:p>
            <w:pPr>
              <w:spacing w:after="0"/>
              <w:rPr>
                <w:sz w:val="1"/>
                <w:szCs w:val="1"/>
                <w:color w:val="auto"/>
              </w:rPr>
            </w:pPr>
          </w:p>
        </w:tc>
      </w:tr>
      <w:tr>
        <w:trPr>
          <w:trHeight w:val="187"/>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TBA securities, at cost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12,917</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24"/>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mortgage borrowings</w:t>
            </w: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88,141</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85,919</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1" w:lineRule="exact"/>
        <w:rPr>
          <w:sz w:val="20"/>
          <w:szCs w:val="20"/>
          <w:color w:val="auto"/>
        </w:rPr>
      </w:pPr>
    </w:p>
    <w:p>
      <w:pPr>
        <w:ind w:left="640" w:hanging="317"/>
        <w:spacing w:after="0" w:line="253" w:lineRule="auto"/>
        <w:tabs>
          <w:tab w:leader="none" w:pos="638" w:val="left"/>
        </w:tabs>
        <w:numPr>
          <w:ilvl w:val="0"/>
          <w:numId w:val="34"/>
        </w:numPr>
        <w:rPr>
          <w:rFonts w:ascii="Arial" w:cs="Arial" w:eastAsia="Arial" w:hAnsi="Arial"/>
          <w:sz w:val="14"/>
          <w:szCs w:val="14"/>
          <w:color w:val="auto"/>
        </w:rPr>
      </w:pPr>
      <w:r>
        <w:rPr>
          <w:rFonts w:ascii="Times New Roman" w:cs="Times New Roman" w:eastAsia="Times New Roman" w:hAnsi="Times New Roman"/>
          <w:sz w:val="14"/>
          <w:szCs w:val="14"/>
          <w:color w:val="auto"/>
        </w:rPr>
        <w:t xml:space="preserve">Includes Agency RMBS, CRT and non-Agency MBS repurchase agreements. </w:t>
      </w:r>
      <w:r>
        <w:rPr>
          <w:rFonts w:ascii="Arial" w:cs="Arial" w:eastAsia="Arial" w:hAnsi="Arial"/>
          <w:sz w:val="14"/>
          <w:szCs w:val="14"/>
          <w:color w:val="auto"/>
        </w:rPr>
        <w:t>E</w:t>
      </w:r>
      <w:r>
        <w:rPr>
          <w:rFonts w:ascii="Times New Roman" w:cs="Times New Roman" w:eastAsia="Times New Roman" w:hAnsi="Times New Roman"/>
          <w:sz w:val="14"/>
          <w:szCs w:val="14"/>
          <w:color w:val="auto"/>
        </w:rPr>
        <w:t>xcludes U.S. Treasury repurchase agreements totaling $11.0 billion and $12.3 billion as of September 30, 2026 and December 31, 2025, respectively.</w:t>
      </w:r>
    </w:p>
    <w:p>
      <w:pPr>
        <w:ind w:left="640" w:hanging="317"/>
        <w:spacing w:after="0" w:line="271"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2026 and December 31, 2025, 43% and 44%, respectively, of our total repurchase agreements, including 48% and 51% of our investment securities repurchase agreements, respectively, were funded through the Fixed Income Clearing Corporation’s GCF Repo service.</w:t>
      </w:r>
    </w:p>
    <w:p>
      <w:pPr>
        <w:spacing w:after="0" w:line="117"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We primarily finance our assets through collateralized borrowings structured as repurchase agreements (“repo”). We enter into these agreements on a bilateral basis with financial institutions and independent dealers, as well as through tri-party and centrally cleared repo platforms—such as the FICC’s GCF Repo service—accessed through our wholly-owned, registered broker-dealer subsidiary, Bethesda Securities, LLC. We manage our repo funding through counterparty diversification, maintaining a suitable maturity profile, interest rate hedging, and other strategies. In addition to repo, we also utilize TBA dollar roll transactions to synthetically finance Agency RMBS.</w:t>
      </w:r>
    </w:p>
    <w:p>
      <w:pPr>
        <w:spacing w:after="0" w:line="132"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The terms of bilateral repurchase agreements are established on a transaction-by-transaction basis at the time each borrowing is initiated or renewed and are governed by the provisions of a Master Repurchase Agreement. For GCF Repo transactions, the terms and conditions are set by the FICC’s clearing rules and applicable operating procedures. Each of our repurchase agreements requires that borrowed amounts be subject to collateralization requirements, and interest rates are generally fixed and reflect prevailing market rates for the specified borrowing term and collateral type. Our repurchase agreement counterparties are not obligated to renew or enter into new borrowings upon the maturity of existing agreements.</w:t>
      </w:r>
    </w:p>
    <w:p>
      <w:pPr>
        <w:spacing w:after="0" w:line="132"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TBA dollar roll transactions enhance our funding diversification, expand our available pool of assets, and improve our liquidity position by typically requiring less collateral than Agency RMBS financed with repo. These transactions may also benefit from lower implied costs, or “specialness.” However, if rolling TBA contracts into future months becomes uneconomical, we may need to take physical delivery of the underlying securities and fund those securities with other sources, potentially reducing our liquidity position.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 Requirements and Unencumbered Assets</w:t>
      </w:r>
    </w:p>
    <w:p>
      <w:pPr>
        <w:spacing w:after="0" w:line="167"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Borrowing capacity under our repurchase agreements is influenced by counterparty margin requirements, collateral values, interest rates, risk limits, and counterparties’ willingness and ability to lend. These factors may change over time in response to interest rate movements, overall market liquidity, shifts in credit quality and changes in bank regulatory requirements. Centrally cleared repo capacity also depends on Bethesda Securities’ continued compliance with regulatory and FICC membership requirements and maintaining its risk exposure within limits established by the FICC.</w:t>
      </w:r>
    </w:p>
    <w:p>
      <w:pPr>
        <w:spacing w:after="0" w:line="131"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Haircuts for bilateral repurchase agreements are determined on a transaction-specific basis. A haircut is a discount applied to the market value of pledged collateral to protect the counterparty against potential declines in its value and potential costs of selling collateral after a default. When collateral values decline, counterparties typically issue a margin call requiring us to post additional collateral to restore the required collateralization level. Conversely, if the value of pledged securities rises, we may request the return of excess collateral. Collateral values are determined by our counterparties, who are required to act in good faith.</w:t>
      </w:r>
    </w:p>
    <w:p>
      <w:pPr>
        <w:spacing w:after="0" w:line="132" w:lineRule="exact"/>
        <w:rPr>
          <w:sz w:val="20"/>
          <w:szCs w:val="20"/>
          <w:color w:val="auto"/>
        </w:rPr>
      </w:pPr>
    </w:p>
    <w:p>
      <w:pPr>
        <w:jc w:val="both"/>
        <w:ind w:firstLine="436"/>
        <w:spacing w:after="0" w:line="250" w:lineRule="auto"/>
        <w:rPr>
          <w:sz w:val="20"/>
          <w:szCs w:val="20"/>
          <w:color w:val="auto"/>
        </w:rPr>
      </w:pPr>
      <w:r>
        <w:rPr>
          <w:rFonts w:ascii="Times New Roman" w:cs="Times New Roman" w:eastAsia="Times New Roman" w:hAnsi="Times New Roman"/>
          <w:sz w:val="18"/>
          <w:szCs w:val="18"/>
          <w:color w:val="auto"/>
        </w:rPr>
        <w:t>For centrally cleared GCF Repo transactions, margin requirements are set by the FICC. These include an initial margin requirement, calculated daily using a Value-at-Risk (“VaR”) model, which evaluates Bethesda Securities’ net exposure to the FICC, taking into account the offsetting risk sensitivities of positions such as repos and reverse repos. Initial margin is designed to protect the FICC against potential future exposure from a member default and may also be used to cover losses arising from the default of other clearing members, subject to assessments from the loss mutualization waterfall and applicable caps and withdrawal provisions set pursuant to FICC rules. The FICC also imposes daily variation margin, based on amounts borrowed plus accrued interest, adjusted for fluctuations in collateral value, which is intended to cover the current exposure associated with the repo transaction.</w:t>
      </w:r>
    </w:p>
    <w:p>
      <w:pPr>
        <w:spacing w:after="0" w:line="132" w:lineRule="exact"/>
        <w:rPr>
          <w:sz w:val="20"/>
          <w:szCs w:val="20"/>
          <w:color w:val="auto"/>
        </w:rPr>
      </w:pPr>
    </w:p>
    <w:p>
      <w:pPr>
        <w:jc w:val="both"/>
        <w:ind w:firstLine="436"/>
        <w:spacing w:after="0" w:line="239" w:lineRule="auto"/>
        <w:rPr>
          <w:sz w:val="20"/>
          <w:szCs w:val="20"/>
          <w:color w:val="auto"/>
        </w:rPr>
      </w:pPr>
      <w:r>
        <w:rPr>
          <w:rFonts w:ascii="Times New Roman" w:cs="Times New Roman" w:eastAsia="Times New Roman" w:hAnsi="Times New Roman"/>
          <w:sz w:val="18"/>
          <w:szCs w:val="18"/>
          <w:color w:val="auto"/>
        </w:rPr>
        <w:t>Margin thresholds may increase during periods of elevated market volatility, which could adversely affect our liquidity position. In addition, repo counterparties typically reduce the collateral values assigned to Agency RMBS each month to reflect principal repayments. Bilateral repo counterparties make this adjustment upon the publication of the pay-down factor by Fannie Mae, Freddie Mac or Ginnie Mae on the fifth business day following month-end, even though principal payments are generally not received until the 25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calendar day following month-end. The FICC assesses margin on the last business day of each month—prior to the factor release—using internally projected pay-down rates and subsequently adjusts collateral requirements to reflect the actual factor data when released.</w:t>
      </w:r>
    </w:p>
    <w:p>
      <w:pPr>
        <w:spacing w:after="0" w:line="144"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The timing difference between margin calls related to principal pay-downs and our receipt of the corresponding cash flows temporarily reduces our available liquidity each month. We manage this liquidity risk by monitoring factors that influence prepayment activity and through disciplined asset selection. As of September 30, 2026, approximately 3% of our investment portfolio consisted of TBA securities, which are not subject to monthly principal pay-downs. The remainder of our portfolio, primarily consisting of Agency RMBS, had an average one-year CPR forecast of 6%.</w:t>
      </w:r>
    </w:p>
    <w:p>
      <w:pPr>
        <w:spacing w:after="0" w:line="131" w:lineRule="exact"/>
        <w:rPr>
          <w:sz w:val="20"/>
          <w:szCs w:val="20"/>
          <w:color w:val="auto"/>
        </w:rPr>
      </w:pPr>
    </w:p>
    <w:p>
      <w:pPr>
        <w:jc w:val="both"/>
        <w:ind w:firstLine="436"/>
        <w:spacing w:after="0" w:line="250" w:lineRule="auto"/>
        <w:rPr>
          <w:sz w:val="20"/>
          <w:szCs w:val="20"/>
          <w:color w:val="auto"/>
        </w:rPr>
      </w:pPr>
      <w:r>
        <w:rPr>
          <w:rFonts w:ascii="Times New Roman" w:cs="Times New Roman" w:eastAsia="Times New Roman" w:hAnsi="Times New Roman"/>
          <w:sz w:val="18"/>
          <w:szCs w:val="18"/>
          <w:color w:val="auto"/>
        </w:rPr>
        <w:t>Collateral requirements under our derivative agreements are typically subject to initial and variation margin requirements, similar to those for centrally cleared repo transactions, and may be adjusted based on changes in the value of the derivative agreements, collateral values, market volatility, and other factors. Collateral requirements for our TBA contracts are governed by the Mortgage-Backed Securities Division (“MBSD”) of the FICC. Collateral levels for interest rate swap agreements are established by the central clearing exchange and the associated futures commission merchants (“FCMs”), which may impose margin requirements in excess of those required by the clearing exchange. Collateral requirements for non-centrally cleared derivatives are set by the counterparty financial institution.</w:t>
      </w:r>
    </w:p>
    <w:p>
      <w:pPr>
        <w:spacing w:after="0" w:line="132" w:lineRule="exact"/>
        <w:rPr>
          <w:sz w:val="20"/>
          <w:szCs w:val="20"/>
          <w:color w:val="auto"/>
        </w:rPr>
      </w:pPr>
    </w:p>
    <w:p>
      <w:pPr>
        <w:jc w:val="both"/>
        <w:ind w:firstLine="436"/>
        <w:spacing w:after="0" w:line="250" w:lineRule="auto"/>
        <w:rPr>
          <w:sz w:val="20"/>
          <w:szCs w:val="20"/>
          <w:color w:val="auto"/>
        </w:rPr>
      </w:pPr>
      <w:r>
        <w:rPr>
          <w:rFonts w:ascii="Times New Roman" w:cs="Times New Roman" w:eastAsia="Times New Roman" w:hAnsi="Times New Roman"/>
          <w:sz w:val="18"/>
          <w:szCs w:val="18"/>
          <w:color w:val="auto"/>
        </w:rPr>
        <w:t>Haircut levels and initial or additional minimum margin requirements reduce the amount of our unencumbered assets and limit our borrowing capacity. Margin calls for repo and TBA transactions are typically due on the same business day, while margin calls for interest rate swaps and other derivative transactions are typically due on the next business day, subject to notice provisions. During the three and nine months ended September 30, 2026, haircuts and initial margin requirements on our repo funding arrangements remained stable. As of September 30, 2026, the weighted average haircut and initial margin on our repurchase agreements were approximately 3.4% of the value of our collateral, compared to 3.1% as of December 31, 2025. We were in compliance with all margin requirements as of September 30, 2026.</w:t>
      </w:r>
    </w:p>
    <w:p>
      <w:pPr>
        <w:spacing w:after="0" w:line="132"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To mitigate the risk of margin calls, we seek to maintain excess liquidity by holding unencumbered liquid assets that can be used to satisfy collateral requirements, collateralize additional borrowings or be sold for cash. As of September 30, 2026, our unencumbered assets totaled approximately $6.3 billion, or 57% of tangible equity, consisting of $6.3 billion of cash and unencumbered Agency RMBS and $0.1 billion of unencumbered credit assets. This compares to approximately $7.7 billion of unencumbered assets, or 65% of tangible equity, as of December 31, 2025, consisting of $7.6 billion of cash and unencumbered Agency RMBS and $0.1 billion of unencumbered credit assets.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44" w:name="page45"/>
    <w:bookmarkEnd w:id="44"/>
    <w:p>
      <w:pPr>
        <w:jc w:val="both"/>
        <w:ind w:firstLine="436"/>
        <w:spacing w:after="0" w:line="270" w:lineRule="auto"/>
        <w:rPr>
          <w:sz w:val="20"/>
          <w:szCs w:val="20"/>
          <w:color w:val="auto"/>
        </w:rPr>
      </w:pPr>
      <w:r>
        <w:rPr>
          <w:rFonts w:ascii="Times New Roman" w:cs="Times New Roman" w:eastAsia="Times New Roman" w:hAnsi="Times New Roman"/>
          <w:sz w:val="18"/>
          <w:szCs w:val="18"/>
          <w:color w:val="auto"/>
        </w:rPr>
        <w:t>For additional details regarding assets pledged under our repo and derivative agreements refer to Note 6 to our Consolidated Financial Statements in this Form 10-Q.</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Risk</w:t>
      </w:r>
    </w:p>
    <w:p>
      <w:pPr>
        <w:spacing w:after="0" w:line="167"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Collateral requirements imposed by counterparties subject us to the risk that pledged assets may not be returned to us as and when required. We attempt to manage this risk by actively monitoring our collateral positions and limiting our counterparties to registered clearinghouses and regulated financial institutions, including banks and broker-dealers (both bank affiliated and independent) with acceptable credit ratings. We also diversify our funding sources across multiple counterparties and geographic regions.</w:t>
      </w:r>
    </w:p>
    <w:p>
      <w:pPr>
        <w:spacing w:after="0" w:line="131"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As of September 30, 2026, our maximum amount at risk (or the excess/shortfall of the value of collateral pledged/received over our repurchase agreement liabilities/reverse repurchase agreement receivables) with any of our repurchase agreement counterparties, excluding the FICC, was less than 2% of our tangible stockholders’ equity, with our top five repo counterparties, excluding the FICC, representing 5% of our tangible stockholders’ equity. As of September 30, 2026, less than 14% of our tangible stockholders’ equity was at risk with the FICC. Excluding central clearing exchanges, as of September 30, 2026, our amount at risk with any counterparty to our derivative agreements was less than 1% of our tangible stockholders’ equity.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Sales</w:t>
      </w:r>
    </w:p>
    <w:p>
      <w:pPr>
        <w:spacing w:after="0" w:line="167" w:lineRule="exact"/>
        <w:rPr>
          <w:sz w:val="20"/>
          <w:szCs w:val="20"/>
          <w:color w:val="auto"/>
        </w:rPr>
      </w:pPr>
    </w:p>
    <w:p>
      <w:pPr>
        <w:jc w:val="both"/>
        <w:ind w:firstLine="436"/>
        <w:spacing w:after="0" w:line="249" w:lineRule="auto"/>
        <w:rPr>
          <w:sz w:val="20"/>
          <w:szCs w:val="20"/>
          <w:color w:val="auto"/>
        </w:rPr>
      </w:pPr>
      <w:r>
        <w:rPr>
          <w:rFonts w:ascii="Times New Roman" w:cs="Times New Roman" w:eastAsia="Times New Roman" w:hAnsi="Times New Roman"/>
          <w:sz w:val="18"/>
          <w:szCs w:val="18"/>
          <w:color w:val="auto"/>
        </w:rPr>
        <w:t xml:space="preserve">Agency RMBS are among the most liquid fixed income securities, and the TBA market is the second most liquid market (after the U.S. Treasury market). Although market conditions fluctuate, the vitality of these markets enables us to sell assets under most conditions to generate liquidity through direct sales or delivery into TBA contracts, subject to “good delivery” provisions promulgated by the Securities Industry and Financial Markets Association (“SIFMA”). Under certain market conditions, however, we may be unable to realize the full carrying value of our securities. We attempt to manage this risk by maintaining at least a minimum level of securities that trade at or near TBA values that in our estimation enhances our portfolio liquidity across a wide range of market conditions. Please refer to </w:t>
      </w:r>
      <w:r>
        <w:rPr>
          <w:rFonts w:ascii="Times New Roman" w:cs="Times New Roman" w:eastAsia="Times New Roman" w:hAnsi="Times New Roman"/>
          <w:sz w:val="18"/>
          <w:szCs w:val="18"/>
          <w:i w:val="1"/>
          <w:iCs w:val="1"/>
          <w:color w:val="auto"/>
        </w:rPr>
        <w:t>Trends and Recent Market Impacts</w:t>
      </w:r>
      <w:r>
        <w:rPr>
          <w:rFonts w:ascii="Times New Roman" w:cs="Times New Roman" w:eastAsia="Times New Roman" w:hAnsi="Times New Roman"/>
          <w:sz w:val="18"/>
          <w:szCs w:val="18"/>
          <w:color w:val="auto"/>
        </w:rPr>
        <w:t xml:space="preserve"> of this Management’s Discussion and Analysis for further information regarding Agency RMBS and TBA market conditions.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Markets</w:t>
      </w:r>
    </w:p>
    <w:p>
      <w:pPr>
        <w:spacing w:after="0" w:line="167"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7"/>
          <w:szCs w:val="17"/>
          <w:color w:val="auto"/>
        </w:rPr>
        <w:t>Equity capital markets serve as a source of capital to grow our business and to meet potential liquidity needs. The availability of equity capital is dependent on market conditions and investor demand for our common and preferred stock. We will typically not issue common stock at times when we believe the capital raised will not be accretive to our tangible net book value or earnings, and we will typically not issue preferred equity when its cost exceeds acceptable hurdle rates of return on our equity. We may also be unable to raise additional equity capital at suitable times or on favorable terms. As of September 30, 2026, we were authorized by our Board of Directors to enter into agreements with sales agents to publicly offer and sell shares of our common stock in privately negotiated and/or at-the-market transactions from time to time, up to a maximum aggregate offering price. As of September 30, 2026, shares of our common stock with an aggregate offering price of $1.1 billion remained authorized for issuance under this program through December 31, 2027. Please refer to Note 9 of our Consolidated Financial Statements in this Form 10-Q for further details regarding our recent at-the-market transactions.</w:t>
      </w:r>
    </w:p>
    <w:p>
      <w:pPr>
        <w:spacing w:after="0" w:line="122" w:lineRule="exact"/>
        <w:rPr>
          <w:sz w:val="20"/>
          <w:szCs w:val="20"/>
          <w:color w:val="auto"/>
        </w:rPr>
      </w:pPr>
    </w:p>
    <w:p>
      <w:pPr>
        <w:jc w:val="both"/>
        <w:ind w:firstLine="436"/>
        <w:spacing w:after="0" w:line="273" w:lineRule="auto"/>
        <w:rPr>
          <w:sz w:val="20"/>
          <w:szCs w:val="20"/>
          <w:color w:val="auto"/>
        </w:rPr>
      </w:pPr>
      <w:r>
        <w:rPr>
          <w:rFonts w:ascii="Times New Roman" w:cs="Times New Roman" w:eastAsia="Times New Roman" w:hAnsi="Times New Roman"/>
          <w:sz w:val="17"/>
          <w:szCs w:val="17"/>
          <w:color w:val="auto"/>
        </w:rPr>
        <w:t>Separately, when the trading price of our common stock is equal to or less than our then-current estimate of our tangible net book value per common share, among other conditions, we may repurchase shares of our common stock pursuant to the stock repurchase plan authorized by our Board. As of September 30, 2026, $1.0 billion remained authorized to repurchase shares of our common stock through December 31, 2026. Please refer to Note 11 of our Consolidated Financial Statements in this Form 10-Q for information about the reauthorization of our stock repurchase plan through December 31, 2028.</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5"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As of September 30, 2026,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September 30, 2026, we had not guaranteed obligations of unconsolidated entities or entered into a commitment or intent to provide funding to such entities.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5"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The statements contained in this Quarterly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of 1995. Forward-looking statements are typically identified by words such as “believe,” “plan,” “expect,” “anticipate,”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45" w:name="page46"/>
    <w:bookmarkEnd w:id="45"/>
    <w:p>
      <w:pPr>
        <w:jc w:val="both"/>
        <w:spacing w:after="0" w:line="270" w:lineRule="auto"/>
        <w:rPr>
          <w:sz w:val="20"/>
          <w:szCs w:val="20"/>
          <w:color w:val="auto"/>
        </w:rPr>
      </w:pPr>
      <w:r>
        <w:rPr>
          <w:rFonts w:ascii="Times New Roman" w:cs="Times New Roman" w:eastAsia="Times New Roman" w:hAnsi="Times New Roman"/>
          <w:sz w:val="18"/>
          <w:szCs w:val="18"/>
          <w:color w:val="auto"/>
        </w:rPr>
        <w:t>“see,” “intend,” “outlook,” “potential,” “forecast,” “estimate,” “will,” “could,” “should,” “likely” and other similar, correlative or comparable words and expressions.</w:t>
      </w:r>
    </w:p>
    <w:p>
      <w:pPr>
        <w:spacing w:after="0" w:line="115"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Forward-looking statements are based on management’s assumptions, projections and beliefs as of the date of this Quarterly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spacing w:after="0" w:line="61" w:lineRule="exact"/>
        <w:rPr>
          <w:sz w:val="20"/>
          <w:szCs w:val="20"/>
          <w:color w:val="auto"/>
        </w:rPr>
      </w:pPr>
    </w:p>
    <w:p>
      <w:pPr>
        <w:ind w:left="640" w:hanging="23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degree and extent of volatility in interest rates or the yield on our assets relative to interest rate benchmarks;</w:t>
      </w:r>
    </w:p>
    <w:p>
      <w:pPr>
        <w:spacing w:after="0" w:line="57" w:lineRule="exact"/>
        <w:rPr>
          <w:rFonts w:ascii="Times New Roman" w:cs="Times New Roman" w:eastAsia="Times New Roman" w:hAnsi="Times New Roman"/>
          <w:sz w:val="18"/>
          <w:szCs w:val="18"/>
          <w:color w:val="auto"/>
        </w:rPr>
      </w:pPr>
    </w:p>
    <w:p>
      <w:pPr>
        <w:ind w:left="640" w:hanging="23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mortgage prepayment rates on the loans underlying our Agency RMBS;</w:t>
      </w:r>
    </w:p>
    <w:p>
      <w:pPr>
        <w:spacing w:after="0" w:line="57" w:lineRule="exact"/>
        <w:rPr>
          <w:rFonts w:ascii="Times New Roman" w:cs="Times New Roman" w:eastAsia="Times New Roman" w:hAnsi="Times New Roman"/>
          <w:sz w:val="18"/>
          <w:szCs w:val="18"/>
          <w:color w:val="auto"/>
        </w:rPr>
      </w:pPr>
    </w:p>
    <w:p>
      <w:pPr>
        <w:ind w:left="640" w:hanging="23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our financing and hedge positions;</w:t>
      </w:r>
    </w:p>
    <w:p>
      <w:pPr>
        <w:spacing w:after="0" w:line="43" w:lineRule="exact"/>
        <w:rPr>
          <w:rFonts w:ascii="Times New Roman" w:cs="Times New Roman" w:eastAsia="Times New Roman" w:hAnsi="Times New Roman"/>
          <w:sz w:val="18"/>
          <w:szCs w:val="18"/>
          <w:color w:val="auto"/>
        </w:rPr>
      </w:pPr>
    </w:p>
    <w:p>
      <w:pPr>
        <w:ind w:left="640" w:hanging="238"/>
        <w:spacing w:after="0" w:line="254"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value of our assets, including from changes in net interest spreads, market liquidity or depth, and changes in our “at risk” leverage or hedge positions;</w:t>
      </w:r>
    </w:p>
    <w:p>
      <w:pPr>
        <w:spacing w:after="0" w:line="10" w:lineRule="exact"/>
        <w:rPr>
          <w:rFonts w:ascii="Times New Roman" w:cs="Times New Roman" w:eastAsia="Times New Roman" w:hAnsi="Times New Roman"/>
          <w:sz w:val="18"/>
          <w:szCs w:val="18"/>
          <w:color w:val="auto"/>
        </w:rPr>
      </w:pPr>
    </w:p>
    <w:p>
      <w:pPr>
        <w:ind w:left="640" w:hanging="23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yield curve;</w:t>
      </w:r>
    </w:p>
    <w:p>
      <w:pPr>
        <w:spacing w:after="0" w:line="43" w:lineRule="exact"/>
        <w:rPr>
          <w:rFonts w:ascii="Times New Roman" w:cs="Times New Roman" w:eastAsia="Times New Roman" w:hAnsi="Times New Roman"/>
          <w:sz w:val="18"/>
          <w:szCs w:val="18"/>
          <w:color w:val="auto"/>
        </w:rPr>
      </w:pPr>
    </w:p>
    <w:p>
      <w:pPr>
        <w:ind w:left="640" w:hanging="23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mitigation strategies;</w:t>
      </w:r>
    </w:p>
    <w:p>
      <w:pPr>
        <w:spacing w:after="0" w:line="43" w:lineRule="exact"/>
        <w:rPr>
          <w:rFonts w:ascii="Times New Roman" w:cs="Times New Roman" w:eastAsia="Times New Roman" w:hAnsi="Times New Roman"/>
          <w:sz w:val="18"/>
          <w:szCs w:val="18"/>
          <w:color w:val="auto"/>
        </w:rPr>
      </w:pPr>
    </w:p>
    <w:p>
      <w:pPr>
        <w:ind w:left="640" w:hanging="238"/>
        <w:spacing w:after="0" w:line="252"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market for Agency RMBS and other mortgage securities, including changes in the available supply of such securities or investor appetite therefor;</w:t>
      </w:r>
    </w:p>
    <w:p>
      <w:pPr>
        <w:spacing w:after="0" w:line="1" w:lineRule="exact"/>
        <w:rPr>
          <w:rFonts w:ascii="Times New Roman" w:cs="Times New Roman" w:eastAsia="Times New Roman" w:hAnsi="Times New Roman"/>
          <w:sz w:val="18"/>
          <w:szCs w:val="18"/>
          <w:color w:val="auto"/>
        </w:rPr>
      </w:pPr>
    </w:p>
    <w:p>
      <w:pPr>
        <w:ind w:left="640" w:right="20" w:hanging="238"/>
        <w:spacing w:after="0" w:line="254"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monetary policy or interest rates, including actions taken by the Federal Reserve to adjust the size or composition of its U.S. Treasury and Agency RMBS bond portfolio or to influence funding markets;</w:t>
      </w:r>
    </w:p>
    <w:p>
      <w:pPr>
        <w:spacing w:after="0" w:line="10" w:lineRule="exact"/>
        <w:rPr>
          <w:rFonts w:ascii="Times New Roman" w:cs="Times New Roman" w:eastAsia="Times New Roman" w:hAnsi="Times New Roman"/>
          <w:sz w:val="18"/>
          <w:szCs w:val="18"/>
          <w:color w:val="auto"/>
        </w:rPr>
      </w:pPr>
    </w:p>
    <w:p>
      <w:pPr>
        <w:ind w:left="640" w:hanging="238"/>
        <w:spacing w:after="0" w:line="254"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government entity purchases or dispositions of Agency RMBS or other actions that directly or indirectly increase demand or supply of Agency RMBS or affect prepayment speeds;</w:t>
      </w:r>
    </w:p>
    <w:p>
      <w:pPr>
        <w:spacing w:after="0" w:line="10" w:lineRule="exact"/>
        <w:rPr>
          <w:rFonts w:ascii="Times New Roman" w:cs="Times New Roman" w:eastAsia="Times New Roman" w:hAnsi="Times New Roman"/>
          <w:sz w:val="18"/>
          <w:szCs w:val="18"/>
          <w:color w:val="auto"/>
        </w:rPr>
      </w:pPr>
    </w:p>
    <w:p>
      <w:pPr>
        <w:ind w:left="640" w:hanging="238"/>
        <w:spacing w:after="0" w:line="254"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effects of actions by the federal, state, or local governments that affect the economy, the housing sector or financial markets, including actions relating to fiscal policy;</w:t>
      </w:r>
    </w:p>
    <w:p>
      <w:pPr>
        <w:spacing w:after="0" w:line="10" w:lineRule="exact"/>
        <w:rPr>
          <w:rFonts w:ascii="Times New Roman" w:cs="Times New Roman" w:eastAsia="Times New Roman" w:hAnsi="Times New Roman"/>
          <w:sz w:val="18"/>
          <w:szCs w:val="18"/>
          <w:color w:val="auto"/>
        </w:rPr>
      </w:pPr>
    </w:p>
    <w:p>
      <w:pPr>
        <w:jc w:val="both"/>
        <w:ind w:left="640" w:hanging="238"/>
        <w:spacing w:after="0" w:line="242"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effects of geopolitical events, including war, terrorism, civil discord, embargoes, trade or other disputes, or natural disasters, on conditions in the markets for Agency RMBS or other mortgage securities, the terms or availability of funding for our business, or our ongoing business operations;</w:t>
      </w:r>
    </w:p>
    <w:p>
      <w:pPr>
        <w:spacing w:after="0" w:line="20" w:lineRule="exact"/>
        <w:rPr>
          <w:rFonts w:ascii="Times New Roman" w:cs="Times New Roman" w:eastAsia="Times New Roman" w:hAnsi="Times New Roman"/>
          <w:sz w:val="18"/>
          <w:szCs w:val="18"/>
          <w:color w:val="auto"/>
        </w:rPr>
      </w:pPr>
    </w:p>
    <w:p>
      <w:pPr>
        <w:ind w:left="640" w:hanging="23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personnel, operational resources, information technology and other systems to conduct our operations;</w:t>
      </w:r>
    </w:p>
    <w:p>
      <w:pPr>
        <w:spacing w:after="0" w:line="43" w:lineRule="exact"/>
        <w:rPr>
          <w:rFonts w:ascii="Times New Roman" w:cs="Times New Roman" w:eastAsia="Times New Roman" w:hAnsi="Times New Roman"/>
          <w:sz w:val="18"/>
          <w:szCs w:val="18"/>
          <w:color w:val="auto"/>
        </w:rPr>
      </w:pPr>
    </w:p>
    <w:p>
      <w:pPr>
        <w:jc w:val="both"/>
        <w:ind w:left="640" w:hanging="238"/>
        <w:spacing w:after="0" w:line="242"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laws, regulations, rules or policies that affect the GSEs, the primary or secondary mortgage markets in which we participate or U.S. housing finance activity, including actions that would end or alter the conservatorships of Fannie Mae or Freddie Mac or their quasi-governmental status; and</w:t>
      </w:r>
    </w:p>
    <w:p>
      <w:pPr>
        <w:spacing w:after="0" w:line="7" w:lineRule="exact"/>
        <w:rPr>
          <w:rFonts w:ascii="Times New Roman" w:cs="Times New Roman" w:eastAsia="Times New Roman" w:hAnsi="Times New Roman"/>
          <w:sz w:val="18"/>
          <w:szCs w:val="18"/>
          <w:color w:val="auto"/>
        </w:rPr>
      </w:pPr>
    </w:p>
    <w:p>
      <w:pPr>
        <w:ind w:left="640" w:hanging="23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 that affect our status as a REIT or our exemption from the Investment Company Act of 1940.</w:t>
      </w:r>
    </w:p>
    <w:p>
      <w:pPr>
        <w:spacing w:after="0" w:line="163"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under Item 1A. </w:t>
      </w:r>
      <w:r>
        <w:rPr>
          <w:rFonts w:ascii="Times New Roman" w:cs="Times New Roman" w:eastAsia="Times New Roman" w:hAnsi="Times New Roman"/>
          <w:sz w:val="18"/>
          <w:szCs w:val="18"/>
          <w:i w:val="1"/>
          <w:iCs w:val="1"/>
          <w:color w:val="auto"/>
        </w:rPr>
        <w:t xml:space="preserve">Risk Factors </w:t>
      </w:r>
      <w:r>
        <w:rPr>
          <w:rFonts w:ascii="Times New Roman" w:cs="Times New Roman" w:eastAsia="Times New Roman" w:hAnsi="Times New Roman"/>
          <w:sz w:val="18"/>
          <w:szCs w:val="18"/>
          <w:color w:val="auto"/>
        </w:rPr>
        <w:t>in Part I of our most recent Annual Report on Form 10-K and Part II of this Form 10-Q. We caution readers not to place undue reliance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forward-looking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AND SOCIAL MEDIA DISCLOSURE</w:t>
      </w:r>
    </w:p>
    <w:p>
      <w:pPr>
        <w:spacing w:after="0" w:line="165"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We use our website (www.AGNC.com) and AGNC’s LinkedIn (www.linkedin.com/company/agnc-investment-corp/) and X (www.x.com/AGNCInvestment) accounts to distribute information about the Company. Investors should monitor these channels in addition to our press releases, filings with the U.S. Securities and Exchange Commission (“SEC”), public conference calls and webcasts, as information posted through them may be deemed material. Our website, alerts and social media channels are not incorporated by reference into, and are not a part of, this or any other report filed with or furnished to the SEC. Investors and others may automatically receive emails and information about AGNC when they sign up for investor alerts on the “Investor Resources” tab of the Investor Relations section of our website.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67" w:lineRule="exact"/>
        <w:rPr>
          <w:sz w:val="20"/>
          <w:szCs w:val="20"/>
          <w:color w:val="auto"/>
        </w:rPr>
      </w:pPr>
    </w:p>
    <w:p>
      <w:pPr>
        <w:jc w:val="both"/>
        <w:ind w:firstLine="436"/>
        <w:spacing w:after="0" w:line="270"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7" w:lineRule="exact"/>
        <w:rPr>
          <w:sz w:val="20"/>
          <w:szCs w:val="20"/>
          <w:color w:val="auto"/>
        </w:rPr>
      </w:pPr>
    </w:p>
    <w:p>
      <w:pPr>
        <w:jc w:val="both"/>
        <w:ind w:firstLine="436"/>
        <w:spacing w:after="0" w:line="270" w:lineRule="auto"/>
        <w:rPr>
          <w:sz w:val="20"/>
          <w:szCs w:val="20"/>
          <w:color w:val="auto"/>
        </w:rPr>
      </w:pPr>
      <w:r>
        <w:rPr>
          <w:rFonts w:ascii="Times New Roman" w:cs="Times New Roman" w:eastAsia="Times New Roman" w:hAnsi="Times New Roman"/>
          <w:sz w:val="18"/>
          <w:szCs w:val="18"/>
          <w:color w:val="auto"/>
        </w:rPr>
        <w:t>We are subject to interest rate risk in connection with the fixed income nature of our assets and the short-term, variable rate nature of our financing obligations. Our operating results depend in large part on differences between the income earned 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46" w:name="page47"/>
    <w:bookmarkEnd w:id="46"/>
    <w:p>
      <w:pPr>
        <w:jc w:val="both"/>
        <w:spacing w:after="0" w:line="253" w:lineRule="auto"/>
        <w:rPr>
          <w:sz w:val="20"/>
          <w:szCs w:val="20"/>
          <w:color w:val="auto"/>
        </w:rPr>
      </w:pPr>
      <w:r>
        <w:rPr>
          <w:rFonts w:ascii="Times New Roman" w:cs="Times New Roman" w:eastAsia="Times New Roman" w:hAnsi="Times New Roman"/>
          <w:sz w:val="18"/>
          <w:szCs w:val="18"/>
          <w:color w:val="auto"/>
        </w:rPr>
        <w:t>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31" w:lineRule="exact"/>
        <w:rPr>
          <w:sz w:val="20"/>
          <w:szCs w:val="20"/>
          <w:color w:val="auto"/>
        </w:rPr>
      </w:pPr>
    </w:p>
    <w:p>
      <w:pPr>
        <w:jc w:val="both"/>
        <w:ind w:firstLine="436"/>
        <w:spacing w:after="0" w:line="249"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w:t>
      </w:r>
    </w:p>
    <w:p>
      <w:pPr>
        <w:spacing w:after="0" w:line="134" w:lineRule="exact"/>
        <w:rPr>
          <w:sz w:val="20"/>
          <w:szCs w:val="20"/>
          <w:color w:val="auto"/>
        </w:rPr>
      </w:pPr>
    </w:p>
    <w:p>
      <w:pPr>
        <w:jc w:val="both"/>
        <w:ind w:firstLine="436"/>
        <w:spacing w:after="0" w:line="250" w:lineRule="auto"/>
        <w:rPr>
          <w:sz w:val="20"/>
          <w:szCs w:val="20"/>
          <w:color w:val="auto"/>
        </w:rPr>
      </w:pPr>
      <w:r>
        <w:rPr>
          <w:rFonts w:ascii="Times New Roman" w:cs="Times New Roman" w:eastAsia="Times New Roman" w:hAnsi="Times New Roman"/>
          <w:sz w:val="18"/>
          <w:szCs w:val="18"/>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32"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We estimate the duration and convexity of our assets using a third-party risk management system and market data. We review the estimates for reasonableness, giving consideration to any unique characteristics of our securities, market conditions and other factors likely to impact these estimates, and based on our judgment we may make adjustments to the third-party estimates. Our estimated duration gap, which is a measure of the difference between the interest rate sensitivity of our assets and our liabilities, inclusive of interest rate hedges, was 0.8 years as of September 30, 2026, compared to 0.4 years as of December 31, 2025.</w:t>
      </w:r>
    </w:p>
    <w:p>
      <w:pPr>
        <w:spacing w:after="0" w:line="132"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The table below quantifies the estimated changes in the fair value of our investment portfolio (including derivatives and other securities used for hedging purposes) and in our tangible net book value per common share as of September 30, 2026 and December 31, 2025 should interest rates go up or down by 25, 50 and 75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September 30, 2026 and December 31, 2025.</w:t>
      </w:r>
    </w:p>
    <w:p>
      <w:pPr>
        <w:spacing w:after="0" w:line="132"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To the extent that these estimates or other assumptions do not hold true, which may be more likely during periods of elevated market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Interest Rate Sensitivity </w:t>
      </w:r>
      <w:r>
        <w:rPr>
          <w:rFonts w:ascii="Times New Roman" w:cs="Times New Roman" w:eastAsia="Times New Roman" w:hAnsi="Times New Roman"/>
          <w:sz w:val="18"/>
          <w:szCs w:val="18"/>
          <w:b w:val="1"/>
          <w:bCs w:val="1"/>
          <w:color w:val="auto"/>
          <w:vertAlign w:val="superscript"/>
        </w:rPr>
        <w:t>1,2</w:t>
      </w:r>
    </w:p>
    <w:p>
      <w:pPr>
        <w:spacing w:after="0" w:line="5" w:lineRule="exact"/>
        <w:rPr>
          <w:sz w:val="20"/>
          <w:szCs w:val="20"/>
          <w:color w:val="auto"/>
        </w:rPr>
      </w:pPr>
    </w:p>
    <w:tbl>
      <w:tblPr>
        <w:tblLayout w:type="fixed"/>
        <w:tblInd w:w="1240" w:type="dxa"/>
        <w:tblCellMar>
          <w:top w:w="0" w:type="dxa"/>
          <w:left w:w="0" w:type="dxa"/>
          <w:bottom w:w="0" w:type="dxa"/>
          <w:right w:w="0" w:type="dxa"/>
        </w:tblCellMar>
      </w:tblPr>
      <w:tr>
        <w:trPr>
          <w:trHeight w:val="198"/>
        </w:trPr>
        <w:tc>
          <w:tcPr>
            <w:tcW w:w="29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720" w:type="dxa"/>
            <w:vAlign w:val="bottom"/>
            <w:tcBorders>
              <w:top w:val="single" w:sz="8" w:color="auto"/>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Borders>
              <w:top w:val="single" w:sz="8" w:color="auto"/>
            </w:tcBorders>
          </w:tcPr>
          <w:p>
            <w:pPr>
              <w:spacing w:after="0"/>
              <w:rPr>
                <w:sz w:val="17"/>
                <w:szCs w:val="17"/>
                <w:color w:val="auto"/>
              </w:rPr>
            </w:pPr>
          </w:p>
        </w:tc>
        <w:tc>
          <w:tcPr>
            <w:tcW w:w="2780" w:type="dxa"/>
            <w:vAlign w:val="bottom"/>
            <w:tcBorders>
              <w:top w:val="single" w:sz="8" w:color="auto"/>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5"/>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Estimated Change</w:t>
            </w:r>
          </w:p>
        </w:tc>
        <w:tc>
          <w:tcPr>
            <w:tcW w:w="148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Change in</w:t>
            </w:r>
          </w:p>
        </w:tc>
        <w:tc>
          <w:tcPr>
            <w:tcW w:w="13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0" w:type="dxa"/>
            <w:vAlign w:val="bottom"/>
          </w:tcPr>
          <w:p>
            <w:pPr>
              <w:spacing w:after="0"/>
              <w:rPr>
                <w:sz w:val="1"/>
                <w:szCs w:val="1"/>
                <w:color w:val="auto"/>
              </w:rPr>
            </w:pPr>
          </w:p>
        </w:tc>
      </w:tr>
      <w:tr>
        <w:trPr>
          <w:trHeight w:val="145"/>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Tangible Net Book</w:t>
            </w:r>
          </w:p>
        </w:tc>
        <w:tc>
          <w:tcPr>
            <w:tcW w:w="1420" w:type="dxa"/>
            <w:vAlign w:val="bottom"/>
            <w:gridSpan w:val="2"/>
            <w:vMerge w:val="continue"/>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Tangible Net Book</w:t>
            </w:r>
          </w:p>
        </w:tc>
        <w:tc>
          <w:tcPr>
            <w:tcW w:w="0" w:type="dxa"/>
            <w:vAlign w:val="bottom"/>
          </w:tcPr>
          <w:p>
            <w:pPr>
              <w:spacing w:after="0"/>
              <w:rPr>
                <w:sz w:val="1"/>
                <w:szCs w:val="1"/>
                <w:color w:val="auto"/>
              </w:rPr>
            </w:pPr>
          </w:p>
        </w:tc>
      </w:tr>
      <w:tr>
        <w:trPr>
          <w:trHeight w:val="134"/>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Interest Rate</w:t>
            </w:r>
          </w:p>
        </w:tc>
        <w:tc>
          <w:tcPr>
            <w:tcW w:w="140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in Portfolio Market</w:t>
            </w:r>
          </w:p>
        </w:tc>
        <w:tc>
          <w:tcPr>
            <w:tcW w:w="148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4"/>
                <w:szCs w:val="14"/>
                <w:b w:val="1"/>
                <w:bCs w:val="1"/>
                <w:color w:val="auto"/>
                <w:w w:val="99"/>
              </w:rPr>
              <w:t>Value Per Common</w:t>
            </w:r>
          </w:p>
        </w:tc>
        <w:tc>
          <w:tcPr>
            <w:tcW w:w="142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rPr>
              <w:t>Portfolio Market</w:t>
            </w:r>
          </w:p>
        </w:tc>
        <w:tc>
          <w:tcPr>
            <w:tcW w:w="13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8"/>
              </w:rPr>
              <w:t>Value Per Common</w:t>
            </w:r>
          </w:p>
        </w:tc>
        <w:tc>
          <w:tcPr>
            <w:tcW w:w="0" w:type="dxa"/>
            <w:vAlign w:val="bottom"/>
          </w:tcPr>
          <w:p>
            <w:pPr>
              <w:spacing w:after="0"/>
              <w:rPr>
                <w:sz w:val="1"/>
                <w:szCs w:val="1"/>
                <w:color w:val="auto"/>
              </w:rPr>
            </w:pPr>
          </w:p>
        </w:tc>
      </w:tr>
      <w:tr>
        <w:trPr>
          <w:trHeight w:val="185"/>
        </w:trPr>
        <w:tc>
          <w:tcPr>
            <w:tcW w:w="3100" w:type="dxa"/>
            <w:vAlign w:val="bottom"/>
            <w:gridSpan w:val="2"/>
            <w:vMerge w:val="continue"/>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4"/>
        </w:trPr>
        <w:tc>
          <w:tcPr>
            <w:tcW w:w="2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+4.8%</w:t>
            </w: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7"/>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+3.7%</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+2.1%</w:t>
            </w: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+0.5%</w:t>
            </w:r>
          </w:p>
        </w:tc>
        <w:tc>
          <w:tcPr>
            <w:tcW w:w="0" w:type="dxa"/>
            <w:vAlign w:val="bottom"/>
          </w:tcPr>
          <w:p>
            <w:pPr>
              <w:spacing w:after="0"/>
              <w:rPr>
                <w:sz w:val="1"/>
                <w:szCs w:val="1"/>
                <w:color w:val="auto"/>
              </w:rPr>
            </w:pPr>
          </w:p>
        </w:tc>
      </w:tr>
      <w:tr>
        <w:trPr>
          <w:trHeight w:val="187"/>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7"/>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-7.7%</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ind w:left="640" w:hanging="317"/>
        <w:spacing w:after="0" w:line="252"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models that are dependent on inputs and assumptions, assumes there are no changes in mortgage spreads and assumes a static portfolio. Actual results could differ materially from these estimates.</w:t>
      </w:r>
    </w:p>
    <w:p>
      <w:pPr>
        <w:ind w:left="640" w:hanging="317"/>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derivatives and other securities used for hedging purposes. Interest rates are assumed to be floored at 0% in down rate scenarios.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 Risk and Extension Risk</w:t>
      </w:r>
    </w:p>
    <w:p>
      <w:pPr>
        <w:spacing w:after="0" w:line="167"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declining mortgage rates increase the rate of prepayments, while rising rates have the opposite effect.</w:t>
      </w:r>
    </w:p>
    <w:p>
      <w:pPr>
        <w:spacing w:after="0" w:line="127" w:lineRule="exact"/>
        <w:rPr>
          <w:sz w:val="20"/>
          <w:szCs w:val="20"/>
          <w:color w:val="auto"/>
        </w:rPr>
      </w:pPr>
    </w:p>
    <w:p>
      <w:pPr>
        <w:jc w:val="both"/>
        <w:ind w:firstLine="475"/>
        <w:spacing w:after="0" w:line="251" w:lineRule="auto"/>
        <w:rPr>
          <w:sz w:val="20"/>
          <w:szCs w:val="20"/>
          <w:color w:val="auto"/>
        </w:rPr>
      </w:pPr>
      <w:r>
        <w:rPr>
          <w:rFonts w:ascii="Times New Roman" w:cs="Times New Roman" w:eastAsia="Times New Roman" w:hAnsi="Times New Roman"/>
          <w:sz w:val="18"/>
          <w:szCs w:val="18"/>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 current period adjustment to interest income for the impact of the cumulative difference in the effective yield.</w:t>
      </w:r>
    </w:p>
    <w:p>
      <w:pPr>
        <w:spacing w:after="0" w:line="132"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 mortgages at a slower pace than originally anticipated, adversely impacting our net interest spread, and thus our net interest income.</w:t>
      </w:r>
    </w:p>
    <w:p>
      <w:pPr>
        <w:spacing w:after="0" w:line="131"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As of September 30, 2026 and December 31, 2025, our investment securities (excluding TBAs) had a weighted average projected CPR of 6.7% and 9.6%, respectively, and a weighted average yield of 4.99% and 4.93%, respectively. The table below presents estimated weighted average projected CPRs and yields for our investment securities should interest rates go up or down instantaneously by 25, 50 and 75 basis points. Estimated yields exclude the impact of retroactive “catch-up” premium amortization adjustments for prior periods due to changes in the projected CPR assumption.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Interest Rate Sensitivity </w:t>
      </w:r>
      <w:r>
        <w:rPr>
          <w:rFonts w:ascii="Times New Roman" w:cs="Times New Roman" w:eastAsia="Times New Roman" w:hAnsi="Times New Roman"/>
          <w:sz w:val="18"/>
          <w:szCs w:val="18"/>
          <w:b w:val="1"/>
          <w:bCs w:val="1"/>
          <w:color w:val="auto"/>
          <w:vertAlign w:val="superscript"/>
        </w:rPr>
        <w:t>1</w:t>
      </w:r>
    </w:p>
    <w:p>
      <w:pPr>
        <w:spacing w:after="0" w:line="5" w:lineRule="exact"/>
        <w:rPr>
          <w:sz w:val="20"/>
          <w:szCs w:val="20"/>
          <w:color w:val="auto"/>
        </w:rPr>
      </w:pPr>
    </w:p>
    <w:tbl>
      <w:tblPr>
        <w:tblLayout w:type="fixed"/>
        <w:tblInd w:w="1280" w:type="dxa"/>
        <w:tblCellMar>
          <w:top w:w="0" w:type="dxa"/>
          <w:left w:w="0" w:type="dxa"/>
          <w:bottom w:w="0" w:type="dxa"/>
          <w:right w:w="0" w:type="dxa"/>
        </w:tblCellMar>
      </w:tblPr>
      <w:tr>
        <w:trPr>
          <w:trHeight w:val="198"/>
        </w:trPr>
        <w:tc>
          <w:tcPr>
            <w:tcW w:w="30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660" w:type="dxa"/>
            <w:vAlign w:val="bottom"/>
            <w:tcBorders>
              <w:top w:val="single" w:sz="8" w:color="auto"/>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Borders>
              <w:top w:val="single" w:sz="8" w:color="auto"/>
            </w:tcBorders>
          </w:tcPr>
          <w:p>
            <w:pPr>
              <w:spacing w:after="0"/>
              <w:rPr>
                <w:sz w:val="17"/>
                <w:szCs w:val="17"/>
                <w:color w:val="auto"/>
              </w:rPr>
            </w:pPr>
          </w:p>
        </w:tc>
        <w:tc>
          <w:tcPr>
            <w:tcW w:w="2700" w:type="dxa"/>
            <w:vAlign w:val="bottom"/>
            <w:tcBorders>
              <w:top w:val="single" w:sz="8" w:color="auto"/>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5"/>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Interest Rate</w:t>
            </w:r>
          </w:p>
        </w:tc>
        <w:tc>
          <w:tcPr>
            <w:tcW w:w="160" w:type="dxa"/>
            <w:vAlign w:val="bottom"/>
            <w:vMerge w:val="restart"/>
          </w:tcPr>
          <w:p>
            <w:pPr>
              <w:spacing w:after="0"/>
              <w:rPr>
                <w:sz w:val="12"/>
                <w:szCs w:val="12"/>
                <w:color w:val="auto"/>
              </w:rPr>
            </w:pPr>
          </w:p>
        </w:tc>
        <w:tc>
          <w:tcPr>
            <w:tcW w:w="138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44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3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3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0" w:type="dxa"/>
            <w:vAlign w:val="bottom"/>
          </w:tcPr>
          <w:p>
            <w:pPr>
              <w:spacing w:after="0"/>
              <w:rPr>
                <w:sz w:val="1"/>
                <w:szCs w:val="1"/>
                <w:color w:val="auto"/>
              </w:rPr>
            </w:pPr>
          </w:p>
        </w:tc>
      </w:tr>
      <w:tr>
        <w:trPr>
          <w:trHeight w:val="198"/>
        </w:trPr>
        <w:tc>
          <w:tcPr>
            <w:tcW w:w="30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vMerge w:val="continue"/>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 CPR</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8"/>
              </w:rPr>
              <w:t xml:space="preserve">Asset Yield </w:t>
            </w:r>
            <w:r>
              <w:rPr>
                <w:rFonts w:ascii="Times New Roman" w:cs="Times New Roman" w:eastAsia="Times New Roman" w:hAnsi="Times New Roman"/>
                <w:sz w:val="18"/>
                <w:szCs w:val="18"/>
                <w:b w:val="1"/>
                <w:bCs w:val="1"/>
                <w:color w:val="auto"/>
                <w:w w:val="98"/>
                <w:vertAlign w:val="superscript"/>
              </w:rPr>
              <w:t>2</w:t>
            </w:r>
          </w:p>
        </w:tc>
        <w:tc>
          <w:tcPr>
            <w:tcW w:w="1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 CPR</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8"/>
              </w:rPr>
              <w:t xml:space="preserve">Asset Yield </w:t>
            </w:r>
            <w:r>
              <w:rPr>
                <w:rFonts w:ascii="Times New Roman" w:cs="Times New Roman" w:eastAsia="Times New Roman" w:hAnsi="Times New Roman"/>
                <w:sz w:val="18"/>
                <w:szCs w:val="18"/>
                <w:b w:val="1"/>
                <w:bCs w:val="1"/>
                <w:color w:val="auto"/>
                <w:w w:val="98"/>
                <w:vertAlign w:val="superscript"/>
              </w:rPr>
              <w:t>2</w:t>
            </w:r>
          </w:p>
        </w:tc>
        <w:tc>
          <w:tcPr>
            <w:tcW w:w="0" w:type="dxa"/>
            <w:vAlign w:val="bottom"/>
          </w:tcPr>
          <w:p>
            <w:pPr>
              <w:spacing w:after="0"/>
              <w:rPr>
                <w:sz w:val="1"/>
                <w:szCs w:val="1"/>
                <w:color w:val="auto"/>
              </w:rPr>
            </w:pPr>
          </w:p>
        </w:tc>
      </w:tr>
      <w:tr>
        <w:trPr>
          <w:trHeight w:val="184"/>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4.97%</w:t>
            </w:r>
          </w:p>
        </w:tc>
        <w:tc>
          <w:tcPr>
            <w:tcW w:w="1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16.6%</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4.79%</w:t>
            </w:r>
          </w:p>
        </w:tc>
        <w:tc>
          <w:tcPr>
            <w:tcW w:w="0" w:type="dxa"/>
            <w:vAlign w:val="bottom"/>
          </w:tcPr>
          <w:p>
            <w:pPr>
              <w:spacing w:after="0"/>
              <w:rPr>
                <w:sz w:val="1"/>
                <w:szCs w:val="1"/>
                <w:color w:val="auto"/>
              </w:rPr>
            </w:pPr>
          </w:p>
        </w:tc>
      </w:tr>
      <w:tr>
        <w:trPr>
          <w:trHeight w:val="187"/>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4.98%</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13.6%</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4.84%</w:t>
            </w:r>
          </w:p>
        </w:tc>
        <w:tc>
          <w:tcPr>
            <w:tcW w:w="0" w:type="dxa"/>
            <w:vAlign w:val="bottom"/>
          </w:tcPr>
          <w:p>
            <w:pPr>
              <w:spacing w:after="0"/>
              <w:rPr>
                <w:sz w:val="1"/>
                <w:szCs w:val="1"/>
                <w:color w:val="auto"/>
              </w:rPr>
            </w:pPr>
          </w:p>
        </w:tc>
      </w:tr>
      <w:tr>
        <w:trPr>
          <w:trHeight w:val="24"/>
        </w:trPr>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4.99%</w:t>
            </w:r>
          </w:p>
        </w:tc>
        <w:tc>
          <w:tcPr>
            <w:tcW w:w="1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11.3%</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4.89%</w:t>
            </w:r>
          </w:p>
        </w:tc>
        <w:tc>
          <w:tcPr>
            <w:tcW w:w="0" w:type="dxa"/>
            <w:vAlign w:val="bottom"/>
          </w:tcPr>
          <w:p>
            <w:pPr>
              <w:spacing w:after="0"/>
              <w:rPr>
                <w:sz w:val="1"/>
                <w:szCs w:val="1"/>
                <w:color w:val="auto"/>
              </w:rPr>
            </w:pPr>
          </w:p>
        </w:tc>
      </w:tr>
      <w:tr>
        <w:trPr>
          <w:trHeight w:val="187"/>
        </w:trPr>
        <w:tc>
          <w:tcPr>
            <w:tcW w:w="3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Actual as of Period End</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4.99%</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9.6%</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4.93%</w:t>
            </w:r>
          </w:p>
        </w:tc>
        <w:tc>
          <w:tcPr>
            <w:tcW w:w="0" w:type="dxa"/>
            <w:vAlign w:val="bottom"/>
          </w:tcPr>
          <w:p>
            <w:pPr>
              <w:spacing w:after="0"/>
              <w:rPr>
                <w:sz w:val="1"/>
                <w:szCs w:val="1"/>
                <w:color w:val="auto"/>
              </w:rPr>
            </w:pPr>
          </w:p>
        </w:tc>
      </w:tr>
      <w:tr>
        <w:trPr>
          <w:trHeight w:val="24"/>
        </w:trPr>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8.3%</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4.96%</w:t>
            </w:r>
          </w:p>
        </w:tc>
        <w:tc>
          <w:tcPr>
            <w:tcW w:w="0" w:type="dxa"/>
            <w:vAlign w:val="bottom"/>
          </w:tcPr>
          <w:p>
            <w:pPr>
              <w:spacing w:after="0"/>
              <w:rPr>
                <w:sz w:val="1"/>
                <w:szCs w:val="1"/>
                <w:color w:val="auto"/>
              </w:rPr>
            </w:pPr>
          </w:p>
        </w:tc>
      </w:tr>
      <w:tr>
        <w:trPr>
          <w:trHeight w:val="187"/>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7.5%</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4.98%</w:t>
            </w:r>
          </w:p>
        </w:tc>
        <w:tc>
          <w:tcPr>
            <w:tcW w:w="0" w:type="dxa"/>
            <w:vAlign w:val="bottom"/>
          </w:tcPr>
          <w:p>
            <w:pPr>
              <w:spacing w:after="0"/>
              <w:rPr>
                <w:sz w:val="1"/>
                <w:szCs w:val="1"/>
                <w:color w:val="auto"/>
              </w:rPr>
            </w:pPr>
          </w:p>
        </w:tc>
      </w:tr>
      <w:tr>
        <w:trPr>
          <w:trHeight w:val="24"/>
        </w:trPr>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7.0%</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0" w:type="dxa"/>
            <w:vAlign w:val="bottom"/>
          </w:tcPr>
          <w:p>
            <w:pPr>
              <w:spacing w:after="0"/>
              <w:rPr>
                <w:sz w:val="1"/>
                <w:szCs w:val="1"/>
                <w:color w:val="auto"/>
              </w:rPr>
            </w:pPr>
          </w:p>
        </w:tc>
      </w:tr>
      <w:tr>
        <w:trPr>
          <w:trHeight w:val="24"/>
        </w:trPr>
        <w:tc>
          <w:tcPr>
            <w:tcW w:w="3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ind w:left="640" w:hanging="317"/>
        <w:spacing w:after="0" w:line="243"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models that are dependent on inputs and assumptions and assumes a static portfolio. Actual results could differ materially from these estimates. Table excludes TBA securities.</w:t>
      </w:r>
    </w:p>
    <w:p>
      <w:pPr>
        <w:ind w:left="640" w:hanging="317"/>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yield based on historical cost basis and does not include the impact of retroactive “catch-up” premium amortization adjustments due to changes in projected CPR.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Spread Risk</w:t>
      </w:r>
    </w:p>
    <w:p>
      <w:pPr>
        <w:spacing w:after="0" w:line="167"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Therefore, although we use hedging instruments to attempt to protect against moves in interest rates, our hedges are generally not designed to protect against spread risk, and our tangible net book value could decline if spreads widen.</w:t>
      </w:r>
    </w:p>
    <w:p>
      <w:pPr>
        <w:spacing w:after="0" w:line="131"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September 30, 2026 and December 31, 2025 should spreads widen or tighten by 10, 25 and 50 basis points. The estimated impact of changes in spreads is in addition to our interest rate shock sensitivity included in the interest rate shock table above. The table below assumes a spread duration of 5.5 and 5.0 as of September 30, 2026 and December 31, 2025, respectively, based on interest rates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48" w:name="page49"/>
    <w:bookmarkEnd w:id="48"/>
    <w:p>
      <w:pPr>
        <w:spacing w:after="0" w:line="270" w:lineRule="auto"/>
        <w:rPr>
          <w:sz w:val="20"/>
          <w:szCs w:val="20"/>
          <w:color w:val="auto"/>
        </w:rPr>
      </w:pPr>
      <w:r>
        <w:rPr>
          <w:rFonts w:ascii="Times New Roman" w:cs="Times New Roman" w:eastAsia="Times New Roman" w:hAnsi="Times New Roman"/>
          <w:sz w:val="18"/>
          <w:szCs w:val="18"/>
          <w:color w:val="auto"/>
        </w:rPr>
        <w:t>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Spread Sensitivity </w:t>
      </w:r>
      <w:r>
        <w:rPr>
          <w:rFonts w:ascii="Times New Roman" w:cs="Times New Roman" w:eastAsia="Times New Roman" w:hAnsi="Times New Roman"/>
          <w:sz w:val="18"/>
          <w:szCs w:val="18"/>
          <w:b w:val="1"/>
          <w:bCs w:val="1"/>
          <w:color w:val="auto"/>
          <w:vertAlign w:val="superscript"/>
        </w:rPr>
        <w:t>1,2</w:t>
      </w:r>
    </w:p>
    <w:p>
      <w:pPr>
        <w:spacing w:after="0" w:line="5" w:lineRule="exact"/>
        <w:rPr>
          <w:sz w:val="20"/>
          <w:szCs w:val="20"/>
          <w:color w:val="auto"/>
        </w:rPr>
      </w:pPr>
    </w:p>
    <w:tbl>
      <w:tblPr>
        <w:tblLayout w:type="fixed"/>
        <w:tblInd w:w="1240" w:type="dxa"/>
        <w:tblCellMar>
          <w:top w:w="0" w:type="dxa"/>
          <w:left w:w="0" w:type="dxa"/>
          <w:bottom w:w="0" w:type="dxa"/>
          <w:right w:w="0" w:type="dxa"/>
        </w:tblCellMar>
      </w:tblPr>
      <w:tr>
        <w:trPr>
          <w:trHeight w:val="198"/>
        </w:trPr>
        <w:tc>
          <w:tcPr>
            <w:tcW w:w="30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700" w:type="dxa"/>
            <w:vAlign w:val="bottom"/>
            <w:tcBorders>
              <w:top w:val="single" w:sz="8" w:color="auto"/>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Borders>
              <w:top w:val="single" w:sz="8" w:color="auto"/>
            </w:tcBorders>
          </w:tcPr>
          <w:p>
            <w:pPr>
              <w:spacing w:after="0"/>
              <w:rPr>
                <w:sz w:val="17"/>
                <w:szCs w:val="17"/>
                <w:color w:val="auto"/>
              </w:rPr>
            </w:pPr>
          </w:p>
        </w:tc>
        <w:tc>
          <w:tcPr>
            <w:tcW w:w="2720" w:type="dxa"/>
            <w:vAlign w:val="bottom"/>
            <w:tcBorders>
              <w:top w:val="single" w:sz="8" w:color="auto"/>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7"/>
        </w:trPr>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Estimated Change</w:t>
            </w:r>
          </w:p>
        </w:tc>
        <w:tc>
          <w:tcPr>
            <w:tcW w:w="148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Change</w:t>
            </w:r>
          </w:p>
        </w:tc>
        <w:tc>
          <w:tcPr>
            <w:tcW w:w="13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0" w:type="dxa"/>
            <w:vAlign w:val="bottom"/>
          </w:tcPr>
          <w:p>
            <w:pPr>
              <w:spacing w:after="0"/>
              <w:rPr>
                <w:sz w:val="1"/>
                <w:szCs w:val="1"/>
                <w:color w:val="auto"/>
              </w:rPr>
            </w:pPr>
          </w:p>
        </w:tc>
      </w:tr>
      <w:tr>
        <w:trPr>
          <w:trHeight w:val="143"/>
        </w:trPr>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Tangible Net Book</w:t>
            </w:r>
          </w:p>
        </w:tc>
        <w:tc>
          <w:tcPr>
            <w:tcW w:w="1380" w:type="dxa"/>
            <w:vAlign w:val="bottom"/>
            <w:gridSpan w:val="2"/>
            <w:vMerge w:val="continue"/>
          </w:tcPr>
          <w:p>
            <w:pPr>
              <w:spacing w:after="0"/>
              <w:rPr>
                <w:sz w:val="12"/>
                <w:szCs w:val="12"/>
                <w:color w:val="auto"/>
              </w:rPr>
            </w:pPr>
          </w:p>
        </w:tc>
        <w:tc>
          <w:tcPr>
            <w:tcW w:w="13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Tangible Net Book</w:t>
            </w:r>
          </w:p>
        </w:tc>
        <w:tc>
          <w:tcPr>
            <w:tcW w:w="0" w:type="dxa"/>
            <w:vAlign w:val="bottom"/>
          </w:tcPr>
          <w:p>
            <w:pPr>
              <w:spacing w:after="0"/>
              <w:rPr>
                <w:sz w:val="1"/>
                <w:szCs w:val="1"/>
                <w:color w:val="auto"/>
              </w:rPr>
            </w:pPr>
          </w:p>
        </w:tc>
      </w:tr>
      <w:tr>
        <w:trPr>
          <w:trHeight w:val="145"/>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MBS Spread</w:t>
            </w:r>
          </w:p>
        </w:tc>
        <w:tc>
          <w:tcPr>
            <w:tcW w:w="160" w:type="dxa"/>
            <w:vAlign w:val="bottom"/>
            <w:vMerge w:val="restart"/>
          </w:tcPr>
          <w:p>
            <w:pPr>
              <w:spacing w:after="0"/>
              <w:rPr>
                <w:sz w:val="12"/>
                <w:szCs w:val="12"/>
                <w:color w:val="auto"/>
              </w:rPr>
            </w:pPr>
          </w:p>
        </w:tc>
        <w:tc>
          <w:tcPr>
            <w:tcW w:w="13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in Portfolio Market</w:t>
            </w:r>
          </w:p>
        </w:tc>
        <w:tc>
          <w:tcPr>
            <w:tcW w:w="148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Value Per Common</w:t>
            </w:r>
          </w:p>
        </w:tc>
        <w:tc>
          <w:tcPr>
            <w:tcW w:w="13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in Portfolio Market</w:t>
            </w:r>
          </w:p>
        </w:tc>
        <w:tc>
          <w:tcPr>
            <w:tcW w:w="13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Value Per Common</w:t>
            </w:r>
          </w:p>
        </w:tc>
        <w:tc>
          <w:tcPr>
            <w:tcW w:w="0" w:type="dxa"/>
            <w:vAlign w:val="bottom"/>
          </w:tcPr>
          <w:p>
            <w:pPr>
              <w:spacing w:after="0"/>
              <w:rPr>
                <w:sz w:val="1"/>
                <w:szCs w:val="1"/>
                <w:color w:val="auto"/>
              </w:rPr>
            </w:pPr>
          </w:p>
        </w:tc>
      </w:tr>
      <w:tr>
        <w:trPr>
          <w:trHeight w:val="192"/>
        </w:trPr>
        <w:tc>
          <w:tcPr>
            <w:tcW w:w="30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191"/>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+2.8%</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+28.9%</w:t>
            </w:r>
          </w:p>
        </w:tc>
        <w:tc>
          <w:tcPr>
            <w:tcW w:w="1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+2.5%</w:t>
            </w: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+24.0%</w:t>
            </w:r>
          </w:p>
        </w:tc>
        <w:tc>
          <w:tcPr>
            <w:tcW w:w="0" w:type="dxa"/>
            <w:vAlign w:val="bottom"/>
          </w:tcPr>
          <w:p>
            <w:pPr>
              <w:spacing w:after="0"/>
              <w:rPr>
                <w:sz w:val="1"/>
                <w:szCs w:val="1"/>
                <w:color w:val="auto"/>
              </w:rPr>
            </w:pPr>
          </w:p>
        </w:tc>
      </w:tr>
      <w:tr>
        <w:trPr>
          <w:trHeight w:val="187"/>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+1.4%</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+14.4%</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+1.2%</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+12.0%</w:t>
            </w:r>
          </w:p>
        </w:tc>
        <w:tc>
          <w:tcPr>
            <w:tcW w:w="0" w:type="dxa"/>
            <w:vAlign w:val="bottom"/>
          </w:tcPr>
          <w:p>
            <w:pPr>
              <w:spacing w:after="0"/>
              <w:rPr>
                <w:sz w:val="1"/>
                <w:szCs w:val="1"/>
                <w:color w:val="auto"/>
              </w:rPr>
            </w:pPr>
          </w:p>
        </w:tc>
      </w:tr>
      <w:tr>
        <w:trPr>
          <w:trHeight w:val="24"/>
        </w:trPr>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+0.6%</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+5.8%</w:t>
            </w:r>
          </w:p>
        </w:tc>
        <w:tc>
          <w:tcPr>
            <w:tcW w:w="1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+0.5%</w:t>
            </w: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7"/>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-5.8%</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4"/>
        </w:trPr>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-14.4%</w:t>
            </w:r>
          </w:p>
        </w:tc>
        <w:tc>
          <w:tcPr>
            <w:tcW w:w="1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87"/>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-28.9%</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ind w:left="640" w:hanging="317"/>
        <w:spacing w:after="0" w:line="243"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Spread sensitivity is derived from models that are dependent on inputs and assumptions, assumes there are no changes in interest rates and assumes a static portfolio. Actual results could differ materially from these estimates.</w:t>
      </w:r>
    </w:p>
    <w:p>
      <w:pPr>
        <w:ind w:left="640" w:hanging="317"/>
        <w:spacing w:after="0"/>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derivatives and other securities used for hedging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167"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Our liquidity risk principally arises from financing long-term fixed rate assets with shorter-term variable rate borrowings. Future borrowings are dependent upon the willingness of lenders to finance our investments, lender collateral requirements and the lenders’ determination of the fair value of the securities pledged as collateral. These factors can change over time in response to interest rate movements, overall market liquidity, shifts in credit quality and changes in bank regulatory requirements. Borrowings under centrally cleared repo also depend on Bethesda Securities’ remaining compliant with regulatory and FICC membership requirements and maintaining its risk exposure within limits established by the FICC.</w:t>
      </w:r>
    </w:p>
    <w:p>
      <w:pPr>
        <w:spacing w:after="0" w:line="130"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7"/>
          <w:szCs w:val="17"/>
          <w:color w:val="auto"/>
        </w:rPr>
        <w:t xml:space="preserve">As of September 30, 2026, we believe that we have sufficient liquidity and capital resources available to execute our business strategy (see </w:t>
      </w:r>
      <w:r>
        <w:rPr>
          <w:rFonts w:ascii="Times New Roman" w:cs="Times New Roman" w:eastAsia="Times New Roman" w:hAnsi="Times New Roman"/>
          <w:sz w:val="17"/>
          <w:szCs w:val="17"/>
          <w:i w:val="1"/>
          <w:iCs w:val="1"/>
          <w:color w:val="auto"/>
        </w:rPr>
        <w:t>Liquidity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Capital Resources </w:t>
      </w:r>
      <w:r>
        <w:rPr>
          <w:rFonts w:ascii="Times New Roman" w:cs="Times New Roman" w:eastAsia="Times New Roman" w:hAnsi="Times New Roman"/>
          <w:sz w:val="17"/>
          <w:szCs w:val="17"/>
          <w:color w:val="auto"/>
        </w:rPr>
        <w:t>in this Form 10-Q for additional details). However, should the value of our collateral or the value of our derivative instruments suddenly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decrease, or margin requirements increase, we may be required to post additional collateral for these arrangements, causing an adverse change in our liquidity position. Furthermore, there is no assurance that we will always be able to renew (or roll) our short-term funding liabilities. In addition, our bilateral counterparties have the option to increase our haircuts (margin requirements) on the assets we pledge against our funding liabilities, and our central clearing counterparties may adjust their risk models impacting the amount of initial margin we are required to post, thereby reducing the amount that can be borrowed against our assets even if they agree to renew or roll our funding liabilities. Significantly higher haircuts or initial margin requirements can reduce our ability to leverage our portfolio or may even force us to sell assets, especially if correlated with asset price declines or faster prepayment rates on our assets.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67"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131" w:lineRule="exact"/>
        <w:rPr>
          <w:sz w:val="20"/>
          <w:szCs w:val="20"/>
          <w:color w:val="auto"/>
        </w:rPr>
      </w:pPr>
    </w:p>
    <w:p>
      <w:pPr>
        <w:jc w:val="both"/>
        <w:ind w:firstLine="436"/>
        <w:spacing w:after="0" w:line="264" w:lineRule="auto"/>
        <w:rPr>
          <w:sz w:val="20"/>
          <w:szCs w:val="20"/>
          <w:color w:val="auto"/>
        </w:rPr>
      </w:pPr>
      <w:r>
        <w:rPr>
          <w:rFonts w:ascii="Times New Roman" w:cs="Times New Roman" w:eastAsia="Times New Roman" w:hAnsi="Times New Roman"/>
          <w:sz w:val="17"/>
          <w:szCs w:val="17"/>
          <w:color w:val="auto"/>
        </w:rPr>
        <w:t>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regulated financial institutions with acceptable credit ratings or to registered central clearinghouses and monitoring concentration levels with any one counterparty. We also continuously monitor and adjust the amount of collateral pledged based on changes in market value. However, our efforts to manage credit risk may be unsuccessful and we could suffer losses as a result. Excluding central clearing exchanges, as of September 30, 2026, our maximum amount at risk with any counterparty related to our</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repurchase agreements and derivative agreements was less than 2% and less than 1%, respectively, of tangible stockholders’ equity.</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4" w:lineRule="exact"/>
        <w:rPr>
          <w:sz w:val="20"/>
          <w:szCs w:val="20"/>
          <w:color w:val="auto"/>
        </w:rPr>
      </w:pPr>
    </w:p>
    <w:p>
      <w:pPr>
        <w:jc w:val="both"/>
        <w:ind w:firstLine="436"/>
        <w:spacing w:after="0" w:line="249"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81"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We, including our Chief Executive Officer and Chief Financial Officer, evaluated the effectiveness of the design and operation of our disclosure controls and procedures as of September 30, 2026. Based on the foregoing, our Chief Executive Officer and Chief Financial Officer concluded that our disclosure controls and procedures were effective.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1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 or results of our operations.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There have been no material changes to the risk factors previously disclosed in our Annual Report on Form 10-K for the year ended December 31, 2025.</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5"/>
          <w:szCs w:val="15"/>
          <w:b w:val="1"/>
          <w:bCs w:val="1"/>
          <w:i w:val="1"/>
          <w:iCs w:val="1"/>
          <w:color w:val="auto"/>
        </w:rPr>
        <w:t>Unregistered Sales of Equity Securities and Use of Proceeds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5"/>
          <w:szCs w:val="15"/>
          <w:b w:val="1"/>
          <w:bCs w:val="1"/>
          <w:i w:val="1"/>
          <w:iCs w:val="1"/>
          <w:color w:val="auto"/>
        </w:rPr>
        <w:t>Defaults upon Senior Securities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1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During the fiscal quarter ended September 30, 2026, none of our directors or officers (as defined in Rule 16a-1(f) under the Exchange Act) informed us of the adoption or termination of a “Rule 10b5-1 trading arrangement” or “non-Rule 10b5-1 trading arrangement” (as each term is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50" w:name="page51"/>
    <w:bookmarkEnd w:id="50"/>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 Index</w:t>
      </w:r>
    </w:p>
    <w:p>
      <w:pPr>
        <w:spacing w:after="0" w:line="15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tab/>
        <w:t>Description</w:t>
      </w:r>
    </w:p>
    <w:p>
      <w:pPr>
        <w:spacing w:after="0" w:line="162" w:lineRule="exact"/>
        <w:rPr>
          <w:sz w:val="20"/>
          <w:szCs w:val="20"/>
          <w:color w:val="auto"/>
        </w:rPr>
      </w:pPr>
    </w:p>
    <w:p>
      <w:pPr>
        <w:ind w:left="480" w:hanging="1267"/>
        <w:spacing w:after="0" w:line="270" w:lineRule="auto"/>
        <w:tabs>
          <w:tab w:leader="none" w:pos="460" w:val="left"/>
        </w:tabs>
        <w:rPr>
          <w:rFonts w:ascii="Times New Roman" w:cs="Times New Roman" w:eastAsia="Times New Roman" w:hAnsi="Times New Roman"/>
          <w:sz w:val="18"/>
          <w:szCs w:val="18"/>
          <w:color w:val="auto"/>
        </w:rPr>
      </w:pPr>
      <w:hyperlink r:id="rId71">
        <w:r>
          <w:rPr>
            <w:rFonts w:ascii="Times New Roman" w:cs="Times New Roman" w:eastAsia="Times New Roman" w:hAnsi="Times New Roman"/>
            <w:sz w:val="18"/>
            <w:szCs w:val="18"/>
            <w:color w:val="auto"/>
          </w:rPr>
          <w:t>*3.1</w:t>
        </w:r>
      </w:hyperlink>
      <w:r>
        <w:rPr>
          <w:rFonts w:ascii="Times New Roman" w:cs="Times New Roman" w:eastAsia="Times New Roman" w:hAnsi="Times New Roman"/>
          <w:sz w:val="18"/>
          <w:szCs w:val="18"/>
          <w:color w:val="auto"/>
        </w:rPr>
        <w:tab/>
      </w:r>
      <w:hyperlink r:id="rId71">
        <w:r>
          <w:rPr>
            <w:rFonts w:ascii="Times New Roman" w:cs="Times New Roman" w:eastAsia="Times New Roman" w:hAnsi="Times New Roman"/>
            <w:sz w:val="18"/>
            <w:szCs w:val="18"/>
            <w:color w:val="auto"/>
          </w:rPr>
          <w:t>AGNC Investment Corp. Amended and Restated Certificate of Incorporation, as amended, incorporated herein by reference to Exhibit 3.1 of Form 10-Q</w:t>
        </w:r>
      </w:hyperlink>
      <w:r>
        <w:rPr>
          <w:rFonts w:ascii="Times New Roman" w:cs="Times New Roman" w:eastAsia="Times New Roman" w:hAnsi="Times New Roman"/>
          <w:sz w:val="18"/>
          <w:szCs w:val="18"/>
          <w:color w:val="auto"/>
        </w:rPr>
        <w:t xml:space="preserve"> </w:t>
      </w:r>
      <w:hyperlink r:id="rId71">
        <w:r>
          <w:rPr>
            <w:rFonts w:ascii="Times New Roman" w:cs="Times New Roman" w:eastAsia="Times New Roman" w:hAnsi="Times New Roman"/>
            <w:sz w:val="18"/>
            <w:szCs w:val="18"/>
            <w:color w:val="auto"/>
          </w:rPr>
          <w:t>for the quarter ended March 31, 2025 (File No. 001-34057), filed May 2, 2025.</w:t>
        </w:r>
      </w:hyperlink>
    </w:p>
    <w:p>
      <w:pPr>
        <w:spacing w:after="0" w:line="115" w:lineRule="exact"/>
        <w:rPr>
          <w:rFonts w:ascii="Times New Roman" w:cs="Times New Roman" w:eastAsia="Times New Roman" w:hAnsi="Times New Roman"/>
          <w:sz w:val="18"/>
          <w:szCs w:val="18"/>
          <w:color w:val="auto"/>
        </w:rPr>
      </w:pPr>
    </w:p>
    <w:p>
      <w:pPr>
        <w:spacing w:after="0"/>
        <w:tabs>
          <w:tab w:leader="none" w:pos="540" w:val="left"/>
        </w:tabs>
        <w:rPr>
          <w:rFonts w:ascii="Times New Roman" w:cs="Times New Roman" w:eastAsia="Times New Roman" w:hAnsi="Times New Roman"/>
          <w:sz w:val="18"/>
          <w:szCs w:val="18"/>
          <w:color w:val="auto"/>
        </w:rPr>
      </w:pPr>
      <w:hyperlink r:id="rId72">
        <w:r>
          <w:rPr>
            <w:rFonts w:ascii="Times New Roman" w:cs="Times New Roman" w:eastAsia="Times New Roman" w:hAnsi="Times New Roman"/>
            <w:sz w:val="18"/>
            <w:szCs w:val="18"/>
            <w:color w:val="auto"/>
          </w:rPr>
          <w:t>*3.2</w:t>
        </w:r>
      </w:hyperlink>
      <w:r>
        <w:rPr>
          <w:rFonts w:ascii="Times New Roman" w:cs="Times New Roman" w:eastAsia="Times New Roman" w:hAnsi="Times New Roman"/>
          <w:sz w:val="18"/>
          <w:szCs w:val="18"/>
          <w:color w:val="auto"/>
        </w:rPr>
        <w:tab/>
      </w:r>
      <w:hyperlink r:id="rId73">
        <w:r>
          <w:rPr>
            <w:rFonts w:ascii="Times New Roman" w:cs="Times New Roman" w:eastAsia="Times New Roman" w:hAnsi="Times New Roman"/>
            <w:sz w:val="18"/>
            <w:szCs w:val="18"/>
            <w:color w:val="auto"/>
          </w:rPr>
          <w:t>AGNC Investment Corp. Amended and Restated Bylaws, as amended, incorporated herein by reference to Exhibit 3.1 of Form 8-K (File No. 001-</w:t>
        </w:r>
      </w:hyperlink>
    </w:p>
    <w:p>
      <w:pPr>
        <w:spacing w:after="0" w:line="22" w:lineRule="exact"/>
        <w:rPr>
          <w:sz w:val="20"/>
          <w:szCs w:val="20"/>
          <w:color w:val="auto"/>
        </w:rPr>
      </w:pPr>
    </w:p>
    <w:p>
      <w:pPr>
        <w:ind w:left="1280"/>
        <w:spacing w:after="0"/>
        <w:rPr>
          <w:rFonts w:ascii="Times New Roman" w:cs="Times New Roman" w:eastAsia="Times New Roman" w:hAnsi="Times New Roman"/>
          <w:sz w:val="18"/>
          <w:szCs w:val="18"/>
          <w:color w:val="auto"/>
        </w:rPr>
      </w:pPr>
      <w:hyperlink r:id="rId73">
        <w:r>
          <w:rPr>
            <w:rFonts w:ascii="Times New Roman" w:cs="Times New Roman" w:eastAsia="Times New Roman" w:hAnsi="Times New Roman"/>
            <w:sz w:val="18"/>
            <w:szCs w:val="18"/>
            <w:color w:val="auto"/>
          </w:rPr>
          <w:t>34057), filed July 21, 2023.</w:t>
        </w:r>
      </w:hyperlink>
    </w:p>
    <w:p>
      <w:pPr>
        <w:spacing w:after="0" w:line="145" w:lineRule="exact"/>
        <w:rPr>
          <w:sz w:val="20"/>
          <w:szCs w:val="20"/>
          <w:color w:val="auto"/>
        </w:rPr>
      </w:pPr>
    </w:p>
    <w:p>
      <w:pPr>
        <w:ind w:left="560" w:hanging="1267"/>
        <w:spacing w:after="0" w:line="270" w:lineRule="auto"/>
        <w:tabs>
          <w:tab w:leader="none" w:pos="540" w:val="left"/>
        </w:tabs>
        <w:rPr>
          <w:rFonts w:ascii="Times New Roman" w:cs="Times New Roman" w:eastAsia="Times New Roman" w:hAnsi="Times New Roman"/>
          <w:sz w:val="18"/>
          <w:szCs w:val="18"/>
          <w:color w:val="auto"/>
        </w:rPr>
      </w:pPr>
      <w:hyperlink r:id="rId74">
        <w:r>
          <w:rPr>
            <w:rFonts w:ascii="Times New Roman" w:cs="Times New Roman" w:eastAsia="Times New Roman" w:hAnsi="Times New Roman"/>
            <w:sz w:val="18"/>
            <w:szCs w:val="18"/>
            <w:color w:val="auto"/>
          </w:rPr>
          <w:t>*3.3</w:t>
        </w:r>
      </w:hyperlink>
      <w:r>
        <w:rPr>
          <w:rFonts w:ascii="Times New Roman" w:cs="Times New Roman" w:eastAsia="Times New Roman" w:hAnsi="Times New Roman"/>
          <w:sz w:val="18"/>
          <w:szCs w:val="18"/>
          <w:color w:val="auto"/>
        </w:rPr>
        <w:tab/>
      </w:r>
      <w:hyperlink r:id="rId74">
        <w:r>
          <w:rPr>
            <w:rFonts w:ascii="Times New Roman" w:cs="Times New Roman" w:eastAsia="Times New Roman" w:hAnsi="Times New Roman"/>
            <w:sz w:val="18"/>
            <w:szCs w:val="18"/>
            <w:color w:val="auto"/>
          </w:rPr>
          <w:t>Certificate of Designations of 7.00% Series C Fixed-to-Floating Rate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74">
        <w:r>
          <w:rPr>
            <w:rFonts w:ascii="Times New Roman" w:cs="Times New Roman" w:eastAsia="Times New Roman" w:hAnsi="Times New Roman"/>
            <w:sz w:val="18"/>
            <w:szCs w:val="18"/>
            <w:color w:val="auto"/>
          </w:rPr>
          <w:t>Exhibit 3.5 of Form 8-A (File No. 001-34057), filed August 18, 2017.</w:t>
        </w:r>
      </w:hyperlink>
    </w:p>
    <w:p>
      <w:pPr>
        <w:spacing w:after="0" w:line="115" w:lineRule="exact"/>
        <w:rPr>
          <w:rFonts w:ascii="Times New Roman" w:cs="Times New Roman" w:eastAsia="Times New Roman" w:hAnsi="Times New Roman"/>
          <w:sz w:val="18"/>
          <w:szCs w:val="18"/>
          <w:color w:val="auto"/>
        </w:rPr>
      </w:pPr>
    </w:p>
    <w:p>
      <w:pPr>
        <w:ind w:left="520" w:hanging="1267"/>
        <w:spacing w:after="0" w:line="270" w:lineRule="auto"/>
        <w:tabs>
          <w:tab w:leader="none" w:pos="500" w:val="left"/>
        </w:tabs>
        <w:rPr>
          <w:rFonts w:ascii="Times New Roman" w:cs="Times New Roman" w:eastAsia="Times New Roman" w:hAnsi="Times New Roman"/>
          <w:sz w:val="18"/>
          <w:szCs w:val="18"/>
          <w:color w:val="auto"/>
        </w:rPr>
      </w:pPr>
      <w:hyperlink r:id="rId75">
        <w:r>
          <w:rPr>
            <w:rFonts w:ascii="Times New Roman" w:cs="Times New Roman" w:eastAsia="Times New Roman" w:hAnsi="Times New Roman"/>
            <w:sz w:val="18"/>
            <w:szCs w:val="18"/>
            <w:color w:val="auto"/>
          </w:rPr>
          <w:t>*3.4</w:t>
        </w:r>
      </w:hyperlink>
      <w:r>
        <w:rPr>
          <w:rFonts w:ascii="Times New Roman" w:cs="Times New Roman" w:eastAsia="Times New Roman" w:hAnsi="Times New Roman"/>
          <w:sz w:val="18"/>
          <w:szCs w:val="18"/>
          <w:color w:val="auto"/>
        </w:rPr>
        <w:tab/>
      </w:r>
      <w:hyperlink r:id="rId75">
        <w:r>
          <w:rPr>
            <w:rFonts w:ascii="Times New Roman" w:cs="Times New Roman" w:eastAsia="Times New Roman" w:hAnsi="Times New Roman"/>
            <w:sz w:val="18"/>
            <w:szCs w:val="18"/>
            <w:color w:val="auto"/>
          </w:rPr>
          <w:t>Certificate of Elimination of 8.000% Series A Cumulative Redeemable Preferred Stock, incorporated herein by reference to Exhibit 3.1 of Form 8-K</w:t>
        </w:r>
      </w:hyperlink>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color w:val="auto"/>
          </w:rPr>
          <w:t>(File No. 001-34057), filed October 26, 2017.</w:t>
        </w:r>
      </w:hyperlink>
    </w:p>
    <w:p>
      <w:pPr>
        <w:spacing w:after="0" w:line="115" w:lineRule="exact"/>
        <w:rPr>
          <w:rFonts w:ascii="Times New Roman" w:cs="Times New Roman" w:eastAsia="Times New Roman" w:hAnsi="Times New Roman"/>
          <w:sz w:val="18"/>
          <w:szCs w:val="18"/>
          <w:color w:val="auto"/>
        </w:rPr>
      </w:pPr>
    </w:p>
    <w:p>
      <w:pPr>
        <w:ind w:left="540" w:hanging="1267"/>
        <w:spacing w:after="0" w:line="270" w:lineRule="auto"/>
        <w:tabs>
          <w:tab w:leader="none" w:pos="520" w:val="left"/>
        </w:tabs>
        <w:rPr>
          <w:rFonts w:ascii="Times New Roman" w:cs="Times New Roman" w:eastAsia="Times New Roman" w:hAnsi="Times New Roman"/>
          <w:sz w:val="18"/>
          <w:szCs w:val="18"/>
          <w:color w:val="auto"/>
        </w:rPr>
      </w:pPr>
      <w:hyperlink r:id="rId76">
        <w:r>
          <w:rPr>
            <w:rFonts w:ascii="Times New Roman" w:cs="Times New Roman" w:eastAsia="Times New Roman" w:hAnsi="Times New Roman"/>
            <w:sz w:val="18"/>
            <w:szCs w:val="18"/>
            <w:color w:val="auto"/>
          </w:rPr>
          <w:t>*3.5</w:t>
        </w:r>
      </w:hyperlink>
      <w:r>
        <w:rPr>
          <w:rFonts w:ascii="Times New Roman" w:cs="Times New Roman" w:eastAsia="Times New Roman" w:hAnsi="Times New Roman"/>
          <w:sz w:val="18"/>
          <w:szCs w:val="18"/>
          <w:color w:val="auto"/>
        </w:rPr>
        <w:tab/>
      </w:r>
      <w:hyperlink r:id="rId76">
        <w:r>
          <w:rPr>
            <w:rFonts w:ascii="Times New Roman" w:cs="Times New Roman" w:eastAsia="Times New Roman" w:hAnsi="Times New Roman"/>
            <w:sz w:val="18"/>
            <w:szCs w:val="18"/>
            <w:color w:val="auto"/>
          </w:rPr>
          <w:t>Certificate of Designations of 6.875% Series D Fixed-to-Floating Rate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76">
        <w:r>
          <w:rPr>
            <w:rFonts w:ascii="Times New Roman" w:cs="Times New Roman" w:eastAsia="Times New Roman" w:hAnsi="Times New Roman"/>
            <w:sz w:val="18"/>
            <w:szCs w:val="18"/>
            <w:color w:val="auto"/>
          </w:rPr>
          <w:t>Exhibit 3.5 of Form 8-A (File No. 001-34057), filed March 6, 2019.</w:t>
        </w:r>
      </w:hyperlink>
    </w:p>
    <w:p>
      <w:pPr>
        <w:spacing w:after="0" w:line="115" w:lineRule="exact"/>
        <w:rPr>
          <w:rFonts w:ascii="Times New Roman" w:cs="Times New Roman" w:eastAsia="Times New Roman" w:hAnsi="Times New Roman"/>
          <w:sz w:val="18"/>
          <w:szCs w:val="18"/>
          <w:color w:val="auto"/>
        </w:rPr>
      </w:pPr>
    </w:p>
    <w:p>
      <w:pPr>
        <w:ind w:left="560" w:hanging="1267"/>
        <w:spacing w:after="0" w:line="270" w:lineRule="auto"/>
        <w:tabs>
          <w:tab w:leader="none" w:pos="540" w:val="left"/>
        </w:tabs>
        <w:rPr>
          <w:rFonts w:ascii="Times New Roman" w:cs="Times New Roman" w:eastAsia="Times New Roman" w:hAnsi="Times New Roman"/>
          <w:sz w:val="18"/>
          <w:szCs w:val="18"/>
          <w:color w:val="auto"/>
        </w:rPr>
      </w:pPr>
      <w:hyperlink r:id="rId77">
        <w:r>
          <w:rPr>
            <w:rFonts w:ascii="Times New Roman" w:cs="Times New Roman" w:eastAsia="Times New Roman" w:hAnsi="Times New Roman"/>
            <w:sz w:val="18"/>
            <w:szCs w:val="18"/>
            <w:color w:val="auto"/>
          </w:rPr>
          <w:t>*3.6</w:t>
        </w:r>
      </w:hyperlink>
      <w:r>
        <w:rPr>
          <w:rFonts w:ascii="Times New Roman" w:cs="Times New Roman" w:eastAsia="Times New Roman" w:hAnsi="Times New Roman"/>
          <w:sz w:val="18"/>
          <w:szCs w:val="18"/>
          <w:color w:val="auto"/>
        </w:rPr>
        <w:tab/>
      </w:r>
      <w:hyperlink r:id="rId77">
        <w:r>
          <w:rPr>
            <w:rFonts w:ascii="Times New Roman" w:cs="Times New Roman" w:eastAsia="Times New Roman" w:hAnsi="Times New Roman"/>
            <w:sz w:val="18"/>
            <w:szCs w:val="18"/>
            <w:color w:val="auto"/>
          </w:rPr>
          <w:t>Certificate of Designations of 6.50% Series E Fixed-to-Floating Rate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color w:val="auto"/>
          </w:rPr>
          <w:t>Exhibit 3.6 of Form 8-A (File No. 001-34057), filed October 3, 2019.</w:t>
        </w:r>
      </w:hyperlink>
    </w:p>
    <w:p>
      <w:pPr>
        <w:spacing w:after="0" w:line="115" w:lineRule="exact"/>
        <w:rPr>
          <w:rFonts w:ascii="Times New Roman" w:cs="Times New Roman" w:eastAsia="Times New Roman" w:hAnsi="Times New Roman"/>
          <w:sz w:val="18"/>
          <w:szCs w:val="18"/>
          <w:color w:val="auto"/>
        </w:rPr>
      </w:pPr>
    </w:p>
    <w:p>
      <w:pPr>
        <w:ind w:left="520" w:right="20" w:hanging="1267"/>
        <w:spacing w:after="0" w:line="270" w:lineRule="auto"/>
        <w:tabs>
          <w:tab w:leader="none" w:pos="500" w:val="left"/>
        </w:tabs>
        <w:rPr>
          <w:rFonts w:ascii="Times New Roman" w:cs="Times New Roman" w:eastAsia="Times New Roman" w:hAnsi="Times New Roman"/>
          <w:sz w:val="18"/>
          <w:szCs w:val="18"/>
          <w:color w:val="auto"/>
        </w:rPr>
      </w:pPr>
      <w:hyperlink r:id="rId78">
        <w:r>
          <w:rPr>
            <w:rFonts w:ascii="Times New Roman" w:cs="Times New Roman" w:eastAsia="Times New Roman" w:hAnsi="Times New Roman"/>
            <w:sz w:val="18"/>
            <w:szCs w:val="18"/>
            <w:color w:val="auto"/>
          </w:rPr>
          <w:t>*3.7</w:t>
        </w:r>
      </w:hyperlink>
      <w:r>
        <w:rPr>
          <w:rFonts w:ascii="Times New Roman" w:cs="Times New Roman" w:eastAsia="Times New Roman" w:hAnsi="Times New Roman"/>
          <w:sz w:val="18"/>
          <w:szCs w:val="18"/>
          <w:color w:val="auto"/>
        </w:rPr>
        <w:tab/>
      </w:r>
      <w:hyperlink r:id="rId78">
        <w:r>
          <w:rPr>
            <w:rFonts w:ascii="Times New Roman" w:cs="Times New Roman" w:eastAsia="Times New Roman" w:hAnsi="Times New Roman"/>
            <w:sz w:val="18"/>
            <w:szCs w:val="18"/>
            <w:color w:val="auto"/>
          </w:rPr>
          <w:t>Certificate of Elimination of 7.750% Series B Cumulative Redeemable Preferred Stock, incorporated herein by reference to Exhibit 3.1 of Form 8-K</w:t>
        </w:r>
      </w:hyperlink>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color w:val="auto"/>
          </w:rPr>
          <w:t>(File No. 001-34057), filed December 13, 2019.</w:t>
        </w:r>
      </w:hyperlink>
    </w:p>
    <w:p>
      <w:pPr>
        <w:spacing w:after="0" w:line="115" w:lineRule="exact"/>
        <w:rPr>
          <w:rFonts w:ascii="Times New Roman" w:cs="Times New Roman" w:eastAsia="Times New Roman" w:hAnsi="Times New Roman"/>
          <w:sz w:val="18"/>
          <w:szCs w:val="18"/>
          <w:color w:val="auto"/>
        </w:rPr>
      </w:pPr>
    </w:p>
    <w:p>
      <w:pPr>
        <w:ind w:left="540" w:hanging="1267"/>
        <w:spacing w:after="0" w:line="270" w:lineRule="auto"/>
        <w:tabs>
          <w:tab w:leader="none" w:pos="520" w:val="left"/>
        </w:tabs>
        <w:rPr>
          <w:rFonts w:ascii="Times New Roman" w:cs="Times New Roman" w:eastAsia="Times New Roman" w:hAnsi="Times New Roman"/>
          <w:sz w:val="18"/>
          <w:szCs w:val="18"/>
          <w:color w:val="auto"/>
        </w:rPr>
      </w:pPr>
      <w:hyperlink r:id="rId79">
        <w:r>
          <w:rPr>
            <w:rFonts w:ascii="Times New Roman" w:cs="Times New Roman" w:eastAsia="Times New Roman" w:hAnsi="Times New Roman"/>
            <w:sz w:val="18"/>
            <w:szCs w:val="18"/>
            <w:color w:val="auto"/>
          </w:rPr>
          <w:t>*3.8</w:t>
        </w:r>
      </w:hyperlink>
      <w:r>
        <w:rPr>
          <w:rFonts w:ascii="Times New Roman" w:cs="Times New Roman" w:eastAsia="Times New Roman" w:hAnsi="Times New Roman"/>
          <w:sz w:val="18"/>
          <w:szCs w:val="18"/>
          <w:color w:val="auto"/>
        </w:rPr>
        <w:tab/>
      </w:r>
      <w:hyperlink r:id="rId79">
        <w:r>
          <w:rPr>
            <w:rFonts w:ascii="Times New Roman" w:cs="Times New Roman" w:eastAsia="Times New Roman" w:hAnsi="Times New Roman"/>
            <w:sz w:val="18"/>
            <w:szCs w:val="18"/>
            <w:color w:val="auto"/>
          </w:rPr>
          <w:t>Certificate of Designations of 6.125% Series F Fixed-to-Floating Rate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color w:val="auto"/>
          </w:rPr>
          <w:t>Exhibit 3.6 of Form 8-A (File No. 001-34057), filed February 11, 2020.</w:t>
        </w:r>
      </w:hyperlink>
    </w:p>
    <w:p>
      <w:pPr>
        <w:spacing w:after="0" w:line="115" w:lineRule="exact"/>
        <w:rPr>
          <w:rFonts w:ascii="Times New Roman" w:cs="Times New Roman" w:eastAsia="Times New Roman" w:hAnsi="Times New Roman"/>
          <w:sz w:val="18"/>
          <w:szCs w:val="18"/>
          <w:color w:val="auto"/>
        </w:rPr>
      </w:pPr>
    </w:p>
    <w:p>
      <w:pPr>
        <w:spacing w:after="0"/>
        <w:tabs>
          <w:tab w:leader="none" w:pos="500" w:val="left"/>
        </w:tabs>
        <w:rPr>
          <w:rFonts w:ascii="Times New Roman" w:cs="Times New Roman" w:eastAsia="Times New Roman" w:hAnsi="Times New Roman"/>
          <w:sz w:val="17"/>
          <w:szCs w:val="17"/>
          <w:color w:val="auto"/>
        </w:rPr>
      </w:pPr>
      <w:hyperlink r:id="rId80">
        <w:r>
          <w:rPr>
            <w:rFonts w:ascii="Times New Roman" w:cs="Times New Roman" w:eastAsia="Times New Roman" w:hAnsi="Times New Roman"/>
            <w:sz w:val="18"/>
            <w:szCs w:val="18"/>
            <w:color w:val="auto"/>
          </w:rPr>
          <w:t>*3.9</w:t>
        </w:r>
      </w:hyperlink>
      <w:r>
        <w:rPr>
          <w:rFonts w:ascii="Times New Roman" w:cs="Times New Roman" w:eastAsia="Times New Roman" w:hAnsi="Times New Roman"/>
          <w:sz w:val="18"/>
          <w:szCs w:val="18"/>
          <w:color w:val="auto"/>
        </w:rPr>
        <w:tab/>
      </w:r>
      <w:hyperlink r:id="rId80">
        <w:r>
          <w:rPr>
            <w:rFonts w:ascii="Times New Roman" w:cs="Times New Roman" w:eastAsia="Times New Roman" w:hAnsi="Times New Roman"/>
            <w:sz w:val="17"/>
            <w:szCs w:val="17"/>
            <w:color w:val="auto"/>
          </w:rPr>
          <w:t>Certificate of Designations of 7.75% Series G Fixed-Rate Reset Cumulative Redeemable Preferred Stock, incorporated herein by reference to Exhibit</w:t>
        </w:r>
      </w:hyperlink>
    </w:p>
    <w:p>
      <w:pPr>
        <w:spacing w:after="0" w:line="22" w:lineRule="exact"/>
        <w:rPr>
          <w:sz w:val="20"/>
          <w:szCs w:val="20"/>
          <w:color w:val="auto"/>
        </w:rPr>
      </w:pPr>
    </w:p>
    <w:p>
      <w:pPr>
        <w:ind w:left="1280"/>
        <w:spacing w:after="0"/>
        <w:rPr>
          <w:rFonts w:ascii="Times New Roman" w:cs="Times New Roman" w:eastAsia="Times New Roman" w:hAnsi="Times New Roman"/>
          <w:sz w:val="18"/>
          <w:szCs w:val="18"/>
          <w:color w:val="auto"/>
        </w:rPr>
      </w:pPr>
      <w:hyperlink r:id="rId80">
        <w:r>
          <w:rPr>
            <w:rFonts w:ascii="Times New Roman" w:cs="Times New Roman" w:eastAsia="Times New Roman" w:hAnsi="Times New Roman"/>
            <w:sz w:val="18"/>
            <w:szCs w:val="18"/>
            <w:color w:val="auto"/>
          </w:rPr>
          <w:t>3.7 of Form 8-A (File No. 001-34057), filed September 14, 2022.</w:t>
        </w:r>
      </w:hyperlink>
    </w:p>
    <w:p>
      <w:pPr>
        <w:spacing w:after="0" w:line="145" w:lineRule="exact"/>
        <w:rPr>
          <w:sz w:val="20"/>
          <w:szCs w:val="20"/>
          <w:color w:val="auto"/>
        </w:rPr>
      </w:pPr>
    </w:p>
    <w:p>
      <w:pPr>
        <w:ind w:left="600" w:hanging="1267"/>
        <w:spacing w:after="0" w:line="270" w:lineRule="auto"/>
        <w:tabs>
          <w:tab w:leader="none" w:pos="580" w:val="left"/>
        </w:tabs>
        <w:rPr>
          <w:rFonts w:ascii="Times New Roman" w:cs="Times New Roman" w:eastAsia="Times New Roman" w:hAnsi="Times New Roman"/>
          <w:sz w:val="18"/>
          <w:szCs w:val="18"/>
          <w:color w:val="auto"/>
        </w:rPr>
      </w:pPr>
      <w:hyperlink r:id="rId81">
        <w:r>
          <w:rPr>
            <w:rFonts w:ascii="Times New Roman" w:cs="Times New Roman" w:eastAsia="Times New Roman" w:hAnsi="Times New Roman"/>
            <w:sz w:val="18"/>
            <w:szCs w:val="18"/>
            <w:color w:val="auto"/>
          </w:rPr>
          <w:t>*3.10</w:t>
        </w:r>
      </w:hyperlink>
      <w:r>
        <w:rPr>
          <w:rFonts w:ascii="Times New Roman" w:cs="Times New Roman" w:eastAsia="Times New Roman" w:hAnsi="Times New Roman"/>
          <w:sz w:val="18"/>
          <w:szCs w:val="18"/>
          <w:color w:val="auto"/>
        </w:rPr>
        <w:tab/>
      </w:r>
      <w:hyperlink r:id="rId81">
        <w:r>
          <w:rPr>
            <w:rFonts w:ascii="Times New Roman" w:cs="Times New Roman" w:eastAsia="Times New Roman" w:hAnsi="Times New Roman"/>
            <w:sz w:val="18"/>
            <w:szCs w:val="18"/>
            <w:color w:val="auto"/>
          </w:rPr>
          <w:t>Certificate of Designations of 8.75% Series H Fixed-Rate Cumulative Redeemable Preferred Stock, incorporated herein by reference to Exhibit 3.8 of</w:t>
        </w:r>
      </w:hyperlink>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color w:val="auto"/>
          </w:rPr>
          <w:t>Form 8-A (File No. 001-34057), filed September 10, 2025.</w:t>
        </w:r>
      </w:hyperlink>
    </w:p>
    <w:p>
      <w:pPr>
        <w:spacing w:after="0" w:line="115" w:lineRule="exact"/>
        <w:rPr>
          <w:rFonts w:ascii="Times New Roman" w:cs="Times New Roman" w:eastAsia="Times New Roman" w:hAnsi="Times New Roman"/>
          <w:sz w:val="18"/>
          <w:szCs w:val="18"/>
          <w:color w:val="auto"/>
        </w:rPr>
      </w:pPr>
    </w:p>
    <w:p>
      <w:pPr>
        <w:jc w:val="right"/>
        <w:spacing w:after="0" w:line="270" w:lineRule="auto"/>
        <w:rPr>
          <w:rFonts w:ascii="Times New Roman" w:cs="Times New Roman" w:eastAsia="Times New Roman" w:hAnsi="Times New Roman"/>
          <w:sz w:val="18"/>
          <w:szCs w:val="18"/>
          <w:color w:val="auto"/>
        </w:rPr>
      </w:pPr>
      <w:hyperlink r:id="rId71">
        <w:r>
          <w:rPr>
            <w:rFonts w:ascii="Times New Roman" w:cs="Times New Roman" w:eastAsia="Times New Roman" w:hAnsi="Times New Roman"/>
            <w:sz w:val="18"/>
            <w:szCs w:val="18"/>
            <w:color w:val="auto"/>
          </w:rPr>
          <w:t>*4.1   Instruments defining the rights of holders of securities: See Article IV of our Amended and Restated Certificate of Incorporation, as amended,</w:t>
        </w:r>
      </w:hyperlink>
      <w:r>
        <w:rPr>
          <w:rFonts w:ascii="Times New Roman" w:cs="Times New Roman" w:eastAsia="Times New Roman" w:hAnsi="Times New Roman"/>
          <w:sz w:val="18"/>
          <w:szCs w:val="18"/>
          <w:color w:val="auto"/>
        </w:rPr>
        <w:t xml:space="preserve"> </w:t>
      </w:r>
      <w:hyperlink r:id="rId71">
        <w:r>
          <w:rPr>
            <w:rFonts w:ascii="Times New Roman" w:cs="Times New Roman" w:eastAsia="Times New Roman" w:hAnsi="Times New Roman"/>
            <w:sz w:val="18"/>
            <w:szCs w:val="18"/>
            <w:color w:val="auto"/>
          </w:rPr>
          <w:t>incorporated herein by reference to Exhibit 3.1 of Form 10-Q for the quarter ended March 31, 2025 (File No. 001-34057), filed May 2, 2025.</w:t>
        </w:r>
      </w:hyperlink>
    </w:p>
    <w:p>
      <w:pPr>
        <w:spacing w:after="0" w:line="115" w:lineRule="exact"/>
        <w:rPr>
          <w:sz w:val="20"/>
          <w:szCs w:val="20"/>
          <w:color w:val="auto"/>
        </w:rPr>
      </w:pPr>
    </w:p>
    <w:p>
      <w:pPr>
        <w:ind w:left="560" w:hanging="1267"/>
        <w:spacing w:after="0" w:line="270" w:lineRule="auto"/>
        <w:tabs>
          <w:tab w:leader="none" w:pos="540" w:val="left"/>
        </w:tabs>
        <w:rPr>
          <w:rFonts w:ascii="Times New Roman" w:cs="Times New Roman" w:eastAsia="Times New Roman" w:hAnsi="Times New Roman"/>
          <w:sz w:val="18"/>
          <w:szCs w:val="18"/>
          <w:color w:val="auto"/>
        </w:rPr>
      </w:pPr>
      <w:hyperlink r:id="rId72">
        <w:r>
          <w:rPr>
            <w:rFonts w:ascii="Times New Roman" w:cs="Times New Roman" w:eastAsia="Times New Roman" w:hAnsi="Times New Roman"/>
            <w:sz w:val="18"/>
            <w:szCs w:val="18"/>
            <w:color w:val="auto"/>
          </w:rPr>
          <w:t>*4.2</w:t>
        </w:r>
      </w:hyperlink>
      <w:r>
        <w:rPr>
          <w:rFonts w:ascii="Times New Roman" w:cs="Times New Roman" w:eastAsia="Times New Roman" w:hAnsi="Times New Roman"/>
          <w:sz w:val="18"/>
          <w:szCs w:val="18"/>
          <w:color w:val="auto"/>
        </w:rPr>
        <w:tab/>
      </w:r>
      <w:hyperlink r:id="rId73">
        <w:r>
          <w:rPr>
            <w:rFonts w:ascii="Times New Roman" w:cs="Times New Roman" w:eastAsia="Times New Roman" w:hAnsi="Times New Roman"/>
            <w:sz w:val="18"/>
            <w:szCs w:val="18"/>
            <w:color w:val="auto"/>
          </w:rPr>
          <w:t>Instruments defining the rights of holders of securities: See Article VI of our Amended and Restated Bylaws, as amended, incorporated herein by</w:t>
        </w:r>
      </w:hyperlink>
      <w:r>
        <w:rPr>
          <w:rFonts w:ascii="Times New Roman" w:cs="Times New Roman" w:eastAsia="Times New Roman" w:hAnsi="Times New Roman"/>
          <w:sz w:val="18"/>
          <w:szCs w:val="18"/>
          <w:color w:val="auto"/>
        </w:rPr>
        <w:t xml:space="preserve"> </w:t>
      </w:r>
      <w:hyperlink r:id="rId73">
        <w:r>
          <w:rPr>
            <w:rFonts w:ascii="Times New Roman" w:cs="Times New Roman" w:eastAsia="Times New Roman" w:hAnsi="Times New Roman"/>
            <w:sz w:val="18"/>
            <w:szCs w:val="18"/>
            <w:color w:val="auto"/>
          </w:rPr>
          <w:t>reference to Exhibit 3.1 of Form 8-K, filed July 21, 2023.</w:t>
        </w:r>
      </w:hyperlink>
    </w:p>
    <w:p>
      <w:pPr>
        <w:spacing w:after="0" w:line="115" w:lineRule="exact"/>
        <w:rPr>
          <w:rFonts w:ascii="Times New Roman" w:cs="Times New Roman" w:eastAsia="Times New Roman" w:hAnsi="Times New Roman"/>
          <w:sz w:val="18"/>
          <w:szCs w:val="18"/>
          <w:color w:val="auto"/>
        </w:rPr>
      </w:pPr>
    </w:p>
    <w:p>
      <w:pPr>
        <w:ind w:left="520" w:hanging="1267"/>
        <w:spacing w:after="0" w:line="270" w:lineRule="auto"/>
        <w:tabs>
          <w:tab w:leader="none" w:pos="500" w:val="left"/>
        </w:tabs>
        <w:rPr>
          <w:rFonts w:ascii="Times New Roman" w:cs="Times New Roman" w:eastAsia="Times New Roman" w:hAnsi="Times New Roman"/>
          <w:sz w:val="18"/>
          <w:szCs w:val="18"/>
          <w:color w:val="auto"/>
        </w:rPr>
      </w:pPr>
      <w:hyperlink r:id="rId82">
        <w:r>
          <w:rPr>
            <w:rFonts w:ascii="Times New Roman" w:cs="Times New Roman" w:eastAsia="Times New Roman" w:hAnsi="Times New Roman"/>
            <w:sz w:val="18"/>
            <w:szCs w:val="18"/>
            <w:color w:val="auto"/>
          </w:rPr>
          <w:t>*4.3</w:t>
        </w:r>
      </w:hyperlink>
      <w:r>
        <w:rPr>
          <w:rFonts w:ascii="Times New Roman" w:cs="Times New Roman" w:eastAsia="Times New Roman" w:hAnsi="Times New Roman"/>
          <w:sz w:val="18"/>
          <w:szCs w:val="18"/>
          <w:color w:val="auto"/>
        </w:rPr>
        <w:tab/>
      </w:r>
      <w:hyperlink r:id="rId82">
        <w:r>
          <w:rPr>
            <w:rFonts w:ascii="Times New Roman" w:cs="Times New Roman" w:eastAsia="Times New Roman" w:hAnsi="Times New Roman"/>
            <w:sz w:val="18"/>
            <w:szCs w:val="18"/>
            <w:color w:val="auto"/>
          </w:rPr>
          <w:t>Form of Certificate for Common Stock, incorporated herein by reference to Exhibit 4.3 of Form 10-Q for the quarter ended September 30, 2022 (File</w:t>
        </w:r>
      </w:hyperlink>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color w:val="auto"/>
          </w:rPr>
          <w:t>No. 001-34057), filed November 7, 2022.</w:t>
        </w:r>
      </w:hyperlink>
    </w:p>
    <w:p>
      <w:pPr>
        <w:spacing w:after="0" w:line="115" w:lineRule="exact"/>
        <w:rPr>
          <w:rFonts w:ascii="Times New Roman" w:cs="Times New Roman" w:eastAsia="Times New Roman" w:hAnsi="Times New Roman"/>
          <w:sz w:val="18"/>
          <w:szCs w:val="18"/>
          <w:color w:val="auto"/>
        </w:rPr>
      </w:pPr>
    </w:p>
    <w:p>
      <w:pPr>
        <w:ind w:left="520" w:hanging="1267"/>
        <w:spacing w:after="0" w:line="270" w:lineRule="auto"/>
        <w:tabs>
          <w:tab w:leader="none" w:pos="500" w:val="left"/>
        </w:tabs>
        <w:rPr>
          <w:rFonts w:ascii="Times New Roman" w:cs="Times New Roman" w:eastAsia="Times New Roman" w:hAnsi="Times New Roman"/>
          <w:sz w:val="18"/>
          <w:szCs w:val="18"/>
          <w:color w:val="auto"/>
        </w:rPr>
      </w:pPr>
      <w:hyperlink r:id="rId83">
        <w:r>
          <w:rPr>
            <w:rFonts w:ascii="Times New Roman" w:cs="Times New Roman" w:eastAsia="Times New Roman" w:hAnsi="Times New Roman"/>
            <w:sz w:val="18"/>
            <w:szCs w:val="18"/>
            <w:color w:val="auto"/>
          </w:rPr>
          <w:t>*4.4</w:t>
        </w:r>
      </w:hyperlink>
      <w:r>
        <w:rPr>
          <w:rFonts w:ascii="Times New Roman" w:cs="Times New Roman" w:eastAsia="Times New Roman" w:hAnsi="Times New Roman"/>
          <w:sz w:val="18"/>
          <w:szCs w:val="18"/>
          <w:color w:val="auto"/>
        </w:rPr>
        <w:tab/>
      </w:r>
      <w:hyperlink r:id="rId83">
        <w:r>
          <w:rPr>
            <w:rFonts w:ascii="Times New Roman" w:cs="Times New Roman" w:eastAsia="Times New Roman" w:hAnsi="Times New Roman"/>
            <w:sz w:val="18"/>
            <w:szCs w:val="18"/>
            <w:color w:val="auto"/>
          </w:rPr>
          <w:t>Specimen 7.00% Series C Fixed-to-Floating Rate Cumulative Redeemable Preferred Stock Certificate, incorporated herein by reference to Exhibit 4.1</w:t>
        </w:r>
      </w:hyperlink>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color w:val="auto"/>
          </w:rPr>
          <w:t>of Form 8-A (File No. 001-34057), filed August 18, 2017.</w:t>
        </w:r>
      </w:hyperlink>
    </w:p>
    <w:p>
      <w:pPr>
        <w:spacing w:after="0" w:line="115" w:lineRule="exact"/>
        <w:rPr>
          <w:rFonts w:ascii="Times New Roman" w:cs="Times New Roman" w:eastAsia="Times New Roman" w:hAnsi="Times New Roman"/>
          <w:sz w:val="18"/>
          <w:szCs w:val="18"/>
          <w:color w:val="auto"/>
        </w:rPr>
      </w:pPr>
    </w:p>
    <w:p>
      <w:pPr>
        <w:ind w:left="500" w:hanging="1267"/>
        <w:spacing w:after="0" w:line="270" w:lineRule="auto"/>
        <w:tabs>
          <w:tab w:leader="none" w:pos="480" w:val="left"/>
        </w:tabs>
        <w:rPr>
          <w:rFonts w:ascii="Times New Roman" w:cs="Times New Roman" w:eastAsia="Times New Roman" w:hAnsi="Times New Roman"/>
          <w:sz w:val="18"/>
          <w:szCs w:val="18"/>
          <w:color w:val="auto"/>
        </w:rPr>
      </w:pPr>
      <w:hyperlink r:id="rId84">
        <w:r>
          <w:rPr>
            <w:rFonts w:ascii="Times New Roman" w:cs="Times New Roman" w:eastAsia="Times New Roman" w:hAnsi="Times New Roman"/>
            <w:sz w:val="18"/>
            <w:szCs w:val="18"/>
            <w:color w:val="auto"/>
          </w:rPr>
          <w:t>*4.5</w:t>
        </w:r>
      </w:hyperlink>
      <w:r>
        <w:rPr>
          <w:rFonts w:ascii="Times New Roman" w:cs="Times New Roman" w:eastAsia="Times New Roman" w:hAnsi="Times New Roman"/>
          <w:sz w:val="18"/>
          <w:szCs w:val="18"/>
          <w:color w:val="auto"/>
        </w:rPr>
        <w:tab/>
      </w:r>
      <w:hyperlink r:id="rId84">
        <w:r>
          <w:rPr>
            <w:rFonts w:ascii="Times New Roman" w:cs="Times New Roman" w:eastAsia="Times New Roman" w:hAnsi="Times New Roman"/>
            <w:sz w:val="18"/>
            <w:szCs w:val="18"/>
            <w:color w:val="auto"/>
          </w:rPr>
          <w:t>Specimen 6.875% Series D Fixed-to-Floating Rate Cumulative Redeemable Preferred Stock Certificate, incorporated herein by reference to Exhibit 4.1</w:t>
        </w:r>
      </w:hyperlink>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color w:val="auto"/>
          </w:rPr>
          <w:t>of Form 8-A (File No. 001-34057), filed March 6, 2019.</w:t>
        </w:r>
      </w:hyperlink>
    </w:p>
    <w:p>
      <w:pPr>
        <w:spacing w:after="0" w:line="115" w:lineRule="exact"/>
        <w:rPr>
          <w:rFonts w:ascii="Times New Roman" w:cs="Times New Roman" w:eastAsia="Times New Roman" w:hAnsi="Times New Roman"/>
          <w:sz w:val="18"/>
          <w:szCs w:val="18"/>
          <w:color w:val="auto"/>
        </w:rPr>
      </w:pPr>
    </w:p>
    <w:p>
      <w:pPr>
        <w:ind w:left="520" w:hanging="1267"/>
        <w:spacing w:after="0" w:line="270" w:lineRule="auto"/>
        <w:tabs>
          <w:tab w:leader="none" w:pos="500" w:val="left"/>
        </w:tabs>
        <w:rPr>
          <w:rFonts w:ascii="Times New Roman" w:cs="Times New Roman" w:eastAsia="Times New Roman" w:hAnsi="Times New Roman"/>
          <w:sz w:val="18"/>
          <w:szCs w:val="18"/>
          <w:color w:val="auto"/>
        </w:rPr>
      </w:pPr>
      <w:hyperlink r:id="rId85">
        <w:r>
          <w:rPr>
            <w:rFonts w:ascii="Times New Roman" w:cs="Times New Roman" w:eastAsia="Times New Roman" w:hAnsi="Times New Roman"/>
            <w:sz w:val="18"/>
            <w:szCs w:val="18"/>
            <w:color w:val="auto"/>
          </w:rPr>
          <w:t>*4.6</w:t>
        </w:r>
      </w:hyperlink>
      <w:r>
        <w:rPr>
          <w:rFonts w:ascii="Times New Roman" w:cs="Times New Roman" w:eastAsia="Times New Roman" w:hAnsi="Times New Roman"/>
          <w:sz w:val="18"/>
          <w:szCs w:val="18"/>
          <w:color w:val="auto"/>
        </w:rPr>
        <w:tab/>
      </w:r>
      <w:hyperlink r:id="rId85">
        <w:r>
          <w:rPr>
            <w:rFonts w:ascii="Times New Roman" w:cs="Times New Roman" w:eastAsia="Times New Roman" w:hAnsi="Times New Roman"/>
            <w:sz w:val="18"/>
            <w:szCs w:val="18"/>
            <w:color w:val="auto"/>
          </w:rPr>
          <w:t>Specimen 6.50% Series E Fixed-to-Floating Rate Cumulative Redeemable Preferred Stock Certificate, incorporated herein by reference to Exhibit 4.1</w:t>
        </w:r>
      </w:hyperlink>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color w:val="auto"/>
          </w:rPr>
          <w:t>of Form 8-A (File No. 001-34057), filed October 3, 2019.</w:t>
        </w:r>
      </w:hyperlink>
    </w:p>
    <w:p>
      <w:pPr>
        <w:spacing w:after="0" w:line="115" w:lineRule="exact"/>
        <w:rPr>
          <w:rFonts w:ascii="Times New Roman" w:cs="Times New Roman" w:eastAsia="Times New Roman" w:hAnsi="Times New Roman"/>
          <w:sz w:val="18"/>
          <w:szCs w:val="18"/>
          <w:color w:val="auto"/>
        </w:rPr>
      </w:pPr>
    </w:p>
    <w:p>
      <w:pPr>
        <w:ind w:left="500" w:hanging="1267"/>
        <w:spacing w:after="0" w:line="270" w:lineRule="auto"/>
        <w:tabs>
          <w:tab w:leader="none" w:pos="480" w:val="left"/>
        </w:tabs>
        <w:rPr>
          <w:rFonts w:ascii="Times New Roman" w:cs="Times New Roman" w:eastAsia="Times New Roman" w:hAnsi="Times New Roman"/>
          <w:sz w:val="18"/>
          <w:szCs w:val="18"/>
          <w:color w:val="auto"/>
        </w:rPr>
      </w:pPr>
      <w:hyperlink r:id="rId86">
        <w:r>
          <w:rPr>
            <w:rFonts w:ascii="Times New Roman" w:cs="Times New Roman" w:eastAsia="Times New Roman" w:hAnsi="Times New Roman"/>
            <w:sz w:val="18"/>
            <w:szCs w:val="18"/>
            <w:color w:val="auto"/>
          </w:rPr>
          <w:t>*4.7</w:t>
        </w:r>
      </w:hyperlink>
      <w:r>
        <w:rPr>
          <w:rFonts w:ascii="Times New Roman" w:cs="Times New Roman" w:eastAsia="Times New Roman" w:hAnsi="Times New Roman"/>
          <w:sz w:val="18"/>
          <w:szCs w:val="18"/>
          <w:color w:val="auto"/>
        </w:rPr>
        <w:tab/>
      </w:r>
      <w:hyperlink r:id="rId86">
        <w:r>
          <w:rPr>
            <w:rFonts w:ascii="Times New Roman" w:cs="Times New Roman" w:eastAsia="Times New Roman" w:hAnsi="Times New Roman"/>
            <w:sz w:val="18"/>
            <w:szCs w:val="18"/>
            <w:color w:val="auto"/>
          </w:rPr>
          <w:t>Specimen 6.125% Series F Fixed-to-Floating Rate Cumulative Redeemable Preferred Stock Certificate, incorporated herein by reference to Exhibit 4.1</w:t>
        </w:r>
      </w:hyperlink>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color w:val="auto"/>
          </w:rPr>
          <w:t>of Form 8-A (File No. 001-34057), filed February 11, 2020.</w:t>
        </w:r>
      </w:hyperlink>
    </w:p>
    <w:p>
      <w:pPr>
        <w:spacing w:after="0" w:line="200" w:lineRule="exact"/>
        <w:rPr>
          <w:rFonts w:ascii="Times New Roman" w:cs="Times New Roman" w:eastAsia="Times New Roman" w:hAnsi="Times New Roman"/>
          <w:sz w:val="18"/>
          <w:szCs w:val="18"/>
          <w:color w:val="auto"/>
        </w:rPr>
      </w:pPr>
    </w:p>
    <w:p>
      <w:pPr>
        <w:spacing w:after="0" w:line="29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51" w:name="page52"/>
    <w:bookmarkEnd w:id="51"/>
    <w:p>
      <w:pPr>
        <w:jc w:val="both"/>
        <w:ind w:left="560" w:hanging="1267"/>
        <w:spacing w:after="0" w:line="270" w:lineRule="auto"/>
        <w:tabs>
          <w:tab w:leader="none" w:pos="540" w:val="left"/>
        </w:tabs>
        <w:rPr>
          <w:rFonts w:ascii="Times New Roman" w:cs="Times New Roman" w:eastAsia="Times New Roman" w:hAnsi="Times New Roman"/>
          <w:sz w:val="18"/>
          <w:szCs w:val="18"/>
          <w:color w:val="auto"/>
        </w:rPr>
      </w:pPr>
      <w:hyperlink r:id="rId88">
        <w:r>
          <w:rPr>
            <w:rFonts w:ascii="Times New Roman" w:cs="Times New Roman" w:eastAsia="Times New Roman" w:hAnsi="Times New Roman"/>
            <w:sz w:val="18"/>
            <w:szCs w:val="18"/>
            <w:color w:val="auto"/>
          </w:rPr>
          <w:t>*4.8</w:t>
        </w:r>
      </w:hyperlink>
      <w:r>
        <w:rPr>
          <w:rFonts w:ascii="Times New Roman" w:cs="Times New Roman" w:eastAsia="Times New Roman" w:hAnsi="Times New Roman"/>
          <w:sz w:val="18"/>
          <w:szCs w:val="18"/>
          <w:color w:val="auto"/>
        </w:rPr>
        <w:tab/>
      </w:r>
      <w:hyperlink r:id="rId88">
        <w:r>
          <w:rPr>
            <w:rFonts w:ascii="Times New Roman" w:cs="Times New Roman" w:eastAsia="Times New Roman" w:hAnsi="Times New Roman"/>
            <w:sz w:val="18"/>
            <w:szCs w:val="18"/>
            <w:color w:val="auto"/>
          </w:rPr>
          <w:t>Specimen 7.75% Series G Fixed-Rate Reset Cumulative Redeemable Preferred Stock Certificate, incorporated herein by reference to Exhibit 4.1 of</w:t>
        </w:r>
      </w:hyperlink>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color w:val="auto"/>
          </w:rPr>
          <w:t>Form 8-A (File No. 001-34057), filed September 14, 2022.</w:t>
        </w:r>
      </w:hyperlink>
    </w:p>
    <w:p>
      <w:pPr>
        <w:spacing w:after="0" w:line="115" w:lineRule="exact"/>
        <w:rPr>
          <w:rFonts w:ascii="Times New Roman" w:cs="Times New Roman" w:eastAsia="Times New Roman" w:hAnsi="Times New Roman"/>
          <w:sz w:val="18"/>
          <w:szCs w:val="18"/>
          <w:color w:val="auto"/>
        </w:rPr>
      </w:pPr>
    </w:p>
    <w:p>
      <w:pPr>
        <w:jc w:val="both"/>
        <w:ind w:left="480" w:hanging="1267"/>
        <w:spacing w:after="0" w:line="270" w:lineRule="auto"/>
        <w:tabs>
          <w:tab w:leader="none" w:pos="460" w:val="left"/>
        </w:tabs>
        <w:rPr>
          <w:rFonts w:ascii="Times New Roman" w:cs="Times New Roman" w:eastAsia="Times New Roman" w:hAnsi="Times New Roman"/>
          <w:sz w:val="18"/>
          <w:szCs w:val="18"/>
          <w:color w:val="auto"/>
        </w:rPr>
      </w:pPr>
      <w:hyperlink r:id="rId89">
        <w:r>
          <w:rPr>
            <w:rFonts w:ascii="Times New Roman" w:cs="Times New Roman" w:eastAsia="Times New Roman" w:hAnsi="Times New Roman"/>
            <w:sz w:val="18"/>
            <w:szCs w:val="18"/>
            <w:color w:val="auto"/>
          </w:rPr>
          <w:t>*4.9</w:t>
        </w:r>
      </w:hyperlink>
      <w:r>
        <w:rPr>
          <w:rFonts w:ascii="Times New Roman" w:cs="Times New Roman" w:eastAsia="Times New Roman" w:hAnsi="Times New Roman"/>
          <w:sz w:val="18"/>
          <w:szCs w:val="18"/>
          <w:color w:val="auto"/>
        </w:rPr>
        <w:tab/>
      </w:r>
      <w:hyperlink r:id="rId89">
        <w:r>
          <w:rPr>
            <w:rFonts w:ascii="Times New Roman" w:cs="Times New Roman" w:eastAsia="Times New Roman" w:hAnsi="Times New Roman"/>
            <w:sz w:val="18"/>
            <w:szCs w:val="18"/>
            <w:color w:val="auto"/>
          </w:rPr>
          <w:t>Specimen 8.75% Series H Fixed-Rate Cumulative Redeemable Preferred Stock Certificate, incorporated herein by reference to Exhibit 4.1 of Form 8-A</w:t>
        </w:r>
      </w:hyperlink>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color w:val="auto"/>
          </w:rPr>
          <w:t>(File No. 001-34057), filed September 10, 2025.</w:t>
        </w:r>
      </w:hyperlink>
    </w:p>
    <w:p>
      <w:pPr>
        <w:spacing w:after="0" w:line="115" w:lineRule="exact"/>
        <w:rPr>
          <w:rFonts w:ascii="Times New Roman" w:cs="Times New Roman" w:eastAsia="Times New Roman" w:hAnsi="Times New Roman"/>
          <w:sz w:val="18"/>
          <w:szCs w:val="18"/>
          <w:color w:val="auto"/>
        </w:rPr>
      </w:pPr>
    </w:p>
    <w:p>
      <w:pPr>
        <w:jc w:val="both"/>
        <w:ind w:left="580" w:hanging="1267"/>
        <w:spacing w:after="0" w:line="257" w:lineRule="auto"/>
        <w:tabs>
          <w:tab w:leader="none" w:pos="560" w:val="left"/>
        </w:tabs>
        <w:rPr>
          <w:rFonts w:ascii="Times New Roman" w:cs="Times New Roman" w:eastAsia="Times New Roman" w:hAnsi="Times New Roman"/>
          <w:sz w:val="18"/>
          <w:szCs w:val="18"/>
          <w:color w:val="auto"/>
        </w:rPr>
      </w:pPr>
      <w:hyperlink r:id="rId90">
        <w:r>
          <w:rPr>
            <w:rFonts w:ascii="Times New Roman" w:cs="Times New Roman" w:eastAsia="Times New Roman" w:hAnsi="Times New Roman"/>
            <w:sz w:val="18"/>
            <w:szCs w:val="18"/>
            <w:color w:val="auto"/>
          </w:rPr>
          <w:t>*4.</w:t>
        </w:r>
      </w:hyperlink>
      <w:r>
        <w:rPr>
          <w:rFonts w:ascii="Times New Roman" w:cs="Times New Roman" w:eastAsia="Times New Roman" w:hAnsi="Times New Roman"/>
          <w:sz w:val="18"/>
          <w:szCs w:val="18"/>
          <w:color w:val="auto"/>
        </w:rPr>
        <w:t>10</w:t>
        <w:tab/>
      </w:r>
      <w:hyperlink r:id="rId90">
        <w:r>
          <w:rPr>
            <w:rFonts w:ascii="Times New Roman" w:cs="Times New Roman" w:eastAsia="Times New Roman" w:hAnsi="Times New Roman"/>
            <w:sz w:val="18"/>
            <w:szCs w:val="18"/>
            <w:color w:val="auto"/>
          </w:rPr>
          <w:t>Deposit Agreement relating to 7.00% Series C Fixed-to-Floating Rate Cumulative Redeemable Preferred Stock, dated August 22, 2017, among AGNC</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color w:val="auto"/>
          </w:rPr>
          <w:t>Investment Corp., Computershare Inc. and Computershare Trust Company, N.A., jointly as depositary, incorporated herein by reference to</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color w:val="auto"/>
          </w:rPr>
          <w:t>Exhibit 4.2 of Form 8-K (File No. 001-34057) filed August 22, 2017.</w:t>
        </w:r>
      </w:hyperlink>
    </w:p>
    <w:p>
      <w:pPr>
        <w:spacing w:after="0" w:line="127" w:lineRule="exact"/>
        <w:rPr>
          <w:rFonts w:ascii="Times New Roman" w:cs="Times New Roman" w:eastAsia="Times New Roman" w:hAnsi="Times New Roman"/>
          <w:sz w:val="18"/>
          <w:szCs w:val="18"/>
          <w:color w:val="auto"/>
        </w:rPr>
      </w:pPr>
    </w:p>
    <w:p>
      <w:pPr>
        <w:jc w:val="both"/>
        <w:ind w:left="660" w:hanging="1267"/>
        <w:spacing w:after="0" w:line="257" w:lineRule="auto"/>
        <w:tabs>
          <w:tab w:leader="none" w:pos="640" w:val="left"/>
        </w:tabs>
        <w:rPr>
          <w:rFonts w:ascii="Times New Roman" w:cs="Times New Roman" w:eastAsia="Times New Roman" w:hAnsi="Times New Roman"/>
          <w:sz w:val="18"/>
          <w:szCs w:val="18"/>
          <w:color w:val="auto"/>
        </w:rPr>
      </w:pPr>
      <w:hyperlink r:id="rId90">
        <w:r>
          <w:rPr>
            <w:rFonts w:ascii="Times New Roman" w:cs="Times New Roman" w:eastAsia="Times New Roman" w:hAnsi="Times New Roman"/>
            <w:sz w:val="18"/>
            <w:szCs w:val="18"/>
            <w:color w:val="auto"/>
          </w:rPr>
          <w:t>*4.</w:t>
        </w:r>
      </w:hyperlink>
      <w:r>
        <w:rPr>
          <w:rFonts w:ascii="Times New Roman" w:cs="Times New Roman" w:eastAsia="Times New Roman" w:hAnsi="Times New Roman"/>
          <w:sz w:val="18"/>
          <w:szCs w:val="18"/>
          <w:color w:val="auto"/>
        </w:rPr>
        <w:t>11</w:t>
        <w:tab/>
      </w:r>
      <w:hyperlink r:id="rId90">
        <w:r>
          <w:rPr>
            <w:rFonts w:ascii="Times New Roman" w:cs="Times New Roman" w:eastAsia="Times New Roman" w:hAnsi="Times New Roman"/>
            <w:sz w:val="18"/>
            <w:szCs w:val="18"/>
            <w:color w:val="auto"/>
          </w:rPr>
          <w:t>Form of Depositary Receipt representing 1/1,000th of a share of 7.00% Series C Fixed-to-Floating Rate Cumulative Redeemable Preferred Stock</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color w:val="auto"/>
          </w:rPr>
          <w:t>(included as part of Exhibit 4.10), incorporated herein by reference to Exhibit A of Exhibit 4.2 of Form 8-K (File No. 001-34057) filed</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color w:val="auto"/>
          </w:rPr>
          <w:t>August 22, 2017.</w:t>
        </w:r>
      </w:hyperlink>
    </w:p>
    <w:p>
      <w:pPr>
        <w:spacing w:after="0" w:line="127" w:lineRule="exact"/>
        <w:rPr>
          <w:rFonts w:ascii="Times New Roman" w:cs="Times New Roman" w:eastAsia="Times New Roman" w:hAnsi="Times New Roman"/>
          <w:sz w:val="18"/>
          <w:szCs w:val="18"/>
          <w:color w:val="auto"/>
        </w:rPr>
      </w:pPr>
    </w:p>
    <w:p>
      <w:pPr>
        <w:jc w:val="both"/>
        <w:ind w:left="580" w:hanging="1267"/>
        <w:spacing w:after="0" w:line="257" w:lineRule="auto"/>
        <w:tabs>
          <w:tab w:leader="none" w:pos="560" w:val="left"/>
        </w:tabs>
        <w:rPr>
          <w:rFonts w:ascii="Times New Roman" w:cs="Times New Roman" w:eastAsia="Times New Roman" w:hAnsi="Times New Roman"/>
          <w:sz w:val="18"/>
          <w:szCs w:val="18"/>
          <w:color w:val="auto"/>
        </w:rPr>
      </w:pPr>
      <w:hyperlink r:id="rId91">
        <w:r>
          <w:rPr>
            <w:rFonts w:ascii="Times New Roman" w:cs="Times New Roman" w:eastAsia="Times New Roman" w:hAnsi="Times New Roman"/>
            <w:sz w:val="18"/>
            <w:szCs w:val="18"/>
            <w:color w:val="auto"/>
          </w:rPr>
          <w:t>*4.</w:t>
        </w:r>
      </w:hyperlink>
      <w:r>
        <w:rPr>
          <w:rFonts w:ascii="Times New Roman" w:cs="Times New Roman" w:eastAsia="Times New Roman" w:hAnsi="Times New Roman"/>
          <w:sz w:val="18"/>
          <w:szCs w:val="18"/>
          <w:color w:val="auto"/>
        </w:rPr>
        <w:t>12</w:t>
        <w:tab/>
      </w:r>
      <w:hyperlink r:id="rId91">
        <w:r>
          <w:rPr>
            <w:rFonts w:ascii="Times New Roman" w:cs="Times New Roman" w:eastAsia="Times New Roman" w:hAnsi="Times New Roman"/>
            <w:sz w:val="18"/>
            <w:szCs w:val="18"/>
            <w:color w:val="auto"/>
          </w:rPr>
          <w:t>Deposit Agreement relating to 6.875% Series D Fixed-to-Floating Rate Cumulative Redeemable Preferred Stock, dated March 6, 2019, among AGNC</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color w:val="auto"/>
          </w:rPr>
          <w:t>Investment Corp., Computershare Inc. and Computershare Trust Company, N.A., jointly as depositary, incorporated herein by reference to</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color w:val="auto"/>
          </w:rPr>
          <w:t>Exhibit 4.2 of Form 8-K (File No. 001-34057) filed March 6, 2019.</w:t>
        </w:r>
      </w:hyperlink>
    </w:p>
    <w:p>
      <w:pPr>
        <w:spacing w:after="0" w:line="127" w:lineRule="exact"/>
        <w:rPr>
          <w:rFonts w:ascii="Times New Roman" w:cs="Times New Roman" w:eastAsia="Times New Roman" w:hAnsi="Times New Roman"/>
          <w:sz w:val="18"/>
          <w:szCs w:val="18"/>
          <w:color w:val="auto"/>
        </w:rPr>
      </w:pPr>
    </w:p>
    <w:p>
      <w:pPr>
        <w:jc w:val="both"/>
        <w:ind w:left="640" w:hanging="1267"/>
        <w:spacing w:after="0" w:line="257" w:lineRule="auto"/>
        <w:tabs>
          <w:tab w:leader="none" w:pos="620" w:val="left"/>
        </w:tabs>
        <w:rPr>
          <w:rFonts w:ascii="Times New Roman" w:cs="Times New Roman" w:eastAsia="Times New Roman" w:hAnsi="Times New Roman"/>
          <w:sz w:val="18"/>
          <w:szCs w:val="18"/>
          <w:color w:val="auto"/>
        </w:rPr>
      </w:pPr>
      <w:hyperlink r:id="rId91">
        <w:r>
          <w:rPr>
            <w:rFonts w:ascii="Times New Roman" w:cs="Times New Roman" w:eastAsia="Times New Roman" w:hAnsi="Times New Roman"/>
            <w:sz w:val="18"/>
            <w:szCs w:val="18"/>
            <w:color w:val="auto"/>
          </w:rPr>
          <w:t>*4.</w:t>
        </w:r>
      </w:hyperlink>
      <w:r>
        <w:rPr>
          <w:rFonts w:ascii="Times New Roman" w:cs="Times New Roman" w:eastAsia="Times New Roman" w:hAnsi="Times New Roman"/>
          <w:sz w:val="18"/>
          <w:szCs w:val="18"/>
          <w:color w:val="auto"/>
        </w:rPr>
        <w:t>13</w:t>
        <w:tab/>
      </w:r>
      <w:hyperlink r:id="rId91">
        <w:r>
          <w:rPr>
            <w:rFonts w:ascii="Times New Roman" w:cs="Times New Roman" w:eastAsia="Times New Roman" w:hAnsi="Times New Roman"/>
            <w:sz w:val="18"/>
            <w:szCs w:val="18"/>
            <w:color w:val="auto"/>
          </w:rPr>
          <w:t>Form of Depositary Receipt representing 1/1,000th of a share of 6.875% Series D Fixed-to-Floating Rate Cumulative Redeemable Preferred Stock</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color w:val="auto"/>
          </w:rPr>
          <w:t>(included as part of Exhibit 4.12), incorporated herein by reference to Exhibit A of Exhibit 4.2 of Form 8-K (File No. 001-34057) filed</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color w:val="auto"/>
          </w:rPr>
          <w:t>March 6, 2019.</w:t>
        </w:r>
      </w:hyperlink>
    </w:p>
    <w:p>
      <w:pPr>
        <w:spacing w:after="0" w:line="127" w:lineRule="exact"/>
        <w:rPr>
          <w:rFonts w:ascii="Times New Roman" w:cs="Times New Roman" w:eastAsia="Times New Roman" w:hAnsi="Times New Roman"/>
          <w:sz w:val="18"/>
          <w:szCs w:val="18"/>
          <w:color w:val="auto"/>
        </w:rPr>
      </w:pPr>
    </w:p>
    <w:p>
      <w:pPr>
        <w:ind w:left="580" w:right="60" w:hanging="1267"/>
        <w:spacing w:after="0" w:line="257" w:lineRule="auto"/>
        <w:tabs>
          <w:tab w:leader="none" w:pos="560" w:val="left"/>
        </w:tabs>
        <w:rPr>
          <w:rFonts w:ascii="Times New Roman" w:cs="Times New Roman" w:eastAsia="Times New Roman" w:hAnsi="Times New Roman"/>
          <w:sz w:val="18"/>
          <w:szCs w:val="18"/>
          <w:color w:val="auto"/>
        </w:rPr>
      </w:pPr>
      <w:hyperlink r:id="rId92">
        <w:r>
          <w:rPr>
            <w:rFonts w:ascii="Times New Roman" w:cs="Times New Roman" w:eastAsia="Times New Roman" w:hAnsi="Times New Roman"/>
            <w:sz w:val="18"/>
            <w:szCs w:val="18"/>
            <w:color w:val="auto"/>
          </w:rPr>
          <w:t>*4.</w:t>
        </w:r>
      </w:hyperlink>
      <w:r>
        <w:rPr>
          <w:rFonts w:ascii="Times New Roman" w:cs="Times New Roman" w:eastAsia="Times New Roman" w:hAnsi="Times New Roman"/>
          <w:sz w:val="18"/>
          <w:szCs w:val="18"/>
          <w:color w:val="auto"/>
        </w:rPr>
        <w:t>14</w:t>
        <w:tab/>
      </w:r>
      <w:hyperlink r:id="rId92">
        <w:r>
          <w:rPr>
            <w:rFonts w:ascii="Times New Roman" w:cs="Times New Roman" w:eastAsia="Times New Roman" w:hAnsi="Times New Roman"/>
            <w:sz w:val="18"/>
            <w:szCs w:val="18"/>
            <w:color w:val="auto"/>
          </w:rPr>
          <w:t>Deposit Agreement relating to 6.50% Series E Fixed-to-Floating Rate Cumulative Redeemable Preferred Stock, dated October 3, 2019, among AGNC</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color w:val="auto"/>
          </w:rPr>
          <w:t>Investment Corp., Computershare Inc. and Computershare Trust Company, N.A., jointly as depositary, incorporated herein by reference to</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color w:val="auto"/>
          </w:rPr>
          <w:t>Exhibit 4.2 of Form 8-K (File No. 001-34057) filed October 3, 2019.</w:t>
        </w:r>
      </w:hyperlink>
    </w:p>
    <w:p>
      <w:pPr>
        <w:spacing w:after="0" w:line="127" w:lineRule="exact"/>
        <w:rPr>
          <w:rFonts w:ascii="Times New Roman" w:cs="Times New Roman" w:eastAsia="Times New Roman" w:hAnsi="Times New Roman"/>
          <w:sz w:val="18"/>
          <w:szCs w:val="18"/>
          <w:color w:val="auto"/>
        </w:rPr>
      </w:pPr>
    </w:p>
    <w:p>
      <w:pPr>
        <w:jc w:val="both"/>
        <w:ind w:left="580" w:right="440" w:hanging="1267"/>
        <w:spacing w:after="0" w:line="257" w:lineRule="auto"/>
        <w:tabs>
          <w:tab w:leader="none" w:pos="560" w:val="left"/>
        </w:tabs>
        <w:rPr>
          <w:rFonts w:ascii="Times New Roman" w:cs="Times New Roman" w:eastAsia="Times New Roman" w:hAnsi="Times New Roman"/>
          <w:sz w:val="18"/>
          <w:szCs w:val="18"/>
          <w:color w:val="auto"/>
        </w:rPr>
      </w:pPr>
      <w:hyperlink r:id="rId92">
        <w:r>
          <w:rPr>
            <w:rFonts w:ascii="Times New Roman" w:cs="Times New Roman" w:eastAsia="Times New Roman" w:hAnsi="Times New Roman"/>
            <w:sz w:val="18"/>
            <w:szCs w:val="18"/>
            <w:color w:val="auto"/>
          </w:rPr>
          <w:t>*4.</w:t>
        </w:r>
      </w:hyperlink>
      <w:r>
        <w:rPr>
          <w:rFonts w:ascii="Times New Roman" w:cs="Times New Roman" w:eastAsia="Times New Roman" w:hAnsi="Times New Roman"/>
          <w:sz w:val="18"/>
          <w:szCs w:val="18"/>
          <w:color w:val="auto"/>
        </w:rPr>
        <w:t>15</w:t>
        <w:tab/>
      </w:r>
      <w:hyperlink r:id="rId92">
        <w:r>
          <w:rPr>
            <w:rFonts w:ascii="Times New Roman" w:cs="Times New Roman" w:eastAsia="Times New Roman" w:hAnsi="Times New Roman"/>
            <w:sz w:val="18"/>
            <w:szCs w:val="18"/>
            <w:color w:val="auto"/>
          </w:rPr>
          <w:t>Form of Depositary Receipt representing 1/1,000th of a share of 6.50% Series E Fixed-to-Floating Rate Cumulative Redeemable Preferred Stock</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color w:val="auto"/>
          </w:rPr>
          <w:t>(included as part of Exhibit 4.14), incorporated herein by reference to Exhibit A of Exhibit 4.2 of Form 8-K (File No. 001-34057) filed</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color w:val="auto"/>
          </w:rPr>
          <w:t>October 3, 2019.</w:t>
        </w:r>
      </w:hyperlink>
    </w:p>
    <w:p>
      <w:pPr>
        <w:spacing w:after="0" w:line="127" w:lineRule="exact"/>
        <w:rPr>
          <w:rFonts w:ascii="Times New Roman" w:cs="Times New Roman" w:eastAsia="Times New Roman" w:hAnsi="Times New Roman"/>
          <w:sz w:val="18"/>
          <w:szCs w:val="18"/>
          <w:color w:val="auto"/>
        </w:rPr>
      </w:pPr>
    </w:p>
    <w:p>
      <w:pPr>
        <w:ind w:left="580" w:right="380" w:hanging="1267"/>
        <w:spacing w:after="0" w:line="257" w:lineRule="auto"/>
        <w:tabs>
          <w:tab w:leader="none" w:pos="560" w:val="left"/>
        </w:tabs>
        <w:rPr>
          <w:rFonts w:ascii="Times New Roman" w:cs="Times New Roman" w:eastAsia="Times New Roman" w:hAnsi="Times New Roman"/>
          <w:sz w:val="18"/>
          <w:szCs w:val="18"/>
          <w:color w:val="auto"/>
        </w:rPr>
      </w:pPr>
      <w:hyperlink r:id="rId93">
        <w:r>
          <w:rPr>
            <w:rFonts w:ascii="Times New Roman" w:cs="Times New Roman" w:eastAsia="Times New Roman" w:hAnsi="Times New Roman"/>
            <w:sz w:val="18"/>
            <w:szCs w:val="18"/>
            <w:color w:val="auto"/>
          </w:rPr>
          <w:t>*4.</w:t>
        </w:r>
      </w:hyperlink>
      <w:r>
        <w:rPr>
          <w:rFonts w:ascii="Times New Roman" w:cs="Times New Roman" w:eastAsia="Times New Roman" w:hAnsi="Times New Roman"/>
          <w:sz w:val="18"/>
          <w:szCs w:val="18"/>
          <w:color w:val="auto"/>
        </w:rPr>
        <w:t>16</w:t>
        <w:tab/>
      </w:r>
      <w:hyperlink r:id="rId93">
        <w:r>
          <w:rPr>
            <w:rFonts w:ascii="Times New Roman" w:cs="Times New Roman" w:eastAsia="Times New Roman" w:hAnsi="Times New Roman"/>
            <w:sz w:val="18"/>
            <w:szCs w:val="18"/>
            <w:color w:val="auto"/>
          </w:rPr>
          <w:t>Deposit Agreement relating to 6.125% Series F Fixed-to-Floating Rate Cumulative Redeemable Preferred Stock, dated February 11, 2020, among</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color w:val="auto"/>
          </w:rPr>
          <w:t>AGNC Investment Corp., Computershare Inc. and Computershare Trust Company, N.A., jointly as depositary, incorporated herein by</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color w:val="auto"/>
          </w:rPr>
          <w:t>reference to Exhibit 4.1 of Form 8-K (File No. 001-34057) filed February 11, 2020.</w:t>
        </w:r>
      </w:hyperlink>
    </w:p>
    <w:p>
      <w:pPr>
        <w:spacing w:after="0" w:line="127" w:lineRule="exact"/>
        <w:rPr>
          <w:rFonts w:ascii="Times New Roman" w:cs="Times New Roman" w:eastAsia="Times New Roman" w:hAnsi="Times New Roman"/>
          <w:sz w:val="18"/>
          <w:szCs w:val="18"/>
          <w:color w:val="auto"/>
        </w:rPr>
      </w:pPr>
    </w:p>
    <w:p>
      <w:pPr>
        <w:ind w:left="580" w:right="360" w:hanging="1267"/>
        <w:spacing w:after="0" w:line="257" w:lineRule="auto"/>
        <w:tabs>
          <w:tab w:leader="none" w:pos="560" w:val="left"/>
        </w:tabs>
        <w:rPr>
          <w:rFonts w:ascii="Times New Roman" w:cs="Times New Roman" w:eastAsia="Times New Roman" w:hAnsi="Times New Roman"/>
          <w:sz w:val="18"/>
          <w:szCs w:val="18"/>
          <w:color w:val="auto"/>
        </w:rPr>
      </w:pPr>
      <w:hyperlink r:id="rId93">
        <w:r>
          <w:rPr>
            <w:rFonts w:ascii="Times New Roman" w:cs="Times New Roman" w:eastAsia="Times New Roman" w:hAnsi="Times New Roman"/>
            <w:sz w:val="18"/>
            <w:szCs w:val="18"/>
            <w:color w:val="auto"/>
          </w:rPr>
          <w:t>*4.</w:t>
        </w:r>
      </w:hyperlink>
      <w:r>
        <w:rPr>
          <w:rFonts w:ascii="Times New Roman" w:cs="Times New Roman" w:eastAsia="Times New Roman" w:hAnsi="Times New Roman"/>
          <w:sz w:val="18"/>
          <w:szCs w:val="18"/>
          <w:color w:val="auto"/>
        </w:rPr>
        <w:t>17</w:t>
        <w:tab/>
      </w:r>
      <w:hyperlink r:id="rId93">
        <w:r>
          <w:rPr>
            <w:rFonts w:ascii="Times New Roman" w:cs="Times New Roman" w:eastAsia="Times New Roman" w:hAnsi="Times New Roman"/>
            <w:sz w:val="18"/>
            <w:szCs w:val="18"/>
            <w:color w:val="auto"/>
          </w:rPr>
          <w:t>Form of Depositary Receipt representing 1/1,000th of a share of 6.125% Series F Fixed-to-Floating Rate Cumulative Redeemable Preferred Stock</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color w:val="auto"/>
          </w:rPr>
          <w:t>(included as part of Exhibit 4.16), incorporated herein by reference to Exhibit A of Exhibit 4.1 of Form 8-K (File No. 001-34057) filed</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color w:val="auto"/>
          </w:rPr>
          <w:t>February 11, 2020.</w:t>
        </w:r>
      </w:hyperlink>
    </w:p>
    <w:p>
      <w:pPr>
        <w:spacing w:after="0" w:line="127" w:lineRule="exact"/>
        <w:rPr>
          <w:rFonts w:ascii="Times New Roman" w:cs="Times New Roman" w:eastAsia="Times New Roman" w:hAnsi="Times New Roman"/>
          <w:sz w:val="18"/>
          <w:szCs w:val="18"/>
          <w:color w:val="auto"/>
        </w:rPr>
      </w:pPr>
    </w:p>
    <w:p>
      <w:pPr>
        <w:jc w:val="both"/>
        <w:ind w:left="580" w:right="160" w:hanging="1267"/>
        <w:spacing w:after="0" w:line="257" w:lineRule="auto"/>
        <w:tabs>
          <w:tab w:leader="none" w:pos="560" w:val="left"/>
        </w:tabs>
        <w:rPr>
          <w:rFonts w:ascii="Times New Roman" w:cs="Times New Roman" w:eastAsia="Times New Roman" w:hAnsi="Times New Roman"/>
          <w:sz w:val="18"/>
          <w:szCs w:val="18"/>
          <w:color w:val="auto"/>
        </w:rPr>
      </w:pPr>
      <w:hyperlink r:id="rId94">
        <w:r>
          <w:rPr>
            <w:rFonts w:ascii="Times New Roman" w:cs="Times New Roman" w:eastAsia="Times New Roman" w:hAnsi="Times New Roman"/>
            <w:sz w:val="18"/>
            <w:szCs w:val="18"/>
            <w:color w:val="auto"/>
          </w:rPr>
          <w:t>*4.</w:t>
        </w:r>
      </w:hyperlink>
      <w:r>
        <w:rPr>
          <w:rFonts w:ascii="Times New Roman" w:cs="Times New Roman" w:eastAsia="Times New Roman" w:hAnsi="Times New Roman"/>
          <w:sz w:val="18"/>
          <w:szCs w:val="18"/>
          <w:color w:val="auto"/>
        </w:rPr>
        <w:t>18</w:t>
        <w:tab/>
      </w:r>
      <w:hyperlink r:id="rId94">
        <w:r>
          <w:rPr>
            <w:rFonts w:ascii="Times New Roman" w:cs="Times New Roman" w:eastAsia="Times New Roman" w:hAnsi="Times New Roman"/>
            <w:sz w:val="18"/>
            <w:szCs w:val="18"/>
            <w:color w:val="auto"/>
          </w:rPr>
          <w:t>Deposit Agreement relating to 7.75% Series G Fixed-Rate Reset Cumulative Redeemable Preferred Stock, dated September 14, 2022, among AGNC</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color w:val="auto"/>
          </w:rPr>
          <w:t>Investment Corp., Computershare Inc. and Computershare Trust Company, N.A., jointly as depositary, incorporated herein by reference to</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color w:val="auto"/>
          </w:rPr>
          <w:t>Exhibit 4.2 of Form 8-K (File No. 001-34057) filed September 14, 2022.</w:t>
        </w:r>
      </w:hyperlink>
    </w:p>
    <w:p>
      <w:pPr>
        <w:spacing w:after="0" w:line="127" w:lineRule="exact"/>
        <w:rPr>
          <w:rFonts w:ascii="Times New Roman" w:cs="Times New Roman" w:eastAsia="Times New Roman" w:hAnsi="Times New Roman"/>
          <w:sz w:val="18"/>
          <w:szCs w:val="18"/>
          <w:color w:val="auto"/>
        </w:rPr>
      </w:pPr>
    </w:p>
    <w:p>
      <w:pPr>
        <w:jc w:val="both"/>
        <w:ind w:left="580" w:right="120" w:hanging="1267"/>
        <w:spacing w:after="0" w:line="257" w:lineRule="auto"/>
        <w:tabs>
          <w:tab w:leader="none" w:pos="560" w:val="left"/>
        </w:tabs>
        <w:rPr>
          <w:rFonts w:ascii="Times New Roman" w:cs="Times New Roman" w:eastAsia="Times New Roman" w:hAnsi="Times New Roman"/>
          <w:sz w:val="18"/>
          <w:szCs w:val="18"/>
          <w:color w:val="auto"/>
        </w:rPr>
      </w:pPr>
      <w:hyperlink r:id="rId94">
        <w:r>
          <w:rPr>
            <w:rFonts w:ascii="Times New Roman" w:cs="Times New Roman" w:eastAsia="Times New Roman" w:hAnsi="Times New Roman"/>
            <w:sz w:val="18"/>
            <w:szCs w:val="18"/>
            <w:color w:val="auto"/>
          </w:rPr>
          <w:t>*4.</w:t>
        </w:r>
      </w:hyperlink>
      <w:r>
        <w:rPr>
          <w:rFonts w:ascii="Times New Roman" w:cs="Times New Roman" w:eastAsia="Times New Roman" w:hAnsi="Times New Roman"/>
          <w:sz w:val="18"/>
          <w:szCs w:val="18"/>
          <w:color w:val="auto"/>
        </w:rPr>
        <w:t>19</w:t>
        <w:tab/>
      </w:r>
      <w:hyperlink r:id="rId94">
        <w:r>
          <w:rPr>
            <w:rFonts w:ascii="Times New Roman" w:cs="Times New Roman" w:eastAsia="Times New Roman" w:hAnsi="Times New Roman"/>
            <w:sz w:val="18"/>
            <w:szCs w:val="18"/>
            <w:color w:val="auto"/>
          </w:rPr>
          <w:t>Form of Depositary Receipt representing 1/1,000th of a share of 7.75% Series G Fixed-Rate Reset Cumulative Redeemable Preferred Stock (included</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color w:val="auto"/>
          </w:rPr>
          <w:t>as part of Exhibit 4.18), incorporated herein by reference to Exhibit A of Exhibit 4.2 of Form 8-K (File No. 001-34057) filed September 14,</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color w:val="auto"/>
          </w:rPr>
          <w:t>2022.</w:t>
        </w:r>
      </w:hyperlink>
    </w:p>
    <w:p>
      <w:pPr>
        <w:spacing w:after="0" w:line="127" w:lineRule="exact"/>
        <w:rPr>
          <w:rFonts w:ascii="Times New Roman" w:cs="Times New Roman" w:eastAsia="Times New Roman" w:hAnsi="Times New Roman"/>
          <w:sz w:val="18"/>
          <w:szCs w:val="18"/>
          <w:color w:val="auto"/>
        </w:rPr>
      </w:pPr>
    </w:p>
    <w:p>
      <w:pPr>
        <w:ind w:left="580" w:right="240" w:hanging="1267"/>
        <w:spacing w:after="0" w:line="257" w:lineRule="auto"/>
        <w:tabs>
          <w:tab w:leader="none" w:pos="560" w:val="left"/>
        </w:tabs>
        <w:rPr>
          <w:rFonts w:ascii="Times New Roman" w:cs="Times New Roman" w:eastAsia="Times New Roman" w:hAnsi="Times New Roman"/>
          <w:sz w:val="18"/>
          <w:szCs w:val="18"/>
          <w:color w:val="auto"/>
        </w:rPr>
      </w:pPr>
      <w:hyperlink r:id="rId95">
        <w:r>
          <w:rPr>
            <w:rFonts w:ascii="Times New Roman" w:cs="Times New Roman" w:eastAsia="Times New Roman" w:hAnsi="Times New Roman"/>
            <w:sz w:val="18"/>
            <w:szCs w:val="18"/>
            <w:color w:val="auto"/>
          </w:rPr>
          <w:t>*4.20</w:t>
        </w:r>
      </w:hyperlink>
      <w:r>
        <w:rPr>
          <w:rFonts w:ascii="Times New Roman" w:cs="Times New Roman" w:eastAsia="Times New Roman" w:hAnsi="Times New Roman"/>
          <w:sz w:val="18"/>
          <w:szCs w:val="18"/>
          <w:color w:val="auto"/>
        </w:rPr>
        <w:tab/>
      </w:r>
      <w:hyperlink r:id="rId95">
        <w:r>
          <w:rPr>
            <w:rFonts w:ascii="Times New Roman" w:cs="Times New Roman" w:eastAsia="Times New Roman" w:hAnsi="Times New Roman"/>
            <w:sz w:val="18"/>
            <w:szCs w:val="18"/>
            <w:color w:val="auto"/>
          </w:rPr>
          <w:t>Deposit Agreement relating to 8.75% Series H Fixed-Rate Cumulative Redeemable Preferred Stock, dated September 10, 2025, among AGNC</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color w:val="auto"/>
          </w:rPr>
          <w:t>Investment Corp., Computershare Inc. and Computershare Trust Company, N.A., jointly as depositary, incorporated herein by reference to</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color w:val="auto"/>
          </w:rPr>
          <w:t>Exhibit 4.2 of Form 8-K (File No. 001-34057) filed September 10, 2025.</w:t>
        </w:r>
      </w:hyperlink>
    </w:p>
    <w:p>
      <w:pPr>
        <w:spacing w:after="0" w:line="127" w:lineRule="exact"/>
        <w:rPr>
          <w:rFonts w:ascii="Times New Roman" w:cs="Times New Roman" w:eastAsia="Times New Roman" w:hAnsi="Times New Roman"/>
          <w:sz w:val="18"/>
          <w:szCs w:val="18"/>
          <w:color w:val="auto"/>
        </w:rPr>
      </w:pPr>
    </w:p>
    <w:p>
      <w:pPr>
        <w:ind w:left="580" w:right="40" w:hanging="1267"/>
        <w:spacing w:after="0" w:line="270" w:lineRule="auto"/>
        <w:tabs>
          <w:tab w:leader="none" w:pos="560" w:val="left"/>
        </w:tabs>
        <w:rPr>
          <w:rFonts w:ascii="Times New Roman" w:cs="Times New Roman" w:eastAsia="Times New Roman" w:hAnsi="Times New Roman"/>
          <w:sz w:val="18"/>
          <w:szCs w:val="18"/>
          <w:color w:val="auto"/>
        </w:rPr>
      </w:pPr>
      <w:hyperlink r:id="rId95">
        <w:r>
          <w:rPr>
            <w:rFonts w:ascii="Times New Roman" w:cs="Times New Roman" w:eastAsia="Times New Roman" w:hAnsi="Times New Roman"/>
            <w:sz w:val="18"/>
            <w:szCs w:val="18"/>
            <w:color w:val="auto"/>
          </w:rPr>
          <w:t>*4.21</w:t>
        </w:r>
      </w:hyperlink>
      <w:r>
        <w:rPr>
          <w:rFonts w:ascii="Times New Roman" w:cs="Times New Roman" w:eastAsia="Times New Roman" w:hAnsi="Times New Roman"/>
          <w:sz w:val="18"/>
          <w:szCs w:val="18"/>
          <w:color w:val="auto"/>
        </w:rPr>
        <w:tab/>
      </w:r>
      <w:hyperlink r:id="rId95">
        <w:r>
          <w:rPr>
            <w:rFonts w:ascii="Times New Roman" w:cs="Times New Roman" w:eastAsia="Times New Roman" w:hAnsi="Times New Roman"/>
            <w:sz w:val="18"/>
            <w:szCs w:val="18"/>
            <w:color w:val="auto"/>
          </w:rPr>
          <w:t>Form of Depositary Receipt representing 1/1,000th of a share of 8.75% Series H Fixed-Rate Cumulative Redeemable Preferred Stock (included as part</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color w:val="auto"/>
          </w:rPr>
          <w:t>of Exhibit 4.20), incorporated herein by reference to Exhibit A of Exhibit 4.2 of Form 8-K (File No. 001-34057) filed September 10, 2025.</w:t>
        </w:r>
      </w:hyperlink>
    </w:p>
    <w:p>
      <w:pPr>
        <w:spacing w:after="0" w:line="115" w:lineRule="exact"/>
        <w:rPr>
          <w:rFonts w:ascii="Times New Roman" w:cs="Times New Roman" w:eastAsia="Times New Roman" w:hAnsi="Times New Roman"/>
          <w:sz w:val="18"/>
          <w:szCs w:val="18"/>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CEO Pursuant to Section 302(a) of the Sarbanes-Oxley Act of 2002.</w:t>
      </w:r>
    </w:p>
    <w:p>
      <w:pPr>
        <w:spacing w:after="0" w:line="200" w:lineRule="exact"/>
        <w:rPr>
          <w:rFonts w:ascii="Times New Roman" w:cs="Times New Roman" w:eastAsia="Times New Roman" w:hAnsi="Times New Roman"/>
          <w:sz w:val="18"/>
          <w:szCs w:val="18"/>
          <w:color w:val="auto"/>
        </w:rPr>
      </w:pPr>
    </w:p>
    <w:p>
      <w:pPr>
        <w:spacing w:after="0" w:line="34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52" w:name="page53"/>
    <w:bookmarkEnd w:id="52"/>
    <w:p>
      <w:pPr>
        <w:spacing w:after="0"/>
        <w:tabs>
          <w:tab w:leader="none" w:pos="4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Certification of CFO Pursuant to Section 302(a) of the Sarbanes-Oxley Act of 2002.</w:t>
      </w:r>
    </w:p>
    <w:p>
      <w:pPr>
        <w:spacing w:after="0" w:line="1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Certification of CEO and CFO Pursuant to Section 906 of the Sarbanes-Oxley Act of 2002.</w:t>
      </w:r>
    </w:p>
    <w:p>
      <w:pPr>
        <w:spacing w:after="0" w:line="16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7"/>
          <w:szCs w:val="17"/>
          <w:color w:val="auto"/>
        </w:rPr>
        <w:t>The instance document does not appear in the interactive data file because its XBRL tags are embedded within the inline XBRL document</w:t>
      </w:r>
    </w:p>
    <w:p>
      <w:pPr>
        <w:spacing w:after="0" w:line="16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17"/>
          <w:szCs w:val="17"/>
          <w:color w:val="auto"/>
        </w:rPr>
        <w:t>XBRL Taxonomy Extension Schema Document</w:t>
      </w:r>
    </w:p>
    <w:p>
      <w:pPr>
        <w:spacing w:after="0" w:line="16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101.CAL**</w:t>
      </w:r>
      <w:r>
        <w:rPr>
          <w:sz w:val="20"/>
          <w:szCs w:val="20"/>
          <w:color w:val="auto"/>
        </w:rPr>
        <w:tab/>
      </w:r>
      <w:r>
        <w:rPr>
          <w:rFonts w:ascii="Times New Roman" w:cs="Times New Roman" w:eastAsia="Times New Roman" w:hAnsi="Times New Roman"/>
          <w:sz w:val="17"/>
          <w:szCs w:val="17"/>
          <w:color w:val="auto"/>
        </w:rPr>
        <w:t>XBRL Taxonomy Extension Calculation Linkbase Document</w:t>
      </w:r>
    </w:p>
    <w:p>
      <w:pPr>
        <w:spacing w:after="0" w:line="16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101.LAB**</w:t>
      </w:r>
      <w:r>
        <w:rPr>
          <w:sz w:val="20"/>
          <w:szCs w:val="20"/>
          <w:color w:val="auto"/>
        </w:rPr>
        <w:tab/>
      </w:r>
      <w:r>
        <w:rPr>
          <w:rFonts w:ascii="Times New Roman" w:cs="Times New Roman" w:eastAsia="Times New Roman" w:hAnsi="Times New Roman"/>
          <w:sz w:val="17"/>
          <w:szCs w:val="17"/>
          <w:color w:val="auto"/>
        </w:rPr>
        <w:t>XBRL Taxonomy Extension Labels Linkbase Document</w:t>
      </w:r>
    </w:p>
    <w:p>
      <w:pPr>
        <w:spacing w:after="0" w:line="16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7"/>
          <w:szCs w:val="17"/>
          <w:color w:val="auto"/>
        </w:rPr>
        <w:t>XBRL Taxonomy Extension Presentation Linkbase Document</w:t>
      </w:r>
    </w:p>
    <w:p>
      <w:pPr>
        <w:spacing w:after="0" w:line="16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101.DEF**</w:t>
      </w:r>
      <w:r>
        <w:rPr>
          <w:sz w:val="20"/>
          <w:szCs w:val="20"/>
          <w:color w:val="auto"/>
        </w:rPr>
        <w:tab/>
      </w:r>
      <w:r>
        <w:rPr>
          <w:rFonts w:ascii="Times New Roman" w:cs="Times New Roman" w:eastAsia="Times New Roman" w:hAnsi="Times New Roman"/>
          <w:sz w:val="17"/>
          <w:szCs w:val="17"/>
          <w:color w:val="auto"/>
        </w:rPr>
        <w:t>XBRL Taxonomy Extension Definition Linkbase Document</w:t>
      </w:r>
    </w:p>
    <w:p>
      <w:pPr>
        <w:spacing w:after="0" w:line="16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 and included in Exhibit 101)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Previously filed</w:t>
      </w:r>
    </w:p>
    <w:p>
      <w:pPr>
        <w:spacing w:after="0" w:line="11" w:lineRule="exact"/>
        <w:rPr>
          <w:sz w:val="20"/>
          <w:szCs w:val="20"/>
          <w:color w:val="auto"/>
        </w:rPr>
      </w:pPr>
    </w:p>
    <w:p>
      <w:pPr>
        <w:ind w:left="640" w:right="60" w:hanging="634"/>
        <w:spacing w:after="0" w:line="244" w:lineRule="auto"/>
        <w:tabs>
          <w:tab w:leader="none" w:pos="3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being furnished rather than filed, and shall not be deemed incorporated by reference into any filing, in accordance with Item 601 of Regulation S-K</w:t>
      </w:r>
    </w:p>
    <w:p>
      <w:pPr>
        <w:spacing w:after="0" w:line="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80" w:right="7500" w:hanging="474"/>
        <w:spacing w:after="0" w:line="392" w:lineRule="auto"/>
        <w:tabs>
          <w:tab w:leader="none" w:pos="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Financial Statement Schedules None.</w:t>
      </w:r>
    </w:p>
    <w:p>
      <w:pPr>
        <w:spacing w:after="0" w:line="39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00"/>
          </w:cols>
          <w:pgMar w:left="320" w:top="1032" w:right="879" w:bottom="1440" w:gutter="0" w:footer="0" w:header="0"/>
        </w:sectPr>
      </w:pPr>
    </w:p>
    <w:bookmarkStart w:id="53" w:name="page54"/>
    <w:bookmarkEnd w:id="5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5" w:lineRule="exact"/>
        <w:rPr>
          <w:sz w:val="20"/>
          <w:szCs w:val="20"/>
          <w:color w:val="auto"/>
        </w:rPr>
      </w:pPr>
    </w:p>
    <w:p>
      <w:pPr>
        <w:ind w:firstLine="436"/>
        <w:spacing w:after="0" w:line="27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9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AGNC I</w:t>
      </w:r>
      <w:r>
        <w:rPr>
          <w:rFonts w:ascii="Times New Roman" w:cs="Times New Roman" w:eastAsia="Times New Roman" w:hAnsi="Times New Roman"/>
          <w:sz w:val="14"/>
          <w:szCs w:val="14"/>
          <w:color w:val="auto"/>
        </w:rPr>
        <w:t>NVESTMENT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w:t>
      </w:r>
      <w:r>
        <w:rPr>
          <w:rFonts w:ascii="Times New Roman" w:cs="Times New Roman" w:eastAsia="Times New Roman" w:hAnsi="Times New Roman"/>
          <w:sz w:val="18"/>
          <w:szCs w:val="18"/>
          <w:color w:val="auto"/>
        </w:rPr>
        <w:t>.</w:t>
      </w:r>
    </w:p>
    <w:p>
      <w:pPr>
        <w:spacing w:after="0" w:line="97" w:lineRule="exact"/>
        <w:rPr>
          <w:sz w:val="20"/>
          <w:szCs w:val="20"/>
          <w:color w:val="auto"/>
        </w:rPr>
      </w:pPr>
    </w:p>
    <w:p>
      <w:pPr>
        <w:ind w:left="5560"/>
        <w:spacing w:after="0"/>
        <w:tabs>
          <w:tab w:leader="none" w:pos="7780" w:val="left"/>
          <w:tab w:leader="none" w:pos="8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6"/>
          <w:szCs w:val="16"/>
          <w:color w:val="auto"/>
        </w:rPr>
        <w:t xml:space="preserve"> J. F</w:t>
      </w:r>
      <w:r>
        <w:rPr>
          <w:rFonts w:ascii="Times New Roman" w:cs="Times New Roman" w:eastAsia="Times New Roman" w:hAnsi="Times New Roman"/>
          <w:sz w:val="13"/>
          <w:szCs w:val="13"/>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22860</wp:posOffset>
            </wp:positionV>
            <wp:extent cx="32613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8">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3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Peter J. Federico</w:t>
      </w:r>
    </w:p>
    <w:p>
      <w:pPr>
        <w:jc w:val="center"/>
        <w:ind w:left="6040"/>
        <w:spacing w:after="0" w:line="219" w:lineRule="auto"/>
        <w:rPr>
          <w:sz w:val="20"/>
          <w:szCs w:val="20"/>
          <w:color w:val="auto"/>
        </w:rPr>
      </w:pPr>
      <w:r>
        <w:rPr>
          <w:rFonts w:ascii="Times New Roman" w:cs="Times New Roman" w:eastAsia="Times New Roman" w:hAnsi="Times New Roman"/>
          <w:sz w:val="14"/>
          <w:szCs w:val="14"/>
          <w:b w:val="1"/>
          <w:bCs w:val="1"/>
          <w:color w:val="auto"/>
        </w:rPr>
        <w:t>President, Chief Executive Officer and</w:t>
      </w:r>
    </w:p>
    <w:p>
      <w:pPr>
        <w:spacing w:after="0" w:line="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Chief Investment Officer (Principal Executive Officer)</w:t>
      </w:r>
    </w:p>
    <w:p>
      <w:pPr>
        <w:spacing w:after="0" w:line="25"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October 29, 2026</w:t>
      </w:r>
    </w:p>
    <w:p>
      <w:pPr>
        <w:spacing w:after="0" w:line="295" w:lineRule="exact"/>
        <w:rPr>
          <w:sz w:val="20"/>
          <w:szCs w:val="20"/>
          <w:color w:val="auto"/>
        </w:rPr>
      </w:pPr>
    </w:p>
    <w:p>
      <w:pPr>
        <w:ind w:left="5560"/>
        <w:spacing w:after="0"/>
        <w:tabs>
          <w:tab w:leader="none" w:pos="7840" w:val="left"/>
          <w:tab w:leader="none" w:pos="8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B</w:t>
      </w:r>
      <w:r>
        <w:rPr>
          <w:rFonts w:ascii="Times New Roman" w:cs="Times New Roman" w:eastAsia="Times New Roman" w:hAnsi="Times New Roman"/>
          <w:sz w:val="13"/>
          <w:szCs w:val="13"/>
          <w:color w:val="auto"/>
        </w:rPr>
        <w:t>ERNICE</w:t>
      </w:r>
      <w:r>
        <w:rPr>
          <w:rFonts w:ascii="Times New Roman" w:cs="Times New Roman" w:eastAsia="Times New Roman" w:hAnsi="Times New Roman"/>
          <w:sz w:val="16"/>
          <w:szCs w:val="16"/>
          <w:color w:val="auto"/>
        </w:rPr>
        <w:t xml:space="preserve"> E. B</w:t>
      </w:r>
      <w:r>
        <w:rPr>
          <w:rFonts w:ascii="Times New Roman" w:cs="Times New Roman" w:eastAsia="Times New Roman" w:hAnsi="Times New Roman"/>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22860</wp:posOffset>
            </wp:positionV>
            <wp:extent cx="32613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9">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31"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4"/>
          <w:szCs w:val="14"/>
          <w:b w:val="1"/>
          <w:bCs w:val="1"/>
          <w:color w:val="auto"/>
        </w:rPr>
        <w:t>Bernice E. Bell</w:t>
      </w:r>
    </w:p>
    <w:p>
      <w:pPr>
        <w:ind w:left="7760"/>
        <w:spacing w:after="0" w:line="219" w:lineRule="auto"/>
        <w:rPr>
          <w:sz w:val="20"/>
          <w:szCs w:val="20"/>
          <w:color w:val="auto"/>
        </w:rPr>
      </w:pPr>
      <w:r>
        <w:rPr>
          <w:rFonts w:ascii="Times New Roman" w:cs="Times New Roman" w:eastAsia="Times New Roman" w:hAnsi="Times New Roman"/>
          <w:sz w:val="14"/>
          <w:szCs w:val="14"/>
          <w:b w:val="1"/>
          <w:bCs w:val="1"/>
          <w:color w:val="auto"/>
        </w:rPr>
        <w:t>Executive Vice President and</w:t>
      </w:r>
    </w:p>
    <w:p>
      <w:pPr>
        <w:ind w:left="6320"/>
        <w:spacing w:after="0" w:line="197" w:lineRule="auto"/>
        <w:rPr>
          <w:sz w:val="20"/>
          <w:szCs w:val="20"/>
          <w:color w:val="auto"/>
        </w:rPr>
      </w:pPr>
      <w:r>
        <w:rPr>
          <w:rFonts w:ascii="Times New Roman" w:cs="Times New Roman" w:eastAsia="Times New Roman" w:hAnsi="Times New Roman"/>
          <w:sz w:val="14"/>
          <w:szCs w:val="14"/>
          <w:b w:val="1"/>
          <w:bCs w:val="1"/>
          <w:color w:val="auto"/>
        </w:rPr>
        <w:t>Chief Financial Officer (Principal Financial Officer and Principal Accounting</w:t>
      </w:r>
    </w:p>
    <w:p>
      <w:pPr>
        <w:spacing w:after="0" w:line="1"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Officer)</w:t>
      </w:r>
    </w:p>
    <w:p>
      <w:pPr>
        <w:spacing w:after="0" w:line="38"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October 29,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872" w:right="4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 Federico, certify that:</w:t>
      </w:r>
    </w:p>
    <w:p>
      <w:pPr>
        <w:spacing w:after="0" w:line="150" w:lineRule="exact"/>
        <w:rPr>
          <w:sz w:val="20"/>
          <w:szCs w:val="20"/>
          <w:color w:val="auto"/>
        </w:rPr>
      </w:pPr>
    </w:p>
    <w:p>
      <w:pPr>
        <w:ind w:left="740" w:hanging="299"/>
        <w:spacing w:after="0"/>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AGNC Investment Corp.;</w:t>
      </w:r>
    </w:p>
    <w:p>
      <w:pPr>
        <w:spacing w:after="0" w:line="149" w:lineRule="exact"/>
        <w:rPr>
          <w:rFonts w:ascii="Times New Roman" w:cs="Times New Roman" w:eastAsia="Times New Roman" w:hAnsi="Times New Roman"/>
          <w:sz w:val="18"/>
          <w:szCs w:val="18"/>
          <w:color w:val="auto"/>
        </w:rPr>
      </w:pPr>
    </w:p>
    <w:p>
      <w:pPr>
        <w:jc w:val="both"/>
        <w:ind w:left="840" w:hanging="399"/>
        <w:spacing w:after="0" w:line="257" w:lineRule="auto"/>
        <w:tabs>
          <w:tab w:leader="none" w:pos="7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Times New Roman" w:cs="Times New Roman" w:eastAsia="Times New Roman" w:hAnsi="Times New Roman"/>
          <w:sz w:val="18"/>
          <w:szCs w:val="18"/>
          <w:color w:val="auto"/>
        </w:rPr>
      </w:pPr>
    </w:p>
    <w:p>
      <w:pPr>
        <w:ind w:left="840" w:hanging="399"/>
        <w:spacing w:after="0" w:line="270" w:lineRule="auto"/>
        <w:tabs>
          <w:tab w:leader="none" w:pos="78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Times New Roman" w:cs="Times New Roman" w:eastAsia="Times New Roman" w:hAnsi="Times New Roman"/>
          <w:sz w:val="18"/>
          <w:szCs w:val="18"/>
          <w:color w:val="auto"/>
        </w:rPr>
      </w:pPr>
    </w:p>
    <w:p>
      <w:pPr>
        <w:jc w:val="both"/>
        <w:ind w:left="840" w:hanging="399"/>
        <w:spacing w:after="0" w:line="257" w:lineRule="auto"/>
        <w:tabs>
          <w:tab w:leader="none" w:pos="82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jc w:val="both"/>
        <w:ind w:left="1400" w:hanging="404"/>
        <w:spacing w:after="0" w:line="257" w:lineRule="auto"/>
        <w:tabs>
          <w:tab w:leader="none" w:pos="138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Times New Roman" w:cs="Times New Roman" w:eastAsia="Times New Roman" w:hAnsi="Times New Roman"/>
          <w:sz w:val="18"/>
          <w:szCs w:val="18"/>
          <w:color w:val="auto"/>
        </w:rPr>
      </w:pPr>
    </w:p>
    <w:p>
      <w:pPr>
        <w:jc w:val="both"/>
        <w:ind w:left="1400" w:hanging="404"/>
        <w:spacing w:after="0" w:line="257" w:lineRule="auto"/>
        <w:tabs>
          <w:tab w:leader="none" w:pos="143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Times New Roman" w:cs="Times New Roman" w:eastAsia="Times New Roman" w:hAnsi="Times New Roman"/>
          <w:sz w:val="18"/>
          <w:szCs w:val="18"/>
          <w:color w:val="auto"/>
        </w:rPr>
      </w:pPr>
    </w:p>
    <w:p>
      <w:pPr>
        <w:ind w:left="1400" w:hanging="404"/>
        <w:spacing w:after="0" w:line="270" w:lineRule="auto"/>
        <w:tabs>
          <w:tab w:leader="none" w:pos="144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Times New Roman" w:cs="Times New Roman" w:eastAsia="Times New Roman" w:hAnsi="Times New Roman"/>
          <w:sz w:val="18"/>
          <w:szCs w:val="18"/>
          <w:color w:val="auto"/>
        </w:rPr>
      </w:pPr>
    </w:p>
    <w:p>
      <w:pPr>
        <w:jc w:val="both"/>
        <w:ind w:left="1400" w:hanging="404"/>
        <w:spacing w:after="0" w:line="257" w:lineRule="auto"/>
        <w:tabs>
          <w:tab w:leader="none" w:pos="144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Times New Roman" w:cs="Times New Roman" w:eastAsia="Times New Roman" w:hAnsi="Times New Roman"/>
          <w:sz w:val="18"/>
          <w:szCs w:val="18"/>
          <w:color w:val="auto"/>
        </w:rPr>
      </w:pPr>
    </w:p>
    <w:p>
      <w:pPr>
        <w:ind w:left="840" w:hanging="399"/>
        <w:spacing w:after="0" w:line="270" w:lineRule="auto"/>
        <w:tabs>
          <w:tab w:leader="none" w:pos="77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Times New Roman" w:cs="Times New Roman" w:eastAsia="Times New Roman" w:hAnsi="Times New Roman"/>
          <w:sz w:val="18"/>
          <w:szCs w:val="18"/>
          <w:color w:val="auto"/>
        </w:rPr>
      </w:pPr>
    </w:p>
    <w:p>
      <w:pPr>
        <w:ind w:left="1400" w:hanging="404"/>
        <w:spacing w:after="0" w:line="270" w:lineRule="auto"/>
        <w:tabs>
          <w:tab w:leader="none" w:pos="147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Times New Roman" w:cs="Times New Roman" w:eastAsia="Times New Roman" w:hAnsi="Times New Roman"/>
          <w:sz w:val="18"/>
          <w:szCs w:val="18"/>
          <w:color w:val="auto"/>
        </w:rPr>
      </w:pPr>
    </w:p>
    <w:p>
      <w:pPr>
        <w:ind w:left="1400" w:hanging="404"/>
        <w:spacing w:after="0" w:line="270" w:lineRule="auto"/>
        <w:tabs>
          <w:tab w:leader="none" w:pos="142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October 29, 2026</w:t>
      </w:r>
    </w:p>
    <w:p>
      <w:pPr>
        <w:spacing w:after="0" w:line="97" w:lineRule="exact"/>
        <w:rPr>
          <w:sz w:val="20"/>
          <w:szCs w:val="20"/>
          <w:color w:val="auto"/>
        </w:rPr>
      </w:pPr>
    </w:p>
    <w:p>
      <w:pPr>
        <w:ind w:left="620"/>
        <w:spacing w:after="0"/>
        <w:tabs>
          <w:tab w:leader="none" w:pos="9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6"/>
          <w:szCs w:val="16"/>
          <w:color w:val="auto"/>
        </w:rPr>
        <w:t xml:space="preserve"> J. F</w:t>
      </w:r>
      <w:r>
        <w:rPr>
          <w:rFonts w:ascii="Times New Roman" w:cs="Times New Roman" w:eastAsia="Times New Roman" w:hAnsi="Times New Roman"/>
          <w:sz w:val="13"/>
          <w:szCs w:val="13"/>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22860</wp:posOffset>
            </wp:positionV>
            <wp:extent cx="23475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0">
                      <a:extLst>
                        <a:ext uri="{28A0092B-C50C-407E-A947-70E740481C1C}"/>
                      </a:extLst>
                    </a:blip>
                    <a:srcRect/>
                    <a:stretch>
                      <a:fillRect/>
                    </a:stretch>
                  </pic:blipFill>
                  <pic:spPr bwMode="auto">
                    <a:xfrm>
                      <a:off x="0" y="0"/>
                      <a:ext cx="2347595" cy="8255"/>
                    </a:xfrm>
                    <a:prstGeom prst="rect">
                      <a:avLst/>
                    </a:prstGeom>
                    <a:noFill/>
                  </pic:spPr>
                </pic:pic>
              </a:graphicData>
            </a:graphic>
          </wp:anchor>
        </w:drawing>
      </w:r>
    </w:p>
    <w:p>
      <w:pPr>
        <w:spacing w:after="0" w:line="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Peter J. Federico</w:t>
      </w:r>
    </w:p>
    <w:p>
      <w:pPr>
        <w:spacing w:after="0" w:line="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President, Chief Executive Officer and Chief</w:t>
      </w:r>
    </w:p>
    <w:p>
      <w:pPr>
        <w:ind w:left="620"/>
        <w:spacing w:after="0"/>
        <w:rPr>
          <w:sz w:val="20"/>
          <w:szCs w:val="20"/>
          <w:color w:val="auto"/>
        </w:rPr>
      </w:pPr>
      <w:r>
        <w:rPr>
          <w:rFonts w:ascii="Times New Roman" w:cs="Times New Roman" w:eastAsia="Times New Roman" w:hAnsi="Times New Roman"/>
          <w:sz w:val="18"/>
          <w:szCs w:val="18"/>
          <w:color w:val="auto"/>
        </w:rPr>
        <w:t>Investment Officer (Principal Executive Officer)</w:t>
      </w:r>
    </w:p>
    <w:p>
      <w:pPr>
        <w:sectPr>
          <w:pgSz w:w="11900" w:h="16838" w:orient="portrait"/>
          <w:cols w:equalWidth="0" w:num="1">
            <w:col w:w="11240"/>
          </w:cols>
          <w:pgMar w:left="320" w:top="874"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Bernice E. Bell, certify that:</w:t>
      </w:r>
    </w:p>
    <w:p>
      <w:pPr>
        <w:spacing w:after="0" w:line="150" w:lineRule="exact"/>
        <w:rPr>
          <w:sz w:val="20"/>
          <w:szCs w:val="20"/>
          <w:color w:val="auto"/>
        </w:rPr>
      </w:pPr>
    </w:p>
    <w:p>
      <w:pPr>
        <w:ind w:left="740" w:hanging="299"/>
        <w:spacing w:after="0"/>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AGNC Investment Corp;</w:t>
      </w:r>
    </w:p>
    <w:p>
      <w:pPr>
        <w:spacing w:after="0" w:line="149" w:lineRule="exact"/>
        <w:rPr>
          <w:rFonts w:ascii="Times New Roman" w:cs="Times New Roman" w:eastAsia="Times New Roman" w:hAnsi="Times New Roman"/>
          <w:sz w:val="18"/>
          <w:szCs w:val="18"/>
          <w:color w:val="auto"/>
        </w:rPr>
      </w:pPr>
    </w:p>
    <w:p>
      <w:pPr>
        <w:jc w:val="both"/>
        <w:ind w:left="840" w:hanging="399"/>
        <w:spacing w:after="0" w:line="257" w:lineRule="auto"/>
        <w:tabs>
          <w:tab w:leader="none" w:pos="7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Times New Roman" w:cs="Times New Roman" w:eastAsia="Times New Roman" w:hAnsi="Times New Roman"/>
          <w:sz w:val="18"/>
          <w:szCs w:val="18"/>
          <w:color w:val="auto"/>
        </w:rPr>
      </w:pPr>
    </w:p>
    <w:p>
      <w:pPr>
        <w:ind w:left="840" w:hanging="399"/>
        <w:spacing w:after="0" w:line="270" w:lineRule="auto"/>
        <w:tabs>
          <w:tab w:leader="none" w:pos="78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Times New Roman" w:cs="Times New Roman" w:eastAsia="Times New Roman" w:hAnsi="Times New Roman"/>
          <w:sz w:val="18"/>
          <w:szCs w:val="18"/>
          <w:color w:val="auto"/>
        </w:rPr>
      </w:pPr>
    </w:p>
    <w:p>
      <w:pPr>
        <w:jc w:val="both"/>
        <w:ind w:left="840" w:hanging="399"/>
        <w:spacing w:after="0" w:line="257" w:lineRule="auto"/>
        <w:tabs>
          <w:tab w:leader="none" w:pos="82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jc w:val="both"/>
        <w:ind w:left="1400" w:hanging="404"/>
        <w:spacing w:after="0" w:line="257" w:lineRule="auto"/>
        <w:tabs>
          <w:tab w:leader="none" w:pos="138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4" w:lineRule="exact"/>
        <w:rPr>
          <w:rFonts w:ascii="Times New Roman" w:cs="Times New Roman" w:eastAsia="Times New Roman" w:hAnsi="Times New Roman"/>
          <w:sz w:val="18"/>
          <w:szCs w:val="18"/>
          <w:color w:val="auto"/>
        </w:rPr>
      </w:pPr>
    </w:p>
    <w:p>
      <w:pPr>
        <w:jc w:val="both"/>
        <w:ind w:left="1400" w:hanging="404"/>
        <w:spacing w:after="0" w:line="257" w:lineRule="auto"/>
        <w:tabs>
          <w:tab w:leader="none" w:pos="14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Times New Roman" w:cs="Times New Roman" w:eastAsia="Times New Roman" w:hAnsi="Times New Roman"/>
          <w:sz w:val="18"/>
          <w:szCs w:val="18"/>
          <w:color w:val="auto"/>
        </w:rPr>
      </w:pPr>
    </w:p>
    <w:p>
      <w:pPr>
        <w:ind w:left="1400" w:hanging="404"/>
        <w:spacing w:after="0" w:line="270" w:lineRule="auto"/>
        <w:tabs>
          <w:tab w:leader="none" w:pos="144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Times New Roman" w:cs="Times New Roman" w:eastAsia="Times New Roman" w:hAnsi="Times New Roman"/>
          <w:sz w:val="18"/>
          <w:szCs w:val="18"/>
          <w:color w:val="auto"/>
        </w:rPr>
      </w:pPr>
    </w:p>
    <w:p>
      <w:pPr>
        <w:jc w:val="both"/>
        <w:ind w:left="1400" w:hanging="404"/>
        <w:spacing w:after="0" w:line="257" w:lineRule="auto"/>
        <w:tabs>
          <w:tab w:leader="none" w:pos="144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Times New Roman" w:cs="Times New Roman" w:eastAsia="Times New Roman" w:hAnsi="Times New Roman"/>
          <w:sz w:val="18"/>
          <w:szCs w:val="18"/>
          <w:color w:val="auto"/>
        </w:rPr>
      </w:pPr>
    </w:p>
    <w:p>
      <w:pPr>
        <w:ind w:left="840" w:hanging="399"/>
        <w:spacing w:after="0" w:line="270" w:lineRule="auto"/>
        <w:tabs>
          <w:tab w:leader="none" w:pos="77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Times New Roman" w:cs="Times New Roman" w:eastAsia="Times New Roman" w:hAnsi="Times New Roman"/>
          <w:sz w:val="18"/>
          <w:szCs w:val="18"/>
          <w:color w:val="auto"/>
        </w:rPr>
      </w:pPr>
    </w:p>
    <w:p>
      <w:pPr>
        <w:ind w:left="1400" w:hanging="404"/>
        <w:spacing w:after="0" w:line="270" w:lineRule="auto"/>
        <w:tabs>
          <w:tab w:leader="none" w:pos="150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Times New Roman" w:cs="Times New Roman" w:eastAsia="Times New Roman" w:hAnsi="Times New Roman"/>
          <w:sz w:val="18"/>
          <w:szCs w:val="18"/>
          <w:color w:val="auto"/>
        </w:rPr>
      </w:pPr>
    </w:p>
    <w:p>
      <w:pPr>
        <w:ind w:left="1400" w:hanging="404"/>
        <w:spacing w:after="0" w:line="270" w:lineRule="auto"/>
        <w:tabs>
          <w:tab w:leader="none" w:pos="142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October 29, 2026</w:t>
      </w:r>
    </w:p>
    <w:p>
      <w:pPr>
        <w:spacing w:after="0" w:line="97" w:lineRule="exact"/>
        <w:rPr>
          <w:sz w:val="20"/>
          <w:szCs w:val="20"/>
          <w:color w:val="auto"/>
        </w:rPr>
      </w:pPr>
    </w:p>
    <w:p>
      <w:pPr>
        <w:ind w:left="620"/>
        <w:spacing w:after="0"/>
        <w:tabs>
          <w:tab w:leader="none" w:pos="9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B</w:t>
      </w:r>
      <w:r>
        <w:rPr>
          <w:rFonts w:ascii="Times New Roman" w:cs="Times New Roman" w:eastAsia="Times New Roman" w:hAnsi="Times New Roman"/>
          <w:sz w:val="13"/>
          <w:szCs w:val="13"/>
          <w:color w:val="auto"/>
        </w:rPr>
        <w:t>ERNICE</w:t>
      </w:r>
      <w:r>
        <w:rPr>
          <w:rFonts w:ascii="Times New Roman" w:cs="Times New Roman" w:eastAsia="Times New Roman" w:hAnsi="Times New Roman"/>
          <w:sz w:val="16"/>
          <w:szCs w:val="16"/>
          <w:color w:val="auto"/>
        </w:rPr>
        <w:t xml:space="preserve"> E. B</w:t>
      </w:r>
      <w:r>
        <w:rPr>
          <w:rFonts w:ascii="Times New Roman" w:cs="Times New Roman" w:eastAsia="Times New Roman" w:hAnsi="Times New Roman"/>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22860</wp:posOffset>
            </wp:positionV>
            <wp:extent cx="23475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1">
                      <a:extLst>
                        <a:ext uri="{28A0092B-C50C-407E-A947-70E740481C1C}"/>
                      </a:extLst>
                    </a:blip>
                    <a:srcRect/>
                    <a:stretch>
                      <a:fillRect/>
                    </a:stretch>
                  </pic:blipFill>
                  <pic:spPr bwMode="auto">
                    <a:xfrm>
                      <a:off x="0" y="0"/>
                      <a:ext cx="2347595" cy="8255"/>
                    </a:xfrm>
                    <a:prstGeom prst="rect">
                      <a:avLst/>
                    </a:prstGeom>
                    <a:noFill/>
                  </pic:spPr>
                </pic:pic>
              </a:graphicData>
            </a:graphic>
          </wp:anchor>
        </w:drawing>
      </w:r>
    </w:p>
    <w:p>
      <w:pPr>
        <w:spacing w:after="0" w:line="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Bernice E. Bell</w:t>
      </w:r>
    </w:p>
    <w:p>
      <w:pPr>
        <w:spacing w:after="0" w:line="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Executive Vice President and Chief Financial</w:t>
      </w:r>
    </w:p>
    <w:p>
      <w:pPr>
        <w:ind w:left="620"/>
        <w:spacing w:after="0"/>
        <w:rPr>
          <w:sz w:val="20"/>
          <w:szCs w:val="20"/>
          <w:color w:val="auto"/>
        </w:rPr>
      </w:pPr>
      <w:r>
        <w:rPr>
          <w:rFonts w:ascii="Times New Roman" w:cs="Times New Roman" w:eastAsia="Times New Roman" w:hAnsi="Times New Roman"/>
          <w:sz w:val="18"/>
          <w:szCs w:val="18"/>
          <w:color w:val="auto"/>
        </w:rPr>
        <w:t>Officer (Principal Financial Officer)</w:t>
      </w:r>
    </w:p>
    <w:p>
      <w:pPr>
        <w:sectPr>
          <w:pgSz w:w="11900" w:h="16838" w:orient="portrait"/>
          <w:cols w:equalWidth="0" w:num="1">
            <w:col w:w="11240"/>
          </w:cols>
          <w:pgMar w:left="320" w:top="874"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 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45" w:lineRule="exact"/>
        <w:rPr>
          <w:sz w:val="20"/>
          <w:szCs w:val="20"/>
          <w:color w:val="auto"/>
        </w:rPr>
      </w:pPr>
    </w:p>
    <w:p>
      <w:pPr>
        <w:ind w:right="40" w:firstLine="317"/>
        <w:spacing w:after="0" w:line="300" w:lineRule="auto"/>
        <w:rPr>
          <w:sz w:val="20"/>
          <w:szCs w:val="20"/>
          <w:color w:val="auto"/>
        </w:rPr>
      </w:pPr>
      <w:r>
        <w:rPr>
          <w:rFonts w:ascii="Times New Roman" w:cs="Times New Roman" w:eastAsia="Times New Roman" w:hAnsi="Times New Roman"/>
          <w:sz w:val="17"/>
          <w:szCs w:val="17"/>
          <w:color w:val="auto"/>
        </w:rPr>
        <w:t>We, Peter J. Federico, President, Chief Executive Officer and Chief Investment Officer, and Bernice E. Bell, Executive Vice President and Chief Financial Officer of AGNC Investment Corp. (the “Company”), certify pursuant to Section 906 of the Sarbanes-Oxley Act of 2002, 18 U.S.C. Section 1350 that:</w:t>
      </w:r>
    </w:p>
    <w:p>
      <w:pPr>
        <w:spacing w:after="0" w:line="92" w:lineRule="exact"/>
        <w:rPr>
          <w:sz w:val="20"/>
          <w:szCs w:val="20"/>
          <w:color w:val="auto"/>
        </w:rPr>
      </w:pPr>
    </w:p>
    <w:p>
      <w:pPr>
        <w:ind w:left="640" w:hanging="317"/>
        <w:spacing w:after="0" w:line="270"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2026 (the “Report”) fully complies with the requirements of Section 13(a) of the Securities Exchange Act of 1934 (15 U.S.C. 78m); and</w:t>
      </w:r>
    </w:p>
    <w:p>
      <w:pPr>
        <w:spacing w:after="0" w:line="11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7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5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J. F</w:t>
            </w:r>
            <w:r>
              <w:rPr>
                <w:rFonts w:ascii="Times New Roman" w:cs="Times New Roman" w:eastAsia="Times New Roman" w:hAnsi="Times New Roman"/>
                <w:sz w:val="14"/>
                <w:szCs w:val="14"/>
                <w:color w:val="auto"/>
              </w:rPr>
              <w:t>EDERICO</w:t>
            </w:r>
          </w:p>
        </w:tc>
      </w:tr>
      <w:tr>
        <w:trPr>
          <w:trHeight w:val="23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J. Federico</w:t>
            </w:r>
          </w:p>
        </w:tc>
      </w:tr>
      <w:tr>
        <w:trPr>
          <w:trHeight w:val="194"/>
        </w:trPr>
        <w:tc>
          <w:tcPr>
            <w:tcW w:w="7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Title:</w:t>
            </w:r>
          </w:p>
        </w:tc>
        <w:tc>
          <w:tcPr>
            <w:tcW w:w="62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President, Chief Executive Officer and</w:t>
            </w:r>
          </w:p>
        </w:tc>
      </w:tr>
      <w:tr>
        <w:trPr>
          <w:trHeight w:val="229"/>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Investment Officer (Principal Executive Officer)</w:t>
            </w:r>
          </w:p>
        </w:tc>
      </w:tr>
      <w:tr>
        <w:trPr>
          <w:trHeight w:val="23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29, 2026</w:t>
            </w:r>
          </w:p>
        </w:tc>
      </w:tr>
      <w:tr>
        <w:trPr>
          <w:trHeight w:val="496"/>
        </w:trPr>
        <w:tc>
          <w:tcPr>
            <w:tcW w:w="700" w:type="dxa"/>
            <w:vAlign w:val="bottom"/>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5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ERNICE</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ELL</w:t>
            </w:r>
          </w:p>
        </w:tc>
      </w:tr>
      <w:tr>
        <w:trPr>
          <w:trHeight w:val="23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Bernice E. Bell</w:t>
            </w:r>
          </w:p>
        </w:tc>
      </w:tr>
      <w:tr>
        <w:trPr>
          <w:trHeight w:val="194"/>
        </w:trPr>
        <w:tc>
          <w:tcPr>
            <w:tcW w:w="7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Title:</w:t>
            </w:r>
          </w:p>
        </w:tc>
        <w:tc>
          <w:tcPr>
            <w:tcW w:w="62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Executive Vice President and</w:t>
            </w:r>
          </w:p>
        </w:tc>
      </w:tr>
      <w:tr>
        <w:trPr>
          <w:trHeight w:val="229"/>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3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29, 2026</w:t>
            </w:r>
          </w:p>
        </w:tc>
      </w:tr>
    </w:tbl>
    <w:p>
      <w:pPr>
        <w:spacing w:after="0" w:line="8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2"/>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2"/>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7"/>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4"/>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lowerLetter"/>
      <w:start w:val="3"/>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87" Type="http://schemas.openxmlformats.org/officeDocument/2006/relationships/image" Target="media/image64.png"/><Relationship Id="rId96" Type="http://schemas.openxmlformats.org/officeDocument/2006/relationships/image" Target="media/image65.png"/><Relationship Id="rId97" Type="http://schemas.openxmlformats.org/officeDocument/2006/relationships/image" Target="media/image66.png"/><Relationship Id="rId98" Type="http://schemas.openxmlformats.org/officeDocument/2006/relationships/image" Target="media/image67.png"/><Relationship Id="rId99" Type="http://schemas.openxmlformats.org/officeDocument/2006/relationships/image" Target="media/image68.png"/><Relationship Id="rId100" Type="http://schemas.openxmlformats.org/officeDocument/2006/relationships/image" Target="media/image69.png"/><Relationship Id="rId101" Type="http://schemas.openxmlformats.org/officeDocument/2006/relationships/image" Target="media/image70.png"/><Relationship Id="rId71" Type="http://schemas.openxmlformats.org/officeDocument/2006/relationships/hyperlink" Target="https://www.sec.gov/Archives/edgar/data/1423689/000142368925000056/agncexhibit313312510-q.htm" TargetMode="External"/><Relationship Id="rId72" Type="http://schemas.openxmlformats.org/officeDocument/2006/relationships/hyperlink" Target="https://www.sec.gov/Archives/edgar/data/1423689/000142368921000017/arbylaws-march2021vrevised.htm" TargetMode="External"/><Relationship Id="rId73" Type="http://schemas.openxmlformats.org/officeDocument/2006/relationships/hyperlink" Target="https://www.sec.gov/Archives/edgar/data/1423689/000142368923000046/bylaws72023-ex.htm" TargetMode="External"/><Relationship Id="rId74" Type="http://schemas.openxmlformats.org/officeDocument/2006/relationships/hyperlink" Target="https://www.sec.gov/Archives/edgar/data/1423689/000142368917000044/ex35certificateofdesignati.htm" TargetMode="External"/><Relationship Id="rId75" Type="http://schemas.openxmlformats.org/officeDocument/2006/relationships/hyperlink" Target="https://www.sec.gov/Archives/edgar/data/1423689/000142368917000065/certificateofelimination.htm" TargetMode="External"/><Relationship Id="rId76" Type="http://schemas.openxmlformats.org/officeDocument/2006/relationships/hyperlink" Target="https://www.sec.gov/Archives/edgar/data/1423689/000142368919000019/certificateofdesignations.htm" TargetMode="External"/><Relationship Id="rId77" Type="http://schemas.openxmlformats.org/officeDocument/2006/relationships/hyperlink" Target="https://www.sec.gov/Archives/edgar/data/1423689/000142368919000064/certofdesignations.htm" TargetMode="External"/><Relationship Id="rId78" Type="http://schemas.openxmlformats.org/officeDocument/2006/relationships/hyperlink" Target="https://www.sec.gov/Archives/edgar/data/1423689/000142368919000078/certificateofeliminati.htm" TargetMode="External"/><Relationship Id="rId79" Type="http://schemas.openxmlformats.org/officeDocument/2006/relationships/hyperlink" Target="https://www.sec.gov/Archives/edgar/data/1423689/000142368920000012/certificateofdesignations-.htm" TargetMode="External"/><Relationship Id="rId80" Type="http://schemas.openxmlformats.org/officeDocument/2006/relationships/hyperlink" Target="https://www.sec.gov/Archives/edgar/data/1423689/000142368922000061/seriesgcertificateofdesign.htm" TargetMode="External"/><Relationship Id="rId81" Type="http://schemas.openxmlformats.org/officeDocument/2006/relationships/hyperlink" Target="https://www.sec.gov/Archives/edgar/data/1423689/000142368925000093/certificateofdesignations-.htm" TargetMode="External"/><Relationship Id="rId82" Type="http://schemas.openxmlformats.org/officeDocument/2006/relationships/hyperlink" Target="https://www.sec.gov/Archives/edgar/data/1423689/000142368922000076/exhibit43.htm" TargetMode="External"/><Relationship Id="rId83" Type="http://schemas.openxmlformats.org/officeDocument/2006/relationships/hyperlink" Target="https://www.sec.gov/Archives/edgar/data/1423689/000142368917000044/exhibit41.htm" TargetMode="External"/><Relationship Id="rId84" Type="http://schemas.openxmlformats.org/officeDocument/2006/relationships/hyperlink" Target="https://www.sec.gov/Archives/edgar/data/1423689/000142368919000019/stockcertificateb98.htm" TargetMode="External"/><Relationship Id="rId85" Type="http://schemas.openxmlformats.org/officeDocument/2006/relationships/hyperlink" Target="https://www.sec.gov/Archives/edgar/data/1423689/000142368919000064/stockcertificate.htm" TargetMode="External"/><Relationship Id="rId86" Type="http://schemas.openxmlformats.org/officeDocument/2006/relationships/hyperlink" Target="https://www.sec.gov/Archives/edgar/data/1423689/000142368920000012/stockcertificate.htm" TargetMode="External"/><Relationship Id="rId88" Type="http://schemas.openxmlformats.org/officeDocument/2006/relationships/hyperlink" Target="https://www.sec.gov/Archives/edgar/data/1423689/000142368922000061/stockcertificate1.htm" TargetMode="External"/><Relationship Id="rId89" Type="http://schemas.openxmlformats.org/officeDocument/2006/relationships/hyperlink" Target="https://www.sec.gov/Archives/edgar/data/1423689/000142368925000093/stockcertificate1.htm" TargetMode="External"/><Relationship Id="rId90" Type="http://schemas.openxmlformats.org/officeDocument/2006/relationships/hyperlink" Target="https://www.sec.gov/Archives/edgar/data/1423689/000142368917000049/depositagreement.htm" TargetMode="External"/><Relationship Id="rId91" Type="http://schemas.openxmlformats.org/officeDocument/2006/relationships/hyperlink" Target="https://www.sec.gov/Archives/edgar/data/1423689/000142368919000021/prefddepositagmt.htm" TargetMode="External"/><Relationship Id="rId92" Type="http://schemas.openxmlformats.org/officeDocument/2006/relationships/hyperlink" Target="https://www.sec.gov/Archives/edgar/data/1423689/000142368919000068/depositagmt-prefe.htm" TargetMode="External"/><Relationship Id="rId93" Type="http://schemas.openxmlformats.org/officeDocument/2006/relationships/hyperlink" Target="https://www.sec.gov/Archives/edgar/data/1423689/000142368920000014/depositaryagmt-seriesf.htm" TargetMode="External"/><Relationship Id="rId94" Type="http://schemas.openxmlformats.org/officeDocument/2006/relationships/hyperlink" Target="https://www.sec.gov/Archives/edgar/data/1423689/000142368922000069/depositaryagmt.htm" TargetMode="External"/><Relationship Id="rId95" Type="http://schemas.openxmlformats.org/officeDocument/2006/relationships/hyperlink" Target="https://www.sec.gov/Archives/edgar/data/1423689/000142368925000097/serieshdepositaryagm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2026-10-29T15:45:56Z</dcterms:created>
  <dcterms:modified xsi:type="dcterms:W3CDTF">2026-10-29T15:45:56Z</dcterms:modified>
</cp:coreProperties>
</file>