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rPr>
          <w:rFonts w:ascii="Arial" w:cs="Arial" w:eastAsia="Arial" w:hAnsi="Arial"/>
          <w:sz w:val="18"/>
          <w:szCs w:val="18"/>
          <w:b w:val="1"/>
          <w:bCs w:val="1"/>
          <w:u w:val="single" w:color="auto"/>
          <w:color w:val="0000EE"/>
        </w:rPr>
      </w:pPr>
      <w:hyperlink w:anchor="page3">
        <w:r>
          <w:rPr>
            <w:rFonts w:ascii="Arial" w:cs="Arial" w:eastAsia="Arial" w:hAnsi="Arial"/>
            <w:sz w:val="18"/>
            <w:szCs w:val="18"/>
            <w:b w:val="1"/>
            <w:bCs w:val="1"/>
            <w:u w:val="single" w:color="auto"/>
            <w:color w:val="0000EE"/>
          </w:rPr>
          <w:t>Table of Contents</w:t>
        </w:r>
      </w:hyperlink>
    </w:p>
    <w:p>
      <w:pPr>
        <w:spacing w:after="0" w:line="301" w:lineRule="exact"/>
        <w:rPr>
          <w:sz w:val="24"/>
          <w:szCs w:val="24"/>
          <w:color w:val="auto"/>
        </w:rPr>
      </w:pPr>
    </w:p>
    <w:p>
      <w:pPr>
        <w:jc w:val="center"/>
        <w:ind w:right="-299"/>
        <w:spacing w:after="0"/>
        <w:rPr>
          <w:sz w:val="20"/>
          <w:szCs w:val="20"/>
          <w:color w:val="auto"/>
        </w:rPr>
      </w:pPr>
      <w:r>
        <w:rPr>
          <w:rFonts w:ascii="Arial" w:cs="Arial" w:eastAsia="Arial" w:hAnsi="Arial"/>
          <w:sz w:val="25"/>
          <w:szCs w:val="25"/>
          <w:b w:val="1"/>
          <w:bCs w:val="1"/>
          <w:color w:val="auto"/>
        </w:rPr>
        <w:t>SECURITIES AND EXCHANGE COMMISSION</w:t>
      </w:r>
    </w:p>
    <w:p>
      <w:pPr>
        <w:spacing w:after="0" w:line="113" w:lineRule="exact"/>
        <w:rPr>
          <w:sz w:val="24"/>
          <w:szCs w:val="24"/>
          <w:color w:val="auto"/>
        </w:rPr>
      </w:pPr>
    </w:p>
    <w:p>
      <w:pPr>
        <w:jc w:val="center"/>
        <w:ind w:right="-299"/>
        <w:spacing w:after="0"/>
        <w:rPr>
          <w:sz w:val="20"/>
          <w:szCs w:val="20"/>
          <w:color w:val="auto"/>
        </w:rPr>
      </w:pPr>
      <w:r>
        <w:rPr>
          <w:rFonts w:ascii="Arial" w:cs="Arial" w:eastAsia="Arial" w:hAnsi="Arial"/>
          <w:sz w:val="22"/>
          <w:szCs w:val="22"/>
          <w:b w:val="1"/>
          <w:bCs w:val="1"/>
          <w:color w:val="auto"/>
        </w:rPr>
        <w:t>WASHINGTON, D.C. 20549</w:t>
      </w:r>
    </w:p>
    <w:p>
      <w:pPr>
        <w:spacing w:after="0" w:line="84" w:lineRule="exact"/>
        <w:rPr>
          <w:sz w:val="24"/>
          <w:szCs w:val="24"/>
          <w:color w:val="auto"/>
        </w:rPr>
      </w:pPr>
    </w:p>
    <w:p>
      <w:pPr>
        <w:jc w:val="center"/>
        <w:ind w:right="-299"/>
        <w:spacing w:after="0"/>
        <w:rPr>
          <w:sz w:val="20"/>
          <w:szCs w:val="20"/>
          <w:color w:val="auto"/>
        </w:rPr>
      </w:pPr>
      <w:r>
        <w:rPr>
          <w:rFonts w:ascii="Arial" w:cs="Arial" w:eastAsia="Arial" w:hAnsi="Arial"/>
          <w:sz w:val="32"/>
          <w:szCs w:val="32"/>
          <w:b w:val="1"/>
          <w:bCs w:val="1"/>
          <w:color w:val="auto"/>
        </w:rPr>
        <w:t>SCHEDULE 14A</w:t>
      </w:r>
    </w:p>
    <w:p>
      <w:pPr>
        <w:spacing w:after="0" w:line="118" w:lineRule="exact"/>
        <w:rPr>
          <w:sz w:val="24"/>
          <w:szCs w:val="24"/>
          <w:color w:val="auto"/>
        </w:rPr>
      </w:pPr>
    </w:p>
    <w:p>
      <w:pPr>
        <w:jc w:val="center"/>
        <w:ind w:right="-299"/>
        <w:spacing w:after="0"/>
        <w:rPr>
          <w:sz w:val="20"/>
          <w:szCs w:val="20"/>
          <w:color w:val="auto"/>
        </w:rPr>
      </w:pPr>
      <w:r>
        <w:rPr>
          <w:rFonts w:ascii="Arial" w:cs="Arial" w:eastAsia="Arial" w:hAnsi="Arial"/>
          <w:sz w:val="22"/>
          <w:szCs w:val="22"/>
          <w:b w:val="1"/>
          <w:bCs w:val="1"/>
          <w:color w:val="auto"/>
        </w:rPr>
        <w:t>(Rule 14a-101)</w:t>
      </w:r>
    </w:p>
    <w:p>
      <w:pPr>
        <w:spacing w:after="0" w:line="98" w:lineRule="exact"/>
        <w:rPr>
          <w:sz w:val="24"/>
          <w:szCs w:val="24"/>
          <w:color w:val="auto"/>
        </w:rPr>
      </w:pPr>
    </w:p>
    <w:p>
      <w:pPr>
        <w:jc w:val="center"/>
        <w:ind w:right="-299"/>
        <w:spacing w:after="0"/>
        <w:rPr>
          <w:sz w:val="20"/>
          <w:szCs w:val="20"/>
          <w:color w:val="auto"/>
        </w:rPr>
      </w:pPr>
      <w:r>
        <w:rPr>
          <w:rFonts w:ascii="Arial" w:cs="Arial" w:eastAsia="Arial" w:hAnsi="Arial"/>
          <w:sz w:val="22"/>
          <w:szCs w:val="22"/>
          <w:b w:val="1"/>
          <w:bCs w:val="1"/>
          <w:color w:val="auto"/>
        </w:rPr>
        <w:t>INFORMATION REQUIRED IN PROXY STATEMENT</w:t>
      </w:r>
    </w:p>
    <w:p>
      <w:pPr>
        <w:spacing w:after="0" w:line="98" w:lineRule="exact"/>
        <w:rPr>
          <w:sz w:val="24"/>
          <w:szCs w:val="24"/>
          <w:color w:val="auto"/>
        </w:rPr>
      </w:pPr>
    </w:p>
    <w:p>
      <w:pPr>
        <w:jc w:val="center"/>
        <w:ind w:right="-299"/>
        <w:spacing w:after="0"/>
        <w:rPr>
          <w:sz w:val="20"/>
          <w:szCs w:val="20"/>
          <w:color w:val="auto"/>
        </w:rPr>
      </w:pPr>
      <w:r>
        <w:rPr>
          <w:rFonts w:ascii="Arial" w:cs="Arial" w:eastAsia="Arial" w:hAnsi="Arial"/>
          <w:sz w:val="22"/>
          <w:szCs w:val="22"/>
          <w:b w:val="1"/>
          <w:bCs w:val="1"/>
          <w:color w:val="auto"/>
        </w:rPr>
        <w:t>SCHEDULE 14A INFORMATION</w:t>
      </w:r>
    </w:p>
    <w:p>
      <w:pPr>
        <w:spacing w:after="0" w:line="98" w:lineRule="exact"/>
        <w:rPr>
          <w:sz w:val="24"/>
          <w:szCs w:val="24"/>
          <w:color w:val="auto"/>
        </w:rPr>
      </w:pPr>
    </w:p>
    <w:p>
      <w:pPr>
        <w:jc w:val="center"/>
        <w:ind w:right="-299"/>
        <w:spacing w:after="0"/>
        <w:rPr>
          <w:sz w:val="20"/>
          <w:szCs w:val="20"/>
          <w:color w:val="auto"/>
        </w:rPr>
      </w:pPr>
      <w:r>
        <w:rPr>
          <w:rFonts w:ascii="Arial" w:cs="Arial" w:eastAsia="Arial" w:hAnsi="Arial"/>
          <w:sz w:val="22"/>
          <w:szCs w:val="22"/>
          <w:b w:val="1"/>
          <w:bCs w:val="1"/>
          <w:color w:val="auto"/>
        </w:rPr>
        <w:t>Proxy Statement Pursuant to Section 14(a) of the</w:t>
      </w:r>
    </w:p>
    <w:p>
      <w:pPr>
        <w:spacing w:after="0" w:line="98" w:lineRule="exact"/>
        <w:rPr>
          <w:sz w:val="24"/>
          <w:szCs w:val="24"/>
          <w:color w:val="auto"/>
        </w:rPr>
      </w:pPr>
    </w:p>
    <w:p>
      <w:pPr>
        <w:jc w:val="center"/>
        <w:ind w:right="-299"/>
        <w:spacing w:after="0"/>
        <w:rPr>
          <w:sz w:val="20"/>
          <w:szCs w:val="20"/>
          <w:color w:val="auto"/>
        </w:rPr>
      </w:pPr>
      <w:r>
        <w:rPr>
          <w:rFonts w:ascii="Arial" w:cs="Arial" w:eastAsia="Arial" w:hAnsi="Arial"/>
          <w:sz w:val="22"/>
          <w:szCs w:val="22"/>
          <w:b w:val="1"/>
          <w:bCs w:val="1"/>
          <w:color w:val="auto"/>
        </w:rPr>
        <w:t>Securities Exchange Act of 1934</w:t>
      </w:r>
    </w:p>
    <w:p>
      <w:pPr>
        <w:spacing w:after="0" w:line="28" w:lineRule="exact"/>
        <w:rPr>
          <w:sz w:val="24"/>
          <w:szCs w:val="24"/>
          <w:color w:val="auto"/>
        </w:rPr>
      </w:pPr>
    </w:p>
    <w:p>
      <w:pPr>
        <w:ind w:left="200"/>
        <w:spacing w:after="0" w:line="207" w:lineRule="exact"/>
        <w:tabs>
          <w:tab w:leader="none" w:pos="3980" w:val="left"/>
        </w:tabs>
        <w:rPr>
          <w:sz w:val="20"/>
          <w:szCs w:val="20"/>
          <w:color w:val="auto"/>
        </w:rPr>
      </w:pPr>
      <w:r>
        <w:rPr>
          <w:rFonts w:ascii="Arial" w:cs="Arial" w:eastAsia="Arial" w:hAnsi="Arial"/>
          <w:sz w:val="18"/>
          <w:szCs w:val="18"/>
          <w:color w:val="auto"/>
        </w:rPr>
        <w:t xml:space="preserve">Filed by the Registrant </w:t>
      </w:r>
      <w:r>
        <w:rPr>
          <w:rFonts w:ascii="MS PGothic" w:cs="MS PGothic" w:eastAsia="MS PGothic" w:hAnsi="MS PGothic"/>
          <w:sz w:val="18"/>
          <w:szCs w:val="18"/>
          <w:color w:val="auto"/>
        </w:rPr>
        <w:t>☒</w:t>
      </w:r>
      <w:r>
        <w:rPr>
          <w:sz w:val="20"/>
          <w:szCs w:val="20"/>
          <w:color w:val="auto"/>
        </w:rPr>
        <w:tab/>
      </w:r>
      <w:r>
        <w:rPr>
          <w:rFonts w:ascii="Arial" w:cs="Arial" w:eastAsia="Arial" w:hAnsi="Arial"/>
          <w:sz w:val="16"/>
          <w:szCs w:val="16"/>
          <w:color w:val="auto"/>
        </w:rPr>
        <w:t xml:space="preserve">Filed by a Party other than the Registrant </w:t>
      </w:r>
      <w:r>
        <w:rPr>
          <w:rFonts w:ascii="MS PGothic" w:cs="MS PGothic" w:eastAsia="MS PGothic" w:hAnsi="MS PGothic"/>
          <w:sz w:val="16"/>
          <w:szCs w:val="16"/>
          <w:color w:val="auto"/>
        </w:rPr>
        <w:t>☐</w:t>
      </w:r>
    </w:p>
    <w:p>
      <w:pPr>
        <w:spacing w:after="0" w:line="93" w:lineRule="exact"/>
        <w:rPr>
          <w:sz w:val="24"/>
          <w:szCs w:val="24"/>
          <w:color w:val="auto"/>
        </w:rPr>
      </w:pPr>
    </w:p>
    <w:p>
      <w:pPr>
        <w:ind w:left="200"/>
        <w:spacing w:after="0"/>
        <w:rPr>
          <w:sz w:val="20"/>
          <w:szCs w:val="20"/>
          <w:color w:val="auto"/>
        </w:rPr>
      </w:pPr>
      <w:r>
        <w:rPr>
          <w:rFonts w:ascii="Arial" w:cs="Arial" w:eastAsia="Arial" w:hAnsi="Arial"/>
          <w:sz w:val="18"/>
          <w:szCs w:val="18"/>
          <w:color w:val="auto"/>
        </w:rPr>
        <w:t>Check the appropriate box:</w:t>
      </w:r>
    </w:p>
    <w:p>
      <w:pPr>
        <w:spacing w:after="0" w:line="77" w:lineRule="exact"/>
        <w:rPr>
          <w:sz w:val="24"/>
          <w:szCs w:val="24"/>
          <w:color w:val="auto"/>
        </w:rPr>
      </w:pPr>
    </w:p>
    <w:p>
      <w:pPr>
        <w:ind w:left="760" w:hanging="556"/>
        <w:spacing w:after="0"/>
        <w:tabs>
          <w:tab w:leader="none" w:pos="760" w:val="left"/>
        </w:tabs>
        <w:numPr>
          <w:ilvl w:val="0"/>
          <w:numId w:val="1"/>
        </w:numPr>
        <w:rPr>
          <w:rFonts w:ascii="MS PGothic" w:cs="MS PGothic" w:eastAsia="MS PGothic" w:hAnsi="MS PGothic"/>
          <w:sz w:val="18"/>
          <w:szCs w:val="18"/>
          <w:color w:val="auto"/>
        </w:rPr>
      </w:pPr>
      <w:r>
        <w:rPr>
          <w:rFonts w:ascii="Arial" w:cs="Arial" w:eastAsia="Arial" w:hAnsi="Arial"/>
          <w:sz w:val="18"/>
          <w:szCs w:val="18"/>
          <w:color w:val="auto"/>
        </w:rPr>
        <w:t>Preliminary Proxy Statement</w:t>
      </w:r>
    </w:p>
    <w:p>
      <w:pPr>
        <w:spacing w:after="0" w:line="18" w:lineRule="exact"/>
        <w:rPr>
          <w:sz w:val="24"/>
          <w:szCs w:val="24"/>
          <w:color w:val="auto"/>
        </w:rPr>
      </w:pPr>
    </w:p>
    <w:p>
      <w:pPr>
        <w:ind w:left="760" w:hanging="556"/>
        <w:spacing w:after="0"/>
        <w:tabs>
          <w:tab w:leader="none" w:pos="760" w:val="left"/>
        </w:tabs>
        <w:numPr>
          <w:ilvl w:val="0"/>
          <w:numId w:val="2"/>
        </w:numPr>
        <w:rPr>
          <w:rFonts w:ascii="MS PGothic" w:cs="MS PGothic" w:eastAsia="MS PGothic" w:hAnsi="MS PGothic"/>
          <w:sz w:val="18"/>
          <w:szCs w:val="18"/>
          <w:color w:val="auto"/>
        </w:rPr>
      </w:pPr>
      <w:r>
        <w:rPr>
          <w:rFonts w:ascii="Arial" w:cs="Arial" w:eastAsia="Arial" w:hAnsi="Arial"/>
          <w:sz w:val="18"/>
          <w:szCs w:val="18"/>
          <w:b w:val="1"/>
          <w:bCs w:val="1"/>
          <w:color w:val="auto"/>
        </w:rPr>
        <w:t>Confidential, for Use of the Commission Only (as permitted by Rule 14a-6(e)(2))</w:t>
      </w:r>
    </w:p>
    <w:p>
      <w:pPr>
        <w:spacing w:after="0" w:line="15" w:lineRule="exact"/>
        <w:rPr>
          <w:rFonts w:ascii="MS PGothic" w:cs="MS PGothic" w:eastAsia="MS PGothic" w:hAnsi="MS PGothic"/>
          <w:sz w:val="18"/>
          <w:szCs w:val="18"/>
          <w:color w:val="auto"/>
        </w:rPr>
      </w:pPr>
    </w:p>
    <w:p>
      <w:pPr>
        <w:ind w:left="760" w:hanging="556"/>
        <w:spacing w:after="0"/>
        <w:tabs>
          <w:tab w:leader="none" w:pos="760" w:val="left"/>
        </w:tabs>
        <w:numPr>
          <w:ilvl w:val="0"/>
          <w:numId w:val="2"/>
        </w:numPr>
        <w:rPr>
          <w:rFonts w:ascii="MS PGothic" w:cs="MS PGothic" w:eastAsia="MS PGothic" w:hAnsi="MS PGothic"/>
          <w:sz w:val="18"/>
          <w:szCs w:val="18"/>
          <w:color w:val="auto"/>
        </w:rPr>
      </w:pPr>
      <w:r>
        <w:rPr>
          <w:rFonts w:ascii="Arial" w:cs="Arial" w:eastAsia="Arial" w:hAnsi="Arial"/>
          <w:sz w:val="18"/>
          <w:szCs w:val="18"/>
          <w:color w:val="auto"/>
        </w:rPr>
        <w:t>Definitive Proxy Statement</w:t>
      </w:r>
    </w:p>
    <w:p>
      <w:pPr>
        <w:spacing w:after="0" w:line="9" w:lineRule="exact"/>
        <w:rPr>
          <w:rFonts w:ascii="MS PGothic" w:cs="MS PGothic" w:eastAsia="MS PGothic" w:hAnsi="MS PGothic"/>
          <w:sz w:val="18"/>
          <w:szCs w:val="18"/>
          <w:color w:val="auto"/>
        </w:rPr>
      </w:pPr>
    </w:p>
    <w:p>
      <w:pPr>
        <w:ind w:left="760" w:hanging="556"/>
        <w:spacing w:after="0"/>
        <w:tabs>
          <w:tab w:leader="none" w:pos="760" w:val="left"/>
        </w:tabs>
        <w:numPr>
          <w:ilvl w:val="0"/>
          <w:numId w:val="2"/>
        </w:numPr>
        <w:rPr>
          <w:rFonts w:ascii="MS PGothic" w:cs="MS PGothic" w:eastAsia="MS PGothic" w:hAnsi="MS PGothic"/>
          <w:sz w:val="18"/>
          <w:szCs w:val="18"/>
          <w:color w:val="auto"/>
        </w:rPr>
      </w:pPr>
      <w:r>
        <w:rPr>
          <w:rFonts w:ascii="Arial" w:cs="Arial" w:eastAsia="Arial" w:hAnsi="Arial"/>
          <w:sz w:val="18"/>
          <w:szCs w:val="18"/>
          <w:color w:val="auto"/>
        </w:rPr>
        <w:t>Definitive Additional Materials</w:t>
      </w:r>
    </w:p>
    <w:p>
      <w:pPr>
        <w:spacing w:after="0" w:line="9" w:lineRule="exact"/>
        <w:rPr>
          <w:rFonts w:ascii="MS PGothic" w:cs="MS PGothic" w:eastAsia="MS PGothic" w:hAnsi="MS PGothic"/>
          <w:sz w:val="18"/>
          <w:szCs w:val="18"/>
          <w:color w:val="auto"/>
        </w:rPr>
      </w:pPr>
    </w:p>
    <w:p>
      <w:pPr>
        <w:ind w:left="760" w:hanging="556"/>
        <w:spacing w:after="0"/>
        <w:tabs>
          <w:tab w:leader="none" w:pos="760" w:val="left"/>
        </w:tabs>
        <w:numPr>
          <w:ilvl w:val="0"/>
          <w:numId w:val="2"/>
        </w:numPr>
        <w:rPr>
          <w:rFonts w:ascii="MS PGothic" w:cs="MS PGothic" w:eastAsia="MS PGothic" w:hAnsi="MS PGothic"/>
          <w:sz w:val="18"/>
          <w:szCs w:val="18"/>
          <w:color w:val="auto"/>
        </w:rPr>
      </w:pPr>
      <w:r>
        <w:rPr>
          <w:rFonts w:ascii="Arial" w:cs="Arial" w:eastAsia="Arial" w:hAnsi="Arial"/>
          <w:sz w:val="18"/>
          <w:szCs w:val="18"/>
          <w:color w:val="auto"/>
        </w:rPr>
        <w:t>Soliciting Material Pursuant to §240.14a-12</w:t>
      </w:r>
    </w:p>
    <w:p>
      <w:pPr>
        <w:spacing w:after="0" w:line="93" w:lineRule="exact"/>
        <w:rPr>
          <w:sz w:val="24"/>
          <w:szCs w:val="24"/>
          <w:color w:val="auto"/>
        </w:rPr>
      </w:pPr>
    </w:p>
    <w:p>
      <w:pPr>
        <w:jc w:val="center"/>
        <w:ind w:right="-299"/>
        <w:spacing w:after="0"/>
        <w:rPr>
          <w:sz w:val="20"/>
          <w:szCs w:val="20"/>
          <w:color w:val="auto"/>
        </w:rPr>
      </w:pPr>
      <w:r>
        <w:rPr>
          <w:rFonts w:ascii="Arial" w:cs="Arial" w:eastAsia="Arial" w:hAnsi="Arial"/>
          <w:sz w:val="25"/>
          <w:szCs w:val="25"/>
          <w:b w:val="1"/>
          <w:bCs w:val="1"/>
          <w:color w:val="auto"/>
        </w:rPr>
        <w:t>AGNC Investment Corp.</w:t>
      </w:r>
    </w:p>
    <w:p>
      <w:pPr>
        <w:spacing w:after="0" w:line="68" w:lineRule="exact"/>
        <w:rPr>
          <w:sz w:val="24"/>
          <w:szCs w:val="24"/>
          <w:color w:val="auto"/>
        </w:rPr>
      </w:pPr>
    </w:p>
    <w:p>
      <w:pPr>
        <w:ind w:left="3880"/>
        <w:spacing w:after="0"/>
        <w:rPr>
          <w:sz w:val="20"/>
          <w:szCs w:val="20"/>
          <w:color w:val="auto"/>
        </w:rPr>
      </w:pPr>
      <w:r>
        <w:rPr>
          <w:rFonts w:ascii="Arial" w:cs="Arial" w:eastAsia="Arial" w:hAnsi="Arial"/>
          <w:sz w:val="18"/>
          <w:szCs w:val="18"/>
          <w:b w:val="1"/>
          <w:bCs w:val="1"/>
          <w:color w:val="auto"/>
        </w:rPr>
        <w:t>(Name of Registrant as Specified in its Charter)</w:t>
      </w:r>
    </w:p>
    <w:p>
      <w:pPr>
        <w:spacing w:after="0" w:line="81" w:lineRule="exact"/>
        <w:rPr>
          <w:sz w:val="24"/>
          <w:szCs w:val="24"/>
          <w:color w:val="auto"/>
        </w:rPr>
      </w:pPr>
    </w:p>
    <w:p>
      <w:pPr>
        <w:ind w:left="780"/>
        <w:spacing w:after="0"/>
        <w:rPr>
          <w:sz w:val="20"/>
          <w:szCs w:val="20"/>
          <w:color w:val="auto"/>
        </w:rPr>
      </w:pPr>
      <w:r>
        <w:rPr>
          <w:rFonts w:ascii="Arial" w:cs="Arial" w:eastAsia="Arial" w:hAnsi="Arial"/>
          <w:sz w:val="18"/>
          <w:szCs w:val="18"/>
          <w:color w:val="auto"/>
        </w:rPr>
        <w:t>Payment of Filing Fee (Check the appropriate box):</w:t>
      </w:r>
    </w:p>
    <w:p>
      <w:pPr>
        <w:spacing w:after="0" w:line="18" w:lineRule="exact"/>
        <w:rPr>
          <w:sz w:val="24"/>
          <w:szCs w:val="24"/>
          <w:color w:val="auto"/>
        </w:rPr>
      </w:pPr>
    </w:p>
    <w:p>
      <w:pPr>
        <w:ind w:left="780" w:hanging="576"/>
        <w:spacing w:after="0"/>
        <w:tabs>
          <w:tab w:leader="none" w:pos="780" w:val="left"/>
        </w:tabs>
        <w:numPr>
          <w:ilvl w:val="0"/>
          <w:numId w:val="3"/>
        </w:numPr>
        <w:rPr>
          <w:rFonts w:ascii="MS PGothic" w:cs="MS PGothic" w:eastAsia="MS PGothic" w:hAnsi="MS PGothic"/>
          <w:sz w:val="18"/>
          <w:szCs w:val="18"/>
          <w:color w:val="auto"/>
        </w:rPr>
      </w:pPr>
      <w:r>
        <w:rPr>
          <w:rFonts w:ascii="Arial" w:cs="Arial" w:eastAsia="Arial" w:hAnsi="Arial"/>
          <w:sz w:val="18"/>
          <w:szCs w:val="18"/>
          <w:color w:val="auto"/>
        </w:rPr>
        <w:t>No fee required</w:t>
      </w:r>
    </w:p>
    <w:p>
      <w:pPr>
        <w:spacing w:after="0" w:line="9" w:lineRule="exact"/>
        <w:rPr>
          <w:sz w:val="24"/>
          <w:szCs w:val="24"/>
          <w:color w:val="auto"/>
        </w:rPr>
      </w:pPr>
    </w:p>
    <w:p>
      <w:pPr>
        <w:ind w:left="780" w:hanging="576"/>
        <w:spacing w:after="0"/>
        <w:tabs>
          <w:tab w:leader="none" w:pos="780" w:val="left"/>
        </w:tabs>
        <w:numPr>
          <w:ilvl w:val="0"/>
          <w:numId w:val="4"/>
        </w:numPr>
        <w:rPr>
          <w:rFonts w:ascii="MS PGothic" w:cs="MS PGothic" w:eastAsia="MS PGothic" w:hAnsi="MS PGothic"/>
          <w:sz w:val="18"/>
          <w:szCs w:val="18"/>
          <w:color w:val="auto"/>
        </w:rPr>
      </w:pPr>
      <w:r>
        <w:rPr>
          <w:rFonts w:ascii="Arial" w:cs="Arial" w:eastAsia="Arial" w:hAnsi="Arial"/>
          <w:sz w:val="18"/>
          <w:szCs w:val="18"/>
          <w:color w:val="auto"/>
        </w:rPr>
        <w:t>Fee computed on table below per Exchange Act Rules 14a-6(i)(4) and 0-11.</w:t>
      </w:r>
    </w:p>
    <w:p>
      <w:pPr>
        <w:spacing w:after="0" w:line="15" w:lineRule="exact"/>
        <w:rPr>
          <w:rFonts w:ascii="MS PGothic" w:cs="MS PGothic" w:eastAsia="MS PGothic" w:hAnsi="MS PGothic"/>
          <w:sz w:val="18"/>
          <w:szCs w:val="18"/>
          <w:color w:val="auto"/>
        </w:rPr>
      </w:pPr>
    </w:p>
    <w:p>
      <w:pPr>
        <w:ind w:left="1320" w:hanging="549"/>
        <w:spacing w:after="0"/>
        <w:tabs>
          <w:tab w:leader="none" w:pos="1320" w:val="left"/>
        </w:tabs>
        <w:numPr>
          <w:ilvl w:val="1"/>
          <w:numId w:val="4"/>
        </w:numPr>
        <w:rPr>
          <w:rFonts w:ascii="Arial" w:cs="Arial" w:eastAsia="Arial" w:hAnsi="Arial"/>
          <w:sz w:val="18"/>
          <w:szCs w:val="18"/>
          <w:color w:val="auto"/>
        </w:rPr>
      </w:pPr>
      <w:r>
        <w:rPr>
          <w:rFonts w:ascii="Arial" w:cs="Arial" w:eastAsia="Arial" w:hAnsi="Arial"/>
          <w:sz w:val="18"/>
          <w:szCs w:val="18"/>
          <w:color w:val="auto"/>
        </w:rPr>
        <w:t>Title of each class of securities to which transaction applies:</w:t>
      </w:r>
    </w:p>
    <w:p>
      <w:pPr>
        <w:spacing w:after="0" w:line="236" w:lineRule="exact"/>
        <w:rPr>
          <w:rFonts w:ascii="Arial" w:cs="Arial" w:eastAsia="Arial" w:hAnsi="Arial"/>
          <w:sz w:val="18"/>
          <w:szCs w:val="18"/>
          <w:color w:val="auto"/>
        </w:rPr>
      </w:pPr>
    </w:p>
    <w:p>
      <w:pPr>
        <w:ind w:left="1320" w:hanging="549"/>
        <w:spacing w:after="0"/>
        <w:tabs>
          <w:tab w:leader="none" w:pos="1320" w:val="left"/>
        </w:tabs>
        <w:numPr>
          <w:ilvl w:val="1"/>
          <w:numId w:val="4"/>
        </w:numPr>
        <w:rPr>
          <w:rFonts w:ascii="Arial" w:cs="Arial" w:eastAsia="Arial" w:hAnsi="Arial"/>
          <w:sz w:val="18"/>
          <w:szCs w:val="18"/>
          <w:color w:val="auto"/>
        </w:rPr>
      </w:pPr>
      <w:r>
        <w:rPr>
          <w:rFonts w:ascii="Arial" w:cs="Arial" w:eastAsia="Arial" w:hAnsi="Arial"/>
          <w:sz w:val="18"/>
          <w:szCs w:val="18"/>
          <w:color w:val="auto"/>
        </w:rPr>
        <w:t>Aggregate number of securities to which transaction applies:</w:t>
      </w:r>
    </w:p>
    <w:p>
      <w:pPr>
        <w:spacing w:after="0" w:line="252" w:lineRule="exact"/>
        <w:rPr>
          <w:rFonts w:ascii="Arial" w:cs="Arial" w:eastAsia="Arial" w:hAnsi="Arial"/>
          <w:sz w:val="18"/>
          <w:szCs w:val="18"/>
          <w:color w:val="auto"/>
        </w:rPr>
      </w:pPr>
    </w:p>
    <w:p>
      <w:pPr>
        <w:ind w:left="1320" w:hanging="549"/>
        <w:spacing w:after="0" w:line="277" w:lineRule="auto"/>
        <w:tabs>
          <w:tab w:leader="none" w:pos="1320" w:val="left"/>
        </w:tabs>
        <w:numPr>
          <w:ilvl w:val="1"/>
          <w:numId w:val="4"/>
        </w:numPr>
        <w:rPr>
          <w:rFonts w:ascii="Arial" w:cs="Arial" w:eastAsia="Arial" w:hAnsi="Arial"/>
          <w:sz w:val="18"/>
          <w:szCs w:val="18"/>
          <w:color w:val="auto"/>
        </w:rPr>
      </w:pPr>
      <w:r>
        <w:rPr>
          <w:rFonts w:ascii="Arial" w:cs="Arial" w:eastAsia="Arial" w:hAnsi="Arial"/>
          <w:sz w:val="18"/>
          <w:szCs w:val="18"/>
          <w:color w:val="auto"/>
        </w:rPr>
        <w:t>Per unit price or other underlying value of transaction computed pursuant to Exchange Act Rule 0-11 (set forth the amount on which the filing fee is calculated and state how it was determined):</w:t>
      </w:r>
    </w:p>
    <w:p>
      <w:pPr>
        <w:spacing w:after="0" w:line="197" w:lineRule="exact"/>
        <w:rPr>
          <w:rFonts w:ascii="Arial" w:cs="Arial" w:eastAsia="Arial" w:hAnsi="Arial"/>
          <w:sz w:val="18"/>
          <w:szCs w:val="18"/>
          <w:color w:val="auto"/>
        </w:rPr>
      </w:pPr>
    </w:p>
    <w:p>
      <w:pPr>
        <w:ind w:left="1320" w:hanging="549"/>
        <w:spacing w:after="0"/>
        <w:tabs>
          <w:tab w:leader="none" w:pos="1320" w:val="left"/>
        </w:tabs>
        <w:numPr>
          <w:ilvl w:val="1"/>
          <w:numId w:val="4"/>
        </w:numPr>
        <w:rPr>
          <w:rFonts w:ascii="Arial" w:cs="Arial" w:eastAsia="Arial" w:hAnsi="Arial"/>
          <w:sz w:val="18"/>
          <w:szCs w:val="18"/>
          <w:color w:val="auto"/>
        </w:rPr>
      </w:pPr>
      <w:r>
        <w:rPr>
          <w:rFonts w:ascii="Arial" w:cs="Arial" w:eastAsia="Arial" w:hAnsi="Arial"/>
          <w:sz w:val="18"/>
          <w:szCs w:val="18"/>
          <w:color w:val="auto"/>
        </w:rPr>
        <w:t>Proposed maximum aggregate value of transaction:</w:t>
      </w:r>
    </w:p>
    <w:p>
      <w:pPr>
        <w:spacing w:after="0" w:line="252" w:lineRule="exact"/>
        <w:rPr>
          <w:rFonts w:ascii="Arial" w:cs="Arial" w:eastAsia="Arial" w:hAnsi="Arial"/>
          <w:sz w:val="18"/>
          <w:szCs w:val="18"/>
          <w:color w:val="auto"/>
        </w:rPr>
      </w:pPr>
    </w:p>
    <w:p>
      <w:pPr>
        <w:ind w:left="1320" w:hanging="549"/>
        <w:spacing w:after="0"/>
        <w:tabs>
          <w:tab w:leader="none" w:pos="1320" w:val="left"/>
        </w:tabs>
        <w:numPr>
          <w:ilvl w:val="1"/>
          <w:numId w:val="4"/>
        </w:numPr>
        <w:rPr>
          <w:rFonts w:ascii="Arial" w:cs="Arial" w:eastAsia="Arial" w:hAnsi="Arial"/>
          <w:sz w:val="18"/>
          <w:szCs w:val="18"/>
          <w:color w:val="auto"/>
        </w:rPr>
      </w:pPr>
      <w:r>
        <w:rPr>
          <w:rFonts w:ascii="Arial" w:cs="Arial" w:eastAsia="Arial" w:hAnsi="Arial"/>
          <w:sz w:val="18"/>
          <w:szCs w:val="18"/>
          <w:color w:val="auto"/>
        </w:rPr>
        <w:t>Total fee paid:</w:t>
      </w:r>
    </w:p>
    <w:p>
      <w:pPr>
        <w:spacing w:after="0" w:line="252" w:lineRule="exact"/>
        <w:rPr>
          <w:rFonts w:ascii="Arial" w:cs="Arial" w:eastAsia="Arial" w:hAnsi="Arial"/>
          <w:sz w:val="18"/>
          <w:szCs w:val="18"/>
          <w:color w:val="auto"/>
        </w:rPr>
      </w:pPr>
    </w:p>
    <w:p>
      <w:pPr>
        <w:ind w:left="780" w:hanging="576"/>
        <w:spacing w:after="0"/>
        <w:tabs>
          <w:tab w:leader="none" w:pos="780" w:val="left"/>
        </w:tabs>
        <w:numPr>
          <w:ilvl w:val="0"/>
          <w:numId w:val="4"/>
        </w:numPr>
        <w:rPr>
          <w:rFonts w:ascii="MS PGothic" w:cs="MS PGothic" w:eastAsia="MS PGothic" w:hAnsi="MS PGothic"/>
          <w:sz w:val="18"/>
          <w:szCs w:val="18"/>
          <w:color w:val="auto"/>
        </w:rPr>
      </w:pPr>
      <w:r>
        <w:rPr>
          <w:rFonts w:ascii="Arial" w:cs="Arial" w:eastAsia="Arial" w:hAnsi="Arial"/>
          <w:sz w:val="18"/>
          <w:szCs w:val="18"/>
          <w:color w:val="auto"/>
        </w:rPr>
        <w:t>Fee paid previously with preliminary materials</w:t>
      </w:r>
    </w:p>
    <w:p>
      <w:pPr>
        <w:spacing w:after="0" w:line="25" w:lineRule="exact"/>
        <w:rPr>
          <w:rFonts w:ascii="MS PGothic" w:cs="MS PGothic" w:eastAsia="MS PGothic" w:hAnsi="MS PGothic"/>
          <w:sz w:val="18"/>
          <w:szCs w:val="18"/>
          <w:color w:val="auto"/>
        </w:rPr>
      </w:pPr>
    </w:p>
    <w:p>
      <w:pPr>
        <w:ind w:left="780" w:right="180" w:hanging="576"/>
        <w:spacing w:after="0" w:line="264" w:lineRule="auto"/>
        <w:tabs>
          <w:tab w:leader="none" w:pos="780" w:val="left"/>
        </w:tabs>
        <w:numPr>
          <w:ilvl w:val="0"/>
          <w:numId w:val="4"/>
        </w:numPr>
        <w:rPr>
          <w:rFonts w:ascii="MS PGothic" w:cs="MS PGothic" w:eastAsia="MS PGothic" w:hAnsi="MS PGothic"/>
          <w:sz w:val="17"/>
          <w:szCs w:val="17"/>
          <w:color w:val="auto"/>
        </w:rPr>
      </w:pPr>
      <w:r>
        <w:rPr>
          <w:rFonts w:ascii="Arial" w:cs="Arial" w:eastAsia="Arial" w:hAnsi="Arial"/>
          <w:sz w:val="17"/>
          <w:szCs w:val="17"/>
          <w:color w:val="auto"/>
        </w:rPr>
        <w:t>Check box if any part of the fee is offset as provided by Exchange Act Rule 0-11(a)(2) and identify the filing for which the offsetting fee was paid previously. Identify the previous filing by registration statement number, or the Form or Schedule and the date of its filing.</w:t>
      </w:r>
    </w:p>
    <w:p>
      <w:pPr>
        <w:ind w:left="1320" w:hanging="549"/>
        <w:spacing w:after="0"/>
        <w:tabs>
          <w:tab w:leader="none" w:pos="1320" w:val="left"/>
        </w:tabs>
        <w:numPr>
          <w:ilvl w:val="1"/>
          <w:numId w:val="4"/>
        </w:numPr>
        <w:rPr>
          <w:rFonts w:ascii="Arial" w:cs="Arial" w:eastAsia="Arial" w:hAnsi="Arial"/>
          <w:sz w:val="18"/>
          <w:szCs w:val="18"/>
          <w:color w:val="auto"/>
        </w:rPr>
      </w:pPr>
      <w:r>
        <w:rPr>
          <w:rFonts w:ascii="Arial" w:cs="Arial" w:eastAsia="Arial" w:hAnsi="Arial"/>
          <w:sz w:val="18"/>
          <w:szCs w:val="18"/>
          <w:color w:val="auto"/>
        </w:rPr>
        <w:t>Amount Previously Paid:</w:t>
      </w:r>
    </w:p>
    <w:p>
      <w:pPr>
        <w:spacing w:after="0" w:line="237" w:lineRule="exact"/>
        <w:rPr>
          <w:rFonts w:ascii="Arial" w:cs="Arial" w:eastAsia="Arial" w:hAnsi="Arial"/>
          <w:sz w:val="18"/>
          <w:szCs w:val="18"/>
          <w:color w:val="auto"/>
        </w:rPr>
      </w:pPr>
    </w:p>
    <w:p>
      <w:pPr>
        <w:ind w:left="1320" w:hanging="549"/>
        <w:spacing w:after="0"/>
        <w:tabs>
          <w:tab w:leader="none" w:pos="1320" w:val="left"/>
        </w:tabs>
        <w:numPr>
          <w:ilvl w:val="1"/>
          <w:numId w:val="4"/>
        </w:numPr>
        <w:rPr>
          <w:rFonts w:ascii="Arial" w:cs="Arial" w:eastAsia="Arial" w:hAnsi="Arial"/>
          <w:sz w:val="18"/>
          <w:szCs w:val="18"/>
          <w:color w:val="auto"/>
        </w:rPr>
      </w:pPr>
      <w:r>
        <w:rPr>
          <w:rFonts w:ascii="Arial" w:cs="Arial" w:eastAsia="Arial" w:hAnsi="Arial"/>
          <w:sz w:val="18"/>
          <w:szCs w:val="18"/>
          <w:color w:val="auto"/>
        </w:rPr>
        <w:t>Form, Schedule or Registration Statement No.:</w:t>
      </w:r>
    </w:p>
    <w:p>
      <w:pPr>
        <w:spacing w:after="0" w:line="252" w:lineRule="exact"/>
        <w:rPr>
          <w:rFonts w:ascii="Arial" w:cs="Arial" w:eastAsia="Arial" w:hAnsi="Arial"/>
          <w:sz w:val="18"/>
          <w:szCs w:val="18"/>
          <w:color w:val="auto"/>
        </w:rPr>
      </w:pPr>
    </w:p>
    <w:p>
      <w:pPr>
        <w:ind w:left="1320" w:hanging="549"/>
        <w:spacing w:after="0"/>
        <w:tabs>
          <w:tab w:leader="none" w:pos="1320" w:val="left"/>
        </w:tabs>
        <w:numPr>
          <w:ilvl w:val="1"/>
          <w:numId w:val="4"/>
        </w:numPr>
        <w:rPr>
          <w:rFonts w:ascii="Arial" w:cs="Arial" w:eastAsia="Arial" w:hAnsi="Arial"/>
          <w:sz w:val="18"/>
          <w:szCs w:val="18"/>
          <w:color w:val="auto"/>
        </w:rPr>
      </w:pPr>
      <w:r>
        <w:rPr>
          <w:rFonts w:ascii="Arial" w:cs="Arial" w:eastAsia="Arial" w:hAnsi="Arial"/>
          <w:sz w:val="18"/>
          <w:szCs w:val="18"/>
          <w:color w:val="auto"/>
        </w:rPr>
        <w:t>Filing Party:</w:t>
      </w:r>
    </w:p>
    <w:p>
      <w:pPr>
        <w:spacing w:after="0" w:line="252" w:lineRule="exact"/>
        <w:rPr>
          <w:rFonts w:ascii="Arial" w:cs="Arial" w:eastAsia="Arial" w:hAnsi="Arial"/>
          <w:sz w:val="18"/>
          <w:szCs w:val="18"/>
          <w:color w:val="auto"/>
        </w:rPr>
      </w:pPr>
    </w:p>
    <w:p>
      <w:pPr>
        <w:ind w:left="1320" w:hanging="549"/>
        <w:spacing w:after="0"/>
        <w:tabs>
          <w:tab w:leader="none" w:pos="1320" w:val="left"/>
        </w:tabs>
        <w:numPr>
          <w:ilvl w:val="1"/>
          <w:numId w:val="4"/>
        </w:numPr>
        <w:rPr>
          <w:rFonts w:ascii="Arial" w:cs="Arial" w:eastAsia="Arial" w:hAnsi="Arial"/>
          <w:sz w:val="18"/>
          <w:szCs w:val="18"/>
          <w:color w:val="auto"/>
        </w:rPr>
      </w:pPr>
      <w:r>
        <w:rPr>
          <w:rFonts w:ascii="Arial" w:cs="Arial" w:eastAsia="Arial" w:hAnsi="Arial"/>
          <w:sz w:val="18"/>
          <w:szCs w:val="18"/>
          <w:color w:val="auto"/>
        </w:rPr>
        <w:t>Date Filed:</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836930</wp:posOffset>
            </wp:positionH>
            <wp:positionV relativeFrom="paragraph">
              <wp:posOffset>-2728595</wp:posOffset>
            </wp:positionV>
            <wp:extent cx="6294755" cy="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6294755" cy="8890"/>
                    </a:xfrm>
                    <a:prstGeom prst="rect">
                      <a:avLst/>
                    </a:prstGeom>
                    <a:noFill/>
                  </pic:spPr>
                </pic:pic>
              </a:graphicData>
            </a:graphic>
          </wp:anchor>
        </w:drawing>
        <w:drawing>
          <wp:anchor simplePos="0" relativeHeight="251657728" behindDoc="1" locked="0" layoutInCell="0" allowOverlap="1">
            <wp:simplePos x="0" y="0"/>
            <wp:positionH relativeFrom="column">
              <wp:posOffset>836930</wp:posOffset>
            </wp:positionH>
            <wp:positionV relativeFrom="paragraph">
              <wp:posOffset>-2437130</wp:posOffset>
            </wp:positionV>
            <wp:extent cx="6294755" cy="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6294755" cy="8890"/>
                    </a:xfrm>
                    <a:prstGeom prst="rect">
                      <a:avLst/>
                    </a:prstGeom>
                    <a:noFill/>
                  </pic:spPr>
                </pic:pic>
              </a:graphicData>
            </a:graphic>
          </wp:anchor>
        </w:drawing>
        <w:drawing>
          <wp:anchor simplePos="0" relativeHeight="251657728" behindDoc="1" locked="0" layoutInCell="0" allowOverlap="1">
            <wp:simplePos x="0" y="0"/>
            <wp:positionH relativeFrom="column">
              <wp:posOffset>836930</wp:posOffset>
            </wp:positionH>
            <wp:positionV relativeFrom="paragraph">
              <wp:posOffset>-2008505</wp:posOffset>
            </wp:positionV>
            <wp:extent cx="6294755" cy="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6294755" cy="8890"/>
                    </a:xfrm>
                    <a:prstGeom prst="rect">
                      <a:avLst/>
                    </a:prstGeom>
                    <a:noFill/>
                  </pic:spPr>
                </pic:pic>
              </a:graphicData>
            </a:graphic>
          </wp:anchor>
        </w:drawing>
        <w:drawing>
          <wp:anchor simplePos="0" relativeHeight="251657728" behindDoc="1" locked="0" layoutInCell="0" allowOverlap="1">
            <wp:simplePos x="0" y="0"/>
            <wp:positionH relativeFrom="column">
              <wp:posOffset>836930</wp:posOffset>
            </wp:positionH>
            <wp:positionV relativeFrom="paragraph">
              <wp:posOffset>-1717040</wp:posOffset>
            </wp:positionV>
            <wp:extent cx="6294755" cy="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6294755" cy="8890"/>
                    </a:xfrm>
                    <a:prstGeom prst="rect">
                      <a:avLst/>
                    </a:prstGeom>
                    <a:noFill/>
                  </pic:spPr>
                </pic:pic>
              </a:graphicData>
            </a:graphic>
          </wp:anchor>
        </w:drawing>
        <w:drawing>
          <wp:anchor simplePos="0" relativeHeight="251657728" behindDoc="1" locked="0" layoutInCell="0" allowOverlap="1">
            <wp:simplePos x="0" y="0"/>
            <wp:positionH relativeFrom="column">
              <wp:posOffset>836930</wp:posOffset>
            </wp:positionH>
            <wp:positionV relativeFrom="paragraph">
              <wp:posOffset>-1424940</wp:posOffset>
            </wp:positionV>
            <wp:extent cx="6294755" cy="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6294755" cy="8890"/>
                    </a:xfrm>
                    <a:prstGeom prst="rect">
                      <a:avLst/>
                    </a:prstGeom>
                    <a:noFill/>
                  </pic:spPr>
                </pic:pic>
              </a:graphicData>
            </a:graphic>
          </wp:anchor>
        </w:drawing>
        <w:drawing>
          <wp:anchor simplePos="0" relativeHeight="251657728" behindDoc="1" locked="0" layoutInCell="0" allowOverlap="1">
            <wp:simplePos x="0" y="0"/>
            <wp:positionH relativeFrom="column">
              <wp:posOffset>836930</wp:posOffset>
            </wp:positionH>
            <wp:positionV relativeFrom="paragraph">
              <wp:posOffset>-721995</wp:posOffset>
            </wp:positionV>
            <wp:extent cx="6294755" cy="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6294755" cy="8890"/>
                    </a:xfrm>
                    <a:prstGeom prst="rect">
                      <a:avLst/>
                    </a:prstGeom>
                    <a:noFill/>
                  </pic:spPr>
                </pic:pic>
              </a:graphicData>
            </a:graphic>
          </wp:anchor>
        </w:drawing>
        <w:drawing>
          <wp:anchor simplePos="0" relativeHeight="251657728" behindDoc="1" locked="0" layoutInCell="0" allowOverlap="1">
            <wp:simplePos x="0" y="0"/>
            <wp:positionH relativeFrom="column">
              <wp:posOffset>836930</wp:posOffset>
            </wp:positionH>
            <wp:positionV relativeFrom="paragraph">
              <wp:posOffset>-430530</wp:posOffset>
            </wp:positionV>
            <wp:extent cx="6294755" cy="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6294755" cy="8890"/>
                    </a:xfrm>
                    <a:prstGeom prst="rect">
                      <a:avLst/>
                    </a:prstGeom>
                    <a:noFill/>
                  </pic:spPr>
                </pic:pic>
              </a:graphicData>
            </a:graphic>
          </wp:anchor>
        </w:drawing>
        <w:drawing>
          <wp:anchor simplePos="0" relativeHeight="251657728" behindDoc="1" locked="0" layoutInCell="0" allowOverlap="1">
            <wp:simplePos x="0" y="0"/>
            <wp:positionH relativeFrom="column">
              <wp:posOffset>836930</wp:posOffset>
            </wp:positionH>
            <wp:positionV relativeFrom="paragraph">
              <wp:posOffset>-139065</wp:posOffset>
            </wp:positionV>
            <wp:extent cx="6294755" cy="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6294755" cy="8890"/>
                    </a:xfrm>
                    <a:prstGeom prst="rect">
                      <a:avLst/>
                    </a:prstGeom>
                    <a:noFill/>
                  </pic:spPr>
                </pic:pic>
              </a:graphicData>
            </a:graphic>
          </wp:anchor>
        </w:drawing>
        <w:drawing>
          <wp:anchor simplePos="0" relativeHeight="251657728" behindDoc="1" locked="0" layoutInCell="0" allowOverlap="1">
            <wp:simplePos x="0" y="0"/>
            <wp:positionH relativeFrom="column">
              <wp:posOffset>836930</wp:posOffset>
            </wp:positionH>
            <wp:positionV relativeFrom="paragraph">
              <wp:posOffset>152400</wp:posOffset>
            </wp:positionV>
            <wp:extent cx="6294755" cy="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6294755" cy="8890"/>
                    </a:xfrm>
                    <a:prstGeom prst="rect">
                      <a:avLst/>
                    </a:prstGeom>
                    <a:noFill/>
                  </pic:spPr>
                </pic:pic>
              </a:graphicData>
            </a:graphic>
          </wp:anchor>
        </w:drawing>
      </w:r>
    </w:p>
    <w:p>
      <w:pPr>
        <w:sectPr>
          <w:pgSz w:w="11900" w:h="16838" w:orient="portrait"/>
          <w:cols w:equalWidth="0" w:num="1">
            <w:col w:w="11120"/>
          </w:cols>
          <w:pgMar w:left="240" w:top="230" w:right="539" w:bottom="1440" w:gutter="0" w:footer="0" w:header="0"/>
        </w:sectPr>
      </w:pPr>
    </w:p>
    <w:bookmarkStart w:id="1" w:name="page2"/>
    <w:bookmarkEnd w:id="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1591945</wp:posOffset>
            </wp:positionH>
            <wp:positionV relativeFrom="paragraph">
              <wp:posOffset>205740</wp:posOffset>
            </wp:positionV>
            <wp:extent cx="4081780" cy="124333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4081780" cy="12433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tbl>
      <w:tblPr>
        <w:tblLayout w:type="fixed"/>
        <w:tblInd w:w="200" w:type="dxa"/>
        <w:tblCellMar>
          <w:top w:w="0" w:type="dxa"/>
          <w:left w:w="0" w:type="dxa"/>
          <w:bottom w:w="0" w:type="dxa"/>
          <w:right w:w="0" w:type="dxa"/>
        </w:tblCellMar>
      </w:tblPr>
      <w:tr>
        <w:trPr>
          <w:trHeight w:val="253"/>
        </w:trPr>
        <w:tc>
          <w:tcPr>
            <w:tcW w:w="2480" w:type="dxa"/>
            <w:vAlign w:val="bottom"/>
          </w:tcPr>
          <w:p>
            <w:pPr>
              <w:spacing w:after="0"/>
              <w:rPr>
                <w:sz w:val="21"/>
                <w:szCs w:val="21"/>
                <w:color w:val="auto"/>
              </w:rPr>
            </w:pPr>
          </w:p>
        </w:tc>
        <w:tc>
          <w:tcPr>
            <w:tcW w:w="5200" w:type="dxa"/>
            <w:vAlign w:val="bottom"/>
          </w:tcPr>
          <w:p>
            <w:pPr>
              <w:jc w:val="center"/>
              <w:ind w:left="788"/>
              <w:spacing w:after="0"/>
              <w:rPr>
                <w:sz w:val="20"/>
                <w:szCs w:val="20"/>
                <w:color w:val="auto"/>
              </w:rPr>
            </w:pPr>
            <w:r>
              <w:rPr>
                <w:rFonts w:ascii="Arial" w:cs="Arial" w:eastAsia="Arial" w:hAnsi="Arial"/>
                <w:sz w:val="22"/>
                <w:szCs w:val="22"/>
                <w:b w:val="1"/>
                <w:bCs w:val="1"/>
                <w:color w:val="407CCA"/>
                <w:w w:val="98"/>
              </w:rPr>
              <w:t>AGNC INVESTMENT CORP.</w:t>
            </w:r>
          </w:p>
        </w:tc>
        <w:tc>
          <w:tcPr>
            <w:tcW w:w="33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43"/>
        </w:trPr>
        <w:tc>
          <w:tcPr>
            <w:tcW w:w="2480" w:type="dxa"/>
            <w:vAlign w:val="bottom"/>
          </w:tcPr>
          <w:p>
            <w:pPr>
              <w:spacing w:after="0"/>
              <w:rPr>
                <w:sz w:val="21"/>
                <w:szCs w:val="21"/>
                <w:color w:val="auto"/>
              </w:rPr>
            </w:pPr>
          </w:p>
        </w:tc>
        <w:tc>
          <w:tcPr>
            <w:tcW w:w="5200" w:type="dxa"/>
            <w:vAlign w:val="bottom"/>
          </w:tcPr>
          <w:p>
            <w:pPr>
              <w:jc w:val="center"/>
              <w:ind w:left="788"/>
              <w:spacing w:after="0" w:line="243" w:lineRule="exact"/>
              <w:rPr>
                <w:sz w:val="20"/>
                <w:szCs w:val="20"/>
                <w:color w:val="auto"/>
              </w:rPr>
            </w:pPr>
            <w:r>
              <w:rPr>
                <w:rFonts w:ascii="Arial" w:cs="Arial" w:eastAsia="Arial" w:hAnsi="Arial"/>
                <w:sz w:val="22"/>
                <w:szCs w:val="22"/>
                <w:b w:val="1"/>
                <w:bCs w:val="1"/>
                <w:color w:val="407CCA"/>
                <w:w w:val="98"/>
              </w:rPr>
              <w:t>NOTICE OF 2018 ANNUAL MEETING OF</w:t>
            </w:r>
          </w:p>
        </w:tc>
        <w:tc>
          <w:tcPr>
            <w:tcW w:w="33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81"/>
        </w:trPr>
        <w:tc>
          <w:tcPr>
            <w:tcW w:w="2480" w:type="dxa"/>
            <w:vAlign w:val="bottom"/>
          </w:tcPr>
          <w:p>
            <w:pPr>
              <w:spacing w:after="0"/>
              <w:rPr>
                <w:sz w:val="24"/>
                <w:szCs w:val="24"/>
                <w:color w:val="auto"/>
              </w:rPr>
            </w:pPr>
          </w:p>
        </w:tc>
        <w:tc>
          <w:tcPr>
            <w:tcW w:w="8540" w:type="dxa"/>
            <w:vAlign w:val="bottom"/>
            <w:gridSpan w:val="2"/>
          </w:tcPr>
          <w:p>
            <w:pPr>
              <w:jc w:val="center"/>
              <w:ind w:right="2370"/>
              <w:spacing w:after="0"/>
              <w:rPr>
                <w:sz w:val="20"/>
                <w:szCs w:val="20"/>
                <w:color w:val="auto"/>
              </w:rPr>
            </w:pPr>
            <w:r>
              <w:rPr>
                <w:rFonts w:ascii="Arial" w:cs="Arial" w:eastAsia="Arial" w:hAnsi="Arial"/>
                <w:sz w:val="22"/>
                <w:szCs w:val="22"/>
                <w:b w:val="1"/>
                <w:bCs w:val="1"/>
                <w:color w:val="407CCA"/>
                <w:w w:val="96"/>
              </w:rPr>
              <w:t>STOCKHOLDERS TO BE HELD ON APRIL 19, 2018</w:t>
            </w:r>
          </w:p>
        </w:tc>
        <w:tc>
          <w:tcPr>
            <w:tcW w:w="0" w:type="dxa"/>
            <w:vAlign w:val="bottom"/>
          </w:tcPr>
          <w:p>
            <w:pPr>
              <w:spacing w:after="0"/>
              <w:rPr>
                <w:sz w:val="1"/>
                <w:szCs w:val="1"/>
                <w:color w:val="auto"/>
              </w:rPr>
            </w:pPr>
          </w:p>
        </w:tc>
      </w:tr>
      <w:tr>
        <w:trPr>
          <w:trHeight w:val="449"/>
        </w:trPr>
        <w:tc>
          <w:tcPr>
            <w:tcW w:w="2480" w:type="dxa"/>
            <w:vAlign w:val="bottom"/>
          </w:tcPr>
          <w:p>
            <w:pPr>
              <w:spacing w:after="0"/>
              <w:rPr>
                <w:sz w:val="20"/>
                <w:szCs w:val="20"/>
                <w:color w:val="auto"/>
              </w:rPr>
            </w:pPr>
            <w:r>
              <w:rPr>
                <w:rFonts w:ascii="Arial" w:cs="Arial" w:eastAsia="Arial" w:hAnsi="Arial"/>
                <w:sz w:val="18"/>
                <w:szCs w:val="18"/>
                <w:b w:val="1"/>
                <w:bCs w:val="1"/>
                <w:color w:val="auto"/>
              </w:rPr>
              <w:t>DATE AND TIME:</w:t>
            </w:r>
          </w:p>
        </w:tc>
        <w:tc>
          <w:tcPr>
            <w:tcW w:w="5200" w:type="dxa"/>
            <w:vAlign w:val="bottom"/>
          </w:tcPr>
          <w:p>
            <w:pPr>
              <w:ind w:left="260"/>
              <w:spacing w:after="0"/>
              <w:rPr>
                <w:sz w:val="20"/>
                <w:szCs w:val="20"/>
                <w:color w:val="auto"/>
              </w:rPr>
            </w:pPr>
            <w:r>
              <w:rPr>
                <w:rFonts w:ascii="Arial" w:cs="Arial" w:eastAsia="Arial" w:hAnsi="Arial"/>
                <w:sz w:val="18"/>
                <w:szCs w:val="18"/>
                <w:color w:val="auto"/>
              </w:rPr>
              <w:t>Thursday, April 19, 2018, at 9:00 a.m., Eastern Time</w:t>
            </w:r>
          </w:p>
        </w:tc>
        <w:tc>
          <w:tcPr>
            <w:tcW w:w="33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4"/>
        </w:trPr>
        <w:tc>
          <w:tcPr>
            <w:tcW w:w="2480" w:type="dxa"/>
            <w:vAlign w:val="bottom"/>
          </w:tcPr>
          <w:p>
            <w:pPr>
              <w:spacing w:after="0"/>
              <w:rPr>
                <w:sz w:val="20"/>
                <w:szCs w:val="20"/>
                <w:color w:val="auto"/>
              </w:rPr>
            </w:pPr>
            <w:r>
              <w:rPr>
                <w:rFonts w:ascii="Arial" w:cs="Arial" w:eastAsia="Arial" w:hAnsi="Arial"/>
                <w:sz w:val="18"/>
                <w:szCs w:val="18"/>
                <w:b w:val="1"/>
                <w:bCs w:val="1"/>
                <w:color w:val="auto"/>
              </w:rPr>
              <w:t>PLACE:</w:t>
            </w:r>
          </w:p>
        </w:tc>
        <w:tc>
          <w:tcPr>
            <w:tcW w:w="8540" w:type="dxa"/>
            <w:vAlign w:val="bottom"/>
            <w:gridSpan w:val="2"/>
          </w:tcPr>
          <w:p>
            <w:pPr>
              <w:ind w:left="260"/>
              <w:spacing w:after="0"/>
              <w:rPr>
                <w:sz w:val="20"/>
                <w:szCs w:val="20"/>
                <w:color w:val="auto"/>
              </w:rPr>
            </w:pPr>
            <w:r>
              <w:rPr>
                <w:rFonts w:ascii="Arial" w:cs="Arial" w:eastAsia="Arial" w:hAnsi="Arial"/>
                <w:sz w:val="18"/>
                <w:szCs w:val="18"/>
                <w:color w:val="auto"/>
              </w:rPr>
              <w:t>Hyatt Regency Bethesda, 7400 Wisconsin Avenue, Bethesda, Maryland 20814</w:t>
            </w:r>
          </w:p>
        </w:tc>
        <w:tc>
          <w:tcPr>
            <w:tcW w:w="0" w:type="dxa"/>
            <w:vAlign w:val="bottom"/>
          </w:tcPr>
          <w:p>
            <w:pPr>
              <w:spacing w:after="0"/>
              <w:rPr>
                <w:sz w:val="1"/>
                <w:szCs w:val="1"/>
                <w:color w:val="auto"/>
              </w:rPr>
            </w:pPr>
          </w:p>
        </w:tc>
      </w:tr>
      <w:tr>
        <w:trPr>
          <w:trHeight w:val="310"/>
        </w:trPr>
        <w:tc>
          <w:tcPr>
            <w:tcW w:w="2480" w:type="dxa"/>
            <w:vAlign w:val="bottom"/>
          </w:tcPr>
          <w:p>
            <w:pPr>
              <w:spacing w:after="0"/>
              <w:rPr>
                <w:sz w:val="20"/>
                <w:szCs w:val="20"/>
                <w:color w:val="auto"/>
              </w:rPr>
            </w:pPr>
            <w:r>
              <w:rPr>
                <w:rFonts w:ascii="Arial" w:cs="Arial" w:eastAsia="Arial" w:hAnsi="Arial"/>
                <w:sz w:val="18"/>
                <w:szCs w:val="18"/>
                <w:b w:val="1"/>
                <w:bCs w:val="1"/>
                <w:color w:val="auto"/>
              </w:rPr>
              <w:t>ITEMS OF BUSINESS:</w:t>
            </w:r>
          </w:p>
        </w:tc>
        <w:tc>
          <w:tcPr>
            <w:tcW w:w="8540" w:type="dxa"/>
            <w:vAlign w:val="bottom"/>
            <w:gridSpan w:val="2"/>
          </w:tcPr>
          <w:p>
            <w:pPr>
              <w:ind w:left="260"/>
              <w:spacing w:after="0"/>
              <w:rPr>
                <w:sz w:val="20"/>
                <w:szCs w:val="20"/>
                <w:color w:val="auto"/>
              </w:rPr>
            </w:pPr>
            <w:r>
              <w:rPr>
                <w:rFonts w:ascii="Arial" w:cs="Arial" w:eastAsia="Arial" w:hAnsi="Arial"/>
                <w:sz w:val="18"/>
                <w:szCs w:val="18"/>
                <w:color w:val="auto"/>
                <w:w w:val="94"/>
              </w:rPr>
              <w:t>1)  To elect the Board of Directors, with each director serving a one-year term and until his or her successor is</w:t>
            </w:r>
          </w:p>
        </w:tc>
        <w:tc>
          <w:tcPr>
            <w:tcW w:w="0" w:type="dxa"/>
            <w:vAlign w:val="bottom"/>
          </w:tcPr>
          <w:p>
            <w:pPr>
              <w:spacing w:after="0"/>
              <w:rPr>
                <w:sz w:val="1"/>
                <w:szCs w:val="1"/>
                <w:color w:val="auto"/>
              </w:rPr>
            </w:pPr>
          </w:p>
        </w:tc>
      </w:tr>
      <w:tr>
        <w:trPr>
          <w:trHeight w:val="216"/>
        </w:trPr>
        <w:tc>
          <w:tcPr>
            <w:tcW w:w="2480" w:type="dxa"/>
            <w:vAlign w:val="bottom"/>
          </w:tcPr>
          <w:p>
            <w:pPr>
              <w:spacing w:after="0"/>
              <w:rPr>
                <w:sz w:val="18"/>
                <w:szCs w:val="18"/>
                <w:color w:val="auto"/>
              </w:rPr>
            </w:pPr>
          </w:p>
        </w:tc>
        <w:tc>
          <w:tcPr>
            <w:tcW w:w="5200" w:type="dxa"/>
            <w:vAlign w:val="bottom"/>
          </w:tcPr>
          <w:p>
            <w:pPr>
              <w:ind w:left="520"/>
              <w:spacing w:after="0"/>
              <w:rPr>
                <w:sz w:val="20"/>
                <w:szCs w:val="20"/>
                <w:color w:val="auto"/>
              </w:rPr>
            </w:pPr>
            <w:r>
              <w:rPr>
                <w:rFonts w:ascii="Arial" w:cs="Arial" w:eastAsia="Arial" w:hAnsi="Arial"/>
                <w:sz w:val="18"/>
                <w:szCs w:val="18"/>
                <w:color w:val="auto"/>
              </w:rPr>
              <w:t>elected and qualified;</w:t>
            </w:r>
          </w:p>
        </w:tc>
        <w:tc>
          <w:tcPr>
            <w:tcW w:w="33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480" w:type="dxa"/>
            <w:vAlign w:val="bottom"/>
          </w:tcPr>
          <w:p>
            <w:pPr>
              <w:spacing w:after="0"/>
              <w:rPr>
                <w:sz w:val="18"/>
                <w:szCs w:val="18"/>
                <w:color w:val="auto"/>
              </w:rPr>
            </w:pPr>
          </w:p>
        </w:tc>
        <w:tc>
          <w:tcPr>
            <w:tcW w:w="8540" w:type="dxa"/>
            <w:vAlign w:val="bottom"/>
            <w:gridSpan w:val="2"/>
          </w:tcPr>
          <w:p>
            <w:pPr>
              <w:ind w:left="260"/>
              <w:spacing w:after="0"/>
              <w:rPr>
                <w:sz w:val="20"/>
                <w:szCs w:val="20"/>
                <w:color w:val="auto"/>
              </w:rPr>
            </w:pPr>
            <w:r>
              <w:rPr>
                <w:rFonts w:ascii="Arial" w:cs="Arial" w:eastAsia="Arial" w:hAnsi="Arial"/>
                <w:sz w:val="18"/>
                <w:szCs w:val="18"/>
                <w:color w:val="auto"/>
                <w:w w:val="97"/>
              </w:rPr>
              <w:t>2)  To consider and vote upon an amendment to our Amended and Restated Certificate of Incorporation to</w:t>
            </w:r>
          </w:p>
        </w:tc>
        <w:tc>
          <w:tcPr>
            <w:tcW w:w="0" w:type="dxa"/>
            <w:vAlign w:val="bottom"/>
          </w:tcPr>
          <w:p>
            <w:pPr>
              <w:spacing w:after="0"/>
              <w:rPr>
                <w:sz w:val="1"/>
                <w:szCs w:val="1"/>
                <w:color w:val="auto"/>
              </w:rPr>
            </w:pPr>
          </w:p>
        </w:tc>
      </w:tr>
      <w:tr>
        <w:trPr>
          <w:trHeight w:val="216"/>
        </w:trPr>
        <w:tc>
          <w:tcPr>
            <w:tcW w:w="2480" w:type="dxa"/>
            <w:vAlign w:val="bottom"/>
          </w:tcPr>
          <w:p>
            <w:pPr>
              <w:spacing w:after="0"/>
              <w:rPr>
                <w:sz w:val="18"/>
                <w:szCs w:val="18"/>
                <w:color w:val="auto"/>
              </w:rPr>
            </w:pPr>
          </w:p>
        </w:tc>
        <w:tc>
          <w:tcPr>
            <w:tcW w:w="8540" w:type="dxa"/>
            <w:vAlign w:val="bottom"/>
            <w:gridSpan w:val="2"/>
          </w:tcPr>
          <w:p>
            <w:pPr>
              <w:ind w:left="520"/>
              <w:spacing w:after="0"/>
              <w:rPr>
                <w:sz w:val="20"/>
                <w:szCs w:val="20"/>
                <w:color w:val="auto"/>
              </w:rPr>
            </w:pPr>
            <w:r>
              <w:rPr>
                <w:rFonts w:ascii="Arial" w:cs="Arial" w:eastAsia="Arial" w:hAnsi="Arial"/>
                <w:sz w:val="18"/>
                <w:szCs w:val="18"/>
                <w:color w:val="auto"/>
              </w:rPr>
              <w:t>increase the total authorized number of shares of common stock from 600,000,000 to 900,000,000;</w:t>
            </w:r>
          </w:p>
        </w:tc>
        <w:tc>
          <w:tcPr>
            <w:tcW w:w="0" w:type="dxa"/>
            <w:vAlign w:val="bottom"/>
          </w:tcPr>
          <w:p>
            <w:pPr>
              <w:spacing w:after="0"/>
              <w:rPr>
                <w:sz w:val="1"/>
                <w:szCs w:val="1"/>
                <w:color w:val="auto"/>
              </w:rPr>
            </w:pPr>
          </w:p>
        </w:tc>
      </w:tr>
      <w:tr>
        <w:trPr>
          <w:trHeight w:val="216"/>
        </w:trPr>
        <w:tc>
          <w:tcPr>
            <w:tcW w:w="2480" w:type="dxa"/>
            <w:vAlign w:val="bottom"/>
          </w:tcPr>
          <w:p>
            <w:pPr>
              <w:spacing w:after="0"/>
              <w:rPr>
                <w:sz w:val="18"/>
                <w:szCs w:val="18"/>
                <w:color w:val="auto"/>
              </w:rPr>
            </w:pPr>
          </w:p>
        </w:tc>
        <w:tc>
          <w:tcPr>
            <w:tcW w:w="5200" w:type="dxa"/>
            <w:vAlign w:val="bottom"/>
          </w:tcPr>
          <w:p>
            <w:pPr>
              <w:ind w:left="260"/>
              <w:spacing w:after="0"/>
              <w:rPr>
                <w:sz w:val="20"/>
                <w:szCs w:val="20"/>
                <w:color w:val="auto"/>
              </w:rPr>
            </w:pPr>
            <w:r>
              <w:rPr>
                <w:rFonts w:ascii="Arial" w:cs="Arial" w:eastAsia="Arial" w:hAnsi="Arial"/>
                <w:sz w:val="18"/>
                <w:szCs w:val="18"/>
                <w:color w:val="auto"/>
                <w:w w:val="93"/>
              </w:rPr>
              <w:t>3)  To approve an advisory resolution on executive compensation;</w:t>
            </w:r>
          </w:p>
        </w:tc>
        <w:tc>
          <w:tcPr>
            <w:tcW w:w="33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480" w:type="dxa"/>
            <w:vAlign w:val="bottom"/>
          </w:tcPr>
          <w:p>
            <w:pPr>
              <w:spacing w:after="0"/>
              <w:rPr>
                <w:sz w:val="18"/>
                <w:szCs w:val="18"/>
                <w:color w:val="auto"/>
              </w:rPr>
            </w:pPr>
          </w:p>
        </w:tc>
        <w:tc>
          <w:tcPr>
            <w:tcW w:w="8540" w:type="dxa"/>
            <w:vAlign w:val="bottom"/>
            <w:gridSpan w:val="2"/>
          </w:tcPr>
          <w:p>
            <w:pPr>
              <w:ind w:left="260"/>
              <w:spacing w:after="0"/>
              <w:rPr>
                <w:sz w:val="20"/>
                <w:szCs w:val="20"/>
                <w:color w:val="auto"/>
              </w:rPr>
            </w:pPr>
            <w:r>
              <w:rPr>
                <w:rFonts w:ascii="Arial" w:cs="Arial" w:eastAsia="Arial" w:hAnsi="Arial"/>
                <w:sz w:val="18"/>
                <w:szCs w:val="18"/>
                <w:color w:val="auto"/>
              </w:rPr>
              <w:t>4)  To consider and vote upon the ratification of the appointment of Ernst &amp; Young LLP to serve as our</w:t>
            </w:r>
          </w:p>
        </w:tc>
        <w:tc>
          <w:tcPr>
            <w:tcW w:w="0" w:type="dxa"/>
            <w:vAlign w:val="bottom"/>
          </w:tcPr>
          <w:p>
            <w:pPr>
              <w:spacing w:after="0"/>
              <w:rPr>
                <w:sz w:val="1"/>
                <w:szCs w:val="1"/>
                <w:color w:val="auto"/>
              </w:rPr>
            </w:pPr>
          </w:p>
        </w:tc>
      </w:tr>
      <w:tr>
        <w:trPr>
          <w:trHeight w:val="216"/>
        </w:trPr>
        <w:tc>
          <w:tcPr>
            <w:tcW w:w="2480" w:type="dxa"/>
            <w:vAlign w:val="bottom"/>
          </w:tcPr>
          <w:p>
            <w:pPr>
              <w:spacing w:after="0"/>
              <w:rPr>
                <w:sz w:val="18"/>
                <w:szCs w:val="18"/>
                <w:color w:val="auto"/>
              </w:rPr>
            </w:pPr>
          </w:p>
        </w:tc>
        <w:tc>
          <w:tcPr>
            <w:tcW w:w="8540" w:type="dxa"/>
            <w:vAlign w:val="bottom"/>
            <w:gridSpan w:val="2"/>
          </w:tcPr>
          <w:p>
            <w:pPr>
              <w:ind w:left="520"/>
              <w:spacing w:after="0"/>
              <w:rPr>
                <w:sz w:val="20"/>
                <w:szCs w:val="20"/>
                <w:color w:val="auto"/>
              </w:rPr>
            </w:pPr>
            <w:r>
              <w:rPr>
                <w:rFonts w:ascii="Arial" w:cs="Arial" w:eastAsia="Arial" w:hAnsi="Arial"/>
                <w:sz w:val="18"/>
                <w:szCs w:val="18"/>
                <w:color w:val="auto"/>
              </w:rPr>
              <w:t>independent public accountant for the year ending December 31, 2018; and</w:t>
            </w:r>
          </w:p>
        </w:tc>
        <w:tc>
          <w:tcPr>
            <w:tcW w:w="0" w:type="dxa"/>
            <w:vAlign w:val="bottom"/>
          </w:tcPr>
          <w:p>
            <w:pPr>
              <w:spacing w:after="0"/>
              <w:rPr>
                <w:sz w:val="1"/>
                <w:szCs w:val="1"/>
                <w:color w:val="auto"/>
              </w:rPr>
            </w:pPr>
          </w:p>
        </w:tc>
      </w:tr>
      <w:tr>
        <w:trPr>
          <w:trHeight w:val="216"/>
        </w:trPr>
        <w:tc>
          <w:tcPr>
            <w:tcW w:w="2480" w:type="dxa"/>
            <w:vAlign w:val="bottom"/>
          </w:tcPr>
          <w:p>
            <w:pPr>
              <w:spacing w:after="0"/>
              <w:rPr>
                <w:sz w:val="18"/>
                <w:szCs w:val="18"/>
                <w:color w:val="auto"/>
              </w:rPr>
            </w:pPr>
          </w:p>
        </w:tc>
        <w:tc>
          <w:tcPr>
            <w:tcW w:w="8540" w:type="dxa"/>
            <w:vAlign w:val="bottom"/>
            <w:gridSpan w:val="2"/>
          </w:tcPr>
          <w:p>
            <w:pPr>
              <w:ind w:left="260"/>
              <w:spacing w:after="0"/>
              <w:rPr>
                <w:sz w:val="20"/>
                <w:szCs w:val="20"/>
                <w:color w:val="auto"/>
              </w:rPr>
            </w:pPr>
            <w:r>
              <w:rPr>
                <w:rFonts w:ascii="Arial" w:cs="Arial" w:eastAsia="Arial" w:hAnsi="Arial"/>
                <w:sz w:val="18"/>
                <w:szCs w:val="18"/>
                <w:color w:val="auto"/>
                <w:w w:val="89"/>
              </w:rPr>
              <w:t>5)  To transact such other business as may properly come before the meeting or any postponement or adjournment</w:t>
            </w:r>
          </w:p>
        </w:tc>
        <w:tc>
          <w:tcPr>
            <w:tcW w:w="0" w:type="dxa"/>
            <w:vAlign w:val="bottom"/>
          </w:tcPr>
          <w:p>
            <w:pPr>
              <w:spacing w:after="0"/>
              <w:rPr>
                <w:sz w:val="1"/>
                <w:szCs w:val="1"/>
                <w:color w:val="auto"/>
              </w:rPr>
            </w:pPr>
          </w:p>
        </w:tc>
      </w:tr>
      <w:tr>
        <w:trPr>
          <w:trHeight w:val="216"/>
        </w:trPr>
        <w:tc>
          <w:tcPr>
            <w:tcW w:w="2480" w:type="dxa"/>
            <w:vAlign w:val="bottom"/>
          </w:tcPr>
          <w:p>
            <w:pPr>
              <w:spacing w:after="0"/>
              <w:rPr>
                <w:sz w:val="18"/>
                <w:szCs w:val="18"/>
                <w:color w:val="auto"/>
              </w:rPr>
            </w:pPr>
          </w:p>
        </w:tc>
        <w:tc>
          <w:tcPr>
            <w:tcW w:w="5200" w:type="dxa"/>
            <w:vAlign w:val="bottom"/>
          </w:tcPr>
          <w:p>
            <w:pPr>
              <w:ind w:left="520"/>
              <w:spacing w:after="0"/>
              <w:rPr>
                <w:sz w:val="20"/>
                <w:szCs w:val="20"/>
                <w:color w:val="auto"/>
              </w:rPr>
            </w:pPr>
            <w:r>
              <w:rPr>
                <w:rFonts w:ascii="Arial" w:cs="Arial" w:eastAsia="Arial" w:hAnsi="Arial"/>
                <w:sz w:val="18"/>
                <w:szCs w:val="18"/>
                <w:color w:val="auto"/>
              </w:rPr>
              <w:t>thereof.</w:t>
            </w:r>
          </w:p>
        </w:tc>
        <w:tc>
          <w:tcPr>
            <w:tcW w:w="33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480" w:type="dxa"/>
            <w:vAlign w:val="bottom"/>
          </w:tcPr>
          <w:p>
            <w:pPr>
              <w:spacing w:after="0"/>
              <w:rPr>
                <w:sz w:val="18"/>
                <w:szCs w:val="18"/>
                <w:color w:val="auto"/>
              </w:rPr>
            </w:pPr>
          </w:p>
        </w:tc>
        <w:tc>
          <w:tcPr>
            <w:tcW w:w="8540" w:type="dxa"/>
            <w:vAlign w:val="bottom"/>
            <w:gridSpan w:val="2"/>
          </w:tcPr>
          <w:p>
            <w:pPr>
              <w:ind w:left="260"/>
              <w:spacing w:after="0"/>
              <w:rPr>
                <w:sz w:val="20"/>
                <w:szCs w:val="20"/>
                <w:color w:val="auto"/>
              </w:rPr>
            </w:pPr>
            <w:r>
              <w:rPr>
                <w:rFonts w:ascii="Arial" w:cs="Arial" w:eastAsia="Arial" w:hAnsi="Arial"/>
                <w:sz w:val="18"/>
                <w:szCs w:val="18"/>
                <w:color w:val="auto"/>
                <w:w w:val="99"/>
              </w:rPr>
              <w:t>In addition, there will be a presentation on our business, and stockholders will have an opportunity to ask</w:t>
            </w:r>
          </w:p>
        </w:tc>
        <w:tc>
          <w:tcPr>
            <w:tcW w:w="0" w:type="dxa"/>
            <w:vAlign w:val="bottom"/>
          </w:tcPr>
          <w:p>
            <w:pPr>
              <w:spacing w:after="0"/>
              <w:rPr>
                <w:sz w:val="1"/>
                <w:szCs w:val="1"/>
                <w:color w:val="auto"/>
              </w:rPr>
            </w:pPr>
          </w:p>
        </w:tc>
      </w:tr>
      <w:tr>
        <w:trPr>
          <w:trHeight w:val="230"/>
        </w:trPr>
        <w:tc>
          <w:tcPr>
            <w:tcW w:w="2480" w:type="dxa"/>
            <w:vAlign w:val="bottom"/>
          </w:tcPr>
          <w:p>
            <w:pPr>
              <w:spacing w:after="0"/>
              <w:rPr>
                <w:sz w:val="20"/>
                <w:szCs w:val="20"/>
                <w:color w:val="auto"/>
              </w:rPr>
            </w:pPr>
          </w:p>
        </w:tc>
        <w:tc>
          <w:tcPr>
            <w:tcW w:w="5200" w:type="dxa"/>
            <w:vAlign w:val="bottom"/>
          </w:tcPr>
          <w:p>
            <w:pPr>
              <w:ind w:left="260"/>
              <w:spacing w:after="0"/>
              <w:rPr>
                <w:sz w:val="20"/>
                <w:szCs w:val="20"/>
                <w:color w:val="auto"/>
              </w:rPr>
            </w:pPr>
            <w:r>
              <w:rPr>
                <w:rFonts w:ascii="Arial" w:cs="Arial" w:eastAsia="Arial" w:hAnsi="Arial"/>
                <w:sz w:val="18"/>
                <w:szCs w:val="18"/>
                <w:color w:val="auto"/>
              </w:rPr>
              <w:t>questions.</w:t>
            </w:r>
          </w:p>
        </w:tc>
        <w:tc>
          <w:tcPr>
            <w:tcW w:w="33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10"/>
        </w:trPr>
        <w:tc>
          <w:tcPr>
            <w:tcW w:w="2480" w:type="dxa"/>
            <w:vAlign w:val="bottom"/>
          </w:tcPr>
          <w:p>
            <w:pPr>
              <w:spacing w:after="0"/>
              <w:rPr>
                <w:sz w:val="20"/>
                <w:szCs w:val="20"/>
                <w:color w:val="auto"/>
              </w:rPr>
            </w:pPr>
            <w:r>
              <w:rPr>
                <w:rFonts w:ascii="Arial" w:cs="Arial" w:eastAsia="Arial" w:hAnsi="Arial"/>
                <w:sz w:val="18"/>
                <w:szCs w:val="18"/>
                <w:b w:val="1"/>
                <w:bCs w:val="1"/>
                <w:color w:val="auto"/>
              </w:rPr>
              <w:t>WHO CAN VOTE:</w:t>
            </w:r>
          </w:p>
        </w:tc>
        <w:tc>
          <w:tcPr>
            <w:tcW w:w="8540" w:type="dxa"/>
            <w:vAlign w:val="bottom"/>
            <w:gridSpan w:val="2"/>
          </w:tcPr>
          <w:p>
            <w:pPr>
              <w:ind w:left="260"/>
              <w:spacing w:after="0"/>
              <w:rPr>
                <w:sz w:val="20"/>
                <w:szCs w:val="20"/>
                <w:color w:val="auto"/>
              </w:rPr>
            </w:pPr>
            <w:r>
              <w:rPr>
                <w:rFonts w:ascii="Arial" w:cs="Arial" w:eastAsia="Arial" w:hAnsi="Arial"/>
                <w:sz w:val="18"/>
                <w:szCs w:val="18"/>
                <w:color w:val="auto"/>
                <w:w w:val="95"/>
              </w:rPr>
              <w:t>You are entitled to notice of, and to vote at, the Annual Meeting and any postponement or adjournment of the</w:t>
            </w:r>
          </w:p>
        </w:tc>
        <w:tc>
          <w:tcPr>
            <w:tcW w:w="0" w:type="dxa"/>
            <w:vAlign w:val="bottom"/>
          </w:tcPr>
          <w:p>
            <w:pPr>
              <w:spacing w:after="0"/>
              <w:rPr>
                <w:sz w:val="1"/>
                <w:szCs w:val="1"/>
                <w:color w:val="auto"/>
              </w:rPr>
            </w:pPr>
          </w:p>
        </w:tc>
      </w:tr>
      <w:tr>
        <w:trPr>
          <w:trHeight w:val="230"/>
        </w:trPr>
        <w:tc>
          <w:tcPr>
            <w:tcW w:w="2480" w:type="dxa"/>
            <w:vAlign w:val="bottom"/>
          </w:tcPr>
          <w:p>
            <w:pPr>
              <w:spacing w:after="0"/>
              <w:rPr>
                <w:sz w:val="20"/>
                <w:szCs w:val="20"/>
                <w:color w:val="auto"/>
              </w:rPr>
            </w:pPr>
          </w:p>
        </w:tc>
        <w:tc>
          <w:tcPr>
            <w:tcW w:w="8540" w:type="dxa"/>
            <w:vAlign w:val="bottom"/>
            <w:gridSpan w:val="2"/>
          </w:tcPr>
          <w:p>
            <w:pPr>
              <w:ind w:left="260"/>
              <w:spacing w:after="0"/>
              <w:rPr>
                <w:sz w:val="20"/>
                <w:szCs w:val="20"/>
                <w:color w:val="auto"/>
              </w:rPr>
            </w:pPr>
            <w:r>
              <w:rPr>
                <w:rFonts w:ascii="Arial" w:cs="Arial" w:eastAsia="Arial" w:hAnsi="Arial"/>
                <w:sz w:val="18"/>
                <w:szCs w:val="18"/>
                <w:color w:val="auto"/>
                <w:w w:val="96"/>
              </w:rPr>
              <w:t>Annual Meeting if you were a common stockholder of record at the close of business on February 26, 2018.</w:t>
            </w:r>
          </w:p>
        </w:tc>
        <w:tc>
          <w:tcPr>
            <w:tcW w:w="0" w:type="dxa"/>
            <w:vAlign w:val="bottom"/>
          </w:tcPr>
          <w:p>
            <w:pPr>
              <w:spacing w:after="0"/>
              <w:rPr>
                <w:sz w:val="1"/>
                <w:szCs w:val="1"/>
                <w:color w:val="auto"/>
              </w:rPr>
            </w:pPr>
          </w:p>
        </w:tc>
      </w:tr>
      <w:tr>
        <w:trPr>
          <w:trHeight w:val="310"/>
        </w:trPr>
        <w:tc>
          <w:tcPr>
            <w:tcW w:w="2480" w:type="dxa"/>
            <w:vAlign w:val="bottom"/>
          </w:tcPr>
          <w:p>
            <w:pPr>
              <w:spacing w:after="0"/>
              <w:rPr>
                <w:sz w:val="20"/>
                <w:szCs w:val="20"/>
                <w:color w:val="auto"/>
              </w:rPr>
            </w:pPr>
            <w:r>
              <w:rPr>
                <w:rFonts w:ascii="Arial" w:cs="Arial" w:eastAsia="Arial" w:hAnsi="Arial"/>
                <w:sz w:val="18"/>
                <w:szCs w:val="18"/>
                <w:b w:val="1"/>
                <w:bCs w:val="1"/>
                <w:color w:val="auto"/>
              </w:rPr>
              <w:t>VOTING:</w:t>
            </w:r>
          </w:p>
        </w:tc>
        <w:tc>
          <w:tcPr>
            <w:tcW w:w="8540" w:type="dxa"/>
            <w:vAlign w:val="bottom"/>
            <w:gridSpan w:val="2"/>
          </w:tcPr>
          <w:p>
            <w:pPr>
              <w:ind w:left="260"/>
              <w:spacing w:after="0"/>
              <w:rPr>
                <w:sz w:val="20"/>
                <w:szCs w:val="20"/>
                <w:color w:val="auto"/>
              </w:rPr>
            </w:pPr>
            <w:r>
              <w:rPr>
                <w:rFonts w:ascii="Arial" w:cs="Arial" w:eastAsia="Arial" w:hAnsi="Arial"/>
                <w:sz w:val="18"/>
                <w:szCs w:val="18"/>
                <w:color w:val="auto"/>
                <w:w w:val="94"/>
              </w:rPr>
              <w:t>Your vote is important and we urge you to vote. You may vote in person at the Annual Meeting, or authorize a</w:t>
            </w:r>
          </w:p>
        </w:tc>
        <w:tc>
          <w:tcPr>
            <w:tcW w:w="0" w:type="dxa"/>
            <w:vAlign w:val="bottom"/>
          </w:tcPr>
          <w:p>
            <w:pPr>
              <w:spacing w:after="0"/>
              <w:rPr>
                <w:sz w:val="1"/>
                <w:szCs w:val="1"/>
                <w:color w:val="auto"/>
              </w:rPr>
            </w:pPr>
          </w:p>
        </w:tc>
      </w:tr>
      <w:tr>
        <w:trPr>
          <w:trHeight w:val="216"/>
        </w:trPr>
        <w:tc>
          <w:tcPr>
            <w:tcW w:w="2480" w:type="dxa"/>
            <w:vAlign w:val="bottom"/>
          </w:tcPr>
          <w:p>
            <w:pPr>
              <w:spacing w:after="0"/>
              <w:rPr>
                <w:sz w:val="18"/>
                <w:szCs w:val="18"/>
                <w:color w:val="auto"/>
              </w:rPr>
            </w:pPr>
          </w:p>
        </w:tc>
        <w:tc>
          <w:tcPr>
            <w:tcW w:w="8540" w:type="dxa"/>
            <w:vAlign w:val="bottom"/>
            <w:gridSpan w:val="2"/>
          </w:tcPr>
          <w:p>
            <w:pPr>
              <w:ind w:left="260"/>
              <w:spacing w:after="0"/>
              <w:rPr>
                <w:sz w:val="20"/>
                <w:szCs w:val="20"/>
                <w:color w:val="auto"/>
              </w:rPr>
            </w:pPr>
            <w:r>
              <w:rPr>
                <w:rFonts w:ascii="Arial" w:cs="Arial" w:eastAsia="Arial" w:hAnsi="Arial"/>
                <w:sz w:val="18"/>
                <w:szCs w:val="18"/>
                <w:color w:val="auto"/>
                <w:w w:val="94"/>
              </w:rPr>
              <w:t>proxy to vote, by telephone, through the internet, or by mailing your completed proxy card (or voting instruction</w:t>
            </w:r>
          </w:p>
        </w:tc>
        <w:tc>
          <w:tcPr>
            <w:tcW w:w="0" w:type="dxa"/>
            <w:vAlign w:val="bottom"/>
          </w:tcPr>
          <w:p>
            <w:pPr>
              <w:spacing w:after="0"/>
              <w:rPr>
                <w:sz w:val="1"/>
                <w:szCs w:val="1"/>
                <w:color w:val="auto"/>
              </w:rPr>
            </w:pPr>
          </w:p>
        </w:tc>
      </w:tr>
      <w:tr>
        <w:trPr>
          <w:trHeight w:val="216"/>
        </w:trPr>
        <w:tc>
          <w:tcPr>
            <w:tcW w:w="2480" w:type="dxa"/>
            <w:vAlign w:val="bottom"/>
          </w:tcPr>
          <w:p>
            <w:pPr>
              <w:spacing w:after="0"/>
              <w:rPr>
                <w:sz w:val="18"/>
                <w:szCs w:val="18"/>
                <w:color w:val="auto"/>
              </w:rPr>
            </w:pPr>
          </w:p>
        </w:tc>
        <w:tc>
          <w:tcPr>
            <w:tcW w:w="8540" w:type="dxa"/>
            <w:vAlign w:val="bottom"/>
            <w:gridSpan w:val="2"/>
          </w:tcPr>
          <w:p>
            <w:pPr>
              <w:ind w:left="260"/>
              <w:spacing w:after="0"/>
              <w:rPr>
                <w:sz w:val="20"/>
                <w:szCs w:val="20"/>
                <w:color w:val="auto"/>
              </w:rPr>
            </w:pPr>
            <w:r>
              <w:rPr>
                <w:rFonts w:ascii="Arial" w:cs="Arial" w:eastAsia="Arial" w:hAnsi="Arial"/>
                <w:sz w:val="18"/>
                <w:szCs w:val="18"/>
                <w:color w:val="auto"/>
                <w:w w:val="97"/>
              </w:rPr>
              <w:t xml:space="preserve">form, if you hold your shares through a broker, bank, or other nominee). </w:t>
            </w:r>
            <w:r>
              <w:rPr>
                <w:rFonts w:ascii="Arial" w:cs="Arial" w:eastAsia="Arial" w:hAnsi="Arial"/>
                <w:sz w:val="18"/>
                <w:szCs w:val="18"/>
                <w:i w:val="1"/>
                <w:iCs w:val="1"/>
                <w:color w:val="auto"/>
                <w:w w:val="97"/>
              </w:rPr>
              <w:t>See</w:t>
            </w:r>
            <w:r>
              <w:rPr>
                <w:rFonts w:ascii="Arial" w:cs="Arial" w:eastAsia="Arial" w:hAnsi="Arial"/>
                <w:sz w:val="18"/>
                <w:szCs w:val="18"/>
                <w:color w:val="auto"/>
                <w:w w:val="97"/>
              </w:rPr>
              <w:t xml:space="preserve"> Question 5 of “Questions and</w:t>
            </w:r>
          </w:p>
        </w:tc>
        <w:tc>
          <w:tcPr>
            <w:tcW w:w="0" w:type="dxa"/>
            <w:vAlign w:val="bottom"/>
          </w:tcPr>
          <w:p>
            <w:pPr>
              <w:spacing w:after="0"/>
              <w:rPr>
                <w:sz w:val="1"/>
                <w:szCs w:val="1"/>
                <w:color w:val="auto"/>
              </w:rPr>
            </w:pPr>
          </w:p>
        </w:tc>
      </w:tr>
      <w:tr>
        <w:trPr>
          <w:trHeight w:val="216"/>
        </w:trPr>
        <w:tc>
          <w:tcPr>
            <w:tcW w:w="2480" w:type="dxa"/>
            <w:vAlign w:val="bottom"/>
          </w:tcPr>
          <w:p>
            <w:pPr>
              <w:spacing w:after="0"/>
              <w:rPr>
                <w:sz w:val="18"/>
                <w:szCs w:val="18"/>
                <w:color w:val="auto"/>
              </w:rPr>
            </w:pPr>
          </w:p>
        </w:tc>
        <w:tc>
          <w:tcPr>
            <w:tcW w:w="8540" w:type="dxa"/>
            <w:vAlign w:val="bottom"/>
            <w:gridSpan w:val="2"/>
          </w:tcPr>
          <w:p>
            <w:pPr>
              <w:ind w:left="260"/>
              <w:spacing w:after="0"/>
              <w:rPr>
                <w:sz w:val="20"/>
                <w:szCs w:val="20"/>
                <w:color w:val="auto"/>
              </w:rPr>
            </w:pPr>
            <w:r>
              <w:rPr>
                <w:rFonts w:ascii="Arial" w:cs="Arial" w:eastAsia="Arial" w:hAnsi="Arial"/>
                <w:sz w:val="18"/>
                <w:szCs w:val="18"/>
                <w:color w:val="auto"/>
                <w:w w:val="98"/>
              </w:rPr>
              <w:t>Answers About the 2018 Annual Meeting and Voting” in the accompanying proxy statement for additional</w:t>
            </w:r>
          </w:p>
        </w:tc>
        <w:tc>
          <w:tcPr>
            <w:tcW w:w="0" w:type="dxa"/>
            <w:vAlign w:val="bottom"/>
          </w:tcPr>
          <w:p>
            <w:pPr>
              <w:spacing w:after="0"/>
              <w:rPr>
                <w:sz w:val="1"/>
                <w:szCs w:val="1"/>
                <w:color w:val="auto"/>
              </w:rPr>
            </w:pPr>
          </w:p>
        </w:tc>
      </w:tr>
      <w:tr>
        <w:trPr>
          <w:trHeight w:val="216"/>
        </w:trPr>
        <w:tc>
          <w:tcPr>
            <w:tcW w:w="2480" w:type="dxa"/>
            <w:vAlign w:val="bottom"/>
            <w:vMerge w:val="restart"/>
          </w:tcPr>
          <w:p>
            <w:pPr>
              <w:spacing w:after="0"/>
              <w:rPr>
                <w:sz w:val="20"/>
                <w:szCs w:val="20"/>
                <w:color w:val="auto"/>
              </w:rPr>
            </w:pPr>
            <w:r>
              <w:rPr>
                <w:rFonts w:ascii="Arial" w:cs="Arial" w:eastAsia="Arial" w:hAnsi="Arial"/>
                <w:sz w:val="18"/>
                <w:szCs w:val="18"/>
                <w:b w:val="1"/>
                <w:bCs w:val="1"/>
                <w:color w:val="auto"/>
              </w:rPr>
              <w:t>MEETING ADMISSION:</w:t>
            </w:r>
          </w:p>
        </w:tc>
        <w:tc>
          <w:tcPr>
            <w:tcW w:w="5200" w:type="dxa"/>
            <w:vAlign w:val="bottom"/>
          </w:tcPr>
          <w:p>
            <w:pPr>
              <w:ind w:left="260"/>
              <w:spacing w:after="0"/>
              <w:rPr>
                <w:sz w:val="20"/>
                <w:szCs w:val="20"/>
                <w:color w:val="auto"/>
              </w:rPr>
            </w:pPr>
            <w:r>
              <w:rPr>
                <w:rFonts w:ascii="Arial" w:cs="Arial" w:eastAsia="Arial" w:hAnsi="Arial"/>
                <w:sz w:val="18"/>
                <w:szCs w:val="18"/>
                <w:color w:val="auto"/>
              </w:rPr>
              <w:t>information regarding voting.</w:t>
            </w:r>
          </w:p>
        </w:tc>
        <w:tc>
          <w:tcPr>
            <w:tcW w:w="33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480" w:type="dxa"/>
            <w:vAlign w:val="bottom"/>
            <w:vMerge w:val="continue"/>
          </w:tcPr>
          <w:p>
            <w:pPr>
              <w:spacing w:after="0"/>
              <w:rPr>
                <w:sz w:val="18"/>
                <w:szCs w:val="18"/>
                <w:color w:val="auto"/>
              </w:rPr>
            </w:pPr>
          </w:p>
        </w:tc>
        <w:tc>
          <w:tcPr>
            <w:tcW w:w="8540" w:type="dxa"/>
            <w:vAlign w:val="bottom"/>
            <w:gridSpan w:val="2"/>
          </w:tcPr>
          <w:p>
            <w:pPr>
              <w:ind w:left="260"/>
              <w:spacing w:after="0"/>
              <w:rPr>
                <w:sz w:val="20"/>
                <w:szCs w:val="20"/>
                <w:color w:val="auto"/>
              </w:rPr>
            </w:pPr>
            <w:r>
              <w:rPr>
                <w:rFonts w:ascii="Arial" w:cs="Arial" w:eastAsia="Arial" w:hAnsi="Arial"/>
                <w:sz w:val="18"/>
                <w:szCs w:val="18"/>
                <w:color w:val="auto"/>
                <w:w w:val="95"/>
              </w:rPr>
              <w:t>If you wish to attend the Annual Meeting in person, we request that you register in advance with our Investor</w:t>
            </w:r>
          </w:p>
        </w:tc>
        <w:tc>
          <w:tcPr>
            <w:tcW w:w="0" w:type="dxa"/>
            <w:vAlign w:val="bottom"/>
          </w:tcPr>
          <w:p>
            <w:pPr>
              <w:spacing w:after="0"/>
              <w:rPr>
                <w:sz w:val="1"/>
                <w:szCs w:val="1"/>
                <w:color w:val="auto"/>
              </w:rPr>
            </w:pPr>
          </w:p>
        </w:tc>
      </w:tr>
      <w:tr>
        <w:trPr>
          <w:trHeight w:val="216"/>
        </w:trPr>
        <w:tc>
          <w:tcPr>
            <w:tcW w:w="2480" w:type="dxa"/>
            <w:vAlign w:val="bottom"/>
          </w:tcPr>
          <w:p>
            <w:pPr>
              <w:spacing w:after="0"/>
              <w:rPr>
                <w:sz w:val="18"/>
                <w:szCs w:val="18"/>
                <w:color w:val="auto"/>
              </w:rPr>
            </w:pPr>
          </w:p>
        </w:tc>
        <w:tc>
          <w:tcPr>
            <w:tcW w:w="8540" w:type="dxa"/>
            <w:vAlign w:val="bottom"/>
            <w:gridSpan w:val="2"/>
          </w:tcPr>
          <w:p>
            <w:pPr>
              <w:ind w:left="260"/>
              <w:spacing w:after="0"/>
              <w:rPr>
                <w:sz w:val="20"/>
                <w:szCs w:val="20"/>
                <w:color w:val="auto"/>
              </w:rPr>
            </w:pPr>
            <w:r>
              <w:rPr>
                <w:rFonts w:ascii="Arial" w:cs="Arial" w:eastAsia="Arial" w:hAnsi="Arial"/>
                <w:sz w:val="18"/>
                <w:szCs w:val="18"/>
                <w:color w:val="auto"/>
                <w:w w:val="91"/>
              </w:rPr>
              <w:t>Relations department by following the instructions set forth in response to Question 14 of “Questions and Answers</w:t>
            </w:r>
          </w:p>
        </w:tc>
        <w:tc>
          <w:tcPr>
            <w:tcW w:w="0" w:type="dxa"/>
            <w:vAlign w:val="bottom"/>
          </w:tcPr>
          <w:p>
            <w:pPr>
              <w:spacing w:after="0"/>
              <w:rPr>
                <w:sz w:val="1"/>
                <w:szCs w:val="1"/>
                <w:color w:val="auto"/>
              </w:rPr>
            </w:pPr>
          </w:p>
        </w:tc>
      </w:tr>
      <w:tr>
        <w:trPr>
          <w:trHeight w:val="230"/>
        </w:trPr>
        <w:tc>
          <w:tcPr>
            <w:tcW w:w="2480" w:type="dxa"/>
            <w:vAlign w:val="bottom"/>
          </w:tcPr>
          <w:p>
            <w:pPr>
              <w:spacing w:after="0"/>
              <w:rPr>
                <w:sz w:val="20"/>
                <w:szCs w:val="20"/>
                <w:color w:val="auto"/>
              </w:rPr>
            </w:pPr>
          </w:p>
        </w:tc>
        <w:tc>
          <w:tcPr>
            <w:tcW w:w="8540" w:type="dxa"/>
            <w:vAlign w:val="bottom"/>
            <w:gridSpan w:val="2"/>
          </w:tcPr>
          <w:p>
            <w:pPr>
              <w:ind w:left="260"/>
              <w:spacing w:after="0"/>
              <w:rPr>
                <w:sz w:val="20"/>
                <w:szCs w:val="20"/>
                <w:color w:val="auto"/>
              </w:rPr>
            </w:pPr>
            <w:r>
              <w:rPr>
                <w:rFonts w:ascii="Arial" w:cs="Arial" w:eastAsia="Arial" w:hAnsi="Arial"/>
                <w:sz w:val="18"/>
                <w:szCs w:val="18"/>
                <w:color w:val="auto"/>
              </w:rPr>
              <w:t>About the 2018 Annual Meeting and Voting” in the accompanying proxy statement.</w:t>
            </w:r>
          </w:p>
        </w:tc>
        <w:tc>
          <w:tcPr>
            <w:tcW w:w="0" w:type="dxa"/>
            <w:vAlign w:val="bottom"/>
          </w:tcPr>
          <w:p>
            <w:pPr>
              <w:spacing w:after="0"/>
              <w:rPr>
                <w:sz w:val="1"/>
                <w:szCs w:val="1"/>
                <w:color w:val="auto"/>
              </w:rPr>
            </w:pPr>
          </w:p>
        </w:tc>
      </w:tr>
      <w:tr>
        <w:trPr>
          <w:trHeight w:val="310"/>
        </w:trPr>
        <w:tc>
          <w:tcPr>
            <w:tcW w:w="2480" w:type="dxa"/>
            <w:vAlign w:val="bottom"/>
          </w:tcPr>
          <w:p>
            <w:pPr>
              <w:spacing w:after="0"/>
              <w:rPr>
                <w:sz w:val="20"/>
                <w:szCs w:val="20"/>
                <w:color w:val="auto"/>
              </w:rPr>
            </w:pPr>
            <w:r>
              <w:rPr>
                <w:rFonts w:ascii="Arial" w:cs="Arial" w:eastAsia="Arial" w:hAnsi="Arial"/>
                <w:sz w:val="18"/>
                <w:szCs w:val="18"/>
                <w:b w:val="1"/>
                <w:bCs w:val="1"/>
                <w:color w:val="auto"/>
              </w:rPr>
              <w:t>DATE OF DISTRIBUTION:</w:t>
            </w:r>
          </w:p>
        </w:tc>
        <w:tc>
          <w:tcPr>
            <w:tcW w:w="8540" w:type="dxa"/>
            <w:vAlign w:val="bottom"/>
            <w:gridSpan w:val="2"/>
          </w:tcPr>
          <w:p>
            <w:pPr>
              <w:ind w:left="260"/>
              <w:spacing w:after="0"/>
              <w:rPr>
                <w:sz w:val="20"/>
                <w:szCs w:val="20"/>
                <w:color w:val="auto"/>
              </w:rPr>
            </w:pPr>
            <w:r>
              <w:rPr>
                <w:rFonts w:ascii="Arial" w:cs="Arial" w:eastAsia="Arial" w:hAnsi="Arial"/>
                <w:sz w:val="18"/>
                <w:szCs w:val="18"/>
                <w:color w:val="auto"/>
                <w:w w:val="95"/>
              </w:rPr>
              <w:t>This notice, the proxy statement, the accompanying proxy card, and our annual report to stockholders, which</w:t>
            </w:r>
          </w:p>
        </w:tc>
        <w:tc>
          <w:tcPr>
            <w:tcW w:w="0" w:type="dxa"/>
            <w:vAlign w:val="bottom"/>
          </w:tcPr>
          <w:p>
            <w:pPr>
              <w:spacing w:after="0"/>
              <w:rPr>
                <w:sz w:val="1"/>
                <w:szCs w:val="1"/>
                <w:color w:val="auto"/>
              </w:rPr>
            </w:pPr>
          </w:p>
        </w:tc>
      </w:tr>
      <w:tr>
        <w:trPr>
          <w:trHeight w:val="216"/>
        </w:trPr>
        <w:tc>
          <w:tcPr>
            <w:tcW w:w="2480" w:type="dxa"/>
            <w:vAlign w:val="bottom"/>
          </w:tcPr>
          <w:p>
            <w:pPr>
              <w:spacing w:after="0"/>
              <w:rPr>
                <w:sz w:val="18"/>
                <w:szCs w:val="18"/>
                <w:color w:val="auto"/>
              </w:rPr>
            </w:pPr>
          </w:p>
        </w:tc>
        <w:tc>
          <w:tcPr>
            <w:tcW w:w="8540" w:type="dxa"/>
            <w:vAlign w:val="bottom"/>
            <w:gridSpan w:val="2"/>
          </w:tcPr>
          <w:p>
            <w:pPr>
              <w:ind w:left="260"/>
              <w:spacing w:after="0"/>
              <w:rPr>
                <w:sz w:val="20"/>
                <w:szCs w:val="20"/>
                <w:color w:val="auto"/>
              </w:rPr>
            </w:pPr>
            <w:r>
              <w:rPr>
                <w:rFonts w:ascii="Arial" w:cs="Arial" w:eastAsia="Arial" w:hAnsi="Arial"/>
                <w:sz w:val="18"/>
                <w:szCs w:val="18"/>
                <w:color w:val="auto"/>
                <w:w w:val="91"/>
              </w:rPr>
              <w:t>includes our annual report on Form 10-K with audited financial statements for the year ended December 31, 2017,</w:t>
            </w:r>
          </w:p>
        </w:tc>
        <w:tc>
          <w:tcPr>
            <w:tcW w:w="0" w:type="dxa"/>
            <w:vAlign w:val="bottom"/>
          </w:tcPr>
          <w:p>
            <w:pPr>
              <w:spacing w:after="0"/>
              <w:rPr>
                <w:sz w:val="1"/>
                <w:szCs w:val="1"/>
                <w:color w:val="auto"/>
              </w:rPr>
            </w:pPr>
          </w:p>
        </w:tc>
      </w:tr>
      <w:tr>
        <w:trPr>
          <w:trHeight w:val="230"/>
        </w:trPr>
        <w:tc>
          <w:tcPr>
            <w:tcW w:w="2480" w:type="dxa"/>
            <w:vAlign w:val="bottom"/>
          </w:tcPr>
          <w:p>
            <w:pPr>
              <w:spacing w:after="0"/>
              <w:rPr>
                <w:sz w:val="20"/>
                <w:szCs w:val="20"/>
                <w:color w:val="auto"/>
              </w:rPr>
            </w:pPr>
          </w:p>
        </w:tc>
        <w:tc>
          <w:tcPr>
            <w:tcW w:w="5200" w:type="dxa"/>
            <w:vAlign w:val="bottom"/>
          </w:tcPr>
          <w:p>
            <w:pPr>
              <w:ind w:left="260"/>
              <w:spacing w:after="0"/>
              <w:rPr>
                <w:sz w:val="20"/>
                <w:szCs w:val="20"/>
                <w:color w:val="auto"/>
              </w:rPr>
            </w:pPr>
            <w:r>
              <w:rPr>
                <w:rFonts w:ascii="Arial" w:cs="Arial" w:eastAsia="Arial" w:hAnsi="Arial"/>
                <w:sz w:val="18"/>
                <w:szCs w:val="18"/>
                <w:color w:val="auto"/>
              </w:rPr>
              <w:t>are first being sent to our common stockholders on or about</w:t>
            </w:r>
          </w:p>
        </w:tc>
        <w:tc>
          <w:tcPr>
            <w:tcW w:w="3340" w:type="dxa"/>
            <w:vAlign w:val="bottom"/>
          </w:tcPr>
          <w:p>
            <w:pPr>
              <w:jc w:val="right"/>
              <w:ind w:right="2630"/>
              <w:spacing w:after="0"/>
              <w:rPr>
                <w:sz w:val="20"/>
                <w:szCs w:val="20"/>
                <w:color w:val="auto"/>
              </w:rPr>
            </w:pPr>
            <w:r>
              <w:rPr>
                <w:rFonts w:ascii="Arial" w:cs="Arial" w:eastAsia="Arial" w:hAnsi="Arial"/>
                <w:sz w:val="18"/>
                <w:szCs w:val="18"/>
                <w:color w:val="auto"/>
              </w:rPr>
              <w:t>, 2018.</w:t>
            </w:r>
          </w:p>
        </w:tc>
        <w:tc>
          <w:tcPr>
            <w:tcW w:w="0" w:type="dxa"/>
            <w:vAlign w:val="bottom"/>
          </w:tcPr>
          <w:p>
            <w:pPr>
              <w:spacing w:after="0"/>
              <w:rPr>
                <w:sz w:val="1"/>
                <w:szCs w:val="1"/>
                <w:color w:val="auto"/>
              </w:rPr>
            </w:pPr>
          </w:p>
        </w:tc>
      </w:tr>
    </w:tbl>
    <w:p>
      <w:pPr>
        <w:spacing w:after="0" w:line="94" w:lineRule="exact"/>
        <w:rPr>
          <w:sz w:val="20"/>
          <w:szCs w:val="20"/>
          <w:color w:val="auto"/>
        </w:rPr>
      </w:pPr>
    </w:p>
    <w:p>
      <w:pPr>
        <w:ind w:left="7920"/>
        <w:spacing w:after="0"/>
        <w:rPr>
          <w:sz w:val="20"/>
          <w:szCs w:val="20"/>
          <w:color w:val="auto"/>
        </w:rPr>
      </w:pPr>
      <w:r>
        <w:rPr>
          <w:rFonts w:ascii="Arial" w:cs="Arial" w:eastAsia="Arial" w:hAnsi="Arial"/>
          <w:sz w:val="18"/>
          <w:szCs w:val="18"/>
          <w:color w:val="auto"/>
        </w:rPr>
        <w:t>BY ORDER OF THE BOARD OF</w:t>
      </w:r>
    </w:p>
    <w:p>
      <w:pPr>
        <w:spacing w:after="0" w:line="23" w:lineRule="exact"/>
        <w:rPr>
          <w:sz w:val="20"/>
          <w:szCs w:val="20"/>
          <w:color w:val="auto"/>
        </w:rPr>
      </w:pPr>
    </w:p>
    <w:p>
      <w:pPr>
        <w:ind w:left="7920"/>
        <w:spacing w:after="0"/>
        <w:rPr>
          <w:sz w:val="20"/>
          <w:szCs w:val="20"/>
          <w:color w:val="auto"/>
        </w:rPr>
      </w:pPr>
      <w:r>
        <w:rPr>
          <w:rFonts w:ascii="Arial" w:cs="Arial" w:eastAsia="Arial" w:hAnsi="Arial"/>
          <w:sz w:val="18"/>
          <w:szCs w:val="18"/>
          <w:color w:val="auto"/>
        </w:rPr>
        <w:t>DIRECTORS,</w:t>
      </w:r>
    </w:p>
    <w:p>
      <w:pPr>
        <w:spacing w:after="0" w:line="9" w:lineRule="exact"/>
        <w:rPr>
          <w:sz w:val="20"/>
          <w:szCs w:val="20"/>
          <w:color w:val="auto"/>
        </w:rPr>
      </w:pPr>
    </w:p>
    <w:p>
      <w:pPr>
        <w:ind w:left="7920"/>
        <w:spacing w:after="0"/>
        <w:rPr>
          <w:sz w:val="20"/>
          <w:szCs w:val="20"/>
          <w:color w:val="auto"/>
        </w:rPr>
      </w:pPr>
      <w:r>
        <w:rPr>
          <w:rFonts w:ascii="Arial" w:cs="Arial" w:eastAsia="Arial" w:hAnsi="Arial"/>
          <w:sz w:val="18"/>
          <w:szCs w:val="18"/>
          <w:color w:val="auto"/>
        </w:rPr>
        <w:t>Kenneth L. Pollack</w:t>
      </w:r>
    </w:p>
    <w:p>
      <w:pPr>
        <w:spacing w:after="0" w:line="9" w:lineRule="exact"/>
        <w:rPr>
          <w:sz w:val="20"/>
          <w:szCs w:val="20"/>
          <w:color w:val="auto"/>
        </w:rPr>
      </w:pPr>
    </w:p>
    <w:p>
      <w:pPr>
        <w:ind w:left="7920"/>
        <w:spacing w:after="0"/>
        <w:rPr>
          <w:sz w:val="20"/>
          <w:szCs w:val="20"/>
          <w:color w:val="auto"/>
        </w:rPr>
      </w:pPr>
      <w:r>
        <w:rPr>
          <w:rFonts w:ascii="Arial" w:cs="Arial" w:eastAsia="Arial" w:hAnsi="Arial"/>
          <w:sz w:val="18"/>
          <w:szCs w:val="18"/>
          <w:i w:val="1"/>
          <w:iCs w:val="1"/>
          <w:color w:val="auto"/>
        </w:rPr>
        <w:t>Senior Vice President and Secretary</w:t>
      </w:r>
    </w:p>
    <w:p>
      <w:pPr>
        <w:spacing w:after="0" w:line="103" w:lineRule="exact"/>
        <w:rPr>
          <w:sz w:val="20"/>
          <w:szCs w:val="20"/>
          <w:color w:val="auto"/>
        </w:rPr>
      </w:pPr>
    </w:p>
    <w:p>
      <w:pPr>
        <w:ind w:left="1100"/>
        <w:spacing w:after="0"/>
        <w:rPr>
          <w:sz w:val="20"/>
          <w:szCs w:val="20"/>
          <w:color w:val="auto"/>
        </w:rPr>
      </w:pPr>
      <w:r>
        <w:rPr>
          <w:rFonts w:ascii="Arial" w:cs="Arial" w:eastAsia="Arial" w:hAnsi="Arial"/>
          <w:sz w:val="18"/>
          <w:szCs w:val="18"/>
          <w:color w:val="auto"/>
        </w:rPr>
        <w:t>, 2018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116840</wp:posOffset>
            </wp:positionH>
            <wp:positionV relativeFrom="paragraph">
              <wp:posOffset>169545</wp:posOffset>
            </wp:positionV>
            <wp:extent cx="7031990" cy="8058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7031990" cy="805815"/>
                    </a:xfrm>
                    <a:prstGeom prst="rect">
                      <a:avLst/>
                    </a:prstGeom>
                    <a:noFill/>
                  </pic:spPr>
                </pic:pic>
              </a:graphicData>
            </a:graphic>
          </wp:anchor>
        </w:drawing>
      </w:r>
    </w:p>
    <w:p>
      <w:pPr>
        <w:spacing w:after="0" w:line="323" w:lineRule="exact"/>
        <w:rPr>
          <w:sz w:val="20"/>
          <w:szCs w:val="20"/>
          <w:color w:val="auto"/>
        </w:rPr>
      </w:pPr>
    </w:p>
    <w:p>
      <w:pPr>
        <w:jc w:val="center"/>
        <w:ind w:right="-299"/>
        <w:spacing w:after="0"/>
        <w:rPr>
          <w:sz w:val="20"/>
          <w:szCs w:val="20"/>
          <w:color w:val="auto"/>
        </w:rPr>
      </w:pPr>
      <w:r>
        <w:rPr>
          <w:rFonts w:ascii="Arial" w:cs="Arial" w:eastAsia="Arial" w:hAnsi="Arial"/>
          <w:sz w:val="18"/>
          <w:szCs w:val="18"/>
          <w:b w:val="1"/>
          <w:bCs w:val="1"/>
          <w:color w:val="407CCA"/>
        </w:rPr>
        <w:t>IMPORTANT NOTICE REGARDING THE AVAILABILITY OF PROXY MATERIALS FOR THE</w:t>
      </w:r>
    </w:p>
    <w:p>
      <w:pPr>
        <w:spacing w:after="0" w:line="27" w:lineRule="exact"/>
        <w:rPr>
          <w:sz w:val="20"/>
          <w:szCs w:val="20"/>
          <w:color w:val="auto"/>
        </w:rPr>
      </w:pPr>
    </w:p>
    <w:p>
      <w:pPr>
        <w:jc w:val="center"/>
        <w:ind w:right="-299"/>
        <w:spacing w:after="0"/>
        <w:rPr>
          <w:sz w:val="20"/>
          <w:szCs w:val="20"/>
          <w:color w:val="auto"/>
        </w:rPr>
      </w:pPr>
      <w:r>
        <w:rPr>
          <w:rFonts w:ascii="Arial" w:cs="Arial" w:eastAsia="Arial" w:hAnsi="Arial"/>
          <w:sz w:val="18"/>
          <w:szCs w:val="18"/>
          <w:b w:val="1"/>
          <w:bCs w:val="1"/>
          <w:color w:val="407CCA"/>
        </w:rPr>
        <w:t>ANNUAL MEETING OF STOCKHOLDERS TO BE HELD ON APRIL 19, 2018</w:t>
      </w:r>
    </w:p>
    <w:p>
      <w:pPr>
        <w:spacing w:after="0" w:line="116" w:lineRule="exact"/>
        <w:rPr>
          <w:sz w:val="20"/>
          <w:szCs w:val="20"/>
          <w:color w:val="auto"/>
        </w:rPr>
      </w:pPr>
    </w:p>
    <w:p>
      <w:pPr>
        <w:ind w:left="460" w:right="140"/>
        <w:spacing w:after="0" w:line="277" w:lineRule="auto"/>
        <w:rPr>
          <w:sz w:val="20"/>
          <w:szCs w:val="20"/>
          <w:color w:val="auto"/>
        </w:rPr>
      </w:pPr>
      <w:r>
        <w:rPr>
          <w:rFonts w:ascii="Arial" w:cs="Arial" w:eastAsia="Arial" w:hAnsi="Arial"/>
          <w:sz w:val="18"/>
          <w:szCs w:val="18"/>
          <w:color w:val="407CCA"/>
        </w:rPr>
        <w:t xml:space="preserve">This proxy statement and our annual report to stockholders, which includes our annual report on Form 10-K for the fiscal year ended December 31, 2017, are available free of charge on the internet at </w:t>
      </w:r>
      <w:r>
        <w:rPr>
          <w:rFonts w:ascii="Arial" w:cs="Arial" w:eastAsia="Arial" w:hAnsi="Arial"/>
          <w:sz w:val="18"/>
          <w:szCs w:val="18"/>
          <w:i w:val="1"/>
          <w:iCs w:val="1"/>
          <w:color w:val="407CCA"/>
        </w:rPr>
        <w:t>www.AGNC.com/2018proxymaterials.</w:t>
      </w:r>
    </w:p>
    <w:p>
      <w:pPr>
        <w:sectPr>
          <w:pgSz w:w="11900" w:h="16838" w:orient="portrait"/>
          <w:cols w:equalWidth="0" w:num="1">
            <w:col w:w="11220"/>
          </w:cols>
          <w:pgMar w:left="240" w:top="459" w:right="439" w:bottom="1440" w:gutter="0" w:footer="0" w:header="0"/>
        </w:sectPr>
      </w:pPr>
    </w:p>
    <w:bookmarkStart w:id="2" w:name="page3"/>
    <w:bookmarkEnd w:id="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96" w:lineRule="exact"/>
        <w:rPr>
          <w:sz w:val="20"/>
          <w:szCs w:val="20"/>
          <w:color w:val="auto"/>
        </w:rPr>
      </w:pPr>
    </w:p>
    <w:tbl>
      <w:tblPr>
        <w:tblLayout w:type="fixed"/>
        <w:tblInd w:w="200" w:type="dxa"/>
        <w:tblCellMar>
          <w:top w:w="0" w:type="dxa"/>
          <w:left w:w="0" w:type="dxa"/>
          <w:bottom w:w="0" w:type="dxa"/>
          <w:right w:w="0" w:type="dxa"/>
        </w:tblCellMar>
      </w:tblPr>
      <w:tr>
        <w:trPr>
          <w:trHeight w:val="281"/>
        </w:trPr>
        <w:tc>
          <w:tcPr>
            <w:tcW w:w="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500" w:type="dxa"/>
            <w:vAlign w:val="bottom"/>
            <w:gridSpan w:val="6"/>
          </w:tcPr>
          <w:p>
            <w:pPr>
              <w:jc w:val="center"/>
              <w:ind w:right="3840"/>
              <w:spacing w:after="0"/>
              <w:rPr>
                <w:sz w:val="20"/>
                <w:szCs w:val="20"/>
                <w:color w:val="auto"/>
              </w:rPr>
            </w:pPr>
            <w:r>
              <w:rPr>
                <w:rFonts w:ascii="Arial" w:cs="Arial" w:eastAsia="Arial" w:hAnsi="Arial"/>
                <w:sz w:val="22"/>
                <w:szCs w:val="22"/>
                <w:b w:val="1"/>
                <w:bCs w:val="1"/>
                <w:color w:val="407CCA"/>
                <w:w w:val="98"/>
              </w:rPr>
              <w:t>PROXY STATEMENT</w:t>
            </w:r>
          </w:p>
        </w:tc>
        <w:tc>
          <w:tcPr>
            <w:tcW w:w="360" w:type="dxa"/>
            <w:vAlign w:val="bottom"/>
          </w:tcPr>
          <w:p>
            <w:pPr>
              <w:spacing w:after="0"/>
              <w:rPr>
                <w:sz w:val="24"/>
                <w:szCs w:val="24"/>
                <w:color w:val="auto"/>
              </w:rPr>
            </w:pPr>
          </w:p>
        </w:tc>
      </w:tr>
      <w:tr>
        <w:trPr>
          <w:trHeight w:val="300"/>
        </w:trPr>
        <w:tc>
          <w:tcPr>
            <w:tcW w:w="10680" w:type="dxa"/>
            <w:vAlign w:val="bottom"/>
            <w:gridSpan w:val="30"/>
          </w:tcPr>
          <w:p>
            <w:pPr>
              <w:spacing w:after="0"/>
              <w:rPr>
                <w:sz w:val="20"/>
                <w:szCs w:val="20"/>
                <w:color w:val="auto"/>
              </w:rPr>
            </w:pPr>
            <w:r>
              <w:rPr>
                <w:rFonts w:ascii="Arial" w:cs="Arial" w:eastAsia="Arial" w:hAnsi="Arial"/>
                <w:sz w:val="18"/>
                <w:szCs w:val="18"/>
                <w:color w:val="auto"/>
                <w:w w:val="93"/>
              </w:rPr>
              <w:t>This proxy statement contains information about the 2018 Annual Meeting of Stockholders (the “Annual Meeting”) of AGNC Investment Corp., a</w:t>
            </w:r>
          </w:p>
        </w:tc>
        <w:tc>
          <w:tcPr>
            <w:tcW w:w="360" w:type="dxa"/>
            <w:vAlign w:val="bottom"/>
          </w:tcPr>
          <w:p>
            <w:pPr>
              <w:spacing w:after="0"/>
              <w:rPr>
                <w:sz w:val="24"/>
                <w:szCs w:val="24"/>
                <w:color w:val="auto"/>
              </w:rPr>
            </w:pPr>
          </w:p>
        </w:tc>
      </w:tr>
      <w:tr>
        <w:trPr>
          <w:trHeight w:val="230"/>
        </w:trPr>
        <w:tc>
          <w:tcPr>
            <w:tcW w:w="10680" w:type="dxa"/>
            <w:vAlign w:val="bottom"/>
            <w:gridSpan w:val="30"/>
          </w:tcPr>
          <w:p>
            <w:pPr>
              <w:spacing w:after="0"/>
              <w:rPr>
                <w:sz w:val="20"/>
                <w:szCs w:val="20"/>
                <w:color w:val="auto"/>
              </w:rPr>
            </w:pPr>
            <w:r>
              <w:rPr>
                <w:rFonts w:ascii="Arial" w:cs="Arial" w:eastAsia="Arial" w:hAnsi="Arial"/>
                <w:sz w:val="18"/>
                <w:szCs w:val="18"/>
                <w:color w:val="auto"/>
              </w:rPr>
              <w:t>Delaware corporation (“AGNC,” the “Company,” “we,” “our,” and “us”).</w:t>
            </w:r>
          </w:p>
        </w:tc>
        <w:tc>
          <w:tcPr>
            <w:tcW w:w="360" w:type="dxa"/>
            <w:vAlign w:val="bottom"/>
          </w:tcPr>
          <w:p>
            <w:pPr>
              <w:spacing w:after="0"/>
              <w:rPr>
                <w:sz w:val="20"/>
                <w:szCs w:val="20"/>
                <w:color w:val="auto"/>
              </w:rPr>
            </w:pPr>
          </w:p>
        </w:tc>
      </w:tr>
      <w:tr>
        <w:trPr>
          <w:trHeight w:val="361"/>
        </w:trPr>
        <w:tc>
          <w:tcPr>
            <w:tcW w:w="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500" w:type="dxa"/>
            <w:vAlign w:val="bottom"/>
            <w:gridSpan w:val="6"/>
          </w:tcPr>
          <w:p>
            <w:pPr>
              <w:jc w:val="center"/>
              <w:ind w:right="3820"/>
              <w:spacing w:after="0"/>
              <w:rPr>
                <w:sz w:val="20"/>
                <w:szCs w:val="20"/>
                <w:color w:val="auto"/>
              </w:rPr>
            </w:pPr>
            <w:r>
              <w:rPr>
                <w:rFonts w:ascii="Arial" w:cs="Arial" w:eastAsia="Arial" w:hAnsi="Arial"/>
                <w:sz w:val="22"/>
                <w:szCs w:val="22"/>
                <w:b w:val="1"/>
                <w:bCs w:val="1"/>
                <w:color w:val="407CCA"/>
                <w:w w:val="97"/>
              </w:rPr>
              <w:t>TABLE OF CONTENTS</w:t>
            </w:r>
          </w:p>
        </w:tc>
        <w:tc>
          <w:tcPr>
            <w:tcW w:w="360" w:type="dxa"/>
            <w:vAlign w:val="bottom"/>
          </w:tcPr>
          <w:p>
            <w:pPr>
              <w:spacing w:after="0"/>
              <w:rPr>
                <w:sz w:val="24"/>
                <w:szCs w:val="24"/>
                <w:color w:val="auto"/>
              </w:rPr>
            </w:pPr>
          </w:p>
        </w:tc>
      </w:tr>
      <w:tr>
        <w:trPr>
          <w:trHeight w:val="409"/>
        </w:trPr>
        <w:tc>
          <w:tcPr>
            <w:tcW w:w="20" w:type="dxa"/>
            <w:vAlign w:val="bottom"/>
          </w:tcPr>
          <w:p>
            <w:pPr>
              <w:spacing w:after="0"/>
              <w:rPr>
                <w:sz w:val="24"/>
                <w:szCs w:val="24"/>
                <w:color w:val="auto"/>
              </w:rPr>
            </w:pPr>
          </w:p>
        </w:tc>
        <w:tc>
          <w:tcPr>
            <w:tcW w:w="10660" w:type="dxa"/>
            <w:vAlign w:val="bottom"/>
            <w:gridSpan w:val="29"/>
          </w:tcPr>
          <w:p>
            <w:pPr>
              <w:ind w:left="100"/>
              <w:spacing w:after="0"/>
              <w:rPr>
                <w:rFonts w:ascii="Arial" w:cs="Arial" w:eastAsia="Arial" w:hAnsi="Arial"/>
                <w:sz w:val="18"/>
                <w:szCs w:val="18"/>
                <w:b w:val="1"/>
                <w:bCs w:val="1"/>
                <w:color w:val="0000EE"/>
              </w:rPr>
            </w:pPr>
            <w:hyperlink w:anchor="page5">
              <w:r>
                <w:rPr>
                  <w:rFonts w:ascii="Arial" w:cs="Arial" w:eastAsia="Arial" w:hAnsi="Arial"/>
                  <w:sz w:val="18"/>
                  <w:szCs w:val="18"/>
                  <w:b w:val="1"/>
                  <w:bCs w:val="1"/>
                  <w:color w:val="0000EE"/>
                </w:rPr>
                <w:t>AGNC Investment Corp. At a Glance</w:t>
              </w:r>
            </w:hyperlink>
          </w:p>
        </w:tc>
        <w:tc>
          <w:tcPr>
            <w:tcW w:w="360" w:type="dxa"/>
            <w:vAlign w:val="bottom"/>
          </w:tcPr>
          <w:p>
            <w:pPr>
              <w:jc w:val="right"/>
              <w:spacing w:after="0"/>
              <w:rPr>
                <w:sz w:val="20"/>
                <w:szCs w:val="20"/>
                <w:color w:val="auto"/>
              </w:rPr>
            </w:pPr>
            <w:r>
              <w:rPr>
                <w:rFonts w:ascii="Arial" w:cs="Arial" w:eastAsia="Arial" w:hAnsi="Arial"/>
                <w:sz w:val="18"/>
                <w:szCs w:val="18"/>
                <w:color w:val="auto"/>
              </w:rPr>
              <w:t>1</w:t>
            </w:r>
          </w:p>
        </w:tc>
      </w:tr>
      <w:tr>
        <w:trPr>
          <w:trHeight w:val="75"/>
        </w:trPr>
        <w:tc>
          <w:tcPr>
            <w:tcW w:w="20" w:type="dxa"/>
            <w:vAlign w:val="bottom"/>
            <w:tcBorders>
              <w:top w:val="single" w:sz="8" w:color="0000EE"/>
            </w:tcBorders>
          </w:tcPr>
          <w:p>
            <w:pPr>
              <w:spacing w:after="0"/>
              <w:rPr>
                <w:sz w:val="6"/>
                <w:szCs w:val="6"/>
                <w:color w:val="auto"/>
              </w:rPr>
            </w:pPr>
          </w:p>
        </w:tc>
        <w:tc>
          <w:tcPr>
            <w:tcW w:w="160" w:type="dxa"/>
            <w:vAlign w:val="bottom"/>
            <w:tcBorders>
              <w:top w:val="single" w:sz="8" w:color="0000EE"/>
              <w:bottom w:val="single" w:sz="8" w:color="407CCA"/>
            </w:tcBorders>
          </w:tcPr>
          <w:p>
            <w:pPr>
              <w:spacing w:after="0"/>
              <w:rPr>
                <w:sz w:val="6"/>
                <w:szCs w:val="6"/>
                <w:color w:val="auto"/>
              </w:rPr>
            </w:pPr>
          </w:p>
        </w:tc>
        <w:tc>
          <w:tcPr>
            <w:tcW w:w="420" w:type="dxa"/>
            <w:vAlign w:val="bottom"/>
            <w:tcBorders>
              <w:top w:val="single" w:sz="8" w:color="0000EE"/>
              <w:bottom w:val="single" w:sz="8" w:color="407CCA"/>
            </w:tcBorders>
          </w:tcPr>
          <w:p>
            <w:pPr>
              <w:spacing w:after="0"/>
              <w:rPr>
                <w:sz w:val="6"/>
                <w:szCs w:val="6"/>
                <w:color w:val="auto"/>
              </w:rPr>
            </w:pPr>
          </w:p>
        </w:tc>
        <w:tc>
          <w:tcPr>
            <w:tcW w:w="1120" w:type="dxa"/>
            <w:vAlign w:val="bottom"/>
            <w:tcBorders>
              <w:top w:val="single" w:sz="8" w:color="0000EE"/>
              <w:bottom w:val="single" w:sz="8" w:color="407CCA"/>
            </w:tcBorders>
          </w:tcPr>
          <w:p>
            <w:pPr>
              <w:spacing w:after="0"/>
              <w:rPr>
                <w:sz w:val="6"/>
                <w:szCs w:val="6"/>
                <w:color w:val="auto"/>
              </w:rPr>
            </w:pPr>
          </w:p>
        </w:tc>
        <w:tc>
          <w:tcPr>
            <w:tcW w:w="80" w:type="dxa"/>
            <w:vAlign w:val="bottom"/>
            <w:tcBorders>
              <w:top w:val="single" w:sz="8" w:color="0000EE"/>
              <w:bottom w:val="single" w:sz="8" w:color="407CCA"/>
            </w:tcBorders>
          </w:tcPr>
          <w:p>
            <w:pPr>
              <w:spacing w:after="0"/>
              <w:rPr>
                <w:sz w:val="6"/>
                <w:szCs w:val="6"/>
                <w:color w:val="auto"/>
              </w:rPr>
            </w:pPr>
          </w:p>
        </w:tc>
        <w:tc>
          <w:tcPr>
            <w:tcW w:w="280" w:type="dxa"/>
            <w:vAlign w:val="bottom"/>
            <w:tcBorders>
              <w:top w:val="single" w:sz="8" w:color="0000EE"/>
              <w:bottom w:val="single" w:sz="8" w:color="407CCA"/>
            </w:tcBorders>
          </w:tcPr>
          <w:p>
            <w:pPr>
              <w:spacing w:after="0"/>
              <w:rPr>
                <w:sz w:val="6"/>
                <w:szCs w:val="6"/>
                <w:color w:val="auto"/>
              </w:rPr>
            </w:pPr>
          </w:p>
        </w:tc>
        <w:tc>
          <w:tcPr>
            <w:tcW w:w="160" w:type="dxa"/>
            <w:vAlign w:val="bottom"/>
            <w:tcBorders>
              <w:top w:val="single" w:sz="8" w:color="0000EE"/>
              <w:bottom w:val="single" w:sz="8" w:color="407CCA"/>
            </w:tcBorders>
          </w:tcPr>
          <w:p>
            <w:pPr>
              <w:spacing w:after="0"/>
              <w:rPr>
                <w:sz w:val="6"/>
                <w:szCs w:val="6"/>
                <w:color w:val="auto"/>
              </w:rPr>
            </w:pPr>
          </w:p>
        </w:tc>
        <w:tc>
          <w:tcPr>
            <w:tcW w:w="40" w:type="dxa"/>
            <w:vAlign w:val="bottom"/>
            <w:tcBorders>
              <w:top w:val="single" w:sz="8" w:color="0000EE"/>
              <w:bottom w:val="single" w:sz="8" w:color="407CCA"/>
            </w:tcBorders>
          </w:tcPr>
          <w:p>
            <w:pPr>
              <w:spacing w:after="0"/>
              <w:rPr>
                <w:sz w:val="6"/>
                <w:szCs w:val="6"/>
                <w:color w:val="auto"/>
              </w:rPr>
            </w:pPr>
          </w:p>
        </w:tc>
        <w:tc>
          <w:tcPr>
            <w:tcW w:w="140" w:type="dxa"/>
            <w:vAlign w:val="bottom"/>
            <w:tcBorders>
              <w:top w:val="single" w:sz="8" w:color="0000EE"/>
              <w:bottom w:val="single" w:sz="8" w:color="407CCA"/>
            </w:tcBorders>
          </w:tcPr>
          <w:p>
            <w:pPr>
              <w:spacing w:after="0"/>
              <w:rPr>
                <w:sz w:val="6"/>
                <w:szCs w:val="6"/>
                <w:color w:val="auto"/>
              </w:rPr>
            </w:pPr>
          </w:p>
        </w:tc>
        <w:tc>
          <w:tcPr>
            <w:tcW w:w="120" w:type="dxa"/>
            <w:vAlign w:val="bottom"/>
            <w:tcBorders>
              <w:top w:val="single" w:sz="8" w:color="0000EE"/>
              <w:bottom w:val="single" w:sz="8" w:color="407CCA"/>
            </w:tcBorders>
          </w:tcPr>
          <w:p>
            <w:pPr>
              <w:spacing w:after="0"/>
              <w:rPr>
                <w:sz w:val="6"/>
                <w:szCs w:val="6"/>
                <w:color w:val="auto"/>
              </w:rPr>
            </w:pPr>
          </w:p>
        </w:tc>
        <w:tc>
          <w:tcPr>
            <w:tcW w:w="40" w:type="dxa"/>
            <w:vAlign w:val="bottom"/>
            <w:tcBorders>
              <w:top w:val="single" w:sz="8" w:color="0000EE"/>
              <w:bottom w:val="single" w:sz="8" w:color="407CCA"/>
            </w:tcBorders>
          </w:tcPr>
          <w:p>
            <w:pPr>
              <w:spacing w:after="0"/>
              <w:rPr>
                <w:sz w:val="6"/>
                <w:szCs w:val="6"/>
                <w:color w:val="auto"/>
              </w:rPr>
            </w:pPr>
          </w:p>
        </w:tc>
        <w:tc>
          <w:tcPr>
            <w:tcW w:w="20" w:type="dxa"/>
            <w:vAlign w:val="bottom"/>
            <w:tcBorders>
              <w:top w:val="single" w:sz="8" w:color="0000EE"/>
              <w:bottom w:val="single" w:sz="8" w:color="407CCA"/>
            </w:tcBorders>
          </w:tcPr>
          <w:p>
            <w:pPr>
              <w:spacing w:after="0"/>
              <w:rPr>
                <w:sz w:val="6"/>
                <w:szCs w:val="6"/>
                <w:color w:val="auto"/>
              </w:rPr>
            </w:pPr>
          </w:p>
        </w:tc>
        <w:tc>
          <w:tcPr>
            <w:tcW w:w="20" w:type="dxa"/>
            <w:vAlign w:val="bottom"/>
            <w:tcBorders>
              <w:top w:val="single" w:sz="8" w:color="0000EE"/>
              <w:bottom w:val="single" w:sz="8" w:color="407CCA"/>
            </w:tcBorders>
          </w:tcPr>
          <w:p>
            <w:pPr>
              <w:spacing w:after="0"/>
              <w:rPr>
                <w:sz w:val="6"/>
                <w:szCs w:val="6"/>
                <w:color w:val="auto"/>
              </w:rPr>
            </w:pPr>
          </w:p>
        </w:tc>
        <w:tc>
          <w:tcPr>
            <w:tcW w:w="20" w:type="dxa"/>
            <w:vAlign w:val="bottom"/>
            <w:tcBorders>
              <w:top w:val="single" w:sz="8" w:color="0000EE"/>
              <w:bottom w:val="single" w:sz="8" w:color="407CCA"/>
            </w:tcBorders>
          </w:tcPr>
          <w:p>
            <w:pPr>
              <w:spacing w:after="0"/>
              <w:rPr>
                <w:sz w:val="6"/>
                <w:szCs w:val="6"/>
                <w:color w:val="auto"/>
              </w:rPr>
            </w:pPr>
          </w:p>
        </w:tc>
        <w:tc>
          <w:tcPr>
            <w:tcW w:w="20" w:type="dxa"/>
            <w:vAlign w:val="bottom"/>
            <w:tcBorders>
              <w:top w:val="single" w:sz="8" w:color="0000EE"/>
              <w:bottom w:val="single" w:sz="8" w:color="407CCA"/>
            </w:tcBorders>
          </w:tcPr>
          <w:p>
            <w:pPr>
              <w:spacing w:after="0"/>
              <w:rPr>
                <w:sz w:val="6"/>
                <w:szCs w:val="6"/>
                <w:color w:val="auto"/>
              </w:rPr>
            </w:pPr>
          </w:p>
        </w:tc>
        <w:tc>
          <w:tcPr>
            <w:tcW w:w="40" w:type="dxa"/>
            <w:vAlign w:val="bottom"/>
            <w:tcBorders>
              <w:top w:val="single" w:sz="8" w:color="0000EE"/>
              <w:bottom w:val="single" w:sz="8" w:color="407CCA"/>
            </w:tcBorders>
          </w:tcPr>
          <w:p>
            <w:pPr>
              <w:spacing w:after="0"/>
              <w:rPr>
                <w:sz w:val="6"/>
                <w:szCs w:val="6"/>
                <w:color w:val="auto"/>
              </w:rPr>
            </w:pPr>
          </w:p>
        </w:tc>
        <w:tc>
          <w:tcPr>
            <w:tcW w:w="200" w:type="dxa"/>
            <w:vAlign w:val="bottom"/>
            <w:tcBorders>
              <w:top w:val="single" w:sz="8" w:color="0000EE"/>
              <w:bottom w:val="single" w:sz="8" w:color="407CCA"/>
            </w:tcBorders>
          </w:tcPr>
          <w:p>
            <w:pPr>
              <w:spacing w:after="0"/>
              <w:rPr>
                <w:sz w:val="6"/>
                <w:szCs w:val="6"/>
                <w:color w:val="auto"/>
              </w:rPr>
            </w:pPr>
          </w:p>
        </w:tc>
        <w:tc>
          <w:tcPr>
            <w:tcW w:w="100" w:type="dxa"/>
            <w:vAlign w:val="bottom"/>
            <w:tcBorders>
              <w:top w:val="single" w:sz="8" w:color="0000EE"/>
              <w:bottom w:val="single" w:sz="8" w:color="407CCA"/>
            </w:tcBorders>
          </w:tcPr>
          <w:p>
            <w:pPr>
              <w:spacing w:after="0"/>
              <w:rPr>
                <w:sz w:val="6"/>
                <w:szCs w:val="6"/>
                <w:color w:val="auto"/>
              </w:rPr>
            </w:pPr>
          </w:p>
        </w:tc>
        <w:tc>
          <w:tcPr>
            <w:tcW w:w="20" w:type="dxa"/>
            <w:vAlign w:val="bottom"/>
            <w:tcBorders>
              <w:top w:val="single" w:sz="8" w:color="0000EE"/>
              <w:bottom w:val="single" w:sz="8" w:color="407CCA"/>
            </w:tcBorders>
          </w:tcPr>
          <w:p>
            <w:pPr>
              <w:spacing w:after="0"/>
              <w:rPr>
                <w:sz w:val="6"/>
                <w:szCs w:val="6"/>
                <w:color w:val="auto"/>
              </w:rPr>
            </w:pPr>
          </w:p>
        </w:tc>
        <w:tc>
          <w:tcPr>
            <w:tcW w:w="300" w:type="dxa"/>
            <w:vAlign w:val="bottom"/>
            <w:tcBorders>
              <w:bottom w:val="single" w:sz="8" w:color="407CCA"/>
            </w:tcBorders>
          </w:tcPr>
          <w:p>
            <w:pPr>
              <w:spacing w:after="0"/>
              <w:rPr>
                <w:sz w:val="6"/>
                <w:szCs w:val="6"/>
                <w:color w:val="auto"/>
              </w:rPr>
            </w:pPr>
          </w:p>
        </w:tc>
        <w:tc>
          <w:tcPr>
            <w:tcW w:w="40" w:type="dxa"/>
            <w:vAlign w:val="bottom"/>
            <w:tcBorders>
              <w:bottom w:val="single" w:sz="8" w:color="407CCA"/>
            </w:tcBorders>
          </w:tcPr>
          <w:p>
            <w:pPr>
              <w:spacing w:after="0"/>
              <w:rPr>
                <w:sz w:val="6"/>
                <w:szCs w:val="6"/>
                <w:color w:val="auto"/>
              </w:rPr>
            </w:pPr>
          </w:p>
        </w:tc>
        <w:tc>
          <w:tcPr>
            <w:tcW w:w="300" w:type="dxa"/>
            <w:vAlign w:val="bottom"/>
            <w:tcBorders>
              <w:bottom w:val="single" w:sz="8" w:color="407CCA"/>
            </w:tcBorders>
          </w:tcPr>
          <w:p>
            <w:pPr>
              <w:spacing w:after="0"/>
              <w:rPr>
                <w:sz w:val="6"/>
                <w:szCs w:val="6"/>
                <w:color w:val="auto"/>
              </w:rPr>
            </w:pPr>
          </w:p>
        </w:tc>
        <w:tc>
          <w:tcPr>
            <w:tcW w:w="500" w:type="dxa"/>
            <w:vAlign w:val="bottom"/>
            <w:tcBorders>
              <w:bottom w:val="single" w:sz="8" w:color="407CCA"/>
            </w:tcBorders>
          </w:tcPr>
          <w:p>
            <w:pPr>
              <w:spacing w:after="0"/>
              <w:rPr>
                <w:sz w:val="6"/>
                <w:szCs w:val="6"/>
                <w:color w:val="auto"/>
              </w:rPr>
            </w:pPr>
          </w:p>
        </w:tc>
        <w:tc>
          <w:tcPr>
            <w:tcW w:w="20" w:type="dxa"/>
            <w:vAlign w:val="bottom"/>
            <w:tcBorders>
              <w:bottom w:val="single" w:sz="8" w:color="407CCA"/>
            </w:tcBorders>
          </w:tcPr>
          <w:p>
            <w:pPr>
              <w:spacing w:after="0"/>
              <w:rPr>
                <w:sz w:val="6"/>
                <w:szCs w:val="6"/>
                <w:color w:val="auto"/>
              </w:rPr>
            </w:pPr>
          </w:p>
        </w:tc>
        <w:tc>
          <w:tcPr>
            <w:tcW w:w="580" w:type="dxa"/>
            <w:vAlign w:val="bottom"/>
            <w:tcBorders>
              <w:bottom w:val="single" w:sz="8" w:color="407CCA"/>
            </w:tcBorders>
          </w:tcPr>
          <w:p>
            <w:pPr>
              <w:spacing w:after="0"/>
              <w:rPr>
                <w:sz w:val="6"/>
                <w:szCs w:val="6"/>
                <w:color w:val="auto"/>
              </w:rPr>
            </w:pPr>
          </w:p>
        </w:tc>
        <w:tc>
          <w:tcPr>
            <w:tcW w:w="120" w:type="dxa"/>
            <w:vAlign w:val="bottom"/>
            <w:tcBorders>
              <w:bottom w:val="single" w:sz="8" w:color="407CCA"/>
            </w:tcBorders>
          </w:tcPr>
          <w:p>
            <w:pPr>
              <w:spacing w:after="0"/>
              <w:rPr>
                <w:sz w:val="6"/>
                <w:szCs w:val="6"/>
                <w:color w:val="auto"/>
              </w:rPr>
            </w:pPr>
          </w:p>
        </w:tc>
        <w:tc>
          <w:tcPr>
            <w:tcW w:w="180" w:type="dxa"/>
            <w:vAlign w:val="bottom"/>
            <w:tcBorders>
              <w:bottom w:val="single" w:sz="8" w:color="407CCA"/>
            </w:tcBorders>
          </w:tcPr>
          <w:p>
            <w:pPr>
              <w:spacing w:after="0"/>
              <w:rPr>
                <w:sz w:val="6"/>
                <w:szCs w:val="6"/>
                <w:color w:val="auto"/>
              </w:rPr>
            </w:pPr>
          </w:p>
        </w:tc>
        <w:tc>
          <w:tcPr>
            <w:tcW w:w="840" w:type="dxa"/>
            <w:vAlign w:val="bottom"/>
            <w:tcBorders>
              <w:bottom w:val="single" w:sz="8" w:color="407CCA"/>
            </w:tcBorders>
          </w:tcPr>
          <w:p>
            <w:pPr>
              <w:spacing w:after="0"/>
              <w:rPr>
                <w:sz w:val="6"/>
                <w:szCs w:val="6"/>
                <w:color w:val="auto"/>
              </w:rPr>
            </w:pPr>
          </w:p>
        </w:tc>
        <w:tc>
          <w:tcPr>
            <w:tcW w:w="4020" w:type="dxa"/>
            <w:vAlign w:val="bottom"/>
            <w:tcBorders>
              <w:bottom w:val="single" w:sz="8" w:color="407CCA"/>
            </w:tcBorders>
          </w:tcPr>
          <w:p>
            <w:pPr>
              <w:spacing w:after="0"/>
              <w:rPr>
                <w:sz w:val="6"/>
                <w:szCs w:val="6"/>
                <w:color w:val="auto"/>
              </w:rPr>
            </w:pPr>
          </w:p>
        </w:tc>
        <w:tc>
          <w:tcPr>
            <w:tcW w:w="760" w:type="dxa"/>
            <w:vAlign w:val="bottom"/>
            <w:tcBorders>
              <w:bottom w:val="single" w:sz="8" w:color="407CCA"/>
            </w:tcBorders>
          </w:tcPr>
          <w:p>
            <w:pPr>
              <w:spacing w:after="0"/>
              <w:rPr>
                <w:sz w:val="6"/>
                <w:szCs w:val="6"/>
                <w:color w:val="auto"/>
              </w:rPr>
            </w:pPr>
          </w:p>
        </w:tc>
        <w:tc>
          <w:tcPr>
            <w:tcW w:w="360" w:type="dxa"/>
            <w:vAlign w:val="bottom"/>
            <w:tcBorders>
              <w:bottom w:val="single" w:sz="8" w:color="407CCA"/>
            </w:tcBorders>
          </w:tcPr>
          <w:p>
            <w:pPr>
              <w:spacing w:after="0"/>
              <w:rPr>
                <w:sz w:val="6"/>
                <w:szCs w:val="6"/>
                <w:color w:val="auto"/>
              </w:rPr>
            </w:pPr>
          </w:p>
        </w:tc>
      </w:tr>
      <w:tr>
        <w:trPr>
          <w:trHeight w:val="264"/>
        </w:trPr>
        <w:tc>
          <w:tcPr>
            <w:tcW w:w="20" w:type="dxa"/>
            <w:vAlign w:val="bottom"/>
          </w:tcPr>
          <w:p>
            <w:pPr>
              <w:spacing w:after="0"/>
              <w:rPr>
                <w:sz w:val="22"/>
                <w:szCs w:val="22"/>
                <w:color w:val="auto"/>
              </w:rPr>
            </w:pPr>
          </w:p>
        </w:tc>
        <w:tc>
          <w:tcPr>
            <w:tcW w:w="10660" w:type="dxa"/>
            <w:vAlign w:val="bottom"/>
            <w:gridSpan w:val="29"/>
          </w:tcPr>
          <w:p>
            <w:pPr>
              <w:ind w:left="80"/>
              <w:spacing w:after="0"/>
              <w:rPr>
                <w:rFonts w:ascii="Arial" w:cs="Arial" w:eastAsia="Arial" w:hAnsi="Arial"/>
                <w:sz w:val="18"/>
                <w:szCs w:val="18"/>
                <w:b w:val="1"/>
                <w:bCs w:val="1"/>
                <w:color w:val="0000EE"/>
              </w:rPr>
            </w:pPr>
            <w:hyperlink w:anchor="page5">
              <w:r>
                <w:rPr>
                  <w:rFonts w:ascii="Arial" w:cs="Arial" w:eastAsia="Arial" w:hAnsi="Arial"/>
                  <w:sz w:val="18"/>
                  <w:szCs w:val="18"/>
                  <w:b w:val="1"/>
                  <w:bCs w:val="1"/>
                  <w:color w:val="0000EE"/>
                </w:rPr>
                <w:t>The AGNC Difference</w:t>
              </w:r>
            </w:hyperlink>
          </w:p>
        </w:tc>
        <w:tc>
          <w:tcPr>
            <w:tcW w:w="360" w:type="dxa"/>
            <w:vAlign w:val="bottom"/>
          </w:tcPr>
          <w:p>
            <w:pPr>
              <w:jc w:val="right"/>
              <w:spacing w:after="0"/>
              <w:rPr>
                <w:sz w:val="20"/>
                <w:szCs w:val="20"/>
                <w:color w:val="auto"/>
              </w:rPr>
            </w:pPr>
            <w:r>
              <w:rPr>
                <w:rFonts w:ascii="Arial" w:cs="Arial" w:eastAsia="Arial" w:hAnsi="Arial"/>
                <w:sz w:val="18"/>
                <w:szCs w:val="18"/>
                <w:color w:val="auto"/>
              </w:rPr>
              <w:t>1</w:t>
            </w:r>
          </w:p>
        </w:tc>
      </w:tr>
      <w:tr>
        <w:trPr>
          <w:trHeight w:val="75"/>
        </w:trPr>
        <w:tc>
          <w:tcPr>
            <w:tcW w:w="20" w:type="dxa"/>
            <w:vAlign w:val="bottom"/>
            <w:tcBorders>
              <w:top w:val="single" w:sz="8" w:color="0000EE"/>
            </w:tcBorders>
          </w:tcPr>
          <w:p>
            <w:pPr>
              <w:spacing w:after="0"/>
              <w:rPr>
                <w:sz w:val="6"/>
                <w:szCs w:val="6"/>
                <w:color w:val="auto"/>
              </w:rPr>
            </w:pPr>
          </w:p>
        </w:tc>
        <w:tc>
          <w:tcPr>
            <w:tcW w:w="160" w:type="dxa"/>
            <w:vAlign w:val="bottom"/>
            <w:tcBorders>
              <w:top w:val="single" w:sz="8" w:color="0000EE"/>
              <w:bottom w:val="single" w:sz="8" w:color="407CCA"/>
            </w:tcBorders>
          </w:tcPr>
          <w:p>
            <w:pPr>
              <w:spacing w:after="0"/>
              <w:rPr>
                <w:sz w:val="6"/>
                <w:szCs w:val="6"/>
                <w:color w:val="auto"/>
              </w:rPr>
            </w:pPr>
          </w:p>
        </w:tc>
        <w:tc>
          <w:tcPr>
            <w:tcW w:w="420" w:type="dxa"/>
            <w:vAlign w:val="bottom"/>
            <w:tcBorders>
              <w:top w:val="single" w:sz="8" w:color="0000EE"/>
              <w:bottom w:val="single" w:sz="8" w:color="407CCA"/>
            </w:tcBorders>
          </w:tcPr>
          <w:p>
            <w:pPr>
              <w:spacing w:after="0"/>
              <w:rPr>
                <w:sz w:val="6"/>
                <w:szCs w:val="6"/>
                <w:color w:val="auto"/>
              </w:rPr>
            </w:pPr>
          </w:p>
        </w:tc>
        <w:tc>
          <w:tcPr>
            <w:tcW w:w="1120" w:type="dxa"/>
            <w:vAlign w:val="bottom"/>
            <w:tcBorders>
              <w:top w:val="single" w:sz="8" w:color="0000EE"/>
              <w:bottom w:val="single" w:sz="8" w:color="407CCA"/>
            </w:tcBorders>
          </w:tcPr>
          <w:p>
            <w:pPr>
              <w:spacing w:after="0"/>
              <w:rPr>
                <w:sz w:val="6"/>
                <w:szCs w:val="6"/>
                <w:color w:val="auto"/>
              </w:rPr>
            </w:pPr>
          </w:p>
        </w:tc>
        <w:tc>
          <w:tcPr>
            <w:tcW w:w="80" w:type="dxa"/>
            <w:vAlign w:val="bottom"/>
            <w:tcBorders>
              <w:top w:val="single" w:sz="8" w:color="0000EE"/>
              <w:bottom w:val="single" w:sz="8" w:color="407CCA"/>
            </w:tcBorders>
          </w:tcPr>
          <w:p>
            <w:pPr>
              <w:spacing w:after="0"/>
              <w:rPr>
                <w:sz w:val="6"/>
                <w:szCs w:val="6"/>
                <w:color w:val="auto"/>
              </w:rPr>
            </w:pPr>
          </w:p>
        </w:tc>
        <w:tc>
          <w:tcPr>
            <w:tcW w:w="280" w:type="dxa"/>
            <w:vAlign w:val="bottom"/>
            <w:tcBorders>
              <w:bottom w:val="single" w:sz="8" w:color="407CCA"/>
            </w:tcBorders>
          </w:tcPr>
          <w:p>
            <w:pPr>
              <w:spacing w:after="0"/>
              <w:rPr>
                <w:sz w:val="6"/>
                <w:szCs w:val="6"/>
                <w:color w:val="auto"/>
              </w:rPr>
            </w:pPr>
          </w:p>
        </w:tc>
        <w:tc>
          <w:tcPr>
            <w:tcW w:w="160" w:type="dxa"/>
            <w:vAlign w:val="bottom"/>
            <w:tcBorders>
              <w:bottom w:val="single" w:sz="8" w:color="407CCA"/>
            </w:tcBorders>
          </w:tcPr>
          <w:p>
            <w:pPr>
              <w:spacing w:after="0"/>
              <w:rPr>
                <w:sz w:val="6"/>
                <w:szCs w:val="6"/>
                <w:color w:val="auto"/>
              </w:rPr>
            </w:pPr>
          </w:p>
        </w:tc>
        <w:tc>
          <w:tcPr>
            <w:tcW w:w="40" w:type="dxa"/>
            <w:vAlign w:val="bottom"/>
            <w:tcBorders>
              <w:bottom w:val="single" w:sz="8" w:color="407CCA"/>
            </w:tcBorders>
          </w:tcPr>
          <w:p>
            <w:pPr>
              <w:spacing w:after="0"/>
              <w:rPr>
                <w:sz w:val="6"/>
                <w:szCs w:val="6"/>
                <w:color w:val="auto"/>
              </w:rPr>
            </w:pPr>
          </w:p>
        </w:tc>
        <w:tc>
          <w:tcPr>
            <w:tcW w:w="140" w:type="dxa"/>
            <w:vAlign w:val="bottom"/>
            <w:tcBorders>
              <w:bottom w:val="single" w:sz="8" w:color="407CCA"/>
            </w:tcBorders>
          </w:tcPr>
          <w:p>
            <w:pPr>
              <w:spacing w:after="0"/>
              <w:rPr>
                <w:sz w:val="6"/>
                <w:szCs w:val="6"/>
                <w:color w:val="auto"/>
              </w:rPr>
            </w:pPr>
          </w:p>
        </w:tc>
        <w:tc>
          <w:tcPr>
            <w:tcW w:w="120" w:type="dxa"/>
            <w:vAlign w:val="bottom"/>
            <w:tcBorders>
              <w:bottom w:val="single" w:sz="8" w:color="407CCA"/>
            </w:tcBorders>
          </w:tcPr>
          <w:p>
            <w:pPr>
              <w:spacing w:after="0"/>
              <w:rPr>
                <w:sz w:val="6"/>
                <w:szCs w:val="6"/>
                <w:color w:val="auto"/>
              </w:rPr>
            </w:pPr>
          </w:p>
        </w:tc>
        <w:tc>
          <w:tcPr>
            <w:tcW w:w="40" w:type="dxa"/>
            <w:vAlign w:val="bottom"/>
            <w:tcBorders>
              <w:bottom w:val="single" w:sz="8" w:color="407CCA"/>
            </w:tcBorders>
          </w:tcPr>
          <w:p>
            <w:pPr>
              <w:spacing w:after="0"/>
              <w:rPr>
                <w:sz w:val="6"/>
                <w:szCs w:val="6"/>
                <w:color w:val="auto"/>
              </w:rPr>
            </w:pPr>
          </w:p>
        </w:tc>
        <w:tc>
          <w:tcPr>
            <w:tcW w:w="20" w:type="dxa"/>
            <w:vAlign w:val="bottom"/>
            <w:tcBorders>
              <w:bottom w:val="single" w:sz="8" w:color="407CCA"/>
            </w:tcBorders>
          </w:tcPr>
          <w:p>
            <w:pPr>
              <w:spacing w:after="0"/>
              <w:rPr>
                <w:sz w:val="6"/>
                <w:szCs w:val="6"/>
                <w:color w:val="auto"/>
              </w:rPr>
            </w:pPr>
          </w:p>
        </w:tc>
        <w:tc>
          <w:tcPr>
            <w:tcW w:w="20" w:type="dxa"/>
            <w:vAlign w:val="bottom"/>
            <w:tcBorders>
              <w:bottom w:val="single" w:sz="8" w:color="407CCA"/>
            </w:tcBorders>
          </w:tcPr>
          <w:p>
            <w:pPr>
              <w:spacing w:after="0"/>
              <w:rPr>
                <w:sz w:val="6"/>
                <w:szCs w:val="6"/>
                <w:color w:val="auto"/>
              </w:rPr>
            </w:pPr>
          </w:p>
        </w:tc>
        <w:tc>
          <w:tcPr>
            <w:tcW w:w="20" w:type="dxa"/>
            <w:vAlign w:val="bottom"/>
            <w:tcBorders>
              <w:bottom w:val="single" w:sz="8" w:color="407CCA"/>
            </w:tcBorders>
          </w:tcPr>
          <w:p>
            <w:pPr>
              <w:spacing w:after="0"/>
              <w:rPr>
                <w:sz w:val="6"/>
                <w:szCs w:val="6"/>
                <w:color w:val="auto"/>
              </w:rPr>
            </w:pPr>
          </w:p>
        </w:tc>
        <w:tc>
          <w:tcPr>
            <w:tcW w:w="20" w:type="dxa"/>
            <w:vAlign w:val="bottom"/>
            <w:tcBorders>
              <w:bottom w:val="single" w:sz="8" w:color="407CCA"/>
            </w:tcBorders>
          </w:tcPr>
          <w:p>
            <w:pPr>
              <w:spacing w:after="0"/>
              <w:rPr>
                <w:sz w:val="6"/>
                <w:szCs w:val="6"/>
                <w:color w:val="auto"/>
              </w:rPr>
            </w:pPr>
          </w:p>
        </w:tc>
        <w:tc>
          <w:tcPr>
            <w:tcW w:w="40" w:type="dxa"/>
            <w:vAlign w:val="bottom"/>
            <w:tcBorders>
              <w:bottom w:val="single" w:sz="8" w:color="407CCA"/>
            </w:tcBorders>
          </w:tcPr>
          <w:p>
            <w:pPr>
              <w:spacing w:after="0"/>
              <w:rPr>
                <w:sz w:val="6"/>
                <w:szCs w:val="6"/>
                <w:color w:val="auto"/>
              </w:rPr>
            </w:pPr>
          </w:p>
        </w:tc>
        <w:tc>
          <w:tcPr>
            <w:tcW w:w="200" w:type="dxa"/>
            <w:vAlign w:val="bottom"/>
            <w:tcBorders>
              <w:bottom w:val="single" w:sz="8" w:color="407CCA"/>
            </w:tcBorders>
          </w:tcPr>
          <w:p>
            <w:pPr>
              <w:spacing w:after="0"/>
              <w:rPr>
                <w:sz w:val="6"/>
                <w:szCs w:val="6"/>
                <w:color w:val="auto"/>
              </w:rPr>
            </w:pPr>
          </w:p>
        </w:tc>
        <w:tc>
          <w:tcPr>
            <w:tcW w:w="100" w:type="dxa"/>
            <w:vAlign w:val="bottom"/>
            <w:tcBorders>
              <w:bottom w:val="single" w:sz="8" w:color="407CCA"/>
            </w:tcBorders>
          </w:tcPr>
          <w:p>
            <w:pPr>
              <w:spacing w:after="0"/>
              <w:rPr>
                <w:sz w:val="6"/>
                <w:szCs w:val="6"/>
                <w:color w:val="auto"/>
              </w:rPr>
            </w:pPr>
          </w:p>
        </w:tc>
        <w:tc>
          <w:tcPr>
            <w:tcW w:w="20" w:type="dxa"/>
            <w:vAlign w:val="bottom"/>
            <w:tcBorders>
              <w:bottom w:val="single" w:sz="8" w:color="407CCA"/>
            </w:tcBorders>
          </w:tcPr>
          <w:p>
            <w:pPr>
              <w:spacing w:after="0"/>
              <w:rPr>
                <w:sz w:val="6"/>
                <w:szCs w:val="6"/>
                <w:color w:val="auto"/>
              </w:rPr>
            </w:pPr>
          </w:p>
        </w:tc>
        <w:tc>
          <w:tcPr>
            <w:tcW w:w="300" w:type="dxa"/>
            <w:vAlign w:val="bottom"/>
            <w:tcBorders>
              <w:bottom w:val="single" w:sz="8" w:color="407CCA"/>
            </w:tcBorders>
          </w:tcPr>
          <w:p>
            <w:pPr>
              <w:spacing w:after="0"/>
              <w:rPr>
                <w:sz w:val="6"/>
                <w:szCs w:val="6"/>
                <w:color w:val="auto"/>
              </w:rPr>
            </w:pPr>
          </w:p>
        </w:tc>
        <w:tc>
          <w:tcPr>
            <w:tcW w:w="40" w:type="dxa"/>
            <w:vAlign w:val="bottom"/>
            <w:tcBorders>
              <w:bottom w:val="single" w:sz="8" w:color="407CCA"/>
            </w:tcBorders>
          </w:tcPr>
          <w:p>
            <w:pPr>
              <w:spacing w:after="0"/>
              <w:rPr>
                <w:sz w:val="6"/>
                <w:szCs w:val="6"/>
                <w:color w:val="auto"/>
              </w:rPr>
            </w:pPr>
          </w:p>
        </w:tc>
        <w:tc>
          <w:tcPr>
            <w:tcW w:w="300" w:type="dxa"/>
            <w:vAlign w:val="bottom"/>
            <w:tcBorders>
              <w:bottom w:val="single" w:sz="8" w:color="407CCA"/>
            </w:tcBorders>
          </w:tcPr>
          <w:p>
            <w:pPr>
              <w:spacing w:after="0"/>
              <w:rPr>
                <w:sz w:val="6"/>
                <w:szCs w:val="6"/>
                <w:color w:val="auto"/>
              </w:rPr>
            </w:pPr>
          </w:p>
        </w:tc>
        <w:tc>
          <w:tcPr>
            <w:tcW w:w="500" w:type="dxa"/>
            <w:vAlign w:val="bottom"/>
            <w:tcBorders>
              <w:bottom w:val="single" w:sz="8" w:color="407CCA"/>
            </w:tcBorders>
          </w:tcPr>
          <w:p>
            <w:pPr>
              <w:spacing w:after="0"/>
              <w:rPr>
                <w:sz w:val="6"/>
                <w:szCs w:val="6"/>
                <w:color w:val="auto"/>
              </w:rPr>
            </w:pPr>
          </w:p>
        </w:tc>
        <w:tc>
          <w:tcPr>
            <w:tcW w:w="20" w:type="dxa"/>
            <w:vAlign w:val="bottom"/>
            <w:tcBorders>
              <w:bottom w:val="single" w:sz="8" w:color="407CCA"/>
            </w:tcBorders>
          </w:tcPr>
          <w:p>
            <w:pPr>
              <w:spacing w:after="0"/>
              <w:rPr>
                <w:sz w:val="6"/>
                <w:szCs w:val="6"/>
                <w:color w:val="auto"/>
              </w:rPr>
            </w:pPr>
          </w:p>
        </w:tc>
        <w:tc>
          <w:tcPr>
            <w:tcW w:w="580" w:type="dxa"/>
            <w:vAlign w:val="bottom"/>
            <w:tcBorders>
              <w:bottom w:val="single" w:sz="8" w:color="407CCA"/>
            </w:tcBorders>
          </w:tcPr>
          <w:p>
            <w:pPr>
              <w:spacing w:after="0"/>
              <w:rPr>
                <w:sz w:val="6"/>
                <w:szCs w:val="6"/>
                <w:color w:val="auto"/>
              </w:rPr>
            </w:pPr>
          </w:p>
        </w:tc>
        <w:tc>
          <w:tcPr>
            <w:tcW w:w="120" w:type="dxa"/>
            <w:vAlign w:val="bottom"/>
            <w:tcBorders>
              <w:bottom w:val="single" w:sz="8" w:color="407CCA"/>
            </w:tcBorders>
          </w:tcPr>
          <w:p>
            <w:pPr>
              <w:spacing w:after="0"/>
              <w:rPr>
                <w:sz w:val="6"/>
                <w:szCs w:val="6"/>
                <w:color w:val="auto"/>
              </w:rPr>
            </w:pPr>
          </w:p>
        </w:tc>
        <w:tc>
          <w:tcPr>
            <w:tcW w:w="180" w:type="dxa"/>
            <w:vAlign w:val="bottom"/>
            <w:tcBorders>
              <w:bottom w:val="single" w:sz="8" w:color="407CCA"/>
            </w:tcBorders>
          </w:tcPr>
          <w:p>
            <w:pPr>
              <w:spacing w:after="0"/>
              <w:rPr>
                <w:sz w:val="6"/>
                <w:szCs w:val="6"/>
                <w:color w:val="auto"/>
              </w:rPr>
            </w:pPr>
          </w:p>
        </w:tc>
        <w:tc>
          <w:tcPr>
            <w:tcW w:w="840" w:type="dxa"/>
            <w:vAlign w:val="bottom"/>
            <w:tcBorders>
              <w:bottom w:val="single" w:sz="8" w:color="407CCA"/>
            </w:tcBorders>
          </w:tcPr>
          <w:p>
            <w:pPr>
              <w:spacing w:after="0"/>
              <w:rPr>
                <w:sz w:val="6"/>
                <w:szCs w:val="6"/>
                <w:color w:val="auto"/>
              </w:rPr>
            </w:pPr>
          </w:p>
        </w:tc>
        <w:tc>
          <w:tcPr>
            <w:tcW w:w="4020" w:type="dxa"/>
            <w:vAlign w:val="bottom"/>
            <w:tcBorders>
              <w:bottom w:val="single" w:sz="8" w:color="407CCA"/>
            </w:tcBorders>
          </w:tcPr>
          <w:p>
            <w:pPr>
              <w:spacing w:after="0"/>
              <w:rPr>
                <w:sz w:val="6"/>
                <w:szCs w:val="6"/>
                <w:color w:val="auto"/>
              </w:rPr>
            </w:pPr>
          </w:p>
        </w:tc>
        <w:tc>
          <w:tcPr>
            <w:tcW w:w="760" w:type="dxa"/>
            <w:vAlign w:val="bottom"/>
            <w:tcBorders>
              <w:bottom w:val="single" w:sz="8" w:color="407CCA"/>
            </w:tcBorders>
          </w:tcPr>
          <w:p>
            <w:pPr>
              <w:spacing w:after="0"/>
              <w:rPr>
                <w:sz w:val="6"/>
                <w:szCs w:val="6"/>
                <w:color w:val="auto"/>
              </w:rPr>
            </w:pPr>
          </w:p>
        </w:tc>
        <w:tc>
          <w:tcPr>
            <w:tcW w:w="360" w:type="dxa"/>
            <w:vAlign w:val="bottom"/>
            <w:tcBorders>
              <w:bottom w:val="single" w:sz="8" w:color="407CCA"/>
            </w:tcBorders>
          </w:tcPr>
          <w:p>
            <w:pPr>
              <w:spacing w:after="0"/>
              <w:rPr>
                <w:sz w:val="6"/>
                <w:szCs w:val="6"/>
                <w:color w:val="auto"/>
              </w:rPr>
            </w:pPr>
          </w:p>
        </w:tc>
      </w:tr>
      <w:tr>
        <w:trPr>
          <w:trHeight w:val="480"/>
        </w:trPr>
        <w:tc>
          <w:tcPr>
            <w:tcW w:w="20" w:type="dxa"/>
            <w:vAlign w:val="bottom"/>
            <w:tcBorders>
              <w:bottom w:val="single" w:sz="8" w:color="0000EE"/>
            </w:tcBorders>
          </w:tcPr>
          <w:p>
            <w:pPr>
              <w:spacing w:after="0"/>
              <w:rPr>
                <w:sz w:val="24"/>
                <w:szCs w:val="24"/>
                <w:color w:val="auto"/>
              </w:rPr>
            </w:pPr>
          </w:p>
        </w:tc>
        <w:tc>
          <w:tcPr>
            <w:tcW w:w="2520" w:type="dxa"/>
            <w:vAlign w:val="bottom"/>
            <w:tcBorders>
              <w:bottom w:val="single" w:sz="8" w:color="0000EE"/>
            </w:tcBorders>
            <w:gridSpan w:val="9"/>
          </w:tcPr>
          <w:p>
            <w:pPr>
              <w:ind w:left="80"/>
              <w:spacing w:after="0"/>
              <w:rPr>
                <w:rFonts w:ascii="Arial" w:cs="Arial" w:eastAsia="Arial" w:hAnsi="Arial"/>
                <w:sz w:val="18"/>
                <w:szCs w:val="18"/>
                <w:b w:val="1"/>
                <w:bCs w:val="1"/>
                <w:color w:val="0000EE"/>
                <w:w w:val="90"/>
              </w:rPr>
            </w:pPr>
            <w:hyperlink w:anchor="page9">
              <w:r>
                <w:rPr>
                  <w:rFonts w:ascii="Arial" w:cs="Arial" w:eastAsia="Arial" w:hAnsi="Arial"/>
                  <w:sz w:val="18"/>
                  <w:szCs w:val="18"/>
                  <w:b w:val="1"/>
                  <w:bCs w:val="1"/>
                  <w:color w:val="0000EE"/>
                  <w:w w:val="90"/>
                </w:rPr>
                <w:t>Board and Governance Matters</w:t>
              </w:r>
            </w:hyperlink>
          </w:p>
        </w:tc>
        <w:tc>
          <w:tcPr>
            <w:tcW w:w="8140" w:type="dxa"/>
            <w:vAlign w:val="bottom"/>
            <w:gridSpan w:val="20"/>
          </w:tcPr>
          <w:p>
            <w:pPr>
              <w:spacing w:after="0"/>
              <w:rPr>
                <w:sz w:val="24"/>
                <w:szCs w:val="24"/>
                <w:color w:val="auto"/>
              </w:rPr>
            </w:pPr>
          </w:p>
        </w:tc>
        <w:tc>
          <w:tcPr>
            <w:tcW w:w="360" w:type="dxa"/>
            <w:vAlign w:val="bottom"/>
          </w:tcPr>
          <w:p>
            <w:pPr>
              <w:jc w:val="right"/>
              <w:spacing w:after="0"/>
              <w:rPr>
                <w:sz w:val="20"/>
                <w:szCs w:val="20"/>
                <w:color w:val="auto"/>
              </w:rPr>
            </w:pPr>
            <w:r>
              <w:rPr>
                <w:rFonts w:ascii="Arial" w:cs="Arial" w:eastAsia="Arial" w:hAnsi="Arial"/>
                <w:sz w:val="18"/>
                <w:szCs w:val="18"/>
                <w:color w:val="auto"/>
              </w:rPr>
              <w:t>5</w:t>
            </w:r>
          </w:p>
        </w:tc>
      </w:tr>
      <w:tr>
        <w:trPr>
          <w:trHeight w:val="304"/>
        </w:trPr>
        <w:tc>
          <w:tcPr>
            <w:tcW w:w="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0080" w:type="dxa"/>
            <w:vAlign w:val="bottom"/>
            <w:gridSpan w:val="27"/>
          </w:tcPr>
          <w:p>
            <w:pPr>
              <w:spacing w:after="0"/>
              <w:rPr>
                <w:rFonts w:ascii="Arial" w:cs="Arial" w:eastAsia="Arial" w:hAnsi="Arial"/>
                <w:sz w:val="18"/>
                <w:szCs w:val="18"/>
                <w:color w:val="0000EE"/>
              </w:rPr>
            </w:pPr>
            <w:hyperlink w:anchor="page9">
              <w:r>
                <w:rPr>
                  <w:rFonts w:ascii="Arial" w:cs="Arial" w:eastAsia="Arial" w:hAnsi="Arial"/>
                  <w:sz w:val="18"/>
                  <w:szCs w:val="18"/>
                  <w:color w:val="0000EE"/>
                </w:rPr>
                <w:t>Board Leadership Structure</w:t>
              </w:r>
            </w:hyperlink>
          </w:p>
        </w:tc>
        <w:tc>
          <w:tcPr>
            <w:tcW w:w="360" w:type="dxa"/>
            <w:vAlign w:val="bottom"/>
          </w:tcPr>
          <w:p>
            <w:pPr>
              <w:jc w:val="right"/>
              <w:spacing w:after="0"/>
              <w:rPr>
                <w:sz w:val="20"/>
                <w:szCs w:val="20"/>
                <w:color w:val="auto"/>
              </w:rPr>
            </w:pPr>
            <w:r>
              <w:rPr>
                <w:rFonts w:ascii="Arial" w:cs="Arial" w:eastAsia="Arial" w:hAnsi="Arial"/>
                <w:sz w:val="18"/>
                <w:szCs w:val="18"/>
                <w:color w:val="auto"/>
              </w:rPr>
              <w:t>5</w:t>
            </w:r>
          </w:p>
        </w:tc>
      </w:tr>
      <w:tr>
        <w:trPr>
          <w:trHeight w:val="196"/>
        </w:trPr>
        <w:tc>
          <w:tcPr>
            <w:tcW w:w="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1640" w:type="dxa"/>
            <w:vAlign w:val="bottom"/>
            <w:tcBorders>
              <w:top w:val="single" w:sz="8" w:color="0000EE"/>
              <w:bottom w:val="single" w:sz="8" w:color="0000EE"/>
            </w:tcBorders>
            <w:gridSpan w:val="4"/>
          </w:tcPr>
          <w:p>
            <w:pPr>
              <w:spacing w:after="0" w:line="196" w:lineRule="exact"/>
              <w:rPr>
                <w:rFonts w:ascii="Arial" w:cs="Arial" w:eastAsia="Arial" w:hAnsi="Arial"/>
                <w:sz w:val="18"/>
                <w:szCs w:val="18"/>
                <w:color w:val="0000EE"/>
                <w:w w:val="88"/>
              </w:rPr>
            </w:pPr>
            <w:hyperlink w:anchor="page9">
              <w:r>
                <w:rPr>
                  <w:rFonts w:ascii="Arial" w:cs="Arial" w:eastAsia="Arial" w:hAnsi="Arial"/>
                  <w:sz w:val="18"/>
                  <w:szCs w:val="18"/>
                  <w:color w:val="0000EE"/>
                  <w:w w:val="88"/>
                </w:rPr>
                <w:t>Corporate Governance</w:t>
              </w:r>
            </w:hyperlink>
          </w:p>
        </w:tc>
        <w:tc>
          <w:tcPr>
            <w:tcW w:w="340" w:type="dxa"/>
            <w:vAlign w:val="bottom"/>
            <w:tcBorders>
              <w:top w:val="single" w:sz="8" w:color="0000EE"/>
            </w:tcBorders>
            <w:gridSpan w:val="4"/>
          </w:tcPr>
          <w:p>
            <w:pPr>
              <w:spacing w:after="0"/>
              <w:rPr>
                <w:sz w:val="17"/>
                <w:szCs w:val="17"/>
                <w:color w:val="auto"/>
              </w:rPr>
            </w:pPr>
          </w:p>
        </w:tc>
        <w:tc>
          <w:tcPr>
            <w:tcW w:w="8100" w:type="dxa"/>
            <w:vAlign w:val="bottom"/>
            <w:gridSpan w:val="19"/>
          </w:tcPr>
          <w:p>
            <w:pPr>
              <w:spacing w:after="0"/>
              <w:rPr>
                <w:sz w:val="17"/>
                <w:szCs w:val="17"/>
                <w:color w:val="auto"/>
              </w:rPr>
            </w:pPr>
          </w:p>
        </w:tc>
        <w:tc>
          <w:tcPr>
            <w:tcW w:w="360" w:type="dxa"/>
            <w:vAlign w:val="bottom"/>
          </w:tcPr>
          <w:p>
            <w:pPr>
              <w:jc w:val="right"/>
              <w:spacing w:after="0" w:line="196" w:lineRule="exact"/>
              <w:rPr>
                <w:sz w:val="20"/>
                <w:szCs w:val="20"/>
                <w:color w:val="auto"/>
              </w:rPr>
            </w:pPr>
            <w:r>
              <w:rPr>
                <w:rFonts w:ascii="Arial" w:cs="Arial" w:eastAsia="Arial" w:hAnsi="Arial"/>
                <w:sz w:val="18"/>
                <w:szCs w:val="18"/>
                <w:color w:val="auto"/>
              </w:rPr>
              <w:t>5</w:t>
            </w:r>
          </w:p>
        </w:tc>
      </w:tr>
      <w:tr>
        <w:trPr>
          <w:trHeight w:val="196"/>
        </w:trPr>
        <w:tc>
          <w:tcPr>
            <w:tcW w:w="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10080" w:type="dxa"/>
            <w:vAlign w:val="bottom"/>
            <w:gridSpan w:val="27"/>
          </w:tcPr>
          <w:p>
            <w:pPr>
              <w:spacing w:after="0" w:line="196" w:lineRule="exact"/>
              <w:rPr>
                <w:rFonts w:ascii="Arial" w:cs="Arial" w:eastAsia="Arial" w:hAnsi="Arial"/>
                <w:sz w:val="18"/>
                <w:szCs w:val="18"/>
                <w:color w:val="0000EE"/>
              </w:rPr>
            </w:pPr>
            <w:hyperlink w:anchor="page10">
              <w:r>
                <w:rPr>
                  <w:rFonts w:ascii="Arial" w:cs="Arial" w:eastAsia="Arial" w:hAnsi="Arial"/>
                  <w:sz w:val="18"/>
                  <w:szCs w:val="18"/>
                  <w:color w:val="0000EE"/>
                </w:rPr>
                <w:t>Committees of the Board of Directors</w:t>
              </w:r>
            </w:hyperlink>
          </w:p>
        </w:tc>
        <w:tc>
          <w:tcPr>
            <w:tcW w:w="360" w:type="dxa"/>
            <w:vAlign w:val="bottom"/>
          </w:tcPr>
          <w:p>
            <w:pPr>
              <w:jc w:val="right"/>
              <w:spacing w:after="0" w:line="196" w:lineRule="exact"/>
              <w:rPr>
                <w:sz w:val="20"/>
                <w:szCs w:val="20"/>
                <w:color w:val="auto"/>
              </w:rPr>
            </w:pPr>
            <w:r>
              <w:rPr>
                <w:rFonts w:ascii="Arial" w:cs="Arial" w:eastAsia="Arial" w:hAnsi="Arial"/>
                <w:sz w:val="18"/>
                <w:szCs w:val="18"/>
                <w:color w:val="auto"/>
              </w:rPr>
              <w:t>6</w:t>
            </w:r>
          </w:p>
        </w:tc>
      </w:tr>
      <w:tr>
        <w:trPr>
          <w:trHeight w:val="196"/>
        </w:trPr>
        <w:tc>
          <w:tcPr>
            <w:tcW w:w="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2720" w:type="dxa"/>
            <w:vAlign w:val="bottom"/>
            <w:tcBorders>
              <w:top w:val="single" w:sz="8" w:color="0000EE"/>
            </w:tcBorders>
            <w:gridSpan w:val="17"/>
          </w:tcPr>
          <w:p>
            <w:pPr>
              <w:spacing w:after="0" w:line="196" w:lineRule="exact"/>
              <w:rPr>
                <w:rFonts w:ascii="Arial" w:cs="Arial" w:eastAsia="Arial" w:hAnsi="Arial"/>
                <w:sz w:val="18"/>
                <w:szCs w:val="18"/>
                <w:color w:val="0000EE"/>
              </w:rPr>
            </w:pPr>
            <w:hyperlink w:anchor="page12">
              <w:r>
                <w:rPr>
                  <w:rFonts w:ascii="Arial" w:cs="Arial" w:eastAsia="Arial" w:hAnsi="Arial"/>
                  <w:sz w:val="18"/>
                  <w:szCs w:val="18"/>
                  <w:color w:val="0000EE"/>
                </w:rPr>
                <w:t>Board and Committee Meetings</w:t>
              </w:r>
            </w:hyperlink>
          </w:p>
        </w:tc>
        <w:tc>
          <w:tcPr>
            <w:tcW w:w="7360" w:type="dxa"/>
            <w:vAlign w:val="bottom"/>
            <w:gridSpan w:val="10"/>
          </w:tcPr>
          <w:p>
            <w:pPr>
              <w:spacing w:after="0"/>
              <w:rPr>
                <w:sz w:val="17"/>
                <w:szCs w:val="17"/>
                <w:color w:val="auto"/>
              </w:rPr>
            </w:pPr>
          </w:p>
        </w:tc>
        <w:tc>
          <w:tcPr>
            <w:tcW w:w="360" w:type="dxa"/>
            <w:vAlign w:val="bottom"/>
          </w:tcPr>
          <w:p>
            <w:pPr>
              <w:jc w:val="right"/>
              <w:spacing w:after="0" w:line="196" w:lineRule="exact"/>
              <w:rPr>
                <w:sz w:val="20"/>
                <w:szCs w:val="20"/>
                <w:color w:val="auto"/>
              </w:rPr>
            </w:pPr>
            <w:r>
              <w:rPr>
                <w:rFonts w:ascii="Arial" w:cs="Arial" w:eastAsia="Arial" w:hAnsi="Arial"/>
                <w:sz w:val="18"/>
                <w:szCs w:val="18"/>
                <w:color w:val="auto"/>
              </w:rPr>
              <w:t>8</w:t>
            </w:r>
          </w:p>
        </w:tc>
      </w:tr>
      <w:tr>
        <w:trPr>
          <w:trHeight w:val="196"/>
        </w:trPr>
        <w:tc>
          <w:tcPr>
            <w:tcW w:w="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2040" w:type="dxa"/>
            <w:vAlign w:val="bottom"/>
            <w:tcBorders>
              <w:top w:val="single" w:sz="8" w:color="0000EE"/>
              <w:bottom w:val="single" w:sz="8" w:color="0000EE"/>
            </w:tcBorders>
            <w:gridSpan w:val="11"/>
          </w:tcPr>
          <w:p>
            <w:pPr>
              <w:spacing w:after="0" w:line="196" w:lineRule="exact"/>
              <w:rPr>
                <w:rFonts w:ascii="Arial" w:cs="Arial" w:eastAsia="Arial" w:hAnsi="Arial"/>
                <w:sz w:val="18"/>
                <w:szCs w:val="18"/>
                <w:color w:val="0000EE"/>
                <w:w w:val="90"/>
              </w:rPr>
            </w:pPr>
            <w:hyperlink w:anchor="page12">
              <w:r>
                <w:rPr>
                  <w:rFonts w:ascii="Arial" w:cs="Arial" w:eastAsia="Arial" w:hAnsi="Arial"/>
                  <w:sz w:val="18"/>
                  <w:szCs w:val="18"/>
                  <w:color w:val="0000EE"/>
                  <w:w w:val="90"/>
                </w:rPr>
                <w:t>Strategy and Risk Oversight</w:t>
              </w:r>
            </w:hyperlink>
          </w:p>
        </w:tc>
        <w:tc>
          <w:tcPr>
            <w:tcW w:w="260" w:type="dxa"/>
            <w:vAlign w:val="bottom"/>
            <w:tcBorders>
              <w:top w:val="single" w:sz="8" w:color="0000EE"/>
            </w:tcBorders>
            <w:gridSpan w:val="3"/>
          </w:tcPr>
          <w:p>
            <w:pPr>
              <w:spacing w:after="0"/>
              <w:rPr>
                <w:sz w:val="17"/>
                <w:szCs w:val="17"/>
                <w:color w:val="auto"/>
              </w:rPr>
            </w:pPr>
          </w:p>
        </w:tc>
        <w:tc>
          <w:tcPr>
            <w:tcW w:w="7780" w:type="dxa"/>
            <w:vAlign w:val="bottom"/>
            <w:gridSpan w:val="13"/>
          </w:tcPr>
          <w:p>
            <w:pPr>
              <w:spacing w:after="0"/>
              <w:rPr>
                <w:sz w:val="17"/>
                <w:szCs w:val="17"/>
                <w:color w:val="auto"/>
              </w:rPr>
            </w:pPr>
          </w:p>
        </w:tc>
        <w:tc>
          <w:tcPr>
            <w:tcW w:w="360" w:type="dxa"/>
            <w:vAlign w:val="bottom"/>
          </w:tcPr>
          <w:p>
            <w:pPr>
              <w:jc w:val="right"/>
              <w:spacing w:after="0" w:line="196" w:lineRule="exact"/>
              <w:rPr>
                <w:sz w:val="20"/>
                <w:szCs w:val="20"/>
                <w:color w:val="auto"/>
              </w:rPr>
            </w:pPr>
            <w:r>
              <w:rPr>
                <w:rFonts w:ascii="Arial" w:cs="Arial" w:eastAsia="Arial" w:hAnsi="Arial"/>
                <w:sz w:val="18"/>
                <w:szCs w:val="18"/>
                <w:color w:val="auto"/>
              </w:rPr>
              <w:t>8</w:t>
            </w:r>
          </w:p>
        </w:tc>
      </w:tr>
      <w:tr>
        <w:trPr>
          <w:trHeight w:val="196"/>
        </w:trPr>
        <w:tc>
          <w:tcPr>
            <w:tcW w:w="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10080" w:type="dxa"/>
            <w:vAlign w:val="bottom"/>
            <w:gridSpan w:val="27"/>
          </w:tcPr>
          <w:p>
            <w:pPr>
              <w:spacing w:after="0" w:line="196" w:lineRule="exact"/>
              <w:rPr>
                <w:rFonts w:ascii="Arial" w:cs="Arial" w:eastAsia="Arial" w:hAnsi="Arial"/>
                <w:sz w:val="18"/>
                <w:szCs w:val="18"/>
                <w:color w:val="0000EE"/>
              </w:rPr>
            </w:pPr>
            <w:hyperlink w:anchor="page14">
              <w:r>
                <w:rPr>
                  <w:rFonts w:ascii="Arial" w:cs="Arial" w:eastAsia="Arial" w:hAnsi="Arial"/>
                  <w:sz w:val="18"/>
                  <w:szCs w:val="18"/>
                  <w:color w:val="0000EE"/>
                </w:rPr>
                <w:t>Director Compensation</w:t>
              </w:r>
            </w:hyperlink>
          </w:p>
        </w:tc>
        <w:tc>
          <w:tcPr>
            <w:tcW w:w="360" w:type="dxa"/>
            <w:vAlign w:val="bottom"/>
          </w:tcPr>
          <w:p>
            <w:pPr>
              <w:jc w:val="right"/>
              <w:spacing w:after="0" w:line="196" w:lineRule="exact"/>
              <w:rPr>
                <w:sz w:val="20"/>
                <w:szCs w:val="20"/>
                <w:color w:val="auto"/>
              </w:rPr>
            </w:pPr>
            <w:r>
              <w:rPr>
                <w:rFonts w:ascii="Arial" w:cs="Arial" w:eastAsia="Arial" w:hAnsi="Arial"/>
                <w:sz w:val="18"/>
                <w:szCs w:val="18"/>
                <w:color w:val="auto"/>
              </w:rPr>
              <w:t>10</w:t>
            </w:r>
          </w:p>
        </w:tc>
      </w:tr>
      <w:tr>
        <w:trPr>
          <w:trHeight w:val="20"/>
        </w:trPr>
        <w:tc>
          <w:tcPr>
            <w:tcW w:w="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120" w:type="dxa"/>
            <w:vAlign w:val="bottom"/>
            <w:shd w:val="clear" w:color="auto" w:fill="0000EE"/>
          </w:tcPr>
          <w:p>
            <w:pPr>
              <w:spacing w:after="0" w:line="20" w:lineRule="exact"/>
              <w:rPr>
                <w:sz w:val="1"/>
                <w:szCs w:val="1"/>
                <w:color w:val="auto"/>
              </w:rPr>
            </w:pPr>
          </w:p>
        </w:tc>
        <w:tc>
          <w:tcPr>
            <w:tcW w:w="360" w:type="dxa"/>
            <w:vAlign w:val="bottom"/>
            <w:gridSpan w:val="2"/>
            <w:shd w:val="clear" w:color="auto" w:fill="0000EE"/>
          </w:tcPr>
          <w:p>
            <w:pPr>
              <w:spacing w:after="0" w:line="20" w:lineRule="exact"/>
              <w:rPr>
                <w:sz w:val="1"/>
                <w:szCs w:val="1"/>
                <w:color w:val="auto"/>
              </w:rPr>
            </w:pPr>
          </w:p>
        </w:tc>
        <w:tc>
          <w:tcPr>
            <w:tcW w:w="200" w:type="dxa"/>
            <w:vAlign w:val="bottom"/>
            <w:gridSpan w:val="2"/>
            <w:shd w:val="clear" w:color="auto" w:fill="0000EE"/>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360" w:type="dxa"/>
            <w:vAlign w:val="bottom"/>
            <w:gridSpan w:val="3"/>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4020" w:type="dxa"/>
            <w:vAlign w:val="bottom"/>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r>
      <w:tr>
        <w:trPr>
          <w:trHeight w:val="196"/>
        </w:trPr>
        <w:tc>
          <w:tcPr>
            <w:tcW w:w="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10080" w:type="dxa"/>
            <w:vAlign w:val="bottom"/>
            <w:gridSpan w:val="27"/>
          </w:tcPr>
          <w:p>
            <w:pPr>
              <w:spacing w:after="0" w:line="196" w:lineRule="exact"/>
              <w:rPr>
                <w:rFonts w:ascii="Arial" w:cs="Arial" w:eastAsia="Arial" w:hAnsi="Arial"/>
                <w:sz w:val="18"/>
                <w:szCs w:val="18"/>
                <w:color w:val="0000EE"/>
              </w:rPr>
            </w:pPr>
            <w:hyperlink w:anchor="page16">
              <w:r>
                <w:rPr>
                  <w:rFonts w:ascii="Arial" w:cs="Arial" w:eastAsia="Arial" w:hAnsi="Arial"/>
                  <w:sz w:val="18"/>
                  <w:szCs w:val="18"/>
                  <w:color w:val="0000EE"/>
                </w:rPr>
                <w:t>Stock Ownership Guidelines</w:t>
              </w:r>
            </w:hyperlink>
          </w:p>
        </w:tc>
        <w:tc>
          <w:tcPr>
            <w:tcW w:w="360" w:type="dxa"/>
            <w:vAlign w:val="bottom"/>
          </w:tcPr>
          <w:p>
            <w:pPr>
              <w:jc w:val="right"/>
              <w:spacing w:after="0" w:line="196" w:lineRule="exact"/>
              <w:rPr>
                <w:sz w:val="20"/>
                <w:szCs w:val="20"/>
                <w:color w:val="auto"/>
              </w:rPr>
            </w:pPr>
            <w:r>
              <w:rPr>
                <w:rFonts w:ascii="Arial" w:cs="Arial" w:eastAsia="Arial" w:hAnsi="Arial"/>
                <w:sz w:val="18"/>
                <w:szCs w:val="18"/>
                <w:color w:val="auto"/>
              </w:rPr>
              <w:t>12</w:t>
            </w:r>
          </w:p>
        </w:tc>
      </w:tr>
      <w:tr>
        <w:trPr>
          <w:trHeight w:val="20"/>
        </w:trPr>
        <w:tc>
          <w:tcPr>
            <w:tcW w:w="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120" w:type="dxa"/>
            <w:vAlign w:val="bottom"/>
            <w:shd w:val="clear" w:color="auto" w:fill="0000EE"/>
          </w:tcPr>
          <w:p>
            <w:pPr>
              <w:spacing w:after="0" w:line="20" w:lineRule="exact"/>
              <w:rPr>
                <w:sz w:val="1"/>
                <w:szCs w:val="1"/>
                <w:color w:val="auto"/>
              </w:rPr>
            </w:pPr>
          </w:p>
        </w:tc>
        <w:tc>
          <w:tcPr>
            <w:tcW w:w="360" w:type="dxa"/>
            <w:vAlign w:val="bottom"/>
            <w:gridSpan w:val="2"/>
            <w:shd w:val="clear" w:color="auto" w:fill="0000EE"/>
          </w:tcPr>
          <w:p>
            <w:pPr>
              <w:spacing w:after="0" w:line="20" w:lineRule="exact"/>
              <w:rPr>
                <w:sz w:val="1"/>
                <w:szCs w:val="1"/>
                <w:color w:val="auto"/>
              </w:rPr>
            </w:pPr>
          </w:p>
        </w:tc>
        <w:tc>
          <w:tcPr>
            <w:tcW w:w="340" w:type="dxa"/>
            <w:vAlign w:val="bottom"/>
            <w:gridSpan w:val="3"/>
            <w:shd w:val="clear" w:color="auto" w:fill="0000EE"/>
          </w:tcPr>
          <w:p>
            <w:pPr>
              <w:spacing w:after="0" w:line="20" w:lineRule="exact"/>
              <w:rPr>
                <w:sz w:val="1"/>
                <w:szCs w:val="1"/>
                <w:color w:val="auto"/>
              </w:rPr>
            </w:pPr>
          </w:p>
        </w:tc>
        <w:tc>
          <w:tcPr>
            <w:tcW w:w="160" w:type="dxa"/>
            <w:vAlign w:val="bottom"/>
            <w:gridSpan w:val="2"/>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40" w:type="dxa"/>
            <w:vAlign w:val="bottom"/>
            <w:gridSpan w:val="2"/>
            <w:shd w:val="clear" w:color="auto" w:fill="0000EE"/>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360" w:type="dxa"/>
            <w:vAlign w:val="bottom"/>
            <w:gridSpan w:val="3"/>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4020" w:type="dxa"/>
            <w:vAlign w:val="bottom"/>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r>
      <w:tr>
        <w:trPr>
          <w:trHeight w:val="196"/>
        </w:trPr>
        <w:tc>
          <w:tcPr>
            <w:tcW w:w="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2100" w:type="dxa"/>
            <w:vAlign w:val="bottom"/>
            <w:tcBorders>
              <w:bottom w:val="single" w:sz="8" w:color="0000EE"/>
            </w:tcBorders>
            <w:gridSpan w:val="13"/>
          </w:tcPr>
          <w:p>
            <w:pPr>
              <w:spacing w:after="0" w:line="196" w:lineRule="exact"/>
              <w:rPr>
                <w:rFonts w:ascii="Arial" w:cs="Arial" w:eastAsia="Arial" w:hAnsi="Arial"/>
                <w:sz w:val="18"/>
                <w:szCs w:val="18"/>
                <w:color w:val="0000EE"/>
                <w:w w:val="90"/>
              </w:rPr>
            </w:pPr>
            <w:hyperlink w:anchor="page16">
              <w:r>
                <w:rPr>
                  <w:rFonts w:ascii="Arial" w:cs="Arial" w:eastAsia="Arial" w:hAnsi="Arial"/>
                  <w:sz w:val="18"/>
                  <w:szCs w:val="18"/>
                  <w:color w:val="0000EE"/>
                  <w:w w:val="90"/>
                </w:rPr>
                <w:t>Director Nomination Process</w:t>
              </w:r>
            </w:hyperlink>
          </w:p>
        </w:tc>
        <w:tc>
          <w:tcPr>
            <w:tcW w:w="7980" w:type="dxa"/>
            <w:vAlign w:val="bottom"/>
            <w:gridSpan w:val="14"/>
          </w:tcPr>
          <w:p>
            <w:pPr>
              <w:spacing w:after="0"/>
              <w:rPr>
                <w:sz w:val="17"/>
                <w:szCs w:val="17"/>
                <w:color w:val="auto"/>
              </w:rPr>
            </w:pPr>
          </w:p>
        </w:tc>
        <w:tc>
          <w:tcPr>
            <w:tcW w:w="360" w:type="dxa"/>
            <w:vAlign w:val="bottom"/>
          </w:tcPr>
          <w:p>
            <w:pPr>
              <w:jc w:val="right"/>
              <w:spacing w:after="0" w:line="196" w:lineRule="exact"/>
              <w:rPr>
                <w:sz w:val="20"/>
                <w:szCs w:val="20"/>
                <w:color w:val="auto"/>
              </w:rPr>
            </w:pPr>
            <w:r>
              <w:rPr>
                <w:rFonts w:ascii="Arial" w:cs="Arial" w:eastAsia="Arial" w:hAnsi="Arial"/>
                <w:sz w:val="18"/>
                <w:szCs w:val="18"/>
                <w:color w:val="auto"/>
              </w:rPr>
              <w:t>12</w:t>
            </w:r>
          </w:p>
        </w:tc>
      </w:tr>
      <w:tr>
        <w:trPr>
          <w:trHeight w:val="196"/>
        </w:trPr>
        <w:tc>
          <w:tcPr>
            <w:tcW w:w="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10080" w:type="dxa"/>
            <w:vAlign w:val="bottom"/>
            <w:gridSpan w:val="27"/>
          </w:tcPr>
          <w:p>
            <w:pPr>
              <w:spacing w:after="0" w:line="196" w:lineRule="exact"/>
              <w:rPr>
                <w:rFonts w:ascii="Arial" w:cs="Arial" w:eastAsia="Arial" w:hAnsi="Arial"/>
                <w:sz w:val="18"/>
                <w:szCs w:val="18"/>
                <w:color w:val="0000EE"/>
              </w:rPr>
            </w:pPr>
            <w:hyperlink w:anchor="page17">
              <w:r>
                <w:rPr>
                  <w:rFonts w:ascii="Arial" w:cs="Arial" w:eastAsia="Arial" w:hAnsi="Arial"/>
                  <w:sz w:val="18"/>
                  <w:szCs w:val="18"/>
                  <w:color w:val="0000EE"/>
                </w:rPr>
                <w:t>Board Membership Criteria</w:t>
              </w:r>
            </w:hyperlink>
          </w:p>
        </w:tc>
        <w:tc>
          <w:tcPr>
            <w:tcW w:w="360" w:type="dxa"/>
            <w:vAlign w:val="bottom"/>
          </w:tcPr>
          <w:p>
            <w:pPr>
              <w:jc w:val="right"/>
              <w:spacing w:after="0" w:line="196" w:lineRule="exact"/>
              <w:rPr>
                <w:sz w:val="20"/>
                <w:szCs w:val="20"/>
                <w:color w:val="auto"/>
              </w:rPr>
            </w:pPr>
            <w:r>
              <w:rPr>
                <w:rFonts w:ascii="Arial" w:cs="Arial" w:eastAsia="Arial" w:hAnsi="Arial"/>
                <w:sz w:val="18"/>
                <w:szCs w:val="18"/>
                <w:color w:val="auto"/>
              </w:rPr>
              <w:t>13</w:t>
            </w:r>
          </w:p>
        </w:tc>
      </w:tr>
      <w:tr>
        <w:trPr>
          <w:trHeight w:val="20"/>
        </w:trPr>
        <w:tc>
          <w:tcPr>
            <w:tcW w:w="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120" w:type="dxa"/>
            <w:vAlign w:val="bottom"/>
            <w:shd w:val="clear" w:color="auto" w:fill="0000EE"/>
          </w:tcPr>
          <w:p>
            <w:pPr>
              <w:spacing w:after="0" w:line="20" w:lineRule="exact"/>
              <w:rPr>
                <w:sz w:val="1"/>
                <w:szCs w:val="1"/>
                <w:color w:val="auto"/>
              </w:rPr>
            </w:pPr>
          </w:p>
        </w:tc>
        <w:tc>
          <w:tcPr>
            <w:tcW w:w="360" w:type="dxa"/>
            <w:vAlign w:val="bottom"/>
            <w:gridSpan w:val="2"/>
            <w:shd w:val="clear" w:color="auto" w:fill="0000EE"/>
          </w:tcPr>
          <w:p>
            <w:pPr>
              <w:spacing w:after="0" w:line="20" w:lineRule="exact"/>
              <w:rPr>
                <w:sz w:val="1"/>
                <w:szCs w:val="1"/>
                <w:color w:val="auto"/>
              </w:rPr>
            </w:pPr>
          </w:p>
        </w:tc>
        <w:tc>
          <w:tcPr>
            <w:tcW w:w="340" w:type="dxa"/>
            <w:vAlign w:val="bottom"/>
            <w:gridSpan w:val="3"/>
            <w:shd w:val="clear" w:color="auto" w:fill="0000EE"/>
          </w:tcPr>
          <w:p>
            <w:pPr>
              <w:spacing w:after="0" w:line="20" w:lineRule="exact"/>
              <w:rPr>
                <w:sz w:val="1"/>
                <w:szCs w:val="1"/>
                <w:color w:val="auto"/>
              </w:rPr>
            </w:pPr>
          </w:p>
        </w:tc>
        <w:tc>
          <w:tcPr>
            <w:tcW w:w="160" w:type="dxa"/>
            <w:vAlign w:val="bottom"/>
            <w:gridSpan w:val="2"/>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80" w:type="dxa"/>
            <w:vAlign w:val="bottom"/>
            <w:gridSpan w:val="5"/>
          </w:tcPr>
          <w:p>
            <w:pPr>
              <w:spacing w:after="0" w:line="20" w:lineRule="exact"/>
              <w:rPr>
                <w:sz w:val="1"/>
                <w:szCs w:val="1"/>
                <w:color w:val="auto"/>
              </w:rPr>
            </w:pPr>
          </w:p>
        </w:tc>
        <w:tc>
          <w:tcPr>
            <w:tcW w:w="360" w:type="dxa"/>
            <w:vAlign w:val="bottom"/>
            <w:gridSpan w:val="3"/>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4020" w:type="dxa"/>
            <w:vAlign w:val="bottom"/>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r>
      <w:tr>
        <w:trPr>
          <w:trHeight w:val="196"/>
        </w:trPr>
        <w:tc>
          <w:tcPr>
            <w:tcW w:w="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2020" w:type="dxa"/>
            <w:vAlign w:val="bottom"/>
            <w:tcBorders>
              <w:bottom w:val="single" w:sz="8" w:color="0000EE"/>
            </w:tcBorders>
            <w:gridSpan w:val="10"/>
          </w:tcPr>
          <w:p>
            <w:pPr>
              <w:spacing w:after="0" w:line="196" w:lineRule="exact"/>
              <w:rPr>
                <w:rFonts w:ascii="Arial" w:cs="Arial" w:eastAsia="Arial" w:hAnsi="Arial"/>
                <w:sz w:val="18"/>
                <w:szCs w:val="18"/>
                <w:color w:val="0000EE"/>
                <w:w w:val="92"/>
              </w:rPr>
            </w:pPr>
            <w:hyperlink w:anchor="page17">
              <w:r>
                <w:rPr>
                  <w:rFonts w:ascii="Arial" w:cs="Arial" w:eastAsia="Arial" w:hAnsi="Arial"/>
                  <w:sz w:val="18"/>
                  <w:szCs w:val="18"/>
                  <w:color w:val="0000EE"/>
                  <w:w w:val="92"/>
                </w:rPr>
                <w:t>Director Resignation Policy</w:t>
              </w:r>
            </w:hyperlink>
          </w:p>
        </w:tc>
        <w:tc>
          <w:tcPr>
            <w:tcW w:w="8060" w:type="dxa"/>
            <w:vAlign w:val="bottom"/>
            <w:gridSpan w:val="17"/>
          </w:tcPr>
          <w:p>
            <w:pPr>
              <w:spacing w:after="0"/>
              <w:rPr>
                <w:sz w:val="17"/>
                <w:szCs w:val="17"/>
                <w:color w:val="auto"/>
              </w:rPr>
            </w:pPr>
          </w:p>
        </w:tc>
        <w:tc>
          <w:tcPr>
            <w:tcW w:w="360" w:type="dxa"/>
            <w:vAlign w:val="bottom"/>
          </w:tcPr>
          <w:p>
            <w:pPr>
              <w:jc w:val="right"/>
              <w:spacing w:after="0" w:line="196" w:lineRule="exact"/>
              <w:rPr>
                <w:sz w:val="20"/>
                <w:szCs w:val="20"/>
                <w:color w:val="auto"/>
              </w:rPr>
            </w:pPr>
            <w:r>
              <w:rPr>
                <w:rFonts w:ascii="Arial" w:cs="Arial" w:eastAsia="Arial" w:hAnsi="Arial"/>
                <w:sz w:val="18"/>
                <w:szCs w:val="18"/>
                <w:color w:val="auto"/>
              </w:rPr>
              <w:t>13</w:t>
            </w:r>
          </w:p>
        </w:tc>
      </w:tr>
      <w:tr>
        <w:trPr>
          <w:trHeight w:val="196"/>
        </w:trPr>
        <w:tc>
          <w:tcPr>
            <w:tcW w:w="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3060" w:type="dxa"/>
            <w:vAlign w:val="bottom"/>
            <w:tcBorders>
              <w:bottom w:val="single" w:sz="8" w:color="0000EE"/>
            </w:tcBorders>
            <w:gridSpan w:val="19"/>
          </w:tcPr>
          <w:p>
            <w:pPr>
              <w:spacing w:after="0" w:line="196" w:lineRule="exact"/>
              <w:rPr>
                <w:rFonts w:ascii="Arial" w:cs="Arial" w:eastAsia="Arial" w:hAnsi="Arial"/>
                <w:sz w:val="18"/>
                <w:szCs w:val="18"/>
                <w:color w:val="0000EE"/>
                <w:w w:val="89"/>
              </w:rPr>
            </w:pPr>
            <w:hyperlink w:anchor="page17">
              <w:r>
                <w:rPr>
                  <w:rFonts w:ascii="Arial" w:cs="Arial" w:eastAsia="Arial" w:hAnsi="Arial"/>
                  <w:sz w:val="18"/>
                  <w:szCs w:val="18"/>
                  <w:color w:val="0000EE"/>
                  <w:w w:val="89"/>
                </w:rPr>
                <w:t>Certain Transactions with Related Persons</w:t>
              </w:r>
            </w:hyperlink>
          </w:p>
        </w:tc>
        <w:tc>
          <w:tcPr>
            <w:tcW w:w="7020" w:type="dxa"/>
            <w:vAlign w:val="bottom"/>
            <w:gridSpan w:val="8"/>
          </w:tcPr>
          <w:p>
            <w:pPr>
              <w:spacing w:after="0"/>
              <w:rPr>
                <w:sz w:val="17"/>
                <w:szCs w:val="17"/>
                <w:color w:val="auto"/>
              </w:rPr>
            </w:pPr>
          </w:p>
        </w:tc>
        <w:tc>
          <w:tcPr>
            <w:tcW w:w="360" w:type="dxa"/>
            <w:vAlign w:val="bottom"/>
          </w:tcPr>
          <w:p>
            <w:pPr>
              <w:jc w:val="right"/>
              <w:spacing w:after="0" w:line="196" w:lineRule="exact"/>
              <w:rPr>
                <w:sz w:val="20"/>
                <w:szCs w:val="20"/>
                <w:color w:val="auto"/>
              </w:rPr>
            </w:pPr>
            <w:r>
              <w:rPr>
                <w:rFonts w:ascii="Arial" w:cs="Arial" w:eastAsia="Arial" w:hAnsi="Arial"/>
                <w:sz w:val="18"/>
                <w:szCs w:val="18"/>
                <w:color w:val="auto"/>
              </w:rPr>
              <w:t>13</w:t>
            </w:r>
          </w:p>
        </w:tc>
      </w:tr>
      <w:tr>
        <w:trPr>
          <w:trHeight w:val="196"/>
        </w:trPr>
        <w:tc>
          <w:tcPr>
            <w:tcW w:w="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10080" w:type="dxa"/>
            <w:vAlign w:val="bottom"/>
            <w:gridSpan w:val="27"/>
          </w:tcPr>
          <w:p>
            <w:pPr>
              <w:spacing w:after="0" w:line="196" w:lineRule="exact"/>
              <w:rPr>
                <w:rFonts w:ascii="Arial" w:cs="Arial" w:eastAsia="Arial" w:hAnsi="Arial"/>
                <w:sz w:val="18"/>
                <w:szCs w:val="18"/>
                <w:color w:val="0000EE"/>
              </w:rPr>
            </w:pPr>
            <w:hyperlink w:anchor="page19">
              <w:r>
                <w:rPr>
                  <w:rFonts w:ascii="Arial" w:cs="Arial" w:eastAsia="Arial" w:hAnsi="Arial"/>
                  <w:sz w:val="18"/>
                  <w:szCs w:val="18"/>
                  <w:color w:val="0000EE"/>
                </w:rPr>
                <w:t>Compensation Committee Interlocks and Insider Participation</w:t>
              </w:r>
            </w:hyperlink>
          </w:p>
        </w:tc>
        <w:tc>
          <w:tcPr>
            <w:tcW w:w="360" w:type="dxa"/>
            <w:vAlign w:val="bottom"/>
          </w:tcPr>
          <w:p>
            <w:pPr>
              <w:jc w:val="right"/>
              <w:spacing w:after="0" w:line="196" w:lineRule="exact"/>
              <w:rPr>
                <w:sz w:val="20"/>
                <w:szCs w:val="20"/>
                <w:color w:val="auto"/>
              </w:rPr>
            </w:pPr>
            <w:r>
              <w:rPr>
                <w:rFonts w:ascii="Arial" w:cs="Arial" w:eastAsia="Arial" w:hAnsi="Arial"/>
                <w:sz w:val="18"/>
                <w:szCs w:val="18"/>
                <w:color w:val="auto"/>
              </w:rPr>
              <w:t>15</w:t>
            </w:r>
          </w:p>
        </w:tc>
      </w:tr>
      <w:tr>
        <w:trPr>
          <w:trHeight w:val="75"/>
        </w:trPr>
        <w:tc>
          <w:tcPr>
            <w:tcW w:w="20" w:type="dxa"/>
            <w:vAlign w:val="bottom"/>
          </w:tcPr>
          <w:p>
            <w:pPr>
              <w:spacing w:after="0"/>
              <w:rPr>
                <w:sz w:val="6"/>
                <w:szCs w:val="6"/>
                <w:color w:val="auto"/>
              </w:rPr>
            </w:pPr>
          </w:p>
        </w:tc>
        <w:tc>
          <w:tcPr>
            <w:tcW w:w="160" w:type="dxa"/>
            <w:vAlign w:val="bottom"/>
            <w:tcBorders>
              <w:bottom w:val="single" w:sz="8" w:color="407CCA"/>
            </w:tcBorders>
          </w:tcPr>
          <w:p>
            <w:pPr>
              <w:spacing w:after="0"/>
              <w:rPr>
                <w:sz w:val="6"/>
                <w:szCs w:val="6"/>
                <w:color w:val="auto"/>
              </w:rPr>
            </w:pPr>
          </w:p>
        </w:tc>
        <w:tc>
          <w:tcPr>
            <w:tcW w:w="420" w:type="dxa"/>
            <w:vAlign w:val="bottom"/>
            <w:tcBorders>
              <w:bottom w:val="single" w:sz="8" w:color="407CCA"/>
            </w:tcBorders>
          </w:tcPr>
          <w:p>
            <w:pPr>
              <w:spacing w:after="0"/>
              <w:rPr>
                <w:sz w:val="6"/>
                <w:szCs w:val="6"/>
                <w:color w:val="auto"/>
              </w:rPr>
            </w:pPr>
          </w:p>
        </w:tc>
        <w:tc>
          <w:tcPr>
            <w:tcW w:w="1120" w:type="dxa"/>
            <w:vAlign w:val="bottom"/>
            <w:tcBorders>
              <w:top w:val="single" w:sz="8" w:color="0000EE"/>
              <w:bottom w:val="single" w:sz="8" w:color="407CCA"/>
            </w:tcBorders>
          </w:tcPr>
          <w:p>
            <w:pPr>
              <w:spacing w:after="0"/>
              <w:rPr>
                <w:sz w:val="6"/>
                <w:szCs w:val="6"/>
                <w:color w:val="auto"/>
              </w:rPr>
            </w:pPr>
          </w:p>
        </w:tc>
        <w:tc>
          <w:tcPr>
            <w:tcW w:w="80" w:type="dxa"/>
            <w:vAlign w:val="bottom"/>
            <w:tcBorders>
              <w:top w:val="single" w:sz="8" w:color="0000EE"/>
              <w:bottom w:val="single" w:sz="8" w:color="407CCA"/>
            </w:tcBorders>
          </w:tcPr>
          <w:p>
            <w:pPr>
              <w:spacing w:after="0"/>
              <w:rPr>
                <w:sz w:val="6"/>
                <w:szCs w:val="6"/>
                <w:color w:val="auto"/>
              </w:rPr>
            </w:pPr>
          </w:p>
        </w:tc>
        <w:tc>
          <w:tcPr>
            <w:tcW w:w="280" w:type="dxa"/>
            <w:vAlign w:val="bottom"/>
            <w:tcBorders>
              <w:top w:val="single" w:sz="8" w:color="0000EE"/>
              <w:bottom w:val="single" w:sz="8" w:color="407CCA"/>
            </w:tcBorders>
          </w:tcPr>
          <w:p>
            <w:pPr>
              <w:spacing w:after="0"/>
              <w:rPr>
                <w:sz w:val="6"/>
                <w:szCs w:val="6"/>
                <w:color w:val="auto"/>
              </w:rPr>
            </w:pPr>
          </w:p>
        </w:tc>
        <w:tc>
          <w:tcPr>
            <w:tcW w:w="160" w:type="dxa"/>
            <w:vAlign w:val="bottom"/>
            <w:tcBorders>
              <w:top w:val="single" w:sz="8" w:color="0000EE"/>
              <w:bottom w:val="single" w:sz="8" w:color="407CCA"/>
            </w:tcBorders>
          </w:tcPr>
          <w:p>
            <w:pPr>
              <w:spacing w:after="0"/>
              <w:rPr>
                <w:sz w:val="6"/>
                <w:szCs w:val="6"/>
                <w:color w:val="auto"/>
              </w:rPr>
            </w:pPr>
          </w:p>
        </w:tc>
        <w:tc>
          <w:tcPr>
            <w:tcW w:w="40" w:type="dxa"/>
            <w:vAlign w:val="bottom"/>
            <w:tcBorders>
              <w:top w:val="single" w:sz="8" w:color="0000EE"/>
              <w:bottom w:val="single" w:sz="8" w:color="407CCA"/>
            </w:tcBorders>
          </w:tcPr>
          <w:p>
            <w:pPr>
              <w:spacing w:after="0"/>
              <w:rPr>
                <w:sz w:val="6"/>
                <w:szCs w:val="6"/>
                <w:color w:val="auto"/>
              </w:rPr>
            </w:pPr>
          </w:p>
        </w:tc>
        <w:tc>
          <w:tcPr>
            <w:tcW w:w="140" w:type="dxa"/>
            <w:vAlign w:val="bottom"/>
            <w:tcBorders>
              <w:top w:val="single" w:sz="8" w:color="0000EE"/>
              <w:bottom w:val="single" w:sz="8" w:color="407CCA"/>
            </w:tcBorders>
          </w:tcPr>
          <w:p>
            <w:pPr>
              <w:spacing w:after="0"/>
              <w:rPr>
                <w:sz w:val="6"/>
                <w:szCs w:val="6"/>
                <w:color w:val="auto"/>
              </w:rPr>
            </w:pPr>
          </w:p>
        </w:tc>
        <w:tc>
          <w:tcPr>
            <w:tcW w:w="120" w:type="dxa"/>
            <w:vAlign w:val="bottom"/>
            <w:tcBorders>
              <w:top w:val="single" w:sz="8" w:color="0000EE"/>
              <w:bottom w:val="single" w:sz="8" w:color="407CCA"/>
            </w:tcBorders>
          </w:tcPr>
          <w:p>
            <w:pPr>
              <w:spacing w:after="0"/>
              <w:rPr>
                <w:sz w:val="6"/>
                <w:szCs w:val="6"/>
                <w:color w:val="auto"/>
              </w:rPr>
            </w:pPr>
          </w:p>
        </w:tc>
        <w:tc>
          <w:tcPr>
            <w:tcW w:w="40" w:type="dxa"/>
            <w:vAlign w:val="bottom"/>
            <w:tcBorders>
              <w:top w:val="single" w:sz="8" w:color="0000EE"/>
              <w:bottom w:val="single" w:sz="8" w:color="407CCA"/>
            </w:tcBorders>
          </w:tcPr>
          <w:p>
            <w:pPr>
              <w:spacing w:after="0"/>
              <w:rPr>
                <w:sz w:val="6"/>
                <w:szCs w:val="6"/>
                <w:color w:val="auto"/>
              </w:rPr>
            </w:pPr>
          </w:p>
        </w:tc>
        <w:tc>
          <w:tcPr>
            <w:tcW w:w="20" w:type="dxa"/>
            <w:vAlign w:val="bottom"/>
            <w:tcBorders>
              <w:top w:val="single" w:sz="8" w:color="0000EE"/>
              <w:bottom w:val="single" w:sz="8" w:color="407CCA"/>
            </w:tcBorders>
          </w:tcPr>
          <w:p>
            <w:pPr>
              <w:spacing w:after="0"/>
              <w:rPr>
                <w:sz w:val="6"/>
                <w:szCs w:val="6"/>
                <w:color w:val="auto"/>
              </w:rPr>
            </w:pPr>
          </w:p>
        </w:tc>
        <w:tc>
          <w:tcPr>
            <w:tcW w:w="20" w:type="dxa"/>
            <w:vAlign w:val="bottom"/>
            <w:tcBorders>
              <w:top w:val="single" w:sz="8" w:color="0000EE"/>
              <w:bottom w:val="single" w:sz="8" w:color="407CCA"/>
            </w:tcBorders>
          </w:tcPr>
          <w:p>
            <w:pPr>
              <w:spacing w:after="0"/>
              <w:rPr>
                <w:sz w:val="6"/>
                <w:szCs w:val="6"/>
                <w:color w:val="auto"/>
              </w:rPr>
            </w:pPr>
          </w:p>
        </w:tc>
        <w:tc>
          <w:tcPr>
            <w:tcW w:w="20" w:type="dxa"/>
            <w:vAlign w:val="bottom"/>
            <w:tcBorders>
              <w:top w:val="single" w:sz="8" w:color="0000EE"/>
              <w:bottom w:val="single" w:sz="8" w:color="407CCA"/>
            </w:tcBorders>
          </w:tcPr>
          <w:p>
            <w:pPr>
              <w:spacing w:after="0"/>
              <w:rPr>
                <w:sz w:val="6"/>
                <w:szCs w:val="6"/>
                <w:color w:val="auto"/>
              </w:rPr>
            </w:pPr>
          </w:p>
        </w:tc>
        <w:tc>
          <w:tcPr>
            <w:tcW w:w="20" w:type="dxa"/>
            <w:vAlign w:val="bottom"/>
            <w:tcBorders>
              <w:top w:val="single" w:sz="8" w:color="0000EE"/>
              <w:bottom w:val="single" w:sz="8" w:color="407CCA"/>
            </w:tcBorders>
          </w:tcPr>
          <w:p>
            <w:pPr>
              <w:spacing w:after="0"/>
              <w:rPr>
                <w:sz w:val="6"/>
                <w:szCs w:val="6"/>
                <w:color w:val="auto"/>
              </w:rPr>
            </w:pPr>
          </w:p>
        </w:tc>
        <w:tc>
          <w:tcPr>
            <w:tcW w:w="40" w:type="dxa"/>
            <w:vAlign w:val="bottom"/>
            <w:tcBorders>
              <w:top w:val="single" w:sz="8" w:color="0000EE"/>
              <w:bottom w:val="single" w:sz="8" w:color="407CCA"/>
            </w:tcBorders>
          </w:tcPr>
          <w:p>
            <w:pPr>
              <w:spacing w:after="0"/>
              <w:rPr>
                <w:sz w:val="6"/>
                <w:szCs w:val="6"/>
                <w:color w:val="auto"/>
              </w:rPr>
            </w:pPr>
          </w:p>
        </w:tc>
        <w:tc>
          <w:tcPr>
            <w:tcW w:w="200" w:type="dxa"/>
            <w:vAlign w:val="bottom"/>
            <w:tcBorders>
              <w:top w:val="single" w:sz="8" w:color="0000EE"/>
              <w:bottom w:val="single" w:sz="8" w:color="407CCA"/>
            </w:tcBorders>
          </w:tcPr>
          <w:p>
            <w:pPr>
              <w:spacing w:after="0"/>
              <w:rPr>
                <w:sz w:val="6"/>
                <w:szCs w:val="6"/>
                <w:color w:val="auto"/>
              </w:rPr>
            </w:pPr>
          </w:p>
        </w:tc>
        <w:tc>
          <w:tcPr>
            <w:tcW w:w="100" w:type="dxa"/>
            <w:vAlign w:val="bottom"/>
            <w:tcBorders>
              <w:top w:val="single" w:sz="8" w:color="0000EE"/>
              <w:bottom w:val="single" w:sz="8" w:color="407CCA"/>
            </w:tcBorders>
          </w:tcPr>
          <w:p>
            <w:pPr>
              <w:spacing w:after="0"/>
              <w:rPr>
                <w:sz w:val="6"/>
                <w:szCs w:val="6"/>
                <w:color w:val="auto"/>
              </w:rPr>
            </w:pPr>
          </w:p>
        </w:tc>
        <w:tc>
          <w:tcPr>
            <w:tcW w:w="20" w:type="dxa"/>
            <w:vAlign w:val="bottom"/>
            <w:tcBorders>
              <w:top w:val="single" w:sz="8" w:color="0000EE"/>
              <w:bottom w:val="single" w:sz="8" w:color="407CCA"/>
            </w:tcBorders>
          </w:tcPr>
          <w:p>
            <w:pPr>
              <w:spacing w:after="0"/>
              <w:rPr>
                <w:sz w:val="6"/>
                <w:szCs w:val="6"/>
                <w:color w:val="auto"/>
              </w:rPr>
            </w:pPr>
          </w:p>
        </w:tc>
        <w:tc>
          <w:tcPr>
            <w:tcW w:w="300" w:type="dxa"/>
            <w:vAlign w:val="bottom"/>
            <w:tcBorders>
              <w:top w:val="single" w:sz="8" w:color="0000EE"/>
              <w:bottom w:val="single" w:sz="8" w:color="407CCA"/>
            </w:tcBorders>
          </w:tcPr>
          <w:p>
            <w:pPr>
              <w:spacing w:after="0"/>
              <w:rPr>
                <w:sz w:val="6"/>
                <w:szCs w:val="6"/>
                <w:color w:val="auto"/>
              </w:rPr>
            </w:pPr>
          </w:p>
        </w:tc>
        <w:tc>
          <w:tcPr>
            <w:tcW w:w="40" w:type="dxa"/>
            <w:vAlign w:val="bottom"/>
            <w:tcBorders>
              <w:top w:val="single" w:sz="8" w:color="0000EE"/>
              <w:bottom w:val="single" w:sz="8" w:color="407CCA"/>
            </w:tcBorders>
          </w:tcPr>
          <w:p>
            <w:pPr>
              <w:spacing w:after="0"/>
              <w:rPr>
                <w:sz w:val="6"/>
                <w:szCs w:val="6"/>
                <w:color w:val="auto"/>
              </w:rPr>
            </w:pPr>
          </w:p>
        </w:tc>
        <w:tc>
          <w:tcPr>
            <w:tcW w:w="300" w:type="dxa"/>
            <w:vAlign w:val="bottom"/>
            <w:tcBorders>
              <w:top w:val="single" w:sz="8" w:color="0000EE"/>
              <w:bottom w:val="single" w:sz="8" w:color="407CCA"/>
            </w:tcBorders>
          </w:tcPr>
          <w:p>
            <w:pPr>
              <w:spacing w:after="0"/>
              <w:rPr>
                <w:sz w:val="6"/>
                <w:szCs w:val="6"/>
                <w:color w:val="auto"/>
              </w:rPr>
            </w:pPr>
          </w:p>
        </w:tc>
        <w:tc>
          <w:tcPr>
            <w:tcW w:w="500" w:type="dxa"/>
            <w:vAlign w:val="bottom"/>
            <w:tcBorders>
              <w:top w:val="single" w:sz="8" w:color="0000EE"/>
              <w:bottom w:val="single" w:sz="8" w:color="407CCA"/>
            </w:tcBorders>
          </w:tcPr>
          <w:p>
            <w:pPr>
              <w:spacing w:after="0"/>
              <w:rPr>
                <w:sz w:val="6"/>
                <w:szCs w:val="6"/>
                <w:color w:val="auto"/>
              </w:rPr>
            </w:pPr>
          </w:p>
        </w:tc>
        <w:tc>
          <w:tcPr>
            <w:tcW w:w="20" w:type="dxa"/>
            <w:vAlign w:val="bottom"/>
            <w:tcBorders>
              <w:top w:val="single" w:sz="8" w:color="0000EE"/>
              <w:bottom w:val="single" w:sz="8" w:color="407CCA"/>
            </w:tcBorders>
          </w:tcPr>
          <w:p>
            <w:pPr>
              <w:spacing w:after="0"/>
              <w:rPr>
                <w:sz w:val="6"/>
                <w:szCs w:val="6"/>
                <w:color w:val="auto"/>
              </w:rPr>
            </w:pPr>
          </w:p>
        </w:tc>
        <w:tc>
          <w:tcPr>
            <w:tcW w:w="580" w:type="dxa"/>
            <w:vAlign w:val="bottom"/>
            <w:tcBorders>
              <w:top w:val="single" w:sz="8" w:color="0000EE"/>
              <w:bottom w:val="single" w:sz="8" w:color="407CCA"/>
            </w:tcBorders>
          </w:tcPr>
          <w:p>
            <w:pPr>
              <w:spacing w:after="0"/>
              <w:rPr>
                <w:sz w:val="6"/>
                <w:szCs w:val="6"/>
                <w:color w:val="auto"/>
              </w:rPr>
            </w:pPr>
          </w:p>
        </w:tc>
        <w:tc>
          <w:tcPr>
            <w:tcW w:w="120" w:type="dxa"/>
            <w:vAlign w:val="bottom"/>
            <w:tcBorders>
              <w:top w:val="single" w:sz="8" w:color="0000EE"/>
              <w:bottom w:val="single" w:sz="8" w:color="407CCA"/>
            </w:tcBorders>
          </w:tcPr>
          <w:p>
            <w:pPr>
              <w:spacing w:after="0"/>
              <w:rPr>
                <w:sz w:val="6"/>
                <w:szCs w:val="6"/>
                <w:color w:val="auto"/>
              </w:rPr>
            </w:pPr>
          </w:p>
        </w:tc>
        <w:tc>
          <w:tcPr>
            <w:tcW w:w="180" w:type="dxa"/>
            <w:vAlign w:val="bottom"/>
            <w:tcBorders>
              <w:top w:val="single" w:sz="8" w:color="0000EE"/>
              <w:bottom w:val="single" w:sz="8" w:color="407CCA"/>
            </w:tcBorders>
          </w:tcPr>
          <w:p>
            <w:pPr>
              <w:spacing w:after="0"/>
              <w:rPr>
                <w:sz w:val="6"/>
                <w:szCs w:val="6"/>
                <w:color w:val="auto"/>
              </w:rPr>
            </w:pPr>
          </w:p>
        </w:tc>
        <w:tc>
          <w:tcPr>
            <w:tcW w:w="840" w:type="dxa"/>
            <w:vAlign w:val="bottom"/>
            <w:tcBorders>
              <w:bottom w:val="single" w:sz="8" w:color="407CCA"/>
            </w:tcBorders>
          </w:tcPr>
          <w:p>
            <w:pPr>
              <w:spacing w:after="0"/>
              <w:rPr>
                <w:sz w:val="6"/>
                <w:szCs w:val="6"/>
                <w:color w:val="auto"/>
              </w:rPr>
            </w:pPr>
          </w:p>
        </w:tc>
        <w:tc>
          <w:tcPr>
            <w:tcW w:w="4020" w:type="dxa"/>
            <w:vAlign w:val="bottom"/>
            <w:tcBorders>
              <w:bottom w:val="single" w:sz="8" w:color="407CCA"/>
            </w:tcBorders>
          </w:tcPr>
          <w:p>
            <w:pPr>
              <w:spacing w:after="0"/>
              <w:rPr>
                <w:sz w:val="6"/>
                <w:szCs w:val="6"/>
                <w:color w:val="auto"/>
              </w:rPr>
            </w:pPr>
          </w:p>
        </w:tc>
        <w:tc>
          <w:tcPr>
            <w:tcW w:w="760" w:type="dxa"/>
            <w:vAlign w:val="bottom"/>
            <w:tcBorders>
              <w:bottom w:val="single" w:sz="8" w:color="407CCA"/>
            </w:tcBorders>
          </w:tcPr>
          <w:p>
            <w:pPr>
              <w:spacing w:after="0"/>
              <w:rPr>
                <w:sz w:val="6"/>
                <w:szCs w:val="6"/>
                <w:color w:val="auto"/>
              </w:rPr>
            </w:pPr>
          </w:p>
        </w:tc>
        <w:tc>
          <w:tcPr>
            <w:tcW w:w="360" w:type="dxa"/>
            <w:vAlign w:val="bottom"/>
            <w:tcBorders>
              <w:bottom w:val="single" w:sz="8" w:color="407CCA"/>
            </w:tcBorders>
          </w:tcPr>
          <w:p>
            <w:pPr>
              <w:spacing w:after="0"/>
              <w:rPr>
                <w:sz w:val="6"/>
                <w:szCs w:val="6"/>
                <w:color w:val="auto"/>
              </w:rPr>
            </w:pPr>
          </w:p>
        </w:tc>
      </w:tr>
      <w:tr>
        <w:trPr>
          <w:trHeight w:val="480"/>
        </w:trPr>
        <w:tc>
          <w:tcPr>
            <w:tcW w:w="20" w:type="dxa"/>
            <w:vAlign w:val="bottom"/>
            <w:tcBorders>
              <w:bottom w:val="single" w:sz="8" w:color="0000EE"/>
            </w:tcBorders>
          </w:tcPr>
          <w:p>
            <w:pPr>
              <w:spacing w:after="0"/>
              <w:rPr>
                <w:sz w:val="24"/>
                <w:szCs w:val="24"/>
                <w:color w:val="auto"/>
              </w:rPr>
            </w:pPr>
          </w:p>
        </w:tc>
        <w:tc>
          <w:tcPr>
            <w:tcW w:w="2580" w:type="dxa"/>
            <w:vAlign w:val="bottom"/>
            <w:tcBorders>
              <w:bottom w:val="single" w:sz="8" w:color="0000EE"/>
            </w:tcBorders>
            <w:gridSpan w:val="11"/>
          </w:tcPr>
          <w:p>
            <w:pPr>
              <w:ind w:left="80"/>
              <w:spacing w:after="0"/>
              <w:rPr>
                <w:rFonts w:ascii="Arial" w:cs="Arial" w:eastAsia="Arial" w:hAnsi="Arial"/>
                <w:sz w:val="18"/>
                <w:szCs w:val="18"/>
                <w:b w:val="1"/>
                <w:bCs w:val="1"/>
                <w:color w:val="0000EE"/>
                <w:w w:val="88"/>
              </w:rPr>
            </w:pPr>
            <w:hyperlink w:anchor="page20">
              <w:r>
                <w:rPr>
                  <w:rFonts w:ascii="Arial" w:cs="Arial" w:eastAsia="Arial" w:hAnsi="Arial"/>
                  <w:sz w:val="18"/>
                  <w:szCs w:val="18"/>
                  <w:b w:val="1"/>
                  <w:bCs w:val="1"/>
                  <w:color w:val="0000EE"/>
                  <w:w w:val="88"/>
                </w:rPr>
                <w:t>Proposal 1: Election of Directors</w:t>
              </w:r>
            </w:hyperlink>
          </w:p>
        </w:tc>
        <w:tc>
          <w:tcPr>
            <w:tcW w:w="8080" w:type="dxa"/>
            <w:vAlign w:val="bottom"/>
            <w:gridSpan w:val="18"/>
          </w:tcPr>
          <w:p>
            <w:pPr>
              <w:spacing w:after="0"/>
              <w:rPr>
                <w:sz w:val="24"/>
                <w:szCs w:val="24"/>
                <w:color w:val="auto"/>
              </w:rPr>
            </w:pPr>
          </w:p>
        </w:tc>
        <w:tc>
          <w:tcPr>
            <w:tcW w:w="360" w:type="dxa"/>
            <w:vAlign w:val="bottom"/>
          </w:tcPr>
          <w:p>
            <w:pPr>
              <w:jc w:val="right"/>
              <w:spacing w:after="0"/>
              <w:rPr>
                <w:sz w:val="20"/>
                <w:szCs w:val="20"/>
                <w:color w:val="auto"/>
              </w:rPr>
            </w:pPr>
            <w:r>
              <w:rPr>
                <w:rFonts w:ascii="Arial" w:cs="Arial" w:eastAsia="Arial" w:hAnsi="Arial"/>
                <w:sz w:val="18"/>
                <w:szCs w:val="18"/>
                <w:color w:val="auto"/>
              </w:rPr>
              <w:t>16</w:t>
            </w:r>
          </w:p>
        </w:tc>
      </w:tr>
      <w:tr>
        <w:trPr>
          <w:trHeight w:val="304"/>
        </w:trPr>
        <w:tc>
          <w:tcPr>
            <w:tcW w:w="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4280" w:type="dxa"/>
            <w:vAlign w:val="bottom"/>
            <w:tcBorders>
              <w:bottom w:val="single" w:sz="8" w:color="0000EE"/>
            </w:tcBorders>
            <w:gridSpan w:val="23"/>
          </w:tcPr>
          <w:p>
            <w:pPr>
              <w:spacing w:after="0"/>
              <w:rPr>
                <w:rFonts w:ascii="Arial" w:cs="Arial" w:eastAsia="Arial" w:hAnsi="Arial"/>
                <w:sz w:val="18"/>
                <w:szCs w:val="18"/>
                <w:color w:val="0000EE"/>
                <w:w w:val="91"/>
              </w:rPr>
            </w:pPr>
            <w:hyperlink w:anchor="page20">
              <w:r>
                <w:rPr>
                  <w:rFonts w:ascii="Arial" w:cs="Arial" w:eastAsia="Arial" w:hAnsi="Arial"/>
                  <w:sz w:val="18"/>
                  <w:szCs w:val="18"/>
                  <w:color w:val="0000EE"/>
                  <w:w w:val="91"/>
                </w:rPr>
                <w:t>Summary of our Board’s Industry and Functional Expertise</w:t>
              </w:r>
            </w:hyperlink>
          </w:p>
        </w:tc>
        <w:tc>
          <w:tcPr>
            <w:tcW w:w="5800" w:type="dxa"/>
            <w:vAlign w:val="bottom"/>
            <w:gridSpan w:val="4"/>
          </w:tcPr>
          <w:p>
            <w:pPr>
              <w:spacing w:after="0"/>
              <w:rPr>
                <w:sz w:val="24"/>
                <w:szCs w:val="24"/>
                <w:color w:val="auto"/>
              </w:rPr>
            </w:pPr>
          </w:p>
        </w:tc>
        <w:tc>
          <w:tcPr>
            <w:tcW w:w="360" w:type="dxa"/>
            <w:vAlign w:val="bottom"/>
          </w:tcPr>
          <w:p>
            <w:pPr>
              <w:jc w:val="right"/>
              <w:spacing w:after="0"/>
              <w:rPr>
                <w:sz w:val="20"/>
                <w:szCs w:val="20"/>
                <w:color w:val="auto"/>
              </w:rPr>
            </w:pPr>
            <w:r>
              <w:rPr>
                <w:rFonts w:ascii="Arial" w:cs="Arial" w:eastAsia="Arial" w:hAnsi="Arial"/>
                <w:sz w:val="18"/>
                <w:szCs w:val="18"/>
                <w:color w:val="auto"/>
              </w:rPr>
              <w:t>16</w:t>
            </w:r>
          </w:p>
        </w:tc>
      </w:tr>
      <w:tr>
        <w:trPr>
          <w:trHeight w:val="196"/>
        </w:trPr>
        <w:tc>
          <w:tcPr>
            <w:tcW w:w="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10080" w:type="dxa"/>
            <w:vAlign w:val="bottom"/>
            <w:gridSpan w:val="27"/>
          </w:tcPr>
          <w:p>
            <w:pPr>
              <w:spacing w:after="0" w:line="196" w:lineRule="exact"/>
              <w:rPr>
                <w:rFonts w:ascii="Arial" w:cs="Arial" w:eastAsia="Arial" w:hAnsi="Arial"/>
                <w:sz w:val="18"/>
                <w:szCs w:val="18"/>
                <w:color w:val="0000EE"/>
              </w:rPr>
            </w:pPr>
            <w:hyperlink w:anchor="page21">
              <w:r>
                <w:rPr>
                  <w:rFonts w:ascii="Arial" w:cs="Arial" w:eastAsia="Arial" w:hAnsi="Arial"/>
                  <w:sz w:val="18"/>
                  <w:szCs w:val="18"/>
                  <w:color w:val="0000EE"/>
                </w:rPr>
                <w:t>Director Nominee Biographies and Qualifications</w:t>
              </w:r>
            </w:hyperlink>
          </w:p>
        </w:tc>
        <w:tc>
          <w:tcPr>
            <w:tcW w:w="360" w:type="dxa"/>
            <w:vAlign w:val="bottom"/>
          </w:tcPr>
          <w:p>
            <w:pPr>
              <w:jc w:val="right"/>
              <w:spacing w:after="0" w:line="196" w:lineRule="exact"/>
              <w:rPr>
                <w:sz w:val="20"/>
                <w:szCs w:val="20"/>
                <w:color w:val="auto"/>
              </w:rPr>
            </w:pPr>
            <w:r>
              <w:rPr>
                <w:rFonts w:ascii="Arial" w:cs="Arial" w:eastAsia="Arial" w:hAnsi="Arial"/>
                <w:sz w:val="18"/>
                <w:szCs w:val="18"/>
                <w:color w:val="auto"/>
              </w:rPr>
              <w:t>17</w:t>
            </w:r>
          </w:p>
        </w:tc>
      </w:tr>
      <w:tr>
        <w:trPr>
          <w:trHeight w:val="196"/>
        </w:trPr>
        <w:tc>
          <w:tcPr>
            <w:tcW w:w="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3580" w:type="dxa"/>
            <w:vAlign w:val="bottom"/>
            <w:tcBorders>
              <w:top w:val="single" w:sz="8" w:color="0000EE"/>
            </w:tcBorders>
            <w:gridSpan w:val="21"/>
          </w:tcPr>
          <w:p>
            <w:pPr>
              <w:spacing w:after="0" w:line="196" w:lineRule="exact"/>
              <w:rPr>
                <w:rFonts w:ascii="Arial" w:cs="Arial" w:eastAsia="Arial" w:hAnsi="Arial"/>
                <w:sz w:val="18"/>
                <w:szCs w:val="18"/>
                <w:color w:val="0000EE"/>
                <w:w w:val="90"/>
              </w:rPr>
            </w:pPr>
            <w:hyperlink w:anchor="page24">
              <w:r>
                <w:rPr>
                  <w:rFonts w:ascii="Arial" w:cs="Arial" w:eastAsia="Arial" w:hAnsi="Arial"/>
                  <w:sz w:val="18"/>
                  <w:szCs w:val="18"/>
                  <w:color w:val="0000EE"/>
                  <w:w w:val="90"/>
                </w:rPr>
                <w:t>Conclusion and Recommendation; Vote Required</w:t>
              </w:r>
            </w:hyperlink>
          </w:p>
        </w:tc>
        <w:tc>
          <w:tcPr>
            <w:tcW w:w="6500" w:type="dxa"/>
            <w:vAlign w:val="bottom"/>
            <w:gridSpan w:val="6"/>
          </w:tcPr>
          <w:p>
            <w:pPr>
              <w:spacing w:after="0"/>
              <w:rPr>
                <w:sz w:val="17"/>
                <w:szCs w:val="17"/>
                <w:color w:val="auto"/>
              </w:rPr>
            </w:pPr>
          </w:p>
        </w:tc>
        <w:tc>
          <w:tcPr>
            <w:tcW w:w="360" w:type="dxa"/>
            <w:vAlign w:val="bottom"/>
          </w:tcPr>
          <w:p>
            <w:pPr>
              <w:jc w:val="right"/>
              <w:spacing w:after="0" w:line="196" w:lineRule="exact"/>
              <w:rPr>
                <w:sz w:val="20"/>
                <w:szCs w:val="20"/>
                <w:color w:val="auto"/>
              </w:rPr>
            </w:pPr>
            <w:r>
              <w:rPr>
                <w:rFonts w:ascii="Arial" w:cs="Arial" w:eastAsia="Arial" w:hAnsi="Arial"/>
                <w:sz w:val="18"/>
                <w:szCs w:val="18"/>
                <w:color w:val="auto"/>
              </w:rPr>
              <w:t>20</w:t>
            </w:r>
          </w:p>
        </w:tc>
      </w:tr>
      <w:tr>
        <w:trPr>
          <w:trHeight w:val="75"/>
        </w:trPr>
        <w:tc>
          <w:tcPr>
            <w:tcW w:w="20" w:type="dxa"/>
            <w:vAlign w:val="bottom"/>
          </w:tcPr>
          <w:p>
            <w:pPr>
              <w:spacing w:after="0"/>
              <w:rPr>
                <w:sz w:val="6"/>
                <w:szCs w:val="6"/>
                <w:color w:val="auto"/>
              </w:rPr>
            </w:pPr>
          </w:p>
        </w:tc>
        <w:tc>
          <w:tcPr>
            <w:tcW w:w="160" w:type="dxa"/>
            <w:vAlign w:val="bottom"/>
            <w:tcBorders>
              <w:bottom w:val="single" w:sz="8" w:color="407CCA"/>
            </w:tcBorders>
          </w:tcPr>
          <w:p>
            <w:pPr>
              <w:spacing w:after="0"/>
              <w:rPr>
                <w:sz w:val="6"/>
                <w:szCs w:val="6"/>
                <w:color w:val="auto"/>
              </w:rPr>
            </w:pPr>
          </w:p>
        </w:tc>
        <w:tc>
          <w:tcPr>
            <w:tcW w:w="420" w:type="dxa"/>
            <w:vAlign w:val="bottom"/>
            <w:tcBorders>
              <w:bottom w:val="single" w:sz="8" w:color="407CCA"/>
            </w:tcBorders>
          </w:tcPr>
          <w:p>
            <w:pPr>
              <w:spacing w:after="0"/>
              <w:rPr>
                <w:sz w:val="6"/>
                <w:szCs w:val="6"/>
                <w:color w:val="auto"/>
              </w:rPr>
            </w:pPr>
          </w:p>
        </w:tc>
        <w:tc>
          <w:tcPr>
            <w:tcW w:w="1120" w:type="dxa"/>
            <w:vAlign w:val="bottom"/>
            <w:tcBorders>
              <w:top w:val="single" w:sz="8" w:color="0000EE"/>
              <w:bottom w:val="single" w:sz="8" w:color="407CCA"/>
            </w:tcBorders>
          </w:tcPr>
          <w:p>
            <w:pPr>
              <w:spacing w:after="0"/>
              <w:rPr>
                <w:sz w:val="6"/>
                <w:szCs w:val="6"/>
                <w:color w:val="auto"/>
              </w:rPr>
            </w:pPr>
          </w:p>
        </w:tc>
        <w:tc>
          <w:tcPr>
            <w:tcW w:w="80" w:type="dxa"/>
            <w:vAlign w:val="bottom"/>
            <w:tcBorders>
              <w:top w:val="single" w:sz="8" w:color="0000EE"/>
              <w:bottom w:val="single" w:sz="8" w:color="407CCA"/>
            </w:tcBorders>
          </w:tcPr>
          <w:p>
            <w:pPr>
              <w:spacing w:after="0"/>
              <w:rPr>
                <w:sz w:val="6"/>
                <w:szCs w:val="6"/>
                <w:color w:val="auto"/>
              </w:rPr>
            </w:pPr>
          </w:p>
        </w:tc>
        <w:tc>
          <w:tcPr>
            <w:tcW w:w="280" w:type="dxa"/>
            <w:vAlign w:val="bottom"/>
            <w:tcBorders>
              <w:top w:val="single" w:sz="8" w:color="0000EE"/>
              <w:bottom w:val="single" w:sz="8" w:color="407CCA"/>
            </w:tcBorders>
          </w:tcPr>
          <w:p>
            <w:pPr>
              <w:spacing w:after="0"/>
              <w:rPr>
                <w:sz w:val="6"/>
                <w:szCs w:val="6"/>
                <w:color w:val="auto"/>
              </w:rPr>
            </w:pPr>
          </w:p>
        </w:tc>
        <w:tc>
          <w:tcPr>
            <w:tcW w:w="160" w:type="dxa"/>
            <w:vAlign w:val="bottom"/>
            <w:tcBorders>
              <w:top w:val="single" w:sz="8" w:color="0000EE"/>
              <w:bottom w:val="single" w:sz="8" w:color="407CCA"/>
            </w:tcBorders>
          </w:tcPr>
          <w:p>
            <w:pPr>
              <w:spacing w:after="0"/>
              <w:rPr>
                <w:sz w:val="6"/>
                <w:szCs w:val="6"/>
                <w:color w:val="auto"/>
              </w:rPr>
            </w:pPr>
          </w:p>
        </w:tc>
        <w:tc>
          <w:tcPr>
            <w:tcW w:w="40" w:type="dxa"/>
            <w:vAlign w:val="bottom"/>
            <w:tcBorders>
              <w:top w:val="single" w:sz="8" w:color="0000EE"/>
              <w:bottom w:val="single" w:sz="8" w:color="407CCA"/>
            </w:tcBorders>
          </w:tcPr>
          <w:p>
            <w:pPr>
              <w:spacing w:after="0"/>
              <w:rPr>
                <w:sz w:val="6"/>
                <w:szCs w:val="6"/>
                <w:color w:val="auto"/>
              </w:rPr>
            </w:pPr>
          </w:p>
        </w:tc>
        <w:tc>
          <w:tcPr>
            <w:tcW w:w="140" w:type="dxa"/>
            <w:vAlign w:val="bottom"/>
            <w:tcBorders>
              <w:top w:val="single" w:sz="8" w:color="0000EE"/>
              <w:bottom w:val="single" w:sz="8" w:color="407CCA"/>
            </w:tcBorders>
          </w:tcPr>
          <w:p>
            <w:pPr>
              <w:spacing w:after="0"/>
              <w:rPr>
                <w:sz w:val="6"/>
                <w:szCs w:val="6"/>
                <w:color w:val="auto"/>
              </w:rPr>
            </w:pPr>
          </w:p>
        </w:tc>
        <w:tc>
          <w:tcPr>
            <w:tcW w:w="120" w:type="dxa"/>
            <w:vAlign w:val="bottom"/>
            <w:tcBorders>
              <w:top w:val="single" w:sz="8" w:color="0000EE"/>
              <w:bottom w:val="single" w:sz="8" w:color="407CCA"/>
            </w:tcBorders>
          </w:tcPr>
          <w:p>
            <w:pPr>
              <w:spacing w:after="0"/>
              <w:rPr>
                <w:sz w:val="6"/>
                <w:szCs w:val="6"/>
                <w:color w:val="auto"/>
              </w:rPr>
            </w:pPr>
          </w:p>
        </w:tc>
        <w:tc>
          <w:tcPr>
            <w:tcW w:w="40" w:type="dxa"/>
            <w:vAlign w:val="bottom"/>
            <w:tcBorders>
              <w:top w:val="single" w:sz="8" w:color="0000EE"/>
              <w:bottom w:val="single" w:sz="8" w:color="407CCA"/>
            </w:tcBorders>
          </w:tcPr>
          <w:p>
            <w:pPr>
              <w:spacing w:after="0"/>
              <w:rPr>
                <w:sz w:val="6"/>
                <w:szCs w:val="6"/>
                <w:color w:val="auto"/>
              </w:rPr>
            </w:pPr>
          </w:p>
        </w:tc>
        <w:tc>
          <w:tcPr>
            <w:tcW w:w="20" w:type="dxa"/>
            <w:vAlign w:val="bottom"/>
            <w:tcBorders>
              <w:top w:val="single" w:sz="8" w:color="0000EE"/>
              <w:bottom w:val="single" w:sz="8" w:color="407CCA"/>
            </w:tcBorders>
          </w:tcPr>
          <w:p>
            <w:pPr>
              <w:spacing w:after="0"/>
              <w:rPr>
                <w:sz w:val="6"/>
                <w:szCs w:val="6"/>
                <w:color w:val="auto"/>
              </w:rPr>
            </w:pPr>
          </w:p>
        </w:tc>
        <w:tc>
          <w:tcPr>
            <w:tcW w:w="20" w:type="dxa"/>
            <w:vAlign w:val="bottom"/>
            <w:tcBorders>
              <w:top w:val="single" w:sz="8" w:color="0000EE"/>
              <w:bottom w:val="single" w:sz="8" w:color="407CCA"/>
            </w:tcBorders>
          </w:tcPr>
          <w:p>
            <w:pPr>
              <w:spacing w:after="0"/>
              <w:rPr>
                <w:sz w:val="6"/>
                <w:szCs w:val="6"/>
                <w:color w:val="auto"/>
              </w:rPr>
            </w:pPr>
          </w:p>
        </w:tc>
        <w:tc>
          <w:tcPr>
            <w:tcW w:w="20" w:type="dxa"/>
            <w:vAlign w:val="bottom"/>
            <w:tcBorders>
              <w:top w:val="single" w:sz="8" w:color="0000EE"/>
              <w:bottom w:val="single" w:sz="8" w:color="407CCA"/>
            </w:tcBorders>
          </w:tcPr>
          <w:p>
            <w:pPr>
              <w:spacing w:after="0"/>
              <w:rPr>
                <w:sz w:val="6"/>
                <w:szCs w:val="6"/>
                <w:color w:val="auto"/>
              </w:rPr>
            </w:pPr>
          </w:p>
        </w:tc>
        <w:tc>
          <w:tcPr>
            <w:tcW w:w="20" w:type="dxa"/>
            <w:vAlign w:val="bottom"/>
            <w:tcBorders>
              <w:top w:val="single" w:sz="8" w:color="0000EE"/>
              <w:bottom w:val="single" w:sz="8" w:color="407CCA"/>
            </w:tcBorders>
          </w:tcPr>
          <w:p>
            <w:pPr>
              <w:spacing w:after="0"/>
              <w:rPr>
                <w:sz w:val="6"/>
                <w:szCs w:val="6"/>
                <w:color w:val="auto"/>
              </w:rPr>
            </w:pPr>
          </w:p>
        </w:tc>
        <w:tc>
          <w:tcPr>
            <w:tcW w:w="40" w:type="dxa"/>
            <w:vAlign w:val="bottom"/>
            <w:tcBorders>
              <w:top w:val="single" w:sz="8" w:color="0000EE"/>
              <w:bottom w:val="single" w:sz="8" w:color="407CCA"/>
            </w:tcBorders>
          </w:tcPr>
          <w:p>
            <w:pPr>
              <w:spacing w:after="0"/>
              <w:rPr>
                <w:sz w:val="6"/>
                <w:szCs w:val="6"/>
                <w:color w:val="auto"/>
              </w:rPr>
            </w:pPr>
          </w:p>
        </w:tc>
        <w:tc>
          <w:tcPr>
            <w:tcW w:w="200" w:type="dxa"/>
            <w:vAlign w:val="bottom"/>
            <w:tcBorders>
              <w:top w:val="single" w:sz="8" w:color="0000EE"/>
              <w:bottom w:val="single" w:sz="8" w:color="407CCA"/>
            </w:tcBorders>
          </w:tcPr>
          <w:p>
            <w:pPr>
              <w:spacing w:after="0"/>
              <w:rPr>
                <w:sz w:val="6"/>
                <w:szCs w:val="6"/>
                <w:color w:val="auto"/>
              </w:rPr>
            </w:pPr>
          </w:p>
        </w:tc>
        <w:tc>
          <w:tcPr>
            <w:tcW w:w="100" w:type="dxa"/>
            <w:vAlign w:val="bottom"/>
            <w:tcBorders>
              <w:top w:val="single" w:sz="8" w:color="0000EE"/>
              <w:bottom w:val="single" w:sz="8" w:color="407CCA"/>
            </w:tcBorders>
          </w:tcPr>
          <w:p>
            <w:pPr>
              <w:spacing w:after="0"/>
              <w:rPr>
                <w:sz w:val="6"/>
                <w:szCs w:val="6"/>
                <w:color w:val="auto"/>
              </w:rPr>
            </w:pPr>
          </w:p>
        </w:tc>
        <w:tc>
          <w:tcPr>
            <w:tcW w:w="20" w:type="dxa"/>
            <w:vAlign w:val="bottom"/>
            <w:tcBorders>
              <w:top w:val="single" w:sz="8" w:color="0000EE"/>
              <w:bottom w:val="single" w:sz="8" w:color="407CCA"/>
            </w:tcBorders>
          </w:tcPr>
          <w:p>
            <w:pPr>
              <w:spacing w:after="0"/>
              <w:rPr>
                <w:sz w:val="6"/>
                <w:szCs w:val="6"/>
                <w:color w:val="auto"/>
              </w:rPr>
            </w:pPr>
          </w:p>
        </w:tc>
        <w:tc>
          <w:tcPr>
            <w:tcW w:w="300" w:type="dxa"/>
            <w:vAlign w:val="bottom"/>
            <w:tcBorders>
              <w:top w:val="single" w:sz="8" w:color="0000EE"/>
              <w:bottom w:val="single" w:sz="8" w:color="407CCA"/>
            </w:tcBorders>
          </w:tcPr>
          <w:p>
            <w:pPr>
              <w:spacing w:after="0"/>
              <w:rPr>
                <w:sz w:val="6"/>
                <w:szCs w:val="6"/>
                <w:color w:val="auto"/>
              </w:rPr>
            </w:pPr>
          </w:p>
        </w:tc>
        <w:tc>
          <w:tcPr>
            <w:tcW w:w="40" w:type="dxa"/>
            <w:vAlign w:val="bottom"/>
            <w:tcBorders>
              <w:top w:val="single" w:sz="8" w:color="0000EE"/>
              <w:bottom w:val="single" w:sz="8" w:color="407CCA"/>
            </w:tcBorders>
          </w:tcPr>
          <w:p>
            <w:pPr>
              <w:spacing w:after="0"/>
              <w:rPr>
                <w:sz w:val="6"/>
                <w:szCs w:val="6"/>
                <w:color w:val="auto"/>
              </w:rPr>
            </w:pPr>
          </w:p>
        </w:tc>
        <w:tc>
          <w:tcPr>
            <w:tcW w:w="300" w:type="dxa"/>
            <w:vAlign w:val="bottom"/>
            <w:tcBorders>
              <w:top w:val="single" w:sz="8" w:color="0000EE"/>
              <w:bottom w:val="single" w:sz="8" w:color="407CCA"/>
            </w:tcBorders>
          </w:tcPr>
          <w:p>
            <w:pPr>
              <w:spacing w:after="0"/>
              <w:rPr>
                <w:sz w:val="6"/>
                <w:szCs w:val="6"/>
                <w:color w:val="auto"/>
              </w:rPr>
            </w:pPr>
          </w:p>
        </w:tc>
        <w:tc>
          <w:tcPr>
            <w:tcW w:w="500" w:type="dxa"/>
            <w:vAlign w:val="bottom"/>
            <w:tcBorders>
              <w:top w:val="single" w:sz="8" w:color="0000EE"/>
              <w:bottom w:val="single" w:sz="8" w:color="407CCA"/>
            </w:tcBorders>
          </w:tcPr>
          <w:p>
            <w:pPr>
              <w:spacing w:after="0"/>
              <w:rPr>
                <w:sz w:val="6"/>
                <w:szCs w:val="6"/>
                <w:color w:val="auto"/>
              </w:rPr>
            </w:pPr>
          </w:p>
        </w:tc>
        <w:tc>
          <w:tcPr>
            <w:tcW w:w="20" w:type="dxa"/>
            <w:vAlign w:val="bottom"/>
            <w:tcBorders>
              <w:bottom w:val="single" w:sz="8" w:color="407CCA"/>
            </w:tcBorders>
          </w:tcPr>
          <w:p>
            <w:pPr>
              <w:spacing w:after="0"/>
              <w:rPr>
                <w:sz w:val="6"/>
                <w:szCs w:val="6"/>
                <w:color w:val="auto"/>
              </w:rPr>
            </w:pPr>
          </w:p>
        </w:tc>
        <w:tc>
          <w:tcPr>
            <w:tcW w:w="580" w:type="dxa"/>
            <w:vAlign w:val="bottom"/>
            <w:tcBorders>
              <w:bottom w:val="single" w:sz="8" w:color="407CCA"/>
            </w:tcBorders>
          </w:tcPr>
          <w:p>
            <w:pPr>
              <w:spacing w:after="0"/>
              <w:rPr>
                <w:sz w:val="6"/>
                <w:szCs w:val="6"/>
                <w:color w:val="auto"/>
              </w:rPr>
            </w:pPr>
          </w:p>
        </w:tc>
        <w:tc>
          <w:tcPr>
            <w:tcW w:w="120" w:type="dxa"/>
            <w:vAlign w:val="bottom"/>
            <w:tcBorders>
              <w:bottom w:val="single" w:sz="8" w:color="407CCA"/>
            </w:tcBorders>
          </w:tcPr>
          <w:p>
            <w:pPr>
              <w:spacing w:after="0"/>
              <w:rPr>
                <w:sz w:val="6"/>
                <w:szCs w:val="6"/>
                <w:color w:val="auto"/>
              </w:rPr>
            </w:pPr>
          </w:p>
        </w:tc>
        <w:tc>
          <w:tcPr>
            <w:tcW w:w="180" w:type="dxa"/>
            <w:vAlign w:val="bottom"/>
            <w:tcBorders>
              <w:bottom w:val="single" w:sz="8" w:color="407CCA"/>
            </w:tcBorders>
          </w:tcPr>
          <w:p>
            <w:pPr>
              <w:spacing w:after="0"/>
              <w:rPr>
                <w:sz w:val="6"/>
                <w:szCs w:val="6"/>
                <w:color w:val="auto"/>
              </w:rPr>
            </w:pPr>
          </w:p>
        </w:tc>
        <w:tc>
          <w:tcPr>
            <w:tcW w:w="840" w:type="dxa"/>
            <w:vAlign w:val="bottom"/>
            <w:tcBorders>
              <w:bottom w:val="single" w:sz="8" w:color="407CCA"/>
            </w:tcBorders>
          </w:tcPr>
          <w:p>
            <w:pPr>
              <w:spacing w:after="0"/>
              <w:rPr>
                <w:sz w:val="6"/>
                <w:szCs w:val="6"/>
                <w:color w:val="auto"/>
              </w:rPr>
            </w:pPr>
          </w:p>
        </w:tc>
        <w:tc>
          <w:tcPr>
            <w:tcW w:w="4020" w:type="dxa"/>
            <w:vAlign w:val="bottom"/>
            <w:tcBorders>
              <w:bottom w:val="single" w:sz="8" w:color="407CCA"/>
            </w:tcBorders>
          </w:tcPr>
          <w:p>
            <w:pPr>
              <w:spacing w:after="0"/>
              <w:rPr>
                <w:sz w:val="6"/>
                <w:szCs w:val="6"/>
                <w:color w:val="auto"/>
              </w:rPr>
            </w:pPr>
          </w:p>
        </w:tc>
        <w:tc>
          <w:tcPr>
            <w:tcW w:w="760" w:type="dxa"/>
            <w:vAlign w:val="bottom"/>
            <w:tcBorders>
              <w:bottom w:val="single" w:sz="8" w:color="407CCA"/>
            </w:tcBorders>
          </w:tcPr>
          <w:p>
            <w:pPr>
              <w:spacing w:after="0"/>
              <w:rPr>
                <w:sz w:val="6"/>
                <w:szCs w:val="6"/>
                <w:color w:val="auto"/>
              </w:rPr>
            </w:pPr>
          </w:p>
        </w:tc>
        <w:tc>
          <w:tcPr>
            <w:tcW w:w="360" w:type="dxa"/>
            <w:vAlign w:val="bottom"/>
            <w:tcBorders>
              <w:bottom w:val="single" w:sz="8" w:color="407CCA"/>
            </w:tcBorders>
          </w:tcPr>
          <w:p>
            <w:pPr>
              <w:spacing w:after="0"/>
              <w:rPr>
                <w:sz w:val="6"/>
                <w:szCs w:val="6"/>
                <w:color w:val="auto"/>
              </w:rPr>
            </w:pPr>
          </w:p>
        </w:tc>
      </w:tr>
      <w:tr>
        <w:trPr>
          <w:trHeight w:val="480"/>
        </w:trPr>
        <w:tc>
          <w:tcPr>
            <w:tcW w:w="20" w:type="dxa"/>
            <w:vAlign w:val="bottom"/>
          </w:tcPr>
          <w:p>
            <w:pPr>
              <w:spacing w:after="0"/>
              <w:rPr>
                <w:sz w:val="24"/>
                <w:szCs w:val="24"/>
                <w:color w:val="auto"/>
              </w:rPr>
            </w:pPr>
          </w:p>
        </w:tc>
        <w:tc>
          <w:tcPr>
            <w:tcW w:w="10660" w:type="dxa"/>
            <w:vAlign w:val="bottom"/>
            <w:gridSpan w:val="29"/>
          </w:tcPr>
          <w:p>
            <w:pPr>
              <w:ind w:left="120"/>
              <w:spacing w:after="0"/>
              <w:rPr>
                <w:rFonts w:ascii="Arial" w:cs="Arial" w:eastAsia="Arial" w:hAnsi="Arial"/>
                <w:sz w:val="18"/>
                <w:szCs w:val="18"/>
                <w:b w:val="1"/>
                <w:bCs w:val="1"/>
                <w:color w:val="0000EE"/>
                <w:w w:val="97"/>
              </w:rPr>
            </w:pPr>
            <w:hyperlink w:anchor="page25">
              <w:r>
                <w:rPr>
                  <w:rFonts w:ascii="Arial" w:cs="Arial" w:eastAsia="Arial" w:hAnsi="Arial"/>
                  <w:sz w:val="18"/>
                  <w:szCs w:val="18"/>
                  <w:b w:val="1"/>
                  <w:bCs w:val="1"/>
                  <w:color w:val="0000EE"/>
                  <w:w w:val="97"/>
                </w:rPr>
                <w:t>Proposal 2: Approval of the Amendment to Our Amended and Restated Certificate of Incorporation to Increase the Authorized</w:t>
              </w:r>
            </w:hyperlink>
          </w:p>
        </w:tc>
        <w:tc>
          <w:tcPr>
            <w:tcW w:w="360" w:type="dxa"/>
            <w:vAlign w:val="bottom"/>
          </w:tcPr>
          <w:p>
            <w:pPr>
              <w:spacing w:after="0"/>
              <w:rPr>
                <w:sz w:val="24"/>
                <w:szCs w:val="24"/>
                <w:color w:val="auto"/>
              </w:rPr>
            </w:pPr>
          </w:p>
        </w:tc>
      </w:tr>
      <w:tr>
        <w:trPr>
          <w:trHeight w:val="196"/>
        </w:trPr>
        <w:tc>
          <w:tcPr>
            <w:tcW w:w="20" w:type="dxa"/>
            <w:vAlign w:val="bottom"/>
            <w:tcBorders>
              <w:top w:val="single" w:sz="8" w:color="0000EE"/>
            </w:tcBorders>
          </w:tcPr>
          <w:p>
            <w:pPr>
              <w:spacing w:after="0"/>
              <w:rPr>
                <w:sz w:val="17"/>
                <w:szCs w:val="17"/>
                <w:color w:val="auto"/>
              </w:rPr>
            </w:pPr>
          </w:p>
        </w:tc>
        <w:tc>
          <w:tcPr>
            <w:tcW w:w="160" w:type="dxa"/>
            <w:vAlign w:val="bottom"/>
            <w:tcBorders>
              <w:top w:val="single" w:sz="8" w:color="0000EE"/>
            </w:tcBorders>
          </w:tcPr>
          <w:p>
            <w:pPr>
              <w:spacing w:after="0"/>
              <w:rPr>
                <w:sz w:val="17"/>
                <w:szCs w:val="17"/>
                <w:color w:val="auto"/>
              </w:rPr>
            </w:pPr>
          </w:p>
        </w:tc>
        <w:tc>
          <w:tcPr>
            <w:tcW w:w="9740" w:type="dxa"/>
            <w:vAlign w:val="bottom"/>
            <w:tcBorders>
              <w:top w:val="single" w:sz="8" w:color="0000EE"/>
            </w:tcBorders>
            <w:gridSpan w:val="27"/>
          </w:tcPr>
          <w:p>
            <w:pPr>
              <w:spacing w:after="0" w:line="196" w:lineRule="exact"/>
              <w:rPr>
                <w:rFonts w:ascii="Arial" w:cs="Arial" w:eastAsia="Arial" w:hAnsi="Arial"/>
                <w:sz w:val="18"/>
                <w:szCs w:val="18"/>
                <w:b w:val="1"/>
                <w:bCs w:val="1"/>
                <w:color w:val="0000EE"/>
              </w:rPr>
            </w:pPr>
            <w:hyperlink w:anchor="page25">
              <w:r>
                <w:rPr>
                  <w:rFonts w:ascii="Arial" w:cs="Arial" w:eastAsia="Arial" w:hAnsi="Arial"/>
                  <w:sz w:val="18"/>
                  <w:szCs w:val="18"/>
                  <w:b w:val="1"/>
                  <w:bCs w:val="1"/>
                  <w:color w:val="0000EE"/>
                </w:rPr>
                <w:t>Number of Shares of Common Stock</w:t>
              </w:r>
            </w:hyperlink>
          </w:p>
        </w:tc>
        <w:tc>
          <w:tcPr>
            <w:tcW w:w="760" w:type="dxa"/>
            <w:vAlign w:val="bottom"/>
          </w:tcPr>
          <w:p>
            <w:pPr>
              <w:spacing w:after="0"/>
              <w:rPr>
                <w:sz w:val="17"/>
                <w:szCs w:val="17"/>
                <w:color w:val="auto"/>
              </w:rPr>
            </w:pPr>
          </w:p>
        </w:tc>
        <w:tc>
          <w:tcPr>
            <w:tcW w:w="360" w:type="dxa"/>
            <w:vAlign w:val="bottom"/>
          </w:tcPr>
          <w:p>
            <w:pPr>
              <w:jc w:val="right"/>
              <w:spacing w:after="0" w:line="196" w:lineRule="exact"/>
              <w:rPr>
                <w:sz w:val="20"/>
                <w:szCs w:val="20"/>
                <w:color w:val="auto"/>
              </w:rPr>
            </w:pPr>
            <w:r>
              <w:rPr>
                <w:rFonts w:ascii="Arial" w:cs="Arial" w:eastAsia="Arial" w:hAnsi="Arial"/>
                <w:sz w:val="18"/>
                <w:szCs w:val="18"/>
                <w:color w:val="auto"/>
              </w:rPr>
              <w:t>21</w:t>
            </w:r>
          </w:p>
        </w:tc>
      </w:tr>
      <w:tr>
        <w:trPr>
          <w:trHeight w:val="304"/>
        </w:trPr>
        <w:tc>
          <w:tcPr>
            <w:tcW w:w="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20" w:type="dxa"/>
            <w:vAlign w:val="bottom"/>
            <w:tcBorders>
              <w:top w:val="single" w:sz="8" w:color="0000EE"/>
            </w:tcBorders>
          </w:tcPr>
          <w:p>
            <w:pPr>
              <w:spacing w:after="0"/>
              <w:rPr>
                <w:sz w:val="24"/>
                <w:szCs w:val="24"/>
                <w:color w:val="auto"/>
              </w:rPr>
            </w:pPr>
          </w:p>
        </w:tc>
        <w:tc>
          <w:tcPr>
            <w:tcW w:w="1480" w:type="dxa"/>
            <w:vAlign w:val="bottom"/>
            <w:tcBorders>
              <w:top w:val="single" w:sz="8" w:color="0000EE"/>
              <w:bottom w:val="single" w:sz="8" w:color="0000EE"/>
            </w:tcBorders>
            <w:gridSpan w:val="3"/>
          </w:tcPr>
          <w:p>
            <w:pPr>
              <w:spacing w:after="0"/>
              <w:rPr>
                <w:rFonts w:ascii="Arial" w:cs="Arial" w:eastAsia="Arial" w:hAnsi="Arial"/>
                <w:sz w:val="18"/>
                <w:szCs w:val="18"/>
                <w:color w:val="0000EE"/>
                <w:w w:val="91"/>
              </w:rPr>
            </w:pPr>
            <w:hyperlink w:anchor="page25">
              <w:r>
                <w:rPr>
                  <w:rFonts w:ascii="Arial" w:cs="Arial" w:eastAsia="Arial" w:hAnsi="Arial"/>
                  <w:sz w:val="18"/>
                  <w:szCs w:val="18"/>
                  <w:color w:val="0000EE"/>
                  <w:w w:val="91"/>
                </w:rPr>
                <w:t>General Information</w:t>
              </w:r>
            </w:hyperlink>
          </w:p>
        </w:tc>
        <w:tc>
          <w:tcPr>
            <w:tcW w:w="920" w:type="dxa"/>
            <w:vAlign w:val="bottom"/>
            <w:tcBorders>
              <w:top w:val="single" w:sz="8" w:color="0000EE"/>
            </w:tcBorders>
            <w:gridSpan w:val="12"/>
          </w:tcPr>
          <w:p>
            <w:pPr>
              <w:spacing w:after="0"/>
              <w:rPr>
                <w:sz w:val="24"/>
                <w:szCs w:val="24"/>
                <w:color w:val="auto"/>
              </w:rPr>
            </w:pPr>
          </w:p>
        </w:tc>
        <w:tc>
          <w:tcPr>
            <w:tcW w:w="7680" w:type="dxa"/>
            <w:vAlign w:val="bottom"/>
            <w:gridSpan w:val="12"/>
          </w:tcPr>
          <w:p>
            <w:pPr>
              <w:spacing w:after="0"/>
              <w:rPr>
                <w:sz w:val="24"/>
                <w:szCs w:val="24"/>
                <w:color w:val="auto"/>
              </w:rPr>
            </w:pPr>
          </w:p>
        </w:tc>
        <w:tc>
          <w:tcPr>
            <w:tcW w:w="360" w:type="dxa"/>
            <w:vAlign w:val="bottom"/>
          </w:tcPr>
          <w:p>
            <w:pPr>
              <w:jc w:val="right"/>
              <w:spacing w:after="0"/>
              <w:rPr>
                <w:sz w:val="20"/>
                <w:szCs w:val="20"/>
                <w:color w:val="auto"/>
              </w:rPr>
            </w:pPr>
            <w:r>
              <w:rPr>
                <w:rFonts w:ascii="Arial" w:cs="Arial" w:eastAsia="Arial" w:hAnsi="Arial"/>
                <w:sz w:val="18"/>
                <w:szCs w:val="18"/>
                <w:color w:val="auto"/>
              </w:rPr>
              <w:t>21</w:t>
            </w:r>
          </w:p>
        </w:tc>
      </w:tr>
      <w:tr>
        <w:trPr>
          <w:trHeight w:val="196"/>
        </w:trPr>
        <w:tc>
          <w:tcPr>
            <w:tcW w:w="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10080" w:type="dxa"/>
            <w:vAlign w:val="bottom"/>
            <w:gridSpan w:val="27"/>
          </w:tcPr>
          <w:p>
            <w:pPr>
              <w:spacing w:after="0" w:line="196" w:lineRule="exact"/>
              <w:rPr>
                <w:rFonts w:ascii="Arial" w:cs="Arial" w:eastAsia="Arial" w:hAnsi="Arial"/>
                <w:sz w:val="18"/>
                <w:szCs w:val="18"/>
                <w:color w:val="0000EE"/>
              </w:rPr>
            </w:pPr>
            <w:hyperlink w:anchor="page25">
              <w:r>
                <w:rPr>
                  <w:rFonts w:ascii="Arial" w:cs="Arial" w:eastAsia="Arial" w:hAnsi="Arial"/>
                  <w:sz w:val="18"/>
                  <w:szCs w:val="18"/>
                  <w:color w:val="0000EE"/>
                </w:rPr>
                <w:t>Background and Reasons</w:t>
              </w:r>
            </w:hyperlink>
          </w:p>
        </w:tc>
        <w:tc>
          <w:tcPr>
            <w:tcW w:w="360" w:type="dxa"/>
            <w:vAlign w:val="bottom"/>
          </w:tcPr>
          <w:p>
            <w:pPr>
              <w:jc w:val="right"/>
              <w:spacing w:after="0" w:line="196" w:lineRule="exact"/>
              <w:rPr>
                <w:sz w:val="20"/>
                <w:szCs w:val="20"/>
                <w:color w:val="auto"/>
              </w:rPr>
            </w:pPr>
            <w:r>
              <w:rPr>
                <w:rFonts w:ascii="Arial" w:cs="Arial" w:eastAsia="Arial" w:hAnsi="Arial"/>
                <w:sz w:val="18"/>
                <w:szCs w:val="18"/>
                <w:color w:val="auto"/>
              </w:rPr>
              <w:t>21</w:t>
            </w:r>
          </w:p>
        </w:tc>
      </w:tr>
      <w:tr>
        <w:trPr>
          <w:trHeight w:val="196"/>
        </w:trPr>
        <w:tc>
          <w:tcPr>
            <w:tcW w:w="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1120" w:type="dxa"/>
            <w:vAlign w:val="bottom"/>
            <w:tcBorders>
              <w:top w:val="single" w:sz="8" w:color="0000EE"/>
              <w:bottom w:val="single" w:sz="8" w:color="0000EE"/>
            </w:tcBorders>
          </w:tcPr>
          <w:p>
            <w:pPr>
              <w:spacing w:after="0" w:line="196" w:lineRule="exact"/>
              <w:rPr>
                <w:rFonts w:ascii="Arial" w:cs="Arial" w:eastAsia="Arial" w:hAnsi="Arial"/>
                <w:sz w:val="18"/>
                <w:szCs w:val="18"/>
                <w:color w:val="0000EE"/>
                <w:w w:val="90"/>
              </w:rPr>
            </w:pPr>
            <w:hyperlink w:anchor="page26">
              <w:r>
                <w:rPr>
                  <w:rFonts w:ascii="Arial" w:cs="Arial" w:eastAsia="Arial" w:hAnsi="Arial"/>
                  <w:sz w:val="18"/>
                  <w:szCs w:val="18"/>
                  <w:color w:val="0000EE"/>
                  <w:w w:val="90"/>
                </w:rPr>
                <w:t>Potential Effect</w:t>
              </w:r>
            </w:hyperlink>
          </w:p>
        </w:tc>
        <w:tc>
          <w:tcPr>
            <w:tcW w:w="700" w:type="dxa"/>
            <w:vAlign w:val="bottom"/>
            <w:tcBorders>
              <w:top w:val="single" w:sz="8" w:color="0000EE"/>
            </w:tcBorders>
            <w:gridSpan w:val="5"/>
          </w:tcPr>
          <w:p>
            <w:pPr>
              <w:spacing w:after="0"/>
              <w:rPr>
                <w:sz w:val="17"/>
                <w:szCs w:val="17"/>
                <w:color w:val="auto"/>
              </w:rPr>
            </w:pPr>
          </w:p>
        </w:tc>
        <w:tc>
          <w:tcPr>
            <w:tcW w:w="8260" w:type="dxa"/>
            <w:vAlign w:val="bottom"/>
            <w:gridSpan w:val="21"/>
          </w:tcPr>
          <w:p>
            <w:pPr>
              <w:spacing w:after="0"/>
              <w:rPr>
                <w:sz w:val="17"/>
                <w:szCs w:val="17"/>
                <w:color w:val="auto"/>
              </w:rPr>
            </w:pPr>
          </w:p>
        </w:tc>
        <w:tc>
          <w:tcPr>
            <w:tcW w:w="360" w:type="dxa"/>
            <w:vAlign w:val="bottom"/>
          </w:tcPr>
          <w:p>
            <w:pPr>
              <w:jc w:val="right"/>
              <w:spacing w:after="0" w:line="196" w:lineRule="exact"/>
              <w:rPr>
                <w:sz w:val="20"/>
                <w:szCs w:val="20"/>
                <w:color w:val="auto"/>
              </w:rPr>
            </w:pPr>
            <w:r>
              <w:rPr>
                <w:rFonts w:ascii="Arial" w:cs="Arial" w:eastAsia="Arial" w:hAnsi="Arial"/>
                <w:sz w:val="18"/>
                <w:szCs w:val="18"/>
                <w:color w:val="auto"/>
              </w:rPr>
              <w:t>22</w:t>
            </w:r>
          </w:p>
        </w:tc>
      </w:tr>
      <w:tr>
        <w:trPr>
          <w:trHeight w:val="196"/>
        </w:trPr>
        <w:tc>
          <w:tcPr>
            <w:tcW w:w="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10080" w:type="dxa"/>
            <w:vAlign w:val="bottom"/>
            <w:gridSpan w:val="27"/>
          </w:tcPr>
          <w:p>
            <w:pPr>
              <w:spacing w:after="0" w:line="196" w:lineRule="exact"/>
              <w:rPr>
                <w:rFonts w:ascii="Arial" w:cs="Arial" w:eastAsia="Arial" w:hAnsi="Arial"/>
                <w:sz w:val="18"/>
                <w:szCs w:val="18"/>
                <w:color w:val="0000EE"/>
              </w:rPr>
            </w:pPr>
            <w:hyperlink w:anchor="page27">
              <w:r>
                <w:rPr>
                  <w:rFonts w:ascii="Arial" w:cs="Arial" w:eastAsia="Arial" w:hAnsi="Arial"/>
                  <w:sz w:val="18"/>
                  <w:szCs w:val="18"/>
                  <w:color w:val="0000EE"/>
                </w:rPr>
                <w:t>Conclusion and Recommendation; Vote Required</w:t>
              </w:r>
            </w:hyperlink>
          </w:p>
        </w:tc>
        <w:tc>
          <w:tcPr>
            <w:tcW w:w="360" w:type="dxa"/>
            <w:vAlign w:val="bottom"/>
          </w:tcPr>
          <w:p>
            <w:pPr>
              <w:jc w:val="right"/>
              <w:spacing w:after="0" w:line="196" w:lineRule="exact"/>
              <w:rPr>
                <w:sz w:val="20"/>
                <w:szCs w:val="20"/>
                <w:color w:val="auto"/>
              </w:rPr>
            </w:pPr>
            <w:r>
              <w:rPr>
                <w:rFonts w:ascii="Arial" w:cs="Arial" w:eastAsia="Arial" w:hAnsi="Arial"/>
                <w:sz w:val="18"/>
                <w:szCs w:val="18"/>
                <w:color w:val="auto"/>
              </w:rPr>
              <w:t>23</w:t>
            </w:r>
          </w:p>
        </w:tc>
      </w:tr>
      <w:tr>
        <w:trPr>
          <w:trHeight w:val="75"/>
        </w:trPr>
        <w:tc>
          <w:tcPr>
            <w:tcW w:w="20" w:type="dxa"/>
            <w:vAlign w:val="bottom"/>
          </w:tcPr>
          <w:p>
            <w:pPr>
              <w:spacing w:after="0"/>
              <w:rPr>
                <w:sz w:val="6"/>
                <w:szCs w:val="6"/>
                <w:color w:val="auto"/>
              </w:rPr>
            </w:pPr>
          </w:p>
        </w:tc>
        <w:tc>
          <w:tcPr>
            <w:tcW w:w="160" w:type="dxa"/>
            <w:vAlign w:val="bottom"/>
            <w:tcBorders>
              <w:bottom w:val="single" w:sz="8" w:color="407CCA"/>
            </w:tcBorders>
          </w:tcPr>
          <w:p>
            <w:pPr>
              <w:spacing w:after="0"/>
              <w:rPr>
                <w:sz w:val="6"/>
                <w:szCs w:val="6"/>
                <w:color w:val="auto"/>
              </w:rPr>
            </w:pPr>
          </w:p>
        </w:tc>
        <w:tc>
          <w:tcPr>
            <w:tcW w:w="420" w:type="dxa"/>
            <w:vAlign w:val="bottom"/>
            <w:tcBorders>
              <w:bottom w:val="single" w:sz="8" w:color="407CCA"/>
            </w:tcBorders>
          </w:tcPr>
          <w:p>
            <w:pPr>
              <w:spacing w:after="0"/>
              <w:rPr>
                <w:sz w:val="6"/>
                <w:szCs w:val="6"/>
                <w:color w:val="auto"/>
              </w:rPr>
            </w:pPr>
          </w:p>
        </w:tc>
        <w:tc>
          <w:tcPr>
            <w:tcW w:w="1120" w:type="dxa"/>
            <w:vAlign w:val="bottom"/>
            <w:tcBorders>
              <w:top w:val="single" w:sz="8" w:color="0000EE"/>
              <w:bottom w:val="single" w:sz="8" w:color="407CCA"/>
            </w:tcBorders>
          </w:tcPr>
          <w:p>
            <w:pPr>
              <w:spacing w:after="0"/>
              <w:rPr>
                <w:sz w:val="6"/>
                <w:szCs w:val="6"/>
                <w:color w:val="auto"/>
              </w:rPr>
            </w:pPr>
          </w:p>
        </w:tc>
        <w:tc>
          <w:tcPr>
            <w:tcW w:w="80" w:type="dxa"/>
            <w:vAlign w:val="bottom"/>
            <w:tcBorders>
              <w:top w:val="single" w:sz="8" w:color="0000EE"/>
              <w:bottom w:val="single" w:sz="8" w:color="407CCA"/>
            </w:tcBorders>
          </w:tcPr>
          <w:p>
            <w:pPr>
              <w:spacing w:after="0"/>
              <w:rPr>
                <w:sz w:val="6"/>
                <w:szCs w:val="6"/>
                <w:color w:val="auto"/>
              </w:rPr>
            </w:pPr>
          </w:p>
        </w:tc>
        <w:tc>
          <w:tcPr>
            <w:tcW w:w="280" w:type="dxa"/>
            <w:vAlign w:val="bottom"/>
            <w:tcBorders>
              <w:top w:val="single" w:sz="8" w:color="0000EE"/>
              <w:bottom w:val="single" w:sz="8" w:color="407CCA"/>
            </w:tcBorders>
          </w:tcPr>
          <w:p>
            <w:pPr>
              <w:spacing w:after="0"/>
              <w:rPr>
                <w:sz w:val="6"/>
                <w:szCs w:val="6"/>
                <w:color w:val="auto"/>
              </w:rPr>
            </w:pPr>
          </w:p>
        </w:tc>
        <w:tc>
          <w:tcPr>
            <w:tcW w:w="160" w:type="dxa"/>
            <w:vAlign w:val="bottom"/>
            <w:tcBorders>
              <w:top w:val="single" w:sz="8" w:color="0000EE"/>
              <w:bottom w:val="single" w:sz="8" w:color="407CCA"/>
            </w:tcBorders>
          </w:tcPr>
          <w:p>
            <w:pPr>
              <w:spacing w:after="0"/>
              <w:rPr>
                <w:sz w:val="6"/>
                <w:szCs w:val="6"/>
                <w:color w:val="auto"/>
              </w:rPr>
            </w:pPr>
          </w:p>
        </w:tc>
        <w:tc>
          <w:tcPr>
            <w:tcW w:w="40" w:type="dxa"/>
            <w:vAlign w:val="bottom"/>
            <w:tcBorders>
              <w:top w:val="single" w:sz="8" w:color="0000EE"/>
              <w:bottom w:val="single" w:sz="8" w:color="407CCA"/>
            </w:tcBorders>
          </w:tcPr>
          <w:p>
            <w:pPr>
              <w:spacing w:after="0"/>
              <w:rPr>
                <w:sz w:val="6"/>
                <w:szCs w:val="6"/>
                <w:color w:val="auto"/>
              </w:rPr>
            </w:pPr>
          </w:p>
        </w:tc>
        <w:tc>
          <w:tcPr>
            <w:tcW w:w="140" w:type="dxa"/>
            <w:vAlign w:val="bottom"/>
            <w:tcBorders>
              <w:top w:val="single" w:sz="8" w:color="0000EE"/>
              <w:bottom w:val="single" w:sz="8" w:color="407CCA"/>
            </w:tcBorders>
          </w:tcPr>
          <w:p>
            <w:pPr>
              <w:spacing w:after="0"/>
              <w:rPr>
                <w:sz w:val="6"/>
                <w:szCs w:val="6"/>
                <w:color w:val="auto"/>
              </w:rPr>
            </w:pPr>
          </w:p>
        </w:tc>
        <w:tc>
          <w:tcPr>
            <w:tcW w:w="120" w:type="dxa"/>
            <w:vAlign w:val="bottom"/>
            <w:tcBorders>
              <w:top w:val="single" w:sz="8" w:color="0000EE"/>
              <w:bottom w:val="single" w:sz="8" w:color="407CCA"/>
            </w:tcBorders>
          </w:tcPr>
          <w:p>
            <w:pPr>
              <w:spacing w:after="0"/>
              <w:rPr>
                <w:sz w:val="6"/>
                <w:szCs w:val="6"/>
                <w:color w:val="auto"/>
              </w:rPr>
            </w:pPr>
          </w:p>
        </w:tc>
        <w:tc>
          <w:tcPr>
            <w:tcW w:w="40" w:type="dxa"/>
            <w:vAlign w:val="bottom"/>
            <w:tcBorders>
              <w:top w:val="single" w:sz="8" w:color="0000EE"/>
              <w:bottom w:val="single" w:sz="8" w:color="407CCA"/>
            </w:tcBorders>
          </w:tcPr>
          <w:p>
            <w:pPr>
              <w:spacing w:after="0"/>
              <w:rPr>
                <w:sz w:val="6"/>
                <w:szCs w:val="6"/>
                <w:color w:val="auto"/>
              </w:rPr>
            </w:pPr>
          </w:p>
        </w:tc>
        <w:tc>
          <w:tcPr>
            <w:tcW w:w="20" w:type="dxa"/>
            <w:vAlign w:val="bottom"/>
            <w:tcBorders>
              <w:top w:val="single" w:sz="8" w:color="0000EE"/>
              <w:bottom w:val="single" w:sz="8" w:color="407CCA"/>
            </w:tcBorders>
          </w:tcPr>
          <w:p>
            <w:pPr>
              <w:spacing w:after="0"/>
              <w:rPr>
                <w:sz w:val="6"/>
                <w:szCs w:val="6"/>
                <w:color w:val="auto"/>
              </w:rPr>
            </w:pPr>
          </w:p>
        </w:tc>
        <w:tc>
          <w:tcPr>
            <w:tcW w:w="20" w:type="dxa"/>
            <w:vAlign w:val="bottom"/>
            <w:tcBorders>
              <w:top w:val="single" w:sz="8" w:color="0000EE"/>
              <w:bottom w:val="single" w:sz="8" w:color="407CCA"/>
            </w:tcBorders>
          </w:tcPr>
          <w:p>
            <w:pPr>
              <w:spacing w:after="0"/>
              <w:rPr>
                <w:sz w:val="6"/>
                <w:szCs w:val="6"/>
                <w:color w:val="auto"/>
              </w:rPr>
            </w:pPr>
          </w:p>
        </w:tc>
        <w:tc>
          <w:tcPr>
            <w:tcW w:w="20" w:type="dxa"/>
            <w:vAlign w:val="bottom"/>
            <w:tcBorders>
              <w:top w:val="single" w:sz="8" w:color="0000EE"/>
              <w:bottom w:val="single" w:sz="8" w:color="407CCA"/>
            </w:tcBorders>
          </w:tcPr>
          <w:p>
            <w:pPr>
              <w:spacing w:after="0"/>
              <w:rPr>
                <w:sz w:val="6"/>
                <w:szCs w:val="6"/>
                <w:color w:val="auto"/>
              </w:rPr>
            </w:pPr>
          </w:p>
        </w:tc>
        <w:tc>
          <w:tcPr>
            <w:tcW w:w="20" w:type="dxa"/>
            <w:vAlign w:val="bottom"/>
            <w:tcBorders>
              <w:top w:val="single" w:sz="8" w:color="0000EE"/>
              <w:bottom w:val="single" w:sz="8" w:color="407CCA"/>
            </w:tcBorders>
          </w:tcPr>
          <w:p>
            <w:pPr>
              <w:spacing w:after="0"/>
              <w:rPr>
                <w:sz w:val="6"/>
                <w:szCs w:val="6"/>
                <w:color w:val="auto"/>
              </w:rPr>
            </w:pPr>
          </w:p>
        </w:tc>
        <w:tc>
          <w:tcPr>
            <w:tcW w:w="40" w:type="dxa"/>
            <w:vAlign w:val="bottom"/>
            <w:tcBorders>
              <w:top w:val="single" w:sz="8" w:color="0000EE"/>
              <w:bottom w:val="single" w:sz="8" w:color="407CCA"/>
            </w:tcBorders>
          </w:tcPr>
          <w:p>
            <w:pPr>
              <w:spacing w:after="0"/>
              <w:rPr>
                <w:sz w:val="6"/>
                <w:szCs w:val="6"/>
                <w:color w:val="auto"/>
              </w:rPr>
            </w:pPr>
          </w:p>
        </w:tc>
        <w:tc>
          <w:tcPr>
            <w:tcW w:w="200" w:type="dxa"/>
            <w:vAlign w:val="bottom"/>
            <w:tcBorders>
              <w:top w:val="single" w:sz="8" w:color="0000EE"/>
              <w:bottom w:val="single" w:sz="8" w:color="407CCA"/>
            </w:tcBorders>
          </w:tcPr>
          <w:p>
            <w:pPr>
              <w:spacing w:after="0"/>
              <w:rPr>
                <w:sz w:val="6"/>
                <w:szCs w:val="6"/>
                <w:color w:val="auto"/>
              </w:rPr>
            </w:pPr>
          </w:p>
        </w:tc>
        <w:tc>
          <w:tcPr>
            <w:tcW w:w="100" w:type="dxa"/>
            <w:vAlign w:val="bottom"/>
            <w:tcBorders>
              <w:top w:val="single" w:sz="8" w:color="0000EE"/>
              <w:bottom w:val="single" w:sz="8" w:color="407CCA"/>
            </w:tcBorders>
          </w:tcPr>
          <w:p>
            <w:pPr>
              <w:spacing w:after="0"/>
              <w:rPr>
                <w:sz w:val="6"/>
                <w:szCs w:val="6"/>
                <w:color w:val="auto"/>
              </w:rPr>
            </w:pPr>
          </w:p>
        </w:tc>
        <w:tc>
          <w:tcPr>
            <w:tcW w:w="20" w:type="dxa"/>
            <w:vAlign w:val="bottom"/>
            <w:tcBorders>
              <w:top w:val="single" w:sz="8" w:color="0000EE"/>
              <w:bottom w:val="single" w:sz="8" w:color="407CCA"/>
            </w:tcBorders>
          </w:tcPr>
          <w:p>
            <w:pPr>
              <w:spacing w:after="0"/>
              <w:rPr>
                <w:sz w:val="6"/>
                <w:szCs w:val="6"/>
                <w:color w:val="auto"/>
              </w:rPr>
            </w:pPr>
          </w:p>
        </w:tc>
        <w:tc>
          <w:tcPr>
            <w:tcW w:w="300" w:type="dxa"/>
            <w:vAlign w:val="bottom"/>
            <w:tcBorders>
              <w:top w:val="single" w:sz="8" w:color="0000EE"/>
              <w:bottom w:val="single" w:sz="8" w:color="407CCA"/>
            </w:tcBorders>
          </w:tcPr>
          <w:p>
            <w:pPr>
              <w:spacing w:after="0"/>
              <w:rPr>
                <w:sz w:val="6"/>
                <w:szCs w:val="6"/>
                <w:color w:val="auto"/>
              </w:rPr>
            </w:pPr>
          </w:p>
        </w:tc>
        <w:tc>
          <w:tcPr>
            <w:tcW w:w="40" w:type="dxa"/>
            <w:vAlign w:val="bottom"/>
            <w:tcBorders>
              <w:top w:val="single" w:sz="8" w:color="0000EE"/>
              <w:bottom w:val="single" w:sz="8" w:color="407CCA"/>
            </w:tcBorders>
          </w:tcPr>
          <w:p>
            <w:pPr>
              <w:spacing w:after="0"/>
              <w:rPr>
                <w:sz w:val="6"/>
                <w:szCs w:val="6"/>
                <w:color w:val="auto"/>
              </w:rPr>
            </w:pPr>
          </w:p>
        </w:tc>
        <w:tc>
          <w:tcPr>
            <w:tcW w:w="300" w:type="dxa"/>
            <w:vAlign w:val="bottom"/>
            <w:tcBorders>
              <w:top w:val="single" w:sz="8" w:color="0000EE"/>
              <w:bottom w:val="single" w:sz="8" w:color="407CCA"/>
            </w:tcBorders>
          </w:tcPr>
          <w:p>
            <w:pPr>
              <w:spacing w:after="0"/>
              <w:rPr>
                <w:sz w:val="6"/>
                <w:szCs w:val="6"/>
                <w:color w:val="auto"/>
              </w:rPr>
            </w:pPr>
          </w:p>
        </w:tc>
        <w:tc>
          <w:tcPr>
            <w:tcW w:w="500" w:type="dxa"/>
            <w:vAlign w:val="bottom"/>
            <w:tcBorders>
              <w:top w:val="single" w:sz="8" w:color="0000EE"/>
              <w:bottom w:val="single" w:sz="8" w:color="407CCA"/>
            </w:tcBorders>
          </w:tcPr>
          <w:p>
            <w:pPr>
              <w:spacing w:after="0"/>
              <w:rPr>
                <w:sz w:val="6"/>
                <w:szCs w:val="6"/>
                <w:color w:val="auto"/>
              </w:rPr>
            </w:pPr>
          </w:p>
        </w:tc>
        <w:tc>
          <w:tcPr>
            <w:tcW w:w="20" w:type="dxa"/>
            <w:vAlign w:val="bottom"/>
            <w:tcBorders>
              <w:bottom w:val="single" w:sz="8" w:color="407CCA"/>
            </w:tcBorders>
          </w:tcPr>
          <w:p>
            <w:pPr>
              <w:spacing w:after="0"/>
              <w:rPr>
                <w:sz w:val="6"/>
                <w:szCs w:val="6"/>
                <w:color w:val="auto"/>
              </w:rPr>
            </w:pPr>
          </w:p>
        </w:tc>
        <w:tc>
          <w:tcPr>
            <w:tcW w:w="580" w:type="dxa"/>
            <w:vAlign w:val="bottom"/>
            <w:tcBorders>
              <w:bottom w:val="single" w:sz="8" w:color="407CCA"/>
            </w:tcBorders>
          </w:tcPr>
          <w:p>
            <w:pPr>
              <w:spacing w:after="0"/>
              <w:rPr>
                <w:sz w:val="6"/>
                <w:szCs w:val="6"/>
                <w:color w:val="auto"/>
              </w:rPr>
            </w:pPr>
          </w:p>
        </w:tc>
        <w:tc>
          <w:tcPr>
            <w:tcW w:w="120" w:type="dxa"/>
            <w:vAlign w:val="bottom"/>
            <w:tcBorders>
              <w:bottom w:val="single" w:sz="8" w:color="407CCA"/>
            </w:tcBorders>
          </w:tcPr>
          <w:p>
            <w:pPr>
              <w:spacing w:after="0"/>
              <w:rPr>
                <w:sz w:val="6"/>
                <w:szCs w:val="6"/>
                <w:color w:val="auto"/>
              </w:rPr>
            </w:pPr>
          </w:p>
        </w:tc>
        <w:tc>
          <w:tcPr>
            <w:tcW w:w="180" w:type="dxa"/>
            <w:vAlign w:val="bottom"/>
            <w:tcBorders>
              <w:bottom w:val="single" w:sz="8" w:color="407CCA"/>
            </w:tcBorders>
          </w:tcPr>
          <w:p>
            <w:pPr>
              <w:spacing w:after="0"/>
              <w:rPr>
                <w:sz w:val="6"/>
                <w:szCs w:val="6"/>
                <w:color w:val="auto"/>
              </w:rPr>
            </w:pPr>
          </w:p>
        </w:tc>
        <w:tc>
          <w:tcPr>
            <w:tcW w:w="840" w:type="dxa"/>
            <w:vAlign w:val="bottom"/>
            <w:tcBorders>
              <w:bottom w:val="single" w:sz="8" w:color="407CCA"/>
            </w:tcBorders>
          </w:tcPr>
          <w:p>
            <w:pPr>
              <w:spacing w:after="0"/>
              <w:rPr>
                <w:sz w:val="6"/>
                <w:szCs w:val="6"/>
                <w:color w:val="auto"/>
              </w:rPr>
            </w:pPr>
          </w:p>
        </w:tc>
        <w:tc>
          <w:tcPr>
            <w:tcW w:w="4020" w:type="dxa"/>
            <w:vAlign w:val="bottom"/>
            <w:tcBorders>
              <w:bottom w:val="single" w:sz="8" w:color="407CCA"/>
            </w:tcBorders>
          </w:tcPr>
          <w:p>
            <w:pPr>
              <w:spacing w:after="0"/>
              <w:rPr>
                <w:sz w:val="6"/>
                <w:szCs w:val="6"/>
                <w:color w:val="auto"/>
              </w:rPr>
            </w:pPr>
          </w:p>
        </w:tc>
        <w:tc>
          <w:tcPr>
            <w:tcW w:w="760" w:type="dxa"/>
            <w:vAlign w:val="bottom"/>
            <w:tcBorders>
              <w:bottom w:val="single" w:sz="8" w:color="407CCA"/>
            </w:tcBorders>
          </w:tcPr>
          <w:p>
            <w:pPr>
              <w:spacing w:after="0"/>
              <w:rPr>
                <w:sz w:val="6"/>
                <w:szCs w:val="6"/>
                <w:color w:val="auto"/>
              </w:rPr>
            </w:pPr>
          </w:p>
        </w:tc>
        <w:tc>
          <w:tcPr>
            <w:tcW w:w="360" w:type="dxa"/>
            <w:vAlign w:val="bottom"/>
            <w:tcBorders>
              <w:bottom w:val="single" w:sz="8" w:color="407CCA"/>
            </w:tcBorders>
          </w:tcPr>
          <w:p>
            <w:pPr>
              <w:spacing w:after="0"/>
              <w:rPr>
                <w:sz w:val="6"/>
                <w:szCs w:val="6"/>
                <w:color w:val="auto"/>
              </w:rPr>
            </w:pPr>
          </w:p>
        </w:tc>
      </w:tr>
      <w:tr>
        <w:trPr>
          <w:trHeight w:val="480"/>
        </w:trPr>
        <w:tc>
          <w:tcPr>
            <w:tcW w:w="20" w:type="dxa"/>
            <w:vAlign w:val="bottom"/>
          </w:tcPr>
          <w:p>
            <w:pPr>
              <w:spacing w:after="0"/>
              <w:rPr>
                <w:sz w:val="24"/>
                <w:szCs w:val="24"/>
                <w:color w:val="auto"/>
              </w:rPr>
            </w:pPr>
          </w:p>
        </w:tc>
        <w:tc>
          <w:tcPr>
            <w:tcW w:w="10660" w:type="dxa"/>
            <w:vAlign w:val="bottom"/>
            <w:gridSpan w:val="29"/>
          </w:tcPr>
          <w:p>
            <w:pPr>
              <w:ind w:left="80"/>
              <w:spacing w:after="0"/>
              <w:rPr>
                <w:rFonts w:ascii="Arial" w:cs="Arial" w:eastAsia="Arial" w:hAnsi="Arial"/>
                <w:sz w:val="18"/>
                <w:szCs w:val="18"/>
                <w:b w:val="1"/>
                <w:bCs w:val="1"/>
                <w:color w:val="0000EE"/>
              </w:rPr>
            </w:pPr>
            <w:hyperlink w:anchor="page28">
              <w:r>
                <w:rPr>
                  <w:rFonts w:ascii="Arial" w:cs="Arial" w:eastAsia="Arial" w:hAnsi="Arial"/>
                  <w:sz w:val="18"/>
                  <w:szCs w:val="18"/>
                  <w:b w:val="1"/>
                  <w:bCs w:val="1"/>
                  <w:color w:val="0000EE"/>
                </w:rPr>
                <w:t>Proposal 3: Advisory Resolution on Executive Compensation</w:t>
              </w:r>
            </w:hyperlink>
          </w:p>
        </w:tc>
        <w:tc>
          <w:tcPr>
            <w:tcW w:w="360" w:type="dxa"/>
            <w:vAlign w:val="bottom"/>
          </w:tcPr>
          <w:p>
            <w:pPr>
              <w:jc w:val="right"/>
              <w:spacing w:after="0"/>
              <w:rPr>
                <w:sz w:val="20"/>
                <w:szCs w:val="20"/>
                <w:color w:val="auto"/>
              </w:rPr>
            </w:pPr>
            <w:r>
              <w:rPr>
                <w:rFonts w:ascii="Arial" w:cs="Arial" w:eastAsia="Arial" w:hAnsi="Arial"/>
                <w:sz w:val="18"/>
                <w:szCs w:val="18"/>
                <w:color w:val="auto"/>
              </w:rPr>
              <w:t>24</w:t>
            </w:r>
          </w:p>
        </w:tc>
      </w:tr>
      <w:tr>
        <w:trPr>
          <w:trHeight w:val="304"/>
        </w:trPr>
        <w:tc>
          <w:tcPr>
            <w:tcW w:w="20" w:type="dxa"/>
            <w:vAlign w:val="bottom"/>
            <w:tcBorders>
              <w:top w:val="single" w:sz="8" w:color="0000EE"/>
            </w:tcBorders>
          </w:tcPr>
          <w:p>
            <w:pPr>
              <w:spacing w:after="0"/>
              <w:rPr>
                <w:sz w:val="24"/>
                <w:szCs w:val="24"/>
                <w:color w:val="auto"/>
              </w:rPr>
            </w:pPr>
          </w:p>
        </w:tc>
        <w:tc>
          <w:tcPr>
            <w:tcW w:w="160" w:type="dxa"/>
            <w:vAlign w:val="bottom"/>
            <w:tcBorders>
              <w:top w:val="single" w:sz="8" w:color="0000EE"/>
            </w:tcBorders>
          </w:tcPr>
          <w:p>
            <w:pPr>
              <w:spacing w:after="0"/>
              <w:rPr>
                <w:sz w:val="24"/>
                <w:szCs w:val="24"/>
                <w:color w:val="auto"/>
              </w:rPr>
            </w:pPr>
          </w:p>
        </w:tc>
        <w:tc>
          <w:tcPr>
            <w:tcW w:w="420" w:type="dxa"/>
            <w:vAlign w:val="bottom"/>
            <w:tcBorders>
              <w:top w:val="single" w:sz="8" w:color="0000EE"/>
            </w:tcBorders>
          </w:tcPr>
          <w:p>
            <w:pPr>
              <w:spacing w:after="0"/>
              <w:rPr>
                <w:sz w:val="24"/>
                <w:szCs w:val="24"/>
                <w:color w:val="auto"/>
              </w:rPr>
            </w:pPr>
          </w:p>
        </w:tc>
        <w:tc>
          <w:tcPr>
            <w:tcW w:w="1480" w:type="dxa"/>
            <w:vAlign w:val="bottom"/>
            <w:tcBorders>
              <w:top w:val="single" w:sz="8" w:color="0000EE"/>
              <w:bottom w:val="single" w:sz="8" w:color="0000EE"/>
            </w:tcBorders>
            <w:gridSpan w:val="3"/>
          </w:tcPr>
          <w:p>
            <w:pPr>
              <w:spacing w:after="0"/>
              <w:rPr>
                <w:rFonts w:ascii="Arial" w:cs="Arial" w:eastAsia="Arial" w:hAnsi="Arial"/>
                <w:sz w:val="18"/>
                <w:szCs w:val="18"/>
                <w:color w:val="0000EE"/>
                <w:w w:val="91"/>
              </w:rPr>
            </w:pPr>
            <w:hyperlink w:anchor="page28">
              <w:r>
                <w:rPr>
                  <w:rFonts w:ascii="Arial" w:cs="Arial" w:eastAsia="Arial" w:hAnsi="Arial"/>
                  <w:sz w:val="18"/>
                  <w:szCs w:val="18"/>
                  <w:color w:val="0000EE"/>
                  <w:w w:val="91"/>
                </w:rPr>
                <w:t>General Information</w:t>
              </w:r>
            </w:hyperlink>
          </w:p>
        </w:tc>
        <w:tc>
          <w:tcPr>
            <w:tcW w:w="2680" w:type="dxa"/>
            <w:vAlign w:val="bottom"/>
            <w:tcBorders>
              <w:top w:val="single" w:sz="8" w:color="0000EE"/>
            </w:tcBorders>
            <w:gridSpan w:val="19"/>
          </w:tcPr>
          <w:p>
            <w:pPr>
              <w:spacing w:after="0"/>
              <w:rPr>
                <w:sz w:val="24"/>
                <w:szCs w:val="24"/>
                <w:color w:val="auto"/>
              </w:rPr>
            </w:pPr>
          </w:p>
        </w:tc>
        <w:tc>
          <w:tcPr>
            <w:tcW w:w="5920" w:type="dxa"/>
            <w:vAlign w:val="bottom"/>
            <w:gridSpan w:val="5"/>
          </w:tcPr>
          <w:p>
            <w:pPr>
              <w:spacing w:after="0"/>
              <w:rPr>
                <w:sz w:val="24"/>
                <w:szCs w:val="24"/>
                <w:color w:val="auto"/>
              </w:rPr>
            </w:pPr>
          </w:p>
        </w:tc>
        <w:tc>
          <w:tcPr>
            <w:tcW w:w="360" w:type="dxa"/>
            <w:vAlign w:val="bottom"/>
          </w:tcPr>
          <w:p>
            <w:pPr>
              <w:jc w:val="right"/>
              <w:spacing w:after="0"/>
              <w:rPr>
                <w:sz w:val="20"/>
                <w:szCs w:val="20"/>
                <w:color w:val="auto"/>
              </w:rPr>
            </w:pPr>
            <w:r>
              <w:rPr>
                <w:rFonts w:ascii="Arial" w:cs="Arial" w:eastAsia="Arial" w:hAnsi="Arial"/>
                <w:sz w:val="18"/>
                <w:szCs w:val="18"/>
                <w:color w:val="auto"/>
              </w:rPr>
              <w:t>24</w:t>
            </w:r>
          </w:p>
        </w:tc>
      </w:tr>
      <w:tr>
        <w:trPr>
          <w:trHeight w:val="196"/>
        </w:trPr>
        <w:tc>
          <w:tcPr>
            <w:tcW w:w="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10080" w:type="dxa"/>
            <w:vAlign w:val="bottom"/>
            <w:gridSpan w:val="27"/>
          </w:tcPr>
          <w:p>
            <w:pPr>
              <w:spacing w:after="0" w:line="196" w:lineRule="exact"/>
              <w:rPr>
                <w:rFonts w:ascii="Arial" w:cs="Arial" w:eastAsia="Arial" w:hAnsi="Arial"/>
                <w:sz w:val="18"/>
                <w:szCs w:val="18"/>
                <w:color w:val="0000EE"/>
              </w:rPr>
            </w:pPr>
            <w:hyperlink w:anchor="page28">
              <w:r>
                <w:rPr>
                  <w:rFonts w:ascii="Arial" w:cs="Arial" w:eastAsia="Arial" w:hAnsi="Arial"/>
                  <w:sz w:val="18"/>
                  <w:szCs w:val="18"/>
                  <w:color w:val="0000EE"/>
                </w:rPr>
                <w:t>Conclusion and Recommendation; Vote Required</w:t>
              </w:r>
            </w:hyperlink>
          </w:p>
        </w:tc>
        <w:tc>
          <w:tcPr>
            <w:tcW w:w="360" w:type="dxa"/>
            <w:vAlign w:val="bottom"/>
          </w:tcPr>
          <w:p>
            <w:pPr>
              <w:jc w:val="right"/>
              <w:spacing w:after="0" w:line="196" w:lineRule="exact"/>
              <w:rPr>
                <w:sz w:val="20"/>
                <w:szCs w:val="20"/>
                <w:color w:val="auto"/>
              </w:rPr>
            </w:pPr>
            <w:r>
              <w:rPr>
                <w:rFonts w:ascii="Arial" w:cs="Arial" w:eastAsia="Arial" w:hAnsi="Arial"/>
                <w:sz w:val="18"/>
                <w:szCs w:val="18"/>
                <w:color w:val="auto"/>
              </w:rPr>
              <w:t>24</w:t>
            </w:r>
          </w:p>
        </w:tc>
      </w:tr>
      <w:tr>
        <w:trPr>
          <w:trHeight w:val="75"/>
        </w:trPr>
        <w:tc>
          <w:tcPr>
            <w:tcW w:w="20" w:type="dxa"/>
            <w:vAlign w:val="bottom"/>
          </w:tcPr>
          <w:p>
            <w:pPr>
              <w:spacing w:after="0"/>
              <w:rPr>
                <w:sz w:val="6"/>
                <w:szCs w:val="6"/>
                <w:color w:val="auto"/>
              </w:rPr>
            </w:pPr>
          </w:p>
        </w:tc>
        <w:tc>
          <w:tcPr>
            <w:tcW w:w="160" w:type="dxa"/>
            <w:vAlign w:val="bottom"/>
            <w:tcBorders>
              <w:bottom w:val="single" w:sz="8" w:color="407CCA"/>
            </w:tcBorders>
          </w:tcPr>
          <w:p>
            <w:pPr>
              <w:spacing w:after="0"/>
              <w:rPr>
                <w:sz w:val="6"/>
                <w:szCs w:val="6"/>
                <w:color w:val="auto"/>
              </w:rPr>
            </w:pPr>
          </w:p>
        </w:tc>
        <w:tc>
          <w:tcPr>
            <w:tcW w:w="420" w:type="dxa"/>
            <w:vAlign w:val="bottom"/>
            <w:tcBorders>
              <w:bottom w:val="single" w:sz="8" w:color="407CCA"/>
            </w:tcBorders>
          </w:tcPr>
          <w:p>
            <w:pPr>
              <w:spacing w:after="0"/>
              <w:rPr>
                <w:sz w:val="6"/>
                <w:szCs w:val="6"/>
                <w:color w:val="auto"/>
              </w:rPr>
            </w:pPr>
          </w:p>
        </w:tc>
        <w:tc>
          <w:tcPr>
            <w:tcW w:w="1120" w:type="dxa"/>
            <w:vAlign w:val="bottom"/>
            <w:tcBorders>
              <w:top w:val="single" w:sz="8" w:color="0000EE"/>
              <w:bottom w:val="single" w:sz="8" w:color="407CCA"/>
            </w:tcBorders>
          </w:tcPr>
          <w:p>
            <w:pPr>
              <w:spacing w:after="0"/>
              <w:rPr>
                <w:sz w:val="6"/>
                <w:szCs w:val="6"/>
                <w:color w:val="auto"/>
              </w:rPr>
            </w:pPr>
          </w:p>
        </w:tc>
        <w:tc>
          <w:tcPr>
            <w:tcW w:w="80" w:type="dxa"/>
            <w:vAlign w:val="bottom"/>
            <w:tcBorders>
              <w:top w:val="single" w:sz="8" w:color="0000EE"/>
              <w:bottom w:val="single" w:sz="8" w:color="407CCA"/>
            </w:tcBorders>
          </w:tcPr>
          <w:p>
            <w:pPr>
              <w:spacing w:after="0"/>
              <w:rPr>
                <w:sz w:val="6"/>
                <w:szCs w:val="6"/>
                <w:color w:val="auto"/>
              </w:rPr>
            </w:pPr>
          </w:p>
        </w:tc>
        <w:tc>
          <w:tcPr>
            <w:tcW w:w="280" w:type="dxa"/>
            <w:vAlign w:val="bottom"/>
            <w:tcBorders>
              <w:top w:val="single" w:sz="8" w:color="0000EE"/>
              <w:bottom w:val="single" w:sz="8" w:color="407CCA"/>
            </w:tcBorders>
          </w:tcPr>
          <w:p>
            <w:pPr>
              <w:spacing w:after="0"/>
              <w:rPr>
                <w:sz w:val="6"/>
                <w:szCs w:val="6"/>
                <w:color w:val="auto"/>
              </w:rPr>
            </w:pPr>
          </w:p>
        </w:tc>
        <w:tc>
          <w:tcPr>
            <w:tcW w:w="160" w:type="dxa"/>
            <w:vAlign w:val="bottom"/>
            <w:tcBorders>
              <w:top w:val="single" w:sz="8" w:color="0000EE"/>
              <w:bottom w:val="single" w:sz="8" w:color="407CCA"/>
            </w:tcBorders>
          </w:tcPr>
          <w:p>
            <w:pPr>
              <w:spacing w:after="0"/>
              <w:rPr>
                <w:sz w:val="6"/>
                <w:szCs w:val="6"/>
                <w:color w:val="auto"/>
              </w:rPr>
            </w:pPr>
          </w:p>
        </w:tc>
        <w:tc>
          <w:tcPr>
            <w:tcW w:w="40" w:type="dxa"/>
            <w:vAlign w:val="bottom"/>
            <w:tcBorders>
              <w:top w:val="single" w:sz="8" w:color="0000EE"/>
              <w:bottom w:val="single" w:sz="8" w:color="407CCA"/>
            </w:tcBorders>
          </w:tcPr>
          <w:p>
            <w:pPr>
              <w:spacing w:after="0"/>
              <w:rPr>
                <w:sz w:val="6"/>
                <w:szCs w:val="6"/>
                <w:color w:val="auto"/>
              </w:rPr>
            </w:pPr>
          </w:p>
        </w:tc>
        <w:tc>
          <w:tcPr>
            <w:tcW w:w="140" w:type="dxa"/>
            <w:vAlign w:val="bottom"/>
            <w:tcBorders>
              <w:top w:val="single" w:sz="8" w:color="0000EE"/>
              <w:bottom w:val="single" w:sz="8" w:color="407CCA"/>
            </w:tcBorders>
          </w:tcPr>
          <w:p>
            <w:pPr>
              <w:spacing w:after="0"/>
              <w:rPr>
                <w:sz w:val="6"/>
                <w:szCs w:val="6"/>
                <w:color w:val="auto"/>
              </w:rPr>
            </w:pPr>
          </w:p>
        </w:tc>
        <w:tc>
          <w:tcPr>
            <w:tcW w:w="120" w:type="dxa"/>
            <w:vAlign w:val="bottom"/>
            <w:tcBorders>
              <w:top w:val="single" w:sz="8" w:color="0000EE"/>
              <w:bottom w:val="single" w:sz="8" w:color="407CCA"/>
            </w:tcBorders>
          </w:tcPr>
          <w:p>
            <w:pPr>
              <w:spacing w:after="0"/>
              <w:rPr>
                <w:sz w:val="6"/>
                <w:szCs w:val="6"/>
                <w:color w:val="auto"/>
              </w:rPr>
            </w:pPr>
          </w:p>
        </w:tc>
        <w:tc>
          <w:tcPr>
            <w:tcW w:w="40" w:type="dxa"/>
            <w:vAlign w:val="bottom"/>
            <w:tcBorders>
              <w:top w:val="single" w:sz="8" w:color="0000EE"/>
              <w:bottom w:val="single" w:sz="8" w:color="407CCA"/>
            </w:tcBorders>
          </w:tcPr>
          <w:p>
            <w:pPr>
              <w:spacing w:after="0"/>
              <w:rPr>
                <w:sz w:val="6"/>
                <w:szCs w:val="6"/>
                <w:color w:val="auto"/>
              </w:rPr>
            </w:pPr>
          </w:p>
        </w:tc>
        <w:tc>
          <w:tcPr>
            <w:tcW w:w="20" w:type="dxa"/>
            <w:vAlign w:val="bottom"/>
            <w:tcBorders>
              <w:top w:val="single" w:sz="8" w:color="0000EE"/>
              <w:bottom w:val="single" w:sz="8" w:color="407CCA"/>
            </w:tcBorders>
          </w:tcPr>
          <w:p>
            <w:pPr>
              <w:spacing w:after="0"/>
              <w:rPr>
                <w:sz w:val="6"/>
                <w:szCs w:val="6"/>
                <w:color w:val="auto"/>
              </w:rPr>
            </w:pPr>
          </w:p>
        </w:tc>
        <w:tc>
          <w:tcPr>
            <w:tcW w:w="20" w:type="dxa"/>
            <w:vAlign w:val="bottom"/>
            <w:tcBorders>
              <w:top w:val="single" w:sz="8" w:color="0000EE"/>
              <w:bottom w:val="single" w:sz="8" w:color="407CCA"/>
            </w:tcBorders>
          </w:tcPr>
          <w:p>
            <w:pPr>
              <w:spacing w:after="0"/>
              <w:rPr>
                <w:sz w:val="6"/>
                <w:szCs w:val="6"/>
                <w:color w:val="auto"/>
              </w:rPr>
            </w:pPr>
          </w:p>
        </w:tc>
        <w:tc>
          <w:tcPr>
            <w:tcW w:w="20" w:type="dxa"/>
            <w:vAlign w:val="bottom"/>
            <w:tcBorders>
              <w:top w:val="single" w:sz="8" w:color="0000EE"/>
              <w:bottom w:val="single" w:sz="8" w:color="407CCA"/>
            </w:tcBorders>
          </w:tcPr>
          <w:p>
            <w:pPr>
              <w:spacing w:after="0"/>
              <w:rPr>
                <w:sz w:val="6"/>
                <w:szCs w:val="6"/>
                <w:color w:val="auto"/>
              </w:rPr>
            </w:pPr>
          </w:p>
        </w:tc>
        <w:tc>
          <w:tcPr>
            <w:tcW w:w="20" w:type="dxa"/>
            <w:vAlign w:val="bottom"/>
            <w:tcBorders>
              <w:top w:val="single" w:sz="8" w:color="0000EE"/>
              <w:bottom w:val="single" w:sz="8" w:color="407CCA"/>
            </w:tcBorders>
          </w:tcPr>
          <w:p>
            <w:pPr>
              <w:spacing w:after="0"/>
              <w:rPr>
                <w:sz w:val="6"/>
                <w:szCs w:val="6"/>
                <w:color w:val="auto"/>
              </w:rPr>
            </w:pPr>
          </w:p>
        </w:tc>
        <w:tc>
          <w:tcPr>
            <w:tcW w:w="40" w:type="dxa"/>
            <w:vAlign w:val="bottom"/>
            <w:tcBorders>
              <w:top w:val="single" w:sz="8" w:color="0000EE"/>
              <w:bottom w:val="single" w:sz="8" w:color="407CCA"/>
            </w:tcBorders>
          </w:tcPr>
          <w:p>
            <w:pPr>
              <w:spacing w:after="0"/>
              <w:rPr>
                <w:sz w:val="6"/>
                <w:szCs w:val="6"/>
                <w:color w:val="auto"/>
              </w:rPr>
            </w:pPr>
          </w:p>
        </w:tc>
        <w:tc>
          <w:tcPr>
            <w:tcW w:w="200" w:type="dxa"/>
            <w:vAlign w:val="bottom"/>
            <w:tcBorders>
              <w:top w:val="single" w:sz="8" w:color="0000EE"/>
              <w:bottom w:val="single" w:sz="8" w:color="407CCA"/>
            </w:tcBorders>
          </w:tcPr>
          <w:p>
            <w:pPr>
              <w:spacing w:after="0"/>
              <w:rPr>
                <w:sz w:val="6"/>
                <w:szCs w:val="6"/>
                <w:color w:val="auto"/>
              </w:rPr>
            </w:pPr>
          </w:p>
        </w:tc>
        <w:tc>
          <w:tcPr>
            <w:tcW w:w="100" w:type="dxa"/>
            <w:vAlign w:val="bottom"/>
            <w:tcBorders>
              <w:top w:val="single" w:sz="8" w:color="0000EE"/>
              <w:bottom w:val="single" w:sz="8" w:color="407CCA"/>
            </w:tcBorders>
          </w:tcPr>
          <w:p>
            <w:pPr>
              <w:spacing w:after="0"/>
              <w:rPr>
                <w:sz w:val="6"/>
                <w:szCs w:val="6"/>
                <w:color w:val="auto"/>
              </w:rPr>
            </w:pPr>
          </w:p>
        </w:tc>
        <w:tc>
          <w:tcPr>
            <w:tcW w:w="20" w:type="dxa"/>
            <w:vAlign w:val="bottom"/>
            <w:tcBorders>
              <w:top w:val="single" w:sz="8" w:color="0000EE"/>
              <w:bottom w:val="single" w:sz="8" w:color="407CCA"/>
            </w:tcBorders>
          </w:tcPr>
          <w:p>
            <w:pPr>
              <w:spacing w:after="0"/>
              <w:rPr>
                <w:sz w:val="6"/>
                <w:szCs w:val="6"/>
                <w:color w:val="auto"/>
              </w:rPr>
            </w:pPr>
          </w:p>
        </w:tc>
        <w:tc>
          <w:tcPr>
            <w:tcW w:w="300" w:type="dxa"/>
            <w:vAlign w:val="bottom"/>
            <w:tcBorders>
              <w:top w:val="single" w:sz="8" w:color="0000EE"/>
              <w:bottom w:val="single" w:sz="8" w:color="407CCA"/>
            </w:tcBorders>
          </w:tcPr>
          <w:p>
            <w:pPr>
              <w:spacing w:after="0"/>
              <w:rPr>
                <w:sz w:val="6"/>
                <w:szCs w:val="6"/>
                <w:color w:val="auto"/>
              </w:rPr>
            </w:pPr>
          </w:p>
        </w:tc>
        <w:tc>
          <w:tcPr>
            <w:tcW w:w="40" w:type="dxa"/>
            <w:vAlign w:val="bottom"/>
            <w:tcBorders>
              <w:top w:val="single" w:sz="8" w:color="0000EE"/>
              <w:bottom w:val="single" w:sz="8" w:color="407CCA"/>
            </w:tcBorders>
          </w:tcPr>
          <w:p>
            <w:pPr>
              <w:spacing w:after="0"/>
              <w:rPr>
                <w:sz w:val="6"/>
                <w:szCs w:val="6"/>
                <w:color w:val="auto"/>
              </w:rPr>
            </w:pPr>
          </w:p>
        </w:tc>
        <w:tc>
          <w:tcPr>
            <w:tcW w:w="300" w:type="dxa"/>
            <w:vAlign w:val="bottom"/>
            <w:tcBorders>
              <w:top w:val="single" w:sz="8" w:color="0000EE"/>
              <w:bottom w:val="single" w:sz="8" w:color="407CCA"/>
            </w:tcBorders>
          </w:tcPr>
          <w:p>
            <w:pPr>
              <w:spacing w:after="0"/>
              <w:rPr>
                <w:sz w:val="6"/>
                <w:szCs w:val="6"/>
                <w:color w:val="auto"/>
              </w:rPr>
            </w:pPr>
          </w:p>
        </w:tc>
        <w:tc>
          <w:tcPr>
            <w:tcW w:w="500" w:type="dxa"/>
            <w:vAlign w:val="bottom"/>
            <w:tcBorders>
              <w:top w:val="single" w:sz="8" w:color="0000EE"/>
              <w:bottom w:val="single" w:sz="8" w:color="407CCA"/>
            </w:tcBorders>
          </w:tcPr>
          <w:p>
            <w:pPr>
              <w:spacing w:after="0"/>
              <w:rPr>
                <w:sz w:val="6"/>
                <w:szCs w:val="6"/>
                <w:color w:val="auto"/>
              </w:rPr>
            </w:pPr>
          </w:p>
        </w:tc>
        <w:tc>
          <w:tcPr>
            <w:tcW w:w="20" w:type="dxa"/>
            <w:vAlign w:val="bottom"/>
            <w:tcBorders>
              <w:bottom w:val="single" w:sz="8" w:color="407CCA"/>
            </w:tcBorders>
          </w:tcPr>
          <w:p>
            <w:pPr>
              <w:spacing w:after="0"/>
              <w:rPr>
                <w:sz w:val="6"/>
                <w:szCs w:val="6"/>
                <w:color w:val="auto"/>
              </w:rPr>
            </w:pPr>
          </w:p>
        </w:tc>
        <w:tc>
          <w:tcPr>
            <w:tcW w:w="580" w:type="dxa"/>
            <w:vAlign w:val="bottom"/>
            <w:tcBorders>
              <w:bottom w:val="single" w:sz="8" w:color="407CCA"/>
            </w:tcBorders>
          </w:tcPr>
          <w:p>
            <w:pPr>
              <w:spacing w:after="0"/>
              <w:rPr>
                <w:sz w:val="6"/>
                <w:szCs w:val="6"/>
                <w:color w:val="auto"/>
              </w:rPr>
            </w:pPr>
          </w:p>
        </w:tc>
        <w:tc>
          <w:tcPr>
            <w:tcW w:w="120" w:type="dxa"/>
            <w:vAlign w:val="bottom"/>
            <w:tcBorders>
              <w:bottom w:val="single" w:sz="8" w:color="407CCA"/>
            </w:tcBorders>
          </w:tcPr>
          <w:p>
            <w:pPr>
              <w:spacing w:after="0"/>
              <w:rPr>
                <w:sz w:val="6"/>
                <w:szCs w:val="6"/>
                <w:color w:val="auto"/>
              </w:rPr>
            </w:pPr>
          </w:p>
        </w:tc>
        <w:tc>
          <w:tcPr>
            <w:tcW w:w="180" w:type="dxa"/>
            <w:vAlign w:val="bottom"/>
            <w:tcBorders>
              <w:bottom w:val="single" w:sz="8" w:color="407CCA"/>
            </w:tcBorders>
          </w:tcPr>
          <w:p>
            <w:pPr>
              <w:spacing w:after="0"/>
              <w:rPr>
                <w:sz w:val="6"/>
                <w:szCs w:val="6"/>
                <w:color w:val="auto"/>
              </w:rPr>
            </w:pPr>
          </w:p>
        </w:tc>
        <w:tc>
          <w:tcPr>
            <w:tcW w:w="840" w:type="dxa"/>
            <w:vAlign w:val="bottom"/>
            <w:tcBorders>
              <w:bottom w:val="single" w:sz="8" w:color="407CCA"/>
            </w:tcBorders>
          </w:tcPr>
          <w:p>
            <w:pPr>
              <w:spacing w:after="0"/>
              <w:rPr>
                <w:sz w:val="6"/>
                <w:szCs w:val="6"/>
                <w:color w:val="auto"/>
              </w:rPr>
            </w:pPr>
          </w:p>
        </w:tc>
        <w:tc>
          <w:tcPr>
            <w:tcW w:w="4020" w:type="dxa"/>
            <w:vAlign w:val="bottom"/>
            <w:tcBorders>
              <w:bottom w:val="single" w:sz="8" w:color="407CCA"/>
            </w:tcBorders>
          </w:tcPr>
          <w:p>
            <w:pPr>
              <w:spacing w:after="0"/>
              <w:rPr>
                <w:sz w:val="6"/>
                <w:szCs w:val="6"/>
                <w:color w:val="auto"/>
              </w:rPr>
            </w:pPr>
          </w:p>
        </w:tc>
        <w:tc>
          <w:tcPr>
            <w:tcW w:w="760" w:type="dxa"/>
            <w:vAlign w:val="bottom"/>
            <w:tcBorders>
              <w:bottom w:val="single" w:sz="8" w:color="407CCA"/>
            </w:tcBorders>
          </w:tcPr>
          <w:p>
            <w:pPr>
              <w:spacing w:after="0"/>
              <w:rPr>
                <w:sz w:val="6"/>
                <w:szCs w:val="6"/>
                <w:color w:val="auto"/>
              </w:rPr>
            </w:pPr>
          </w:p>
        </w:tc>
        <w:tc>
          <w:tcPr>
            <w:tcW w:w="360" w:type="dxa"/>
            <w:vAlign w:val="bottom"/>
            <w:tcBorders>
              <w:bottom w:val="single" w:sz="8" w:color="407CCA"/>
            </w:tcBorders>
          </w:tcPr>
          <w:p>
            <w:pPr>
              <w:spacing w:after="0"/>
              <w:rPr>
                <w:sz w:val="6"/>
                <w:szCs w:val="6"/>
                <w:color w:val="auto"/>
              </w:rPr>
            </w:pPr>
          </w:p>
        </w:tc>
      </w:tr>
      <w:tr>
        <w:trPr>
          <w:trHeight w:val="480"/>
        </w:trPr>
        <w:tc>
          <w:tcPr>
            <w:tcW w:w="20" w:type="dxa"/>
            <w:vAlign w:val="bottom"/>
          </w:tcPr>
          <w:p>
            <w:pPr>
              <w:spacing w:after="0"/>
              <w:rPr>
                <w:sz w:val="24"/>
                <w:szCs w:val="24"/>
                <w:color w:val="auto"/>
              </w:rPr>
            </w:pPr>
          </w:p>
        </w:tc>
        <w:tc>
          <w:tcPr>
            <w:tcW w:w="10660" w:type="dxa"/>
            <w:vAlign w:val="bottom"/>
            <w:gridSpan w:val="29"/>
          </w:tcPr>
          <w:p>
            <w:pPr>
              <w:ind w:left="120"/>
              <w:spacing w:after="0"/>
              <w:rPr>
                <w:rFonts w:ascii="Arial" w:cs="Arial" w:eastAsia="Arial" w:hAnsi="Arial"/>
                <w:sz w:val="18"/>
                <w:szCs w:val="18"/>
                <w:b w:val="1"/>
                <w:bCs w:val="1"/>
                <w:color w:val="0000EE"/>
              </w:rPr>
            </w:pPr>
            <w:hyperlink w:anchor="page29">
              <w:r>
                <w:rPr>
                  <w:rFonts w:ascii="Arial" w:cs="Arial" w:eastAsia="Arial" w:hAnsi="Arial"/>
                  <w:sz w:val="18"/>
                  <w:szCs w:val="18"/>
                  <w:b w:val="1"/>
                  <w:bCs w:val="1"/>
                  <w:color w:val="0000EE"/>
                </w:rPr>
                <w:t>Proposal 4: Ratification of Appointment of Independent Public Accountant</w:t>
              </w:r>
            </w:hyperlink>
          </w:p>
        </w:tc>
        <w:tc>
          <w:tcPr>
            <w:tcW w:w="360" w:type="dxa"/>
            <w:vAlign w:val="bottom"/>
          </w:tcPr>
          <w:p>
            <w:pPr>
              <w:jc w:val="right"/>
              <w:spacing w:after="0"/>
              <w:rPr>
                <w:sz w:val="20"/>
                <w:szCs w:val="20"/>
                <w:color w:val="auto"/>
              </w:rPr>
            </w:pPr>
            <w:r>
              <w:rPr>
                <w:rFonts w:ascii="Arial" w:cs="Arial" w:eastAsia="Arial" w:hAnsi="Arial"/>
                <w:sz w:val="18"/>
                <w:szCs w:val="18"/>
                <w:color w:val="auto"/>
              </w:rPr>
              <w:t>25</w:t>
            </w:r>
          </w:p>
        </w:tc>
      </w:tr>
      <w:tr>
        <w:trPr>
          <w:trHeight w:val="304"/>
        </w:trPr>
        <w:tc>
          <w:tcPr>
            <w:tcW w:w="20" w:type="dxa"/>
            <w:vAlign w:val="bottom"/>
            <w:tcBorders>
              <w:top w:val="single" w:sz="8" w:color="0000EE"/>
            </w:tcBorders>
          </w:tcPr>
          <w:p>
            <w:pPr>
              <w:spacing w:after="0"/>
              <w:rPr>
                <w:sz w:val="24"/>
                <w:szCs w:val="24"/>
                <w:color w:val="auto"/>
              </w:rPr>
            </w:pPr>
          </w:p>
        </w:tc>
        <w:tc>
          <w:tcPr>
            <w:tcW w:w="160" w:type="dxa"/>
            <w:vAlign w:val="bottom"/>
            <w:tcBorders>
              <w:top w:val="single" w:sz="8" w:color="0000EE"/>
            </w:tcBorders>
          </w:tcPr>
          <w:p>
            <w:pPr>
              <w:spacing w:after="0"/>
              <w:rPr>
                <w:sz w:val="24"/>
                <w:szCs w:val="24"/>
                <w:color w:val="auto"/>
              </w:rPr>
            </w:pPr>
          </w:p>
        </w:tc>
        <w:tc>
          <w:tcPr>
            <w:tcW w:w="420" w:type="dxa"/>
            <w:vAlign w:val="bottom"/>
            <w:tcBorders>
              <w:top w:val="single" w:sz="8" w:color="0000EE"/>
            </w:tcBorders>
          </w:tcPr>
          <w:p>
            <w:pPr>
              <w:spacing w:after="0"/>
              <w:rPr>
                <w:sz w:val="24"/>
                <w:szCs w:val="24"/>
                <w:color w:val="auto"/>
              </w:rPr>
            </w:pPr>
          </w:p>
        </w:tc>
        <w:tc>
          <w:tcPr>
            <w:tcW w:w="5300" w:type="dxa"/>
            <w:vAlign w:val="bottom"/>
            <w:tcBorders>
              <w:top w:val="single" w:sz="8" w:color="0000EE"/>
            </w:tcBorders>
            <w:gridSpan w:val="25"/>
          </w:tcPr>
          <w:p>
            <w:pPr>
              <w:spacing w:after="0"/>
              <w:rPr>
                <w:rFonts w:ascii="Arial" w:cs="Arial" w:eastAsia="Arial" w:hAnsi="Arial"/>
                <w:sz w:val="18"/>
                <w:szCs w:val="18"/>
                <w:color w:val="0000EE"/>
              </w:rPr>
            </w:pPr>
            <w:hyperlink w:anchor="page29">
              <w:r>
                <w:rPr>
                  <w:rFonts w:ascii="Arial" w:cs="Arial" w:eastAsia="Arial" w:hAnsi="Arial"/>
                  <w:sz w:val="18"/>
                  <w:szCs w:val="18"/>
                  <w:color w:val="0000EE"/>
                </w:rPr>
                <w:t>Independent Public Accountant’s Fees</w:t>
              </w:r>
            </w:hyperlink>
          </w:p>
        </w:tc>
        <w:tc>
          <w:tcPr>
            <w:tcW w:w="4780" w:type="dxa"/>
            <w:vAlign w:val="bottom"/>
            <w:gridSpan w:val="2"/>
          </w:tcPr>
          <w:p>
            <w:pPr>
              <w:spacing w:after="0"/>
              <w:rPr>
                <w:sz w:val="24"/>
                <w:szCs w:val="24"/>
                <w:color w:val="auto"/>
              </w:rPr>
            </w:pPr>
          </w:p>
        </w:tc>
        <w:tc>
          <w:tcPr>
            <w:tcW w:w="360" w:type="dxa"/>
            <w:vAlign w:val="bottom"/>
          </w:tcPr>
          <w:p>
            <w:pPr>
              <w:jc w:val="right"/>
              <w:spacing w:after="0"/>
              <w:rPr>
                <w:sz w:val="20"/>
                <w:szCs w:val="20"/>
                <w:color w:val="auto"/>
              </w:rPr>
            </w:pPr>
            <w:r>
              <w:rPr>
                <w:rFonts w:ascii="Arial" w:cs="Arial" w:eastAsia="Arial" w:hAnsi="Arial"/>
                <w:sz w:val="18"/>
                <w:szCs w:val="18"/>
                <w:color w:val="auto"/>
              </w:rPr>
              <w:t>25</w:t>
            </w:r>
          </w:p>
        </w:tc>
      </w:tr>
      <w:tr>
        <w:trPr>
          <w:trHeight w:val="196"/>
        </w:trPr>
        <w:tc>
          <w:tcPr>
            <w:tcW w:w="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2760" w:type="dxa"/>
            <w:vAlign w:val="bottom"/>
            <w:tcBorders>
              <w:top w:val="single" w:sz="8" w:color="0000EE"/>
            </w:tcBorders>
            <w:gridSpan w:val="18"/>
          </w:tcPr>
          <w:p>
            <w:pPr>
              <w:spacing w:after="0" w:line="196" w:lineRule="exact"/>
              <w:rPr>
                <w:rFonts w:ascii="Arial" w:cs="Arial" w:eastAsia="Arial" w:hAnsi="Arial"/>
                <w:sz w:val="18"/>
                <w:szCs w:val="18"/>
                <w:color w:val="0000EE"/>
              </w:rPr>
            </w:pPr>
            <w:hyperlink w:anchor="page29">
              <w:r>
                <w:rPr>
                  <w:rFonts w:ascii="Arial" w:cs="Arial" w:eastAsia="Arial" w:hAnsi="Arial"/>
                  <w:sz w:val="18"/>
                  <w:szCs w:val="18"/>
                  <w:color w:val="0000EE"/>
                </w:rPr>
                <w:t>Pre-Approval Policy</w:t>
              </w:r>
            </w:hyperlink>
          </w:p>
        </w:tc>
        <w:tc>
          <w:tcPr>
            <w:tcW w:w="7320" w:type="dxa"/>
            <w:vAlign w:val="bottom"/>
            <w:gridSpan w:val="9"/>
          </w:tcPr>
          <w:p>
            <w:pPr>
              <w:spacing w:after="0"/>
              <w:rPr>
                <w:sz w:val="17"/>
                <w:szCs w:val="17"/>
                <w:color w:val="auto"/>
              </w:rPr>
            </w:pPr>
          </w:p>
        </w:tc>
        <w:tc>
          <w:tcPr>
            <w:tcW w:w="360" w:type="dxa"/>
            <w:vAlign w:val="bottom"/>
          </w:tcPr>
          <w:p>
            <w:pPr>
              <w:jc w:val="right"/>
              <w:spacing w:after="0" w:line="196" w:lineRule="exact"/>
              <w:rPr>
                <w:sz w:val="20"/>
                <w:szCs w:val="20"/>
                <w:color w:val="auto"/>
              </w:rPr>
            </w:pPr>
            <w:r>
              <w:rPr>
                <w:rFonts w:ascii="Arial" w:cs="Arial" w:eastAsia="Arial" w:hAnsi="Arial"/>
                <w:sz w:val="18"/>
                <w:szCs w:val="18"/>
                <w:color w:val="auto"/>
              </w:rPr>
              <w:t>25</w:t>
            </w:r>
          </w:p>
        </w:tc>
      </w:tr>
      <w:tr>
        <w:trPr>
          <w:trHeight w:val="20"/>
        </w:trPr>
        <w:tc>
          <w:tcPr>
            <w:tcW w:w="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480" w:type="dxa"/>
            <w:vAlign w:val="bottom"/>
            <w:gridSpan w:val="3"/>
            <w:shd w:val="clear" w:color="auto" w:fill="0000EE"/>
          </w:tcPr>
          <w:p>
            <w:pPr>
              <w:spacing w:after="0" w:line="20" w:lineRule="exact"/>
              <w:rPr>
                <w:sz w:val="1"/>
                <w:szCs w:val="1"/>
                <w:color w:val="auto"/>
              </w:rPr>
            </w:pPr>
          </w:p>
        </w:tc>
        <w:tc>
          <w:tcPr>
            <w:tcW w:w="8600" w:type="dxa"/>
            <w:vAlign w:val="bottom"/>
            <w:gridSpan w:val="24"/>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r>
      <w:tr>
        <w:trPr>
          <w:trHeight w:val="196"/>
        </w:trPr>
        <w:tc>
          <w:tcPr>
            <w:tcW w:w="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10080" w:type="dxa"/>
            <w:vAlign w:val="bottom"/>
            <w:gridSpan w:val="27"/>
          </w:tcPr>
          <w:p>
            <w:pPr>
              <w:spacing w:after="0" w:line="196" w:lineRule="exact"/>
              <w:rPr>
                <w:rFonts w:ascii="Arial" w:cs="Arial" w:eastAsia="Arial" w:hAnsi="Arial"/>
                <w:sz w:val="18"/>
                <w:szCs w:val="18"/>
                <w:color w:val="0000EE"/>
              </w:rPr>
            </w:pPr>
            <w:hyperlink w:anchor="page30">
              <w:r>
                <w:rPr>
                  <w:rFonts w:ascii="Arial" w:cs="Arial" w:eastAsia="Arial" w:hAnsi="Arial"/>
                  <w:sz w:val="18"/>
                  <w:szCs w:val="18"/>
                  <w:color w:val="0000EE"/>
                </w:rPr>
                <w:t>Conclusion and Recommendation; Vote Required</w:t>
              </w:r>
            </w:hyperlink>
          </w:p>
        </w:tc>
        <w:tc>
          <w:tcPr>
            <w:tcW w:w="360" w:type="dxa"/>
            <w:vAlign w:val="bottom"/>
          </w:tcPr>
          <w:p>
            <w:pPr>
              <w:jc w:val="right"/>
              <w:spacing w:after="0" w:line="196" w:lineRule="exact"/>
              <w:rPr>
                <w:sz w:val="20"/>
                <w:szCs w:val="20"/>
                <w:color w:val="auto"/>
              </w:rPr>
            </w:pPr>
            <w:r>
              <w:rPr>
                <w:rFonts w:ascii="Arial" w:cs="Arial" w:eastAsia="Arial" w:hAnsi="Arial"/>
                <w:sz w:val="18"/>
                <w:szCs w:val="18"/>
                <w:color w:val="auto"/>
              </w:rPr>
              <w:t>26</w:t>
            </w:r>
          </w:p>
        </w:tc>
      </w:tr>
      <w:tr>
        <w:trPr>
          <w:trHeight w:val="102"/>
        </w:trPr>
        <w:tc>
          <w:tcPr>
            <w:tcW w:w="20" w:type="dxa"/>
            <w:vAlign w:val="bottom"/>
          </w:tcPr>
          <w:p>
            <w:pPr>
              <w:spacing w:after="0"/>
              <w:rPr>
                <w:sz w:val="8"/>
                <w:szCs w:val="8"/>
                <w:color w:val="auto"/>
              </w:rPr>
            </w:pPr>
          </w:p>
        </w:tc>
        <w:tc>
          <w:tcPr>
            <w:tcW w:w="160" w:type="dxa"/>
            <w:vAlign w:val="bottom"/>
            <w:tcBorders>
              <w:bottom w:val="single" w:sz="8" w:color="407CCA"/>
            </w:tcBorders>
          </w:tcPr>
          <w:p>
            <w:pPr>
              <w:spacing w:after="0"/>
              <w:rPr>
                <w:sz w:val="8"/>
                <w:szCs w:val="8"/>
                <w:color w:val="auto"/>
              </w:rPr>
            </w:pPr>
          </w:p>
        </w:tc>
        <w:tc>
          <w:tcPr>
            <w:tcW w:w="420" w:type="dxa"/>
            <w:vAlign w:val="bottom"/>
            <w:tcBorders>
              <w:bottom w:val="single" w:sz="8" w:color="407CCA"/>
            </w:tcBorders>
          </w:tcPr>
          <w:p>
            <w:pPr>
              <w:spacing w:after="0"/>
              <w:rPr>
                <w:sz w:val="8"/>
                <w:szCs w:val="8"/>
                <w:color w:val="auto"/>
              </w:rPr>
            </w:pPr>
          </w:p>
        </w:tc>
        <w:tc>
          <w:tcPr>
            <w:tcW w:w="1120" w:type="dxa"/>
            <w:vAlign w:val="bottom"/>
            <w:tcBorders>
              <w:top w:val="single" w:sz="8" w:color="0000EE"/>
              <w:bottom w:val="single" w:sz="8" w:color="407CCA"/>
            </w:tcBorders>
          </w:tcPr>
          <w:p>
            <w:pPr>
              <w:spacing w:after="0"/>
              <w:rPr>
                <w:sz w:val="8"/>
                <w:szCs w:val="8"/>
                <w:color w:val="auto"/>
              </w:rPr>
            </w:pPr>
          </w:p>
        </w:tc>
        <w:tc>
          <w:tcPr>
            <w:tcW w:w="80" w:type="dxa"/>
            <w:vAlign w:val="bottom"/>
            <w:tcBorders>
              <w:top w:val="single" w:sz="8" w:color="0000EE"/>
              <w:bottom w:val="single" w:sz="8" w:color="407CCA"/>
            </w:tcBorders>
          </w:tcPr>
          <w:p>
            <w:pPr>
              <w:spacing w:after="0"/>
              <w:rPr>
                <w:sz w:val="8"/>
                <w:szCs w:val="8"/>
                <w:color w:val="auto"/>
              </w:rPr>
            </w:pPr>
          </w:p>
        </w:tc>
        <w:tc>
          <w:tcPr>
            <w:tcW w:w="280" w:type="dxa"/>
            <w:vAlign w:val="bottom"/>
            <w:tcBorders>
              <w:top w:val="single" w:sz="8" w:color="0000EE"/>
              <w:bottom w:val="single" w:sz="8" w:color="407CCA"/>
            </w:tcBorders>
          </w:tcPr>
          <w:p>
            <w:pPr>
              <w:spacing w:after="0"/>
              <w:rPr>
                <w:sz w:val="8"/>
                <w:szCs w:val="8"/>
                <w:color w:val="auto"/>
              </w:rPr>
            </w:pPr>
          </w:p>
        </w:tc>
        <w:tc>
          <w:tcPr>
            <w:tcW w:w="160" w:type="dxa"/>
            <w:vAlign w:val="bottom"/>
            <w:tcBorders>
              <w:top w:val="single" w:sz="8" w:color="0000EE"/>
              <w:bottom w:val="single" w:sz="8" w:color="407CCA"/>
            </w:tcBorders>
          </w:tcPr>
          <w:p>
            <w:pPr>
              <w:spacing w:after="0"/>
              <w:rPr>
                <w:sz w:val="8"/>
                <w:szCs w:val="8"/>
                <w:color w:val="auto"/>
              </w:rPr>
            </w:pPr>
          </w:p>
        </w:tc>
        <w:tc>
          <w:tcPr>
            <w:tcW w:w="40" w:type="dxa"/>
            <w:vAlign w:val="bottom"/>
            <w:tcBorders>
              <w:top w:val="single" w:sz="8" w:color="0000EE"/>
              <w:bottom w:val="single" w:sz="8" w:color="407CCA"/>
            </w:tcBorders>
          </w:tcPr>
          <w:p>
            <w:pPr>
              <w:spacing w:after="0"/>
              <w:rPr>
                <w:sz w:val="8"/>
                <w:szCs w:val="8"/>
                <w:color w:val="auto"/>
              </w:rPr>
            </w:pPr>
          </w:p>
        </w:tc>
        <w:tc>
          <w:tcPr>
            <w:tcW w:w="140" w:type="dxa"/>
            <w:vAlign w:val="bottom"/>
            <w:tcBorders>
              <w:top w:val="single" w:sz="8" w:color="0000EE"/>
              <w:bottom w:val="single" w:sz="8" w:color="407CCA"/>
            </w:tcBorders>
          </w:tcPr>
          <w:p>
            <w:pPr>
              <w:spacing w:after="0"/>
              <w:rPr>
                <w:sz w:val="8"/>
                <w:szCs w:val="8"/>
                <w:color w:val="auto"/>
              </w:rPr>
            </w:pPr>
          </w:p>
        </w:tc>
        <w:tc>
          <w:tcPr>
            <w:tcW w:w="120" w:type="dxa"/>
            <w:vAlign w:val="bottom"/>
            <w:tcBorders>
              <w:top w:val="single" w:sz="8" w:color="0000EE"/>
              <w:bottom w:val="single" w:sz="8" w:color="407CCA"/>
            </w:tcBorders>
          </w:tcPr>
          <w:p>
            <w:pPr>
              <w:spacing w:after="0"/>
              <w:rPr>
                <w:sz w:val="8"/>
                <w:szCs w:val="8"/>
                <w:color w:val="auto"/>
              </w:rPr>
            </w:pPr>
          </w:p>
        </w:tc>
        <w:tc>
          <w:tcPr>
            <w:tcW w:w="40" w:type="dxa"/>
            <w:vAlign w:val="bottom"/>
            <w:tcBorders>
              <w:top w:val="single" w:sz="8" w:color="0000EE"/>
              <w:bottom w:val="single" w:sz="8" w:color="407CCA"/>
            </w:tcBorders>
          </w:tcPr>
          <w:p>
            <w:pPr>
              <w:spacing w:after="0"/>
              <w:rPr>
                <w:sz w:val="8"/>
                <w:szCs w:val="8"/>
                <w:color w:val="auto"/>
              </w:rPr>
            </w:pPr>
          </w:p>
        </w:tc>
        <w:tc>
          <w:tcPr>
            <w:tcW w:w="20" w:type="dxa"/>
            <w:vAlign w:val="bottom"/>
            <w:tcBorders>
              <w:top w:val="single" w:sz="8" w:color="0000EE"/>
              <w:bottom w:val="single" w:sz="8" w:color="407CCA"/>
            </w:tcBorders>
          </w:tcPr>
          <w:p>
            <w:pPr>
              <w:spacing w:after="0"/>
              <w:rPr>
                <w:sz w:val="8"/>
                <w:szCs w:val="8"/>
                <w:color w:val="auto"/>
              </w:rPr>
            </w:pPr>
          </w:p>
        </w:tc>
        <w:tc>
          <w:tcPr>
            <w:tcW w:w="20" w:type="dxa"/>
            <w:vAlign w:val="bottom"/>
            <w:tcBorders>
              <w:top w:val="single" w:sz="8" w:color="0000EE"/>
              <w:bottom w:val="single" w:sz="8" w:color="407CCA"/>
            </w:tcBorders>
          </w:tcPr>
          <w:p>
            <w:pPr>
              <w:spacing w:after="0"/>
              <w:rPr>
                <w:sz w:val="8"/>
                <w:szCs w:val="8"/>
                <w:color w:val="auto"/>
              </w:rPr>
            </w:pPr>
          </w:p>
        </w:tc>
        <w:tc>
          <w:tcPr>
            <w:tcW w:w="20" w:type="dxa"/>
            <w:vAlign w:val="bottom"/>
            <w:tcBorders>
              <w:top w:val="single" w:sz="8" w:color="0000EE"/>
              <w:bottom w:val="single" w:sz="8" w:color="407CCA"/>
            </w:tcBorders>
          </w:tcPr>
          <w:p>
            <w:pPr>
              <w:spacing w:after="0"/>
              <w:rPr>
                <w:sz w:val="8"/>
                <w:szCs w:val="8"/>
                <w:color w:val="auto"/>
              </w:rPr>
            </w:pPr>
          </w:p>
        </w:tc>
        <w:tc>
          <w:tcPr>
            <w:tcW w:w="20" w:type="dxa"/>
            <w:vAlign w:val="bottom"/>
            <w:tcBorders>
              <w:top w:val="single" w:sz="8" w:color="0000EE"/>
              <w:bottom w:val="single" w:sz="8" w:color="407CCA"/>
            </w:tcBorders>
          </w:tcPr>
          <w:p>
            <w:pPr>
              <w:spacing w:after="0"/>
              <w:rPr>
                <w:sz w:val="8"/>
                <w:szCs w:val="8"/>
                <w:color w:val="auto"/>
              </w:rPr>
            </w:pPr>
          </w:p>
        </w:tc>
        <w:tc>
          <w:tcPr>
            <w:tcW w:w="40" w:type="dxa"/>
            <w:vAlign w:val="bottom"/>
            <w:tcBorders>
              <w:top w:val="single" w:sz="8" w:color="0000EE"/>
              <w:bottom w:val="single" w:sz="8" w:color="407CCA"/>
            </w:tcBorders>
          </w:tcPr>
          <w:p>
            <w:pPr>
              <w:spacing w:after="0"/>
              <w:rPr>
                <w:sz w:val="8"/>
                <w:szCs w:val="8"/>
                <w:color w:val="auto"/>
              </w:rPr>
            </w:pPr>
          </w:p>
        </w:tc>
        <w:tc>
          <w:tcPr>
            <w:tcW w:w="200" w:type="dxa"/>
            <w:vAlign w:val="bottom"/>
            <w:tcBorders>
              <w:top w:val="single" w:sz="8" w:color="0000EE"/>
              <w:bottom w:val="single" w:sz="8" w:color="407CCA"/>
            </w:tcBorders>
          </w:tcPr>
          <w:p>
            <w:pPr>
              <w:spacing w:after="0"/>
              <w:rPr>
                <w:sz w:val="8"/>
                <w:szCs w:val="8"/>
                <w:color w:val="auto"/>
              </w:rPr>
            </w:pPr>
          </w:p>
        </w:tc>
        <w:tc>
          <w:tcPr>
            <w:tcW w:w="100" w:type="dxa"/>
            <w:vAlign w:val="bottom"/>
            <w:tcBorders>
              <w:top w:val="single" w:sz="8" w:color="0000EE"/>
              <w:bottom w:val="single" w:sz="8" w:color="407CCA"/>
            </w:tcBorders>
          </w:tcPr>
          <w:p>
            <w:pPr>
              <w:spacing w:after="0"/>
              <w:rPr>
                <w:sz w:val="8"/>
                <w:szCs w:val="8"/>
                <w:color w:val="auto"/>
              </w:rPr>
            </w:pPr>
          </w:p>
        </w:tc>
        <w:tc>
          <w:tcPr>
            <w:tcW w:w="20" w:type="dxa"/>
            <w:vAlign w:val="bottom"/>
            <w:tcBorders>
              <w:top w:val="single" w:sz="8" w:color="0000EE"/>
              <w:bottom w:val="single" w:sz="8" w:color="407CCA"/>
            </w:tcBorders>
          </w:tcPr>
          <w:p>
            <w:pPr>
              <w:spacing w:after="0"/>
              <w:rPr>
                <w:sz w:val="8"/>
                <w:szCs w:val="8"/>
                <w:color w:val="auto"/>
              </w:rPr>
            </w:pPr>
          </w:p>
        </w:tc>
        <w:tc>
          <w:tcPr>
            <w:tcW w:w="300" w:type="dxa"/>
            <w:vAlign w:val="bottom"/>
            <w:tcBorders>
              <w:top w:val="single" w:sz="8" w:color="0000EE"/>
              <w:bottom w:val="single" w:sz="8" w:color="407CCA"/>
            </w:tcBorders>
          </w:tcPr>
          <w:p>
            <w:pPr>
              <w:spacing w:after="0"/>
              <w:rPr>
                <w:sz w:val="8"/>
                <w:szCs w:val="8"/>
                <w:color w:val="auto"/>
              </w:rPr>
            </w:pPr>
          </w:p>
        </w:tc>
        <w:tc>
          <w:tcPr>
            <w:tcW w:w="40" w:type="dxa"/>
            <w:vAlign w:val="bottom"/>
            <w:tcBorders>
              <w:top w:val="single" w:sz="8" w:color="0000EE"/>
              <w:bottom w:val="single" w:sz="8" w:color="407CCA"/>
            </w:tcBorders>
          </w:tcPr>
          <w:p>
            <w:pPr>
              <w:spacing w:after="0"/>
              <w:rPr>
                <w:sz w:val="8"/>
                <w:szCs w:val="8"/>
                <w:color w:val="auto"/>
              </w:rPr>
            </w:pPr>
          </w:p>
        </w:tc>
        <w:tc>
          <w:tcPr>
            <w:tcW w:w="300" w:type="dxa"/>
            <w:vAlign w:val="bottom"/>
            <w:tcBorders>
              <w:top w:val="single" w:sz="8" w:color="0000EE"/>
              <w:bottom w:val="single" w:sz="8" w:color="407CCA"/>
            </w:tcBorders>
          </w:tcPr>
          <w:p>
            <w:pPr>
              <w:spacing w:after="0"/>
              <w:rPr>
                <w:sz w:val="8"/>
                <w:szCs w:val="8"/>
                <w:color w:val="auto"/>
              </w:rPr>
            </w:pPr>
          </w:p>
        </w:tc>
        <w:tc>
          <w:tcPr>
            <w:tcW w:w="500" w:type="dxa"/>
            <w:vAlign w:val="bottom"/>
            <w:tcBorders>
              <w:top w:val="single" w:sz="8" w:color="0000EE"/>
              <w:bottom w:val="single" w:sz="8" w:color="407CCA"/>
            </w:tcBorders>
          </w:tcPr>
          <w:p>
            <w:pPr>
              <w:spacing w:after="0"/>
              <w:rPr>
                <w:sz w:val="8"/>
                <w:szCs w:val="8"/>
                <w:color w:val="auto"/>
              </w:rPr>
            </w:pPr>
          </w:p>
        </w:tc>
        <w:tc>
          <w:tcPr>
            <w:tcW w:w="20" w:type="dxa"/>
            <w:vAlign w:val="bottom"/>
            <w:tcBorders>
              <w:bottom w:val="single" w:sz="8" w:color="407CCA"/>
            </w:tcBorders>
          </w:tcPr>
          <w:p>
            <w:pPr>
              <w:spacing w:after="0"/>
              <w:rPr>
                <w:sz w:val="8"/>
                <w:szCs w:val="8"/>
                <w:color w:val="auto"/>
              </w:rPr>
            </w:pPr>
          </w:p>
        </w:tc>
        <w:tc>
          <w:tcPr>
            <w:tcW w:w="580" w:type="dxa"/>
            <w:vAlign w:val="bottom"/>
            <w:tcBorders>
              <w:bottom w:val="single" w:sz="8" w:color="407CCA"/>
            </w:tcBorders>
          </w:tcPr>
          <w:p>
            <w:pPr>
              <w:spacing w:after="0"/>
              <w:rPr>
                <w:sz w:val="8"/>
                <w:szCs w:val="8"/>
                <w:color w:val="auto"/>
              </w:rPr>
            </w:pPr>
          </w:p>
        </w:tc>
        <w:tc>
          <w:tcPr>
            <w:tcW w:w="120" w:type="dxa"/>
            <w:vAlign w:val="bottom"/>
            <w:tcBorders>
              <w:bottom w:val="single" w:sz="8" w:color="407CCA"/>
            </w:tcBorders>
          </w:tcPr>
          <w:p>
            <w:pPr>
              <w:spacing w:after="0"/>
              <w:rPr>
                <w:sz w:val="8"/>
                <w:szCs w:val="8"/>
                <w:color w:val="auto"/>
              </w:rPr>
            </w:pPr>
          </w:p>
        </w:tc>
        <w:tc>
          <w:tcPr>
            <w:tcW w:w="180" w:type="dxa"/>
            <w:vAlign w:val="bottom"/>
            <w:tcBorders>
              <w:bottom w:val="single" w:sz="8" w:color="407CCA"/>
            </w:tcBorders>
          </w:tcPr>
          <w:p>
            <w:pPr>
              <w:spacing w:after="0"/>
              <w:rPr>
                <w:sz w:val="8"/>
                <w:szCs w:val="8"/>
                <w:color w:val="auto"/>
              </w:rPr>
            </w:pPr>
          </w:p>
        </w:tc>
        <w:tc>
          <w:tcPr>
            <w:tcW w:w="840" w:type="dxa"/>
            <w:vAlign w:val="bottom"/>
            <w:tcBorders>
              <w:bottom w:val="single" w:sz="8" w:color="407CCA"/>
            </w:tcBorders>
          </w:tcPr>
          <w:p>
            <w:pPr>
              <w:spacing w:after="0"/>
              <w:rPr>
                <w:sz w:val="8"/>
                <w:szCs w:val="8"/>
                <w:color w:val="auto"/>
              </w:rPr>
            </w:pPr>
          </w:p>
        </w:tc>
        <w:tc>
          <w:tcPr>
            <w:tcW w:w="4020" w:type="dxa"/>
            <w:vAlign w:val="bottom"/>
            <w:tcBorders>
              <w:bottom w:val="single" w:sz="8" w:color="407CCA"/>
            </w:tcBorders>
          </w:tcPr>
          <w:p>
            <w:pPr>
              <w:spacing w:after="0"/>
              <w:rPr>
                <w:sz w:val="8"/>
                <w:szCs w:val="8"/>
                <w:color w:val="auto"/>
              </w:rPr>
            </w:pPr>
          </w:p>
        </w:tc>
        <w:tc>
          <w:tcPr>
            <w:tcW w:w="760" w:type="dxa"/>
            <w:vAlign w:val="bottom"/>
            <w:tcBorders>
              <w:bottom w:val="single" w:sz="8" w:color="407CCA"/>
            </w:tcBorders>
          </w:tcPr>
          <w:p>
            <w:pPr>
              <w:spacing w:after="0"/>
              <w:rPr>
                <w:sz w:val="8"/>
                <w:szCs w:val="8"/>
                <w:color w:val="auto"/>
              </w:rPr>
            </w:pPr>
          </w:p>
        </w:tc>
        <w:tc>
          <w:tcPr>
            <w:tcW w:w="360" w:type="dxa"/>
            <w:vAlign w:val="bottom"/>
            <w:tcBorders>
              <w:bottom w:val="single" w:sz="8" w:color="407CCA"/>
            </w:tcBorders>
          </w:tcPr>
          <w:p>
            <w:pPr>
              <w:spacing w:after="0"/>
              <w:rPr>
                <w:sz w:val="8"/>
                <w:szCs w:val="8"/>
                <w:color w:val="auto"/>
              </w:rPr>
            </w:pPr>
          </w:p>
        </w:tc>
      </w:tr>
    </w:tbl>
    <w:p>
      <w:pPr>
        <w:spacing w:after="0" w:line="130" w:lineRule="exact"/>
        <w:rPr>
          <w:sz w:val="20"/>
          <w:szCs w:val="20"/>
          <w:color w:val="auto"/>
        </w:rPr>
      </w:pPr>
    </w:p>
    <w:p>
      <w:pPr>
        <w:ind w:left="8160"/>
        <w:spacing w:after="0"/>
        <w:tabs>
          <w:tab w:leader="none" w:pos="111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i</w:t>
      </w:r>
    </w:p>
    <w:p>
      <w:pPr>
        <w:sectPr>
          <w:pgSz w:w="11900" w:h="16838" w:orient="portrait"/>
          <w:cols w:equalWidth="0" w:num="1">
            <w:col w:w="11240"/>
          </w:cols>
          <w:pgMar w:left="240" w:top="459" w:right="419" w:bottom="1440" w:gutter="0" w:footer="0" w:header="0"/>
        </w:sectPr>
      </w:pPr>
    </w:p>
    <w:bookmarkStart w:id="3" w:name="page4"/>
    <w:bookmarkEnd w:id="3"/>
    <w:tbl>
      <w:tblPr>
        <w:tblLayout w:type="fixed"/>
        <w:tblInd w:w="0" w:type="dxa"/>
        <w:tblCellMar>
          <w:top w:w="0" w:type="dxa"/>
          <w:left w:w="0" w:type="dxa"/>
          <w:bottom w:w="0" w:type="dxa"/>
          <w:right w:w="0" w:type="dxa"/>
        </w:tblCellMar>
      </w:tblPr>
      <w:tr>
        <w:trPr>
          <w:trHeight w:val="207"/>
        </w:trPr>
        <w:tc>
          <w:tcPr>
            <w:tcW w:w="1360" w:type="dxa"/>
            <w:vAlign w:val="bottom"/>
            <w:tcBorders>
              <w:bottom w:val="single" w:sz="8" w:color="0000EE"/>
            </w:tcBorders>
            <w:gridSpan w:val="3"/>
          </w:tcPr>
          <w:p>
            <w:pPr>
              <w:spacing w:after="0"/>
              <w:rPr>
                <w:rFonts w:ascii="Arial" w:cs="Arial" w:eastAsia="Arial" w:hAnsi="Arial"/>
                <w:sz w:val="18"/>
                <w:szCs w:val="18"/>
                <w:b w:val="1"/>
                <w:bCs w:val="1"/>
                <w:color w:val="0000EE"/>
                <w:w w:val="88"/>
              </w:rPr>
            </w:pPr>
            <w:hyperlink w:anchor="page3">
              <w:r>
                <w:rPr>
                  <w:rFonts w:ascii="Arial" w:cs="Arial" w:eastAsia="Arial" w:hAnsi="Arial"/>
                  <w:sz w:val="18"/>
                  <w:szCs w:val="18"/>
                  <w:b w:val="1"/>
                  <w:bCs w:val="1"/>
                  <w:color w:val="0000EE"/>
                  <w:w w:val="88"/>
                </w:rPr>
                <w:t>Table of Contents</w:t>
              </w:r>
            </w:hyperlink>
          </w:p>
        </w:tc>
        <w:tc>
          <w:tcPr>
            <w:tcW w:w="7360" w:type="dxa"/>
            <w:vAlign w:val="bottom"/>
            <w:gridSpan w:val="25"/>
          </w:tcPr>
          <w:p>
            <w:pPr>
              <w:spacing w:after="0"/>
              <w:rPr>
                <w:sz w:val="17"/>
                <w:szCs w:val="17"/>
                <w:color w:val="auto"/>
              </w:rPr>
            </w:pPr>
          </w:p>
        </w:tc>
        <w:tc>
          <w:tcPr>
            <w:tcW w:w="2520" w:type="dxa"/>
            <w:vAlign w:val="bottom"/>
          </w:tcPr>
          <w:p>
            <w:pPr>
              <w:spacing w:after="0"/>
              <w:rPr>
                <w:sz w:val="17"/>
                <w:szCs w:val="17"/>
                <w:color w:val="auto"/>
              </w:rPr>
            </w:pPr>
          </w:p>
        </w:tc>
      </w:tr>
      <w:tr>
        <w:trPr>
          <w:trHeight w:val="493"/>
        </w:trPr>
        <w:tc>
          <w:tcPr>
            <w:tcW w:w="220" w:type="dxa"/>
            <w:vAlign w:val="bottom"/>
          </w:tcPr>
          <w:p>
            <w:pPr>
              <w:spacing w:after="0"/>
              <w:rPr>
                <w:sz w:val="24"/>
                <w:szCs w:val="24"/>
                <w:color w:val="auto"/>
              </w:rPr>
            </w:pPr>
          </w:p>
        </w:tc>
        <w:tc>
          <w:tcPr>
            <w:tcW w:w="2480" w:type="dxa"/>
            <w:vAlign w:val="bottom"/>
            <w:tcBorders>
              <w:bottom w:val="single" w:sz="8" w:color="0000EE"/>
            </w:tcBorders>
            <w:gridSpan w:val="6"/>
          </w:tcPr>
          <w:p>
            <w:pPr>
              <w:ind w:left="80"/>
              <w:spacing w:after="0"/>
              <w:rPr>
                <w:rFonts w:ascii="Arial" w:cs="Arial" w:eastAsia="Arial" w:hAnsi="Arial"/>
                <w:sz w:val="18"/>
                <w:szCs w:val="18"/>
                <w:b w:val="1"/>
                <w:bCs w:val="1"/>
                <w:color w:val="0000EE"/>
                <w:w w:val="91"/>
              </w:rPr>
            </w:pPr>
            <w:hyperlink w:anchor="page31">
              <w:r>
                <w:rPr>
                  <w:rFonts w:ascii="Arial" w:cs="Arial" w:eastAsia="Arial" w:hAnsi="Arial"/>
                  <w:sz w:val="18"/>
                  <w:szCs w:val="18"/>
                  <w:b w:val="1"/>
                  <w:bCs w:val="1"/>
                  <w:color w:val="0000EE"/>
                  <w:w w:val="91"/>
                </w:rPr>
                <w:t>Report of the Audit Committee</w:t>
              </w:r>
            </w:hyperlink>
          </w:p>
        </w:tc>
        <w:tc>
          <w:tcPr>
            <w:tcW w:w="6020" w:type="dxa"/>
            <w:vAlign w:val="bottom"/>
            <w:gridSpan w:val="21"/>
          </w:tcPr>
          <w:p>
            <w:pPr>
              <w:spacing w:after="0"/>
              <w:rPr>
                <w:sz w:val="24"/>
                <w:szCs w:val="24"/>
                <w:color w:val="auto"/>
              </w:rPr>
            </w:pPr>
          </w:p>
        </w:tc>
        <w:tc>
          <w:tcPr>
            <w:tcW w:w="2520" w:type="dxa"/>
            <w:vAlign w:val="bottom"/>
          </w:tcPr>
          <w:p>
            <w:pPr>
              <w:jc w:val="right"/>
              <w:spacing w:after="0"/>
              <w:rPr>
                <w:sz w:val="20"/>
                <w:szCs w:val="20"/>
                <w:color w:val="auto"/>
              </w:rPr>
            </w:pPr>
            <w:r>
              <w:rPr>
                <w:rFonts w:ascii="Arial" w:cs="Arial" w:eastAsia="Arial" w:hAnsi="Arial"/>
                <w:sz w:val="18"/>
                <w:szCs w:val="18"/>
                <w:color w:val="auto"/>
              </w:rPr>
              <w:t>27</w:t>
            </w:r>
          </w:p>
        </w:tc>
      </w:tr>
      <w:tr>
        <w:trPr>
          <w:trHeight w:val="304"/>
        </w:trPr>
        <w:tc>
          <w:tcPr>
            <w:tcW w:w="22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7920" w:type="dxa"/>
            <w:vAlign w:val="bottom"/>
            <w:gridSpan w:val="26"/>
          </w:tcPr>
          <w:p>
            <w:pPr>
              <w:spacing w:after="0"/>
              <w:rPr>
                <w:rFonts w:ascii="Arial" w:cs="Arial" w:eastAsia="Arial" w:hAnsi="Arial"/>
                <w:sz w:val="18"/>
                <w:szCs w:val="18"/>
                <w:color w:val="0000EE"/>
              </w:rPr>
            </w:pPr>
            <w:hyperlink w:anchor="page31">
              <w:r>
                <w:rPr>
                  <w:rFonts w:ascii="Arial" w:cs="Arial" w:eastAsia="Arial" w:hAnsi="Arial"/>
                  <w:sz w:val="18"/>
                  <w:szCs w:val="18"/>
                  <w:color w:val="0000EE"/>
                </w:rPr>
                <w:t>Use of Report of the Audit Committee</w:t>
              </w:r>
            </w:hyperlink>
          </w:p>
        </w:tc>
        <w:tc>
          <w:tcPr>
            <w:tcW w:w="2520" w:type="dxa"/>
            <w:vAlign w:val="bottom"/>
          </w:tcPr>
          <w:p>
            <w:pPr>
              <w:jc w:val="right"/>
              <w:spacing w:after="0"/>
              <w:rPr>
                <w:sz w:val="20"/>
                <w:szCs w:val="20"/>
                <w:color w:val="auto"/>
              </w:rPr>
            </w:pPr>
            <w:r>
              <w:rPr>
                <w:rFonts w:ascii="Arial" w:cs="Arial" w:eastAsia="Arial" w:hAnsi="Arial"/>
                <w:sz w:val="18"/>
                <w:szCs w:val="18"/>
                <w:color w:val="auto"/>
              </w:rPr>
              <w:t>27</w:t>
            </w:r>
          </w:p>
        </w:tc>
      </w:tr>
      <w:tr>
        <w:trPr>
          <w:trHeight w:val="75"/>
        </w:trPr>
        <w:tc>
          <w:tcPr>
            <w:tcW w:w="220" w:type="dxa"/>
            <w:vAlign w:val="bottom"/>
          </w:tcPr>
          <w:p>
            <w:pPr>
              <w:spacing w:after="0"/>
              <w:rPr>
                <w:sz w:val="6"/>
                <w:szCs w:val="6"/>
                <w:color w:val="auto"/>
              </w:rPr>
            </w:pPr>
          </w:p>
        </w:tc>
        <w:tc>
          <w:tcPr>
            <w:tcW w:w="580" w:type="dxa"/>
            <w:vAlign w:val="bottom"/>
            <w:tcBorders>
              <w:bottom w:val="single" w:sz="8" w:color="407CCA"/>
            </w:tcBorders>
          </w:tcPr>
          <w:p>
            <w:pPr>
              <w:spacing w:after="0"/>
              <w:rPr>
                <w:sz w:val="6"/>
                <w:szCs w:val="6"/>
                <w:color w:val="auto"/>
              </w:rPr>
            </w:pPr>
          </w:p>
        </w:tc>
        <w:tc>
          <w:tcPr>
            <w:tcW w:w="560" w:type="dxa"/>
            <w:vAlign w:val="bottom"/>
            <w:tcBorders>
              <w:top w:val="single" w:sz="8" w:color="0000EE"/>
              <w:bottom w:val="single" w:sz="8" w:color="407CCA"/>
            </w:tcBorders>
          </w:tcPr>
          <w:p>
            <w:pPr>
              <w:spacing w:after="0"/>
              <w:rPr>
                <w:sz w:val="6"/>
                <w:szCs w:val="6"/>
                <w:color w:val="auto"/>
              </w:rPr>
            </w:pPr>
          </w:p>
        </w:tc>
        <w:tc>
          <w:tcPr>
            <w:tcW w:w="40" w:type="dxa"/>
            <w:vAlign w:val="bottom"/>
            <w:tcBorders>
              <w:top w:val="single" w:sz="8" w:color="0000EE"/>
              <w:bottom w:val="single" w:sz="8" w:color="407CCA"/>
            </w:tcBorders>
          </w:tcPr>
          <w:p>
            <w:pPr>
              <w:spacing w:after="0"/>
              <w:rPr>
                <w:sz w:val="6"/>
                <w:szCs w:val="6"/>
                <w:color w:val="auto"/>
              </w:rPr>
            </w:pPr>
          </w:p>
        </w:tc>
        <w:tc>
          <w:tcPr>
            <w:tcW w:w="300" w:type="dxa"/>
            <w:vAlign w:val="bottom"/>
            <w:tcBorders>
              <w:top w:val="single" w:sz="8" w:color="0000EE"/>
              <w:bottom w:val="single" w:sz="8" w:color="407CCA"/>
            </w:tcBorders>
          </w:tcPr>
          <w:p>
            <w:pPr>
              <w:spacing w:after="0"/>
              <w:rPr>
                <w:sz w:val="6"/>
                <w:szCs w:val="6"/>
                <w:color w:val="auto"/>
              </w:rPr>
            </w:pPr>
          </w:p>
        </w:tc>
        <w:tc>
          <w:tcPr>
            <w:tcW w:w="500" w:type="dxa"/>
            <w:vAlign w:val="bottom"/>
            <w:tcBorders>
              <w:top w:val="single" w:sz="8" w:color="0000EE"/>
              <w:bottom w:val="single" w:sz="8" w:color="407CCA"/>
            </w:tcBorders>
          </w:tcPr>
          <w:p>
            <w:pPr>
              <w:spacing w:after="0"/>
              <w:rPr>
                <w:sz w:val="6"/>
                <w:szCs w:val="6"/>
                <w:color w:val="auto"/>
              </w:rPr>
            </w:pPr>
          </w:p>
        </w:tc>
        <w:tc>
          <w:tcPr>
            <w:tcW w:w="500" w:type="dxa"/>
            <w:vAlign w:val="bottom"/>
            <w:tcBorders>
              <w:top w:val="single" w:sz="8" w:color="0000EE"/>
              <w:bottom w:val="single" w:sz="8" w:color="407CCA"/>
            </w:tcBorders>
          </w:tcPr>
          <w:p>
            <w:pPr>
              <w:spacing w:after="0"/>
              <w:rPr>
                <w:sz w:val="6"/>
                <w:szCs w:val="6"/>
                <w:color w:val="auto"/>
              </w:rPr>
            </w:pPr>
          </w:p>
        </w:tc>
        <w:tc>
          <w:tcPr>
            <w:tcW w:w="160" w:type="dxa"/>
            <w:vAlign w:val="bottom"/>
            <w:tcBorders>
              <w:top w:val="single" w:sz="8" w:color="0000EE"/>
              <w:bottom w:val="single" w:sz="8" w:color="407CCA"/>
            </w:tcBorders>
          </w:tcPr>
          <w:p>
            <w:pPr>
              <w:spacing w:after="0"/>
              <w:rPr>
                <w:sz w:val="6"/>
                <w:szCs w:val="6"/>
                <w:color w:val="auto"/>
              </w:rPr>
            </w:pPr>
          </w:p>
        </w:tc>
        <w:tc>
          <w:tcPr>
            <w:tcW w:w="140" w:type="dxa"/>
            <w:vAlign w:val="bottom"/>
            <w:tcBorders>
              <w:top w:val="single" w:sz="8" w:color="0000EE"/>
              <w:bottom w:val="single" w:sz="8" w:color="407CCA"/>
            </w:tcBorders>
          </w:tcPr>
          <w:p>
            <w:pPr>
              <w:spacing w:after="0"/>
              <w:rPr>
                <w:sz w:val="6"/>
                <w:szCs w:val="6"/>
                <w:color w:val="auto"/>
              </w:rPr>
            </w:pPr>
          </w:p>
        </w:tc>
        <w:tc>
          <w:tcPr>
            <w:tcW w:w="20" w:type="dxa"/>
            <w:vAlign w:val="bottom"/>
            <w:tcBorders>
              <w:top w:val="single" w:sz="8" w:color="0000EE"/>
              <w:bottom w:val="single" w:sz="8" w:color="407CCA"/>
            </w:tcBorders>
          </w:tcPr>
          <w:p>
            <w:pPr>
              <w:spacing w:after="0"/>
              <w:rPr>
                <w:sz w:val="6"/>
                <w:szCs w:val="6"/>
                <w:color w:val="auto"/>
              </w:rPr>
            </w:pPr>
          </w:p>
        </w:tc>
        <w:tc>
          <w:tcPr>
            <w:tcW w:w="360" w:type="dxa"/>
            <w:vAlign w:val="bottom"/>
            <w:tcBorders>
              <w:top w:val="single" w:sz="8" w:color="0000EE"/>
              <w:bottom w:val="single" w:sz="8" w:color="407CCA"/>
            </w:tcBorders>
          </w:tcPr>
          <w:p>
            <w:pPr>
              <w:spacing w:after="0"/>
              <w:rPr>
                <w:sz w:val="6"/>
                <w:szCs w:val="6"/>
                <w:color w:val="auto"/>
              </w:rPr>
            </w:pPr>
          </w:p>
        </w:tc>
        <w:tc>
          <w:tcPr>
            <w:tcW w:w="180" w:type="dxa"/>
            <w:vAlign w:val="bottom"/>
            <w:tcBorders>
              <w:top w:val="single" w:sz="8" w:color="0000EE"/>
              <w:bottom w:val="single" w:sz="8" w:color="407CCA"/>
            </w:tcBorders>
          </w:tcPr>
          <w:p>
            <w:pPr>
              <w:spacing w:after="0"/>
              <w:rPr>
                <w:sz w:val="6"/>
                <w:szCs w:val="6"/>
                <w:color w:val="auto"/>
              </w:rPr>
            </w:pPr>
          </w:p>
        </w:tc>
        <w:tc>
          <w:tcPr>
            <w:tcW w:w="100" w:type="dxa"/>
            <w:vAlign w:val="bottom"/>
            <w:tcBorders>
              <w:bottom w:val="single" w:sz="8" w:color="407CCA"/>
            </w:tcBorders>
          </w:tcPr>
          <w:p>
            <w:pPr>
              <w:spacing w:after="0"/>
              <w:rPr>
                <w:sz w:val="6"/>
                <w:szCs w:val="6"/>
                <w:color w:val="auto"/>
              </w:rPr>
            </w:pPr>
          </w:p>
        </w:tc>
        <w:tc>
          <w:tcPr>
            <w:tcW w:w="60" w:type="dxa"/>
            <w:vAlign w:val="bottom"/>
            <w:tcBorders>
              <w:bottom w:val="single" w:sz="8" w:color="407CCA"/>
            </w:tcBorders>
          </w:tcPr>
          <w:p>
            <w:pPr>
              <w:spacing w:after="0"/>
              <w:rPr>
                <w:sz w:val="6"/>
                <w:szCs w:val="6"/>
                <w:color w:val="auto"/>
              </w:rPr>
            </w:pPr>
          </w:p>
        </w:tc>
        <w:tc>
          <w:tcPr>
            <w:tcW w:w="260" w:type="dxa"/>
            <w:vAlign w:val="bottom"/>
            <w:tcBorders>
              <w:bottom w:val="single" w:sz="8" w:color="407CCA"/>
            </w:tcBorders>
          </w:tcPr>
          <w:p>
            <w:pPr>
              <w:spacing w:after="0"/>
              <w:rPr>
                <w:sz w:val="6"/>
                <w:szCs w:val="6"/>
                <w:color w:val="auto"/>
              </w:rPr>
            </w:pPr>
          </w:p>
        </w:tc>
        <w:tc>
          <w:tcPr>
            <w:tcW w:w="180" w:type="dxa"/>
            <w:vAlign w:val="bottom"/>
            <w:tcBorders>
              <w:bottom w:val="single" w:sz="8" w:color="407CCA"/>
            </w:tcBorders>
          </w:tcPr>
          <w:p>
            <w:pPr>
              <w:spacing w:after="0"/>
              <w:rPr>
                <w:sz w:val="6"/>
                <w:szCs w:val="6"/>
                <w:color w:val="auto"/>
              </w:rPr>
            </w:pPr>
          </w:p>
        </w:tc>
        <w:tc>
          <w:tcPr>
            <w:tcW w:w="60" w:type="dxa"/>
            <w:vAlign w:val="bottom"/>
            <w:tcBorders>
              <w:bottom w:val="single" w:sz="8" w:color="407CCA"/>
            </w:tcBorders>
          </w:tcPr>
          <w:p>
            <w:pPr>
              <w:spacing w:after="0"/>
              <w:rPr>
                <w:sz w:val="6"/>
                <w:szCs w:val="6"/>
                <w:color w:val="auto"/>
              </w:rPr>
            </w:pPr>
          </w:p>
        </w:tc>
        <w:tc>
          <w:tcPr>
            <w:tcW w:w="140" w:type="dxa"/>
            <w:vAlign w:val="bottom"/>
            <w:tcBorders>
              <w:bottom w:val="single" w:sz="8" w:color="407CCA"/>
            </w:tcBorders>
          </w:tcPr>
          <w:p>
            <w:pPr>
              <w:spacing w:after="0"/>
              <w:rPr>
                <w:sz w:val="6"/>
                <w:szCs w:val="6"/>
                <w:color w:val="auto"/>
              </w:rPr>
            </w:pPr>
          </w:p>
        </w:tc>
        <w:tc>
          <w:tcPr>
            <w:tcW w:w="40" w:type="dxa"/>
            <w:vAlign w:val="bottom"/>
            <w:tcBorders>
              <w:bottom w:val="single" w:sz="8" w:color="407CCA"/>
            </w:tcBorders>
          </w:tcPr>
          <w:p>
            <w:pPr>
              <w:spacing w:after="0"/>
              <w:rPr>
                <w:sz w:val="6"/>
                <w:szCs w:val="6"/>
                <w:color w:val="auto"/>
              </w:rPr>
            </w:pPr>
          </w:p>
        </w:tc>
        <w:tc>
          <w:tcPr>
            <w:tcW w:w="100" w:type="dxa"/>
            <w:vAlign w:val="bottom"/>
            <w:tcBorders>
              <w:bottom w:val="single" w:sz="8" w:color="407CCA"/>
            </w:tcBorders>
          </w:tcPr>
          <w:p>
            <w:pPr>
              <w:spacing w:after="0"/>
              <w:rPr>
                <w:sz w:val="6"/>
                <w:szCs w:val="6"/>
                <w:color w:val="auto"/>
              </w:rPr>
            </w:pPr>
          </w:p>
        </w:tc>
        <w:tc>
          <w:tcPr>
            <w:tcW w:w="600" w:type="dxa"/>
            <w:vAlign w:val="bottom"/>
            <w:tcBorders>
              <w:bottom w:val="single" w:sz="8" w:color="407CCA"/>
            </w:tcBorders>
          </w:tcPr>
          <w:p>
            <w:pPr>
              <w:spacing w:after="0"/>
              <w:rPr>
                <w:sz w:val="6"/>
                <w:szCs w:val="6"/>
                <w:color w:val="auto"/>
              </w:rPr>
            </w:pPr>
          </w:p>
        </w:tc>
        <w:tc>
          <w:tcPr>
            <w:tcW w:w="420" w:type="dxa"/>
            <w:vAlign w:val="bottom"/>
            <w:tcBorders>
              <w:bottom w:val="single" w:sz="8" w:color="407CCA"/>
            </w:tcBorders>
          </w:tcPr>
          <w:p>
            <w:pPr>
              <w:spacing w:after="0"/>
              <w:rPr>
                <w:sz w:val="6"/>
                <w:szCs w:val="6"/>
                <w:color w:val="auto"/>
              </w:rPr>
            </w:pPr>
          </w:p>
        </w:tc>
        <w:tc>
          <w:tcPr>
            <w:tcW w:w="140" w:type="dxa"/>
            <w:vAlign w:val="bottom"/>
            <w:tcBorders>
              <w:bottom w:val="single" w:sz="8" w:color="407CCA"/>
            </w:tcBorders>
          </w:tcPr>
          <w:p>
            <w:pPr>
              <w:spacing w:after="0"/>
              <w:rPr>
                <w:sz w:val="6"/>
                <w:szCs w:val="6"/>
                <w:color w:val="auto"/>
              </w:rPr>
            </w:pPr>
          </w:p>
        </w:tc>
        <w:tc>
          <w:tcPr>
            <w:tcW w:w="20" w:type="dxa"/>
            <w:vAlign w:val="bottom"/>
            <w:tcBorders>
              <w:bottom w:val="single" w:sz="8" w:color="407CCA"/>
            </w:tcBorders>
          </w:tcPr>
          <w:p>
            <w:pPr>
              <w:spacing w:after="0"/>
              <w:rPr>
                <w:sz w:val="6"/>
                <w:szCs w:val="6"/>
                <w:color w:val="auto"/>
              </w:rPr>
            </w:pPr>
          </w:p>
        </w:tc>
        <w:tc>
          <w:tcPr>
            <w:tcW w:w="80" w:type="dxa"/>
            <w:vAlign w:val="bottom"/>
            <w:tcBorders>
              <w:bottom w:val="single" w:sz="8" w:color="407CCA"/>
            </w:tcBorders>
          </w:tcPr>
          <w:p>
            <w:pPr>
              <w:spacing w:after="0"/>
              <w:rPr>
                <w:sz w:val="6"/>
                <w:szCs w:val="6"/>
                <w:color w:val="auto"/>
              </w:rPr>
            </w:pPr>
          </w:p>
        </w:tc>
        <w:tc>
          <w:tcPr>
            <w:tcW w:w="360" w:type="dxa"/>
            <w:vAlign w:val="bottom"/>
            <w:tcBorders>
              <w:bottom w:val="single" w:sz="8" w:color="407CCA"/>
            </w:tcBorders>
          </w:tcPr>
          <w:p>
            <w:pPr>
              <w:spacing w:after="0"/>
              <w:rPr>
                <w:sz w:val="6"/>
                <w:szCs w:val="6"/>
                <w:color w:val="auto"/>
              </w:rPr>
            </w:pPr>
          </w:p>
        </w:tc>
        <w:tc>
          <w:tcPr>
            <w:tcW w:w="320" w:type="dxa"/>
            <w:vAlign w:val="bottom"/>
            <w:tcBorders>
              <w:bottom w:val="single" w:sz="8" w:color="407CCA"/>
            </w:tcBorders>
          </w:tcPr>
          <w:p>
            <w:pPr>
              <w:spacing w:after="0"/>
              <w:rPr>
                <w:sz w:val="6"/>
                <w:szCs w:val="6"/>
                <w:color w:val="auto"/>
              </w:rPr>
            </w:pPr>
          </w:p>
        </w:tc>
        <w:tc>
          <w:tcPr>
            <w:tcW w:w="2280" w:type="dxa"/>
            <w:vAlign w:val="bottom"/>
            <w:tcBorders>
              <w:bottom w:val="single" w:sz="8" w:color="407CCA"/>
            </w:tcBorders>
          </w:tcPr>
          <w:p>
            <w:pPr>
              <w:spacing w:after="0"/>
              <w:rPr>
                <w:sz w:val="6"/>
                <w:szCs w:val="6"/>
                <w:color w:val="auto"/>
              </w:rPr>
            </w:pPr>
          </w:p>
        </w:tc>
        <w:tc>
          <w:tcPr>
            <w:tcW w:w="2520" w:type="dxa"/>
            <w:vAlign w:val="bottom"/>
            <w:tcBorders>
              <w:bottom w:val="single" w:sz="8" w:color="407CCA"/>
            </w:tcBorders>
          </w:tcPr>
          <w:p>
            <w:pPr>
              <w:spacing w:after="0"/>
              <w:rPr>
                <w:sz w:val="6"/>
                <w:szCs w:val="6"/>
                <w:color w:val="auto"/>
              </w:rPr>
            </w:pPr>
          </w:p>
        </w:tc>
      </w:tr>
      <w:tr>
        <w:trPr>
          <w:trHeight w:val="480"/>
        </w:trPr>
        <w:tc>
          <w:tcPr>
            <w:tcW w:w="220" w:type="dxa"/>
            <w:vAlign w:val="bottom"/>
          </w:tcPr>
          <w:p>
            <w:pPr>
              <w:spacing w:after="0"/>
              <w:rPr>
                <w:sz w:val="24"/>
                <w:szCs w:val="24"/>
                <w:color w:val="auto"/>
              </w:rPr>
            </w:pPr>
          </w:p>
        </w:tc>
        <w:tc>
          <w:tcPr>
            <w:tcW w:w="8500" w:type="dxa"/>
            <w:vAlign w:val="bottom"/>
            <w:gridSpan w:val="27"/>
          </w:tcPr>
          <w:p>
            <w:pPr>
              <w:ind w:left="80"/>
              <w:spacing w:after="0"/>
              <w:rPr>
                <w:rFonts w:ascii="Arial" w:cs="Arial" w:eastAsia="Arial" w:hAnsi="Arial"/>
                <w:sz w:val="18"/>
                <w:szCs w:val="18"/>
                <w:b w:val="1"/>
                <w:bCs w:val="1"/>
                <w:color w:val="0000EE"/>
              </w:rPr>
            </w:pPr>
            <w:hyperlink w:anchor="page32">
              <w:r>
                <w:rPr>
                  <w:rFonts w:ascii="Arial" w:cs="Arial" w:eastAsia="Arial" w:hAnsi="Arial"/>
                  <w:sz w:val="18"/>
                  <w:szCs w:val="18"/>
                  <w:b w:val="1"/>
                  <w:bCs w:val="1"/>
                  <w:color w:val="0000EE"/>
                </w:rPr>
                <w:t>Executive Officers</w:t>
              </w:r>
            </w:hyperlink>
          </w:p>
        </w:tc>
        <w:tc>
          <w:tcPr>
            <w:tcW w:w="2520" w:type="dxa"/>
            <w:vAlign w:val="bottom"/>
          </w:tcPr>
          <w:p>
            <w:pPr>
              <w:jc w:val="right"/>
              <w:spacing w:after="0"/>
              <w:rPr>
                <w:sz w:val="20"/>
                <w:szCs w:val="20"/>
                <w:color w:val="auto"/>
              </w:rPr>
            </w:pPr>
            <w:r>
              <w:rPr>
                <w:rFonts w:ascii="Arial" w:cs="Arial" w:eastAsia="Arial" w:hAnsi="Arial"/>
                <w:sz w:val="18"/>
                <w:szCs w:val="18"/>
                <w:color w:val="auto"/>
              </w:rPr>
              <w:t>28</w:t>
            </w:r>
          </w:p>
        </w:tc>
      </w:tr>
      <w:tr>
        <w:trPr>
          <w:trHeight w:val="20"/>
        </w:trPr>
        <w:tc>
          <w:tcPr>
            <w:tcW w:w="220" w:type="dxa"/>
            <w:vAlign w:val="bottom"/>
            <w:tcBorders>
              <w:right w:val="single" w:sz="8" w:color="0000EE"/>
            </w:tcBorders>
          </w:tcPr>
          <w:p>
            <w:pPr>
              <w:spacing w:after="0" w:line="20" w:lineRule="exact"/>
              <w:rPr>
                <w:sz w:val="1"/>
                <w:szCs w:val="1"/>
                <w:color w:val="auto"/>
              </w:rPr>
            </w:pPr>
          </w:p>
        </w:tc>
        <w:tc>
          <w:tcPr>
            <w:tcW w:w="580" w:type="dxa"/>
            <w:vAlign w:val="bottom"/>
            <w:shd w:val="clear" w:color="auto" w:fill="0000EE"/>
          </w:tcPr>
          <w:p>
            <w:pPr>
              <w:spacing w:after="0" w:line="20" w:lineRule="exact"/>
              <w:rPr>
                <w:sz w:val="1"/>
                <w:szCs w:val="1"/>
                <w:color w:val="auto"/>
              </w:rPr>
            </w:pPr>
          </w:p>
        </w:tc>
        <w:tc>
          <w:tcPr>
            <w:tcW w:w="600" w:type="dxa"/>
            <w:vAlign w:val="bottom"/>
            <w:gridSpan w:val="2"/>
            <w:shd w:val="clear" w:color="auto" w:fill="0000EE"/>
          </w:tcPr>
          <w:p>
            <w:pPr>
              <w:spacing w:after="0" w:line="20" w:lineRule="exact"/>
              <w:rPr>
                <w:sz w:val="1"/>
                <w:szCs w:val="1"/>
                <w:color w:val="auto"/>
              </w:rPr>
            </w:pPr>
          </w:p>
        </w:tc>
        <w:tc>
          <w:tcPr>
            <w:tcW w:w="300" w:type="dxa"/>
            <w:vAlign w:val="bottom"/>
            <w:shd w:val="clear" w:color="auto" w:fill="0000EE"/>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660" w:type="dxa"/>
            <w:vAlign w:val="bottom"/>
            <w:gridSpan w:val="2"/>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28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280" w:type="dxa"/>
            <w:vAlign w:val="bottom"/>
          </w:tcPr>
          <w:p>
            <w:pPr>
              <w:spacing w:after="0" w:line="20" w:lineRule="exact"/>
              <w:rPr>
                <w:sz w:val="1"/>
                <w:szCs w:val="1"/>
                <w:color w:val="auto"/>
              </w:rPr>
            </w:pPr>
          </w:p>
        </w:tc>
        <w:tc>
          <w:tcPr>
            <w:tcW w:w="2520" w:type="dxa"/>
            <w:vAlign w:val="bottom"/>
          </w:tcPr>
          <w:p>
            <w:pPr>
              <w:spacing w:after="0" w:line="20" w:lineRule="exact"/>
              <w:rPr>
                <w:sz w:val="1"/>
                <w:szCs w:val="1"/>
                <w:color w:val="auto"/>
              </w:rPr>
            </w:pPr>
          </w:p>
        </w:tc>
      </w:tr>
      <w:tr>
        <w:trPr>
          <w:trHeight w:val="304"/>
        </w:trPr>
        <w:tc>
          <w:tcPr>
            <w:tcW w:w="22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7920" w:type="dxa"/>
            <w:vAlign w:val="bottom"/>
            <w:gridSpan w:val="26"/>
          </w:tcPr>
          <w:p>
            <w:pPr>
              <w:spacing w:after="0"/>
              <w:rPr>
                <w:rFonts w:ascii="Arial" w:cs="Arial" w:eastAsia="Arial" w:hAnsi="Arial"/>
                <w:sz w:val="18"/>
                <w:szCs w:val="18"/>
                <w:color w:val="0000EE"/>
              </w:rPr>
            </w:pPr>
            <w:hyperlink w:anchor="page32">
              <w:r>
                <w:rPr>
                  <w:rFonts w:ascii="Arial" w:cs="Arial" w:eastAsia="Arial" w:hAnsi="Arial"/>
                  <w:sz w:val="18"/>
                  <w:szCs w:val="18"/>
                  <w:color w:val="0000EE"/>
                </w:rPr>
                <w:t>Executive Officer Biographies</w:t>
              </w:r>
            </w:hyperlink>
          </w:p>
        </w:tc>
        <w:tc>
          <w:tcPr>
            <w:tcW w:w="2520" w:type="dxa"/>
            <w:vAlign w:val="bottom"/>
          </w:tcPr>
          <w:p>
            <w:pPr>
              <w:jc w:val="right"/>
              <w:spacing w:after="0"/>
              <w:rPr>
                <w:sz w:val="20"/>
                <w:szCs w:val="20"/>
                <w:color w:val="auto"/>
              </w:rPr>
            </w:pPr>
            <w:r>
              <w:rPr>
                <w:rFonts w:ascii="Arial" w:cs="Arial" w:eastAsia="Arial" w:hAnsi="Arial"/>
                <w:sz w:val="18"/>
                <w:szCs w:val="18"/>
                <w:color w:val="auto"/>
              </w:rPr>
              <w:t>28</w:t>
            </w:r>
          </w:p>
        </w:tc>
      </w:tr>
      <w:tr>
        <w:trPr>
          <w:trHeight w:val="75"/>
        </w:trPr>
        <w:tc>
          <w:tcPr>
            <w:tcW w:w="220" w:type="dxa"/>
            <w:vAlign w:val="bottom"/>
          </w:tcPr>
          <w:p>
            <w:pPr>
              <w:spacing w:after="0"/>
              <w:rPr>
                <w:sz w:val="6"/>
                <w:szCs w:val="6"/>
                <w:color w:val="auto"/>
              </w:rPr>
            </w:pPr>
          </w:p>
        </w:tc>
        <w:tc>
          <w:tcPr>
            <w:tcW w:w="580" w:type="dxa"/>
            <w:vAlign w:val="bottom"/>
            <w:tcBorders>
              <w:bottom w:val="single" w:sz="8" w:color="407CCA"/>
            </w:tcBorders>
          </w:tcPr>
          <w:p>
            <w:pPr>
              <w:spacing w:after="0"/>
              <w:rPr>
                <w:sz w:val="6"/>
                <w:szCs w:val="6"/>
                <w:color w:val="auto"/>
              </w:rPr>
            </w:pPr>
          </w:p>
        </w:tc>
        <w:tc>
          <w:tcPr>
            <w:tcW w:w="560" w:type="dxa"/>
            <w:vAlign w:val="bottom"/>
            <w:tcBorders>
              <w:top w:val="single" w:sz="8" w:color="0000EE"/>
              <w:bottom w:val="single" w:sz="8" w:color="407CCA"/>
            </w:tcBorders>
          </w:tcPr>
          <w:p>
            <w:pPr>
              <w:spacing w:after="0"/>
              <w:rPr>
                <w:sz w:val="6"/>
                <w:szCs w:val="6"/>
                <w:color w:val="auto"/>
              </w:rPr>
            </w:pPr>
          </w:p>
        </w:tc>
        <w:tc>
          <w:tcPr>
            <w:tcW w:w="40" w:type="dxa"/>
            <w:vAlign w:val="bottom"/>
            <w:tcBorders>
              <w:top w:val="single" w:sz="8" w:color="0000EE"/>
              <w:bottom w:val="single" w:sz="8" w:color="407CCA"/>
            </w:tcBorders>
          </w:tcPr>
          <w:p>
            <w:pPr>
              <w:spacing w:after="0"/>
              <w:rPr>
                <w:sz w:val="6"/>
                <w:szCs w:val="6"/>
                <w:color w:val="auto"/>
              </w:rPr>
            </w:pPr>
          </w:p>
        </w:tc>
        <w:tc>
          <w:tcPr>
            <w:tcW w:w="300" w:type="dxa"/>
            <w:vAlign w:val="bottom"/>
            <w:tcBorders>
              <w:top w:val="single" w:sz="8" w:color="0000EE"/>
              <w:bottom w:val="single" w:sz="8" w:color="407CCA"/>
            </w:tcBorders>
          </w:tcPr>
          <w:p>
            <w:pPr>
              <w:spacing w:after="0"/>
              <w:rPr>
                <w:sz w:val="6"/>
                <w:szCs w:val="6"/>
                <w:color w:val="auto"/>
              </w:rPr>
            </w:pPr>
          </w:p>
        </w:tc>
        <w:tc>
          <w:tcPr>
            <w:tcW w:w="500" w:type="dxa"/>
            <w:vAlign w:val="bottom"/>
            <w:tcBorders>
              <w:top w:val="single" w:sz="8" w:color="0000EE"/>
              <w:bottom w:val="single" w:sz="8" w:color="407CCA"/>
            </w:tcBorders>
          </w:tcPr>
          <w:p>
            <w:pPr>
              <w:spacing w:after="0"/>
              <w:rPr>
                <w:sz w:val="6"/>
                <w:szCs w:val="6"/>
                <w:color w:val="auto"/>
              </w:rPr>
            </w:pPr>
          </w:p>
        </w:tc>
        <w:tc>
          <w:tcPr>
            <w:tcW w:w="500" w:type="dxa"/>
            <w:vAlign w:val="bottom"/>
            <w:tcBorders>
              <w:top w:val="single" w:sz="8" w:color="0000EE"/>
              <w:bottom w:val="single" w:sz="8" w:color="407CCA"/>
            </w:tcBorders>
          </w:tcPr>
          <w:p>
            <w:pPr>
              <w:spacing w:after="0"/>
              <w:rPr>
                <w:sz w:val="6"/>
                <w:szCs w:val="6"/>
                <w:color w:val="auto"/>
              </w:rPr>
            </w:pPr>
          </w:p>
        </w:tc>
        <w:tc>
          <w:tcPr>
            <w:tcW w:w="160" w:type="dxa"/>
            <w:vAlign w:val="bottom"/>
            <w:tcBorders>
              <w:top w:val="single" w:sz="8" w:color="0000EE"/>
              <w:bottom w:val="single" w:sz="8" w:color="407CCA"/>
            </w:tcBorders>
          </w:tcPr>
          <w:p>
            <w:pPr>
              <w:spacing w:after="0"/>
              <w:rPr>
                <w:sz w:val="6"/>
                <w:szCs w:val="6"/>
                <w:color w:val="auto"/>
              </w:rPr>
            </w:pPr>
          </w:p>
        </w:tc>
        <w:tc>
          <w:tcPr>
            <w:tcW w:w="140" w:type="dxa"/>
            <w:vAlign w:val="bottom"/>
            <w:tcBorders>
              <w:top w:val="single" w:sz="8" w:color="0000EE"/>
              <w:bottom w:val="single" w:sz="8" w:color="407CCA"/>
            </w:tcBorders>
          </w:tcPr>
          <w:p>
            <w:pPr>
              <w:spacing w:after="0"/>
              <w:rPr>
                <w:sz w:val="6"/>
                <w:szCs w:val="6"/>
                <w:color w:val="auto"/>
              </w:rPr>
            </w:pPr>
          </w:p>
        </w:tc>
        <w:tc>
          <w:tcPr>
            <w:tcW w:w="20" w:type="dxa"/>
            <w:vAlign w:val="bottom"/>
            <w:tcBorders>
              <w:bottom w:val="single" w:sz="8" w:color="407CCA"/>
            </w:tcBorders>
          </w:tcPr>
          <w:p>
            <w:pPr>
              <w:spacing w:after="0"/>
              <w:rPr>
                <w:sz w:val="6"/>
                <w:szCs w:val="6"/>
                <w:color w:val="auto"/>
              </w:rPr>
            </w:pPr>
          </w:p>
        </w:tc>
        <w:tc>
          <w:tcPr>
            <w:tcW w:w="360" w:type="dxa"/>
            <w:vAlign w:val="bottom"/>
            <w:tcBorders>
              <w:bottom w:val="single" w:sz="8" w:color="407CCA"/>
            </w:tcBorders>
          </w:tcPr>
          <w:p>
            <w:pPr>
              <w:spacing w:after="0"/>
              <w:rPr>
                <w:sz w:val="6"/>
                <w:szCs w:val="6"/>
                <w:color w:val="auto"/>
              </w:rPr>
            </w:pPr>
          </w:p>
        </w:tc>
        <w:tc>
          <w:tcPr>
            <w:tcW w:w="180" w:type="dxa"/>
            <w:vAlign w:val="bottom"/>
            <w:tcBorders>
              <w:bottom w:val="single" w:sz="8" w:color="407CCA"/>
            </w:tcBorders>
          </w:tcPr>
          <w:p>
            <w:pPr>
              <w:spacing w:after="0"/>
              <w:rPr>
                <w:sz w:val="6"/>
                <w:szCs w:val="6"/>
                <w:color w:val="auto"/>
              </w:rPr>
            </w:pPr>
          </w:p>
        </w:tc>
        <w:tc>
          <w:tcPr>
            <w:tcW w:w="100" w:type="dxa"/>
            <w:vAlign w:val="bottom"/>
            <w:tcBorders>
              <w:bottom w:val="single" w:sz="8" w:color="407CCA"/>
            </w:tcBorders>
          </w:tcPr>
          <w:p>
            <w:pPr>
              <w:spacing w:after="0"/>
              <w:rPr>
                <w:sz w:val="6"/>
                <w:szCs w:val="6"/>
                <w:color w:val="auto"/>
              </w:rPr>
            </w:pPr>
          </w:p>
        </w:tc>
        <w:tc>
          <w:tcPr>
            <w:tcW w:w="60" w:type="dxa"/>
            <w:vAlign w:val="bottom"/>
            <w:tcBorders>
              <w:bottom w:val="single" w:sz="8" w:color="407CCA"/>
            </w:tcBorders>
          </w:tcPr>
          <w:p>
            <w:pPr>
              <w:spacing w:after="0"/>
              <w:rPr>
                <w:sz w:val="6"/>
                <w:szCs w:val="6"/>
                <w:color w:val="auto"/>
              </w:rPr>
            </w:pPr>
          </w:p>
        </w:tc>
        <w:tc>
          <w:tcPr>
            <w:tcW w:w="260" w:type="dxa"/>
            <w:vAlign w:val="bottom"/>
            <w:tcBorders>
              <w:bottom w:val="single" w:sz="8" w:color="407CCA"/>
            </w:tcBorders>
          </w:tcPr>
          <w:p>
            <w:pPr>
              <w:spacing w:after="0"/>
              <w:rPr>
                <w:sz w:val="6"/>
                <w:szCs w:val="6"/>
                <w:color w:val="auto"/>
              </w:rPr>
            </w:pPr>
          </w:p>
        </w:tc>
        <w:tc>
          <w:tcPr>
            <w:tcW w:w="180" w:type="dxa"/>
            <w:vAlign w:val="bottom"/>
            <w:tcBorders>
              <w:bottom w:val="single" w:sz="8" w:color="407CCA"/>
            </w:tcBorders>
          </w:tcPr>
          <w:p>
            <w:pPr>
              <w:spacing w:after="0"/>
              <w:rPr>
                <w:sz w:val="6"/>
                <w:szCs w:val="6"/>
                <w:color w:val="auto"/>
              </w:rPr>
            </w:pPr>
          </w:p>
        </w:tc>
        <w:tc>
          <w:tcPr>
            <w:tcW w:w="60" w:type="dxa"/>
            <w:vAlign w:val="bottom"/>
            <w:tcBorders>
              <w:bottom w:val="single" w:sz="8" w:color="407CCA"/>
            </w:tcBorders>
          </w:tcPr>
          <w:p>
            <w:pPr>
              <w:spacing w:after="0"/>
              <w:rPr>
                <w:sz w:val="6"/>
                <w:szCs w:val="6"/>
                <w:color w:val="auto"/>
              </w:rPr>
            </w:pPr>
          </w:p>
        </w:tc>
        <w:tc>
          <w:tcPr>
            <w:tcW w:w="140" w:type="dxa"/>
            <w:vAlign w:val="bottom"/>
            <w:tcBorders>
              <w:bottom w:val="single" w:sz="8" w:color="407CCA"/>
            </w:tcBorders>
          </w:tcPr>
          <w:p>
            <w:pPr>
              <w:spacing w:after="0"/>
              <w:rPr>
                <w:sz w:val="6"/>
                <w:szCs w:val="6"/>
                <w:color w:val="auto"/>
              </w:rPr>
            </w:pPr>
          </w:p>
        </w:tc>
        <w:tc>
          <w:tcPr>
            <w:tcW w:w="40" w:type="dxa"/>
            <w:vAlign w:val="bottom"/>
            <w:tcBorders>
              <w:bottom w:val="single" w:sz="8" w:color="407CCA"/>
            </w:tcBorders>
          </w:tcPr>
          <w:p>
            <w:pPr>
              <w:spacing w:after="0"/>
              <w:rPr>
                <w:sz w:val="6"/>
                <w:szCs w:val="6"/>
                <w:color w:val="auto"/>
              </w:rPr>
            </w:pPr>
          </w:p>
        </w:tc>
        <w:tc>
          <w:tcPr>
            <w:tcW w:w="100" w:type="dxa"/>
            <w:vAlign w:val="bottom"/>
            <w:tcBorders>
              <w:bottom w:val="single" w:sz="8" w:color="407CCA"/>
            </w:tcBorders>
          </w:tcPr>
          <w:p>
            <w:pPr>
              <w:spacing w:after="0"/>
              <w:rPr>
                <w:sz w:val="6"/>
                <w:szCs w:val="6"/>
                <w:color w:val="auto"/>
              </w:rPr>
            </w:pPr>
          </w:p>
        </w:tc>
        <w:tc>
          <w:tcPr>
            <w:tcW w:w="600" w:type="dxa"/>
            <w:vAlign w:val="bottom"/>
            <w:tcBorders>
              <w:bottom w:val="single" w:sz="8" w:color="407CCA"/>
            </w:tcBorders>
          </w:tcPr>
          <w:p>
            <w:pPr>
              <w:spacing w:after="0"/>
              <w:rPr>
                <w:sz w:val="6"/>
                <w:szCs w:val="6"/>
                <w:color w:val="auto"/>
              </w:rPr>
            </w:pPr>
          </w:p>
        </w:tc>
        <w:tc>
          <w:tcPr>
            <w:tcW w:w="420" w:type="dxa"/>
            <w:vAlign w:val="bottom"/>
            <w:tcBorders>
              <w:bottom w:val="single" w:sz="8" w:color="407CCA"/>
            </w:tcBorders>
          </w:tcPr>
          <w:p>
            <w:pPr>
              <w:spacing w:after="0"/>
              <w:rPr>
                <w:sz w:val="6"/>
                <w:szCs w:val="6"/>
                <w:color w:val="auto"/>
              </w:rPr>
            </w:pPr>
          </w:p>
        </w:tc>
        <w:tc>
          <w:tcPr>
            <w:tcW w:w="140" w:type="dxa"/>
            <w:vAlign w:val="bottom"/>
            <w:tcBorders>
              <w:bottom w:val="single" w:sz="8" w:color="407CCA"/>
            </w:tcBorders>
          </w:tcPr>
          <w:p>
            <w:pPr>
              <w:spacing w:after="0"/>
              <w:rPr>
                <w:sz w:val="6"/>
                <w:szCs w:val="6"/>
                <w:color w:val="auto"/>
              </w:rPr>
            </w:pPr>
          </w:p>
        </w:tc>
        <w:tc>
          <w:tcPr>
            <w:tcW w:w="20" w:type="dxa"/>
            <w:vAlign w:val="bottom"/>
            <w:tcBorders>
              <w:bottom w:val="single" w:sz="8" w:color="407CCA"/>
            </w:tcBorders>
          </w:tcPr>
          <w:p>
            <w:pPr>
              <w:spacing w:after="0"/>
              <w:rPr>
                <w:sz w:val="6"/>
                <w:szCs w:val="6"/>
                <w:color w:val="auto"/>
              </w:rPr>
            </w:pPr>
          </w:p>
        </w:tc>
        <w:tc>
          <w:tcPr>
            <w:tcW w:w="80" w:type="dxa"/>
            <w:vAlign w:val="bottom"/>
            <w:tcBorders>
              <w:bottom w:val="single" w:sz="8" w:color="407CCA"/>
            </w:tcBorders>
          </w:tcPr>
          <w:p>
            <w:pPr>
              <w:spacing w:after="0"/>
              <w:rPr>
                <w:sz w:val="6"/>
                <w:szCs w:val="6"/>
                <w:color w:val="auto"/>
              </w:rPr>
            </w:pPr>
          </w:p>
        </w:tc>
        <w:tc>
          <w:tcPr>
            <w:tcW w:w="360" w:type="dxa"/>
            <w:vAlign w:val="bottom"/>
            <w:tcBorders>
              <w:bottom w:val="single" w:sz="8" w:color="407CCA"/>
            </w:tcBorders>
          </w:tcPr>
          <w:p>
            <w:pPr>
              <w:spacing w:after="0"/>
              <w:rPr>
                <w:sz w:val="6"/>
                <w:szCs w:val="6"/>
                <w:color w:val="auto"/>
              </w:rPr>
            </w:pPr>
          </w:p>
        </w:tc>
        <w:tc>
          <w:tcPr>
            <w:tcW w:w="320" w:type="dxa"/>
            <w:vAlign w:val="bottom"/>
            <w:tcBorders>
              <w:bottom w:val="single" w:sz="8" w:color="407CCA"/>
            </w:tcBorders>
          </w:tcPr>
          <w:p>
            <w:pPr>
              <w:spacing w:after="0"/>
              <w:rPr>
                <w:sz w:val="6"/>
                <w:szCs w:val="6"/>
                <w:color w:val="auto"/>
              </w:rPr>
            </w:pPr>
          </w:p>
        </w:tc>
        <w:tc>
          <w:tcPr>
            <w:tcW w:w="2280" w:type="dxa"/>
            <w:vAlign w:val="bottom"/>
            <w:tcBorders>
              <w:bottom w:val="single" w:sz="8" w:color="407CCA"/>
            </w:tcBorders>
          </w:tcPr>
          <w:p>
            <w:pPr>
              <w:spacing w:after="0"/>
              <w:rPr>
                <w:sz w:val="6"/>
                <w:szCs w:val="6"/>
                <w:color w:val="auto"/>
              </w:rPr>
            </w:pPr>
          </w:p>
        </w:tc>
        <w:tc>
          <w:tcPr>
            <w:tcW w:w="2520" w:type="dxa"/>
            <w:vAlign w:val="bottom"/>
            <w:tcBorders>
              <w:bottom w:val="single" w:sz="8" w:color="407CCA"/>
            </w:tcBorders>
          </w:tcPr>
          <w:p>
            <w:pPr>
              <w:spacing w:after="0"/>
              <w:rPr>
                <w:sz w:val="6"/>
                <w:szCs w:val="6"/>
                <w:color w:val="auto"/>
              </w:rPr>
            </w:pPr>
          </w:p>
        </w:tc>
      </w:tr>
      <w:tr>
        <w:trPr>
          <w:trHeight w:val="480"/>
        </w:trPr>
        <w:tc>
          <w:tcPr>
            <w:tcW w:w="220" w:type="dxa"/>
            <w:vAlign w:val="bottom"/>
          </w:tcPr>
          <w:p>
            <w:pPr>
              <w:spacing w:after="0"/>
              <w:rPr>
                <w:sz w:val="24"/>
                <w:szCs w:val="24"/>
                <w:color w:val="auto"/>
              </w:rPr>
            </w:pPr>
          </w:p>
        </w:tc>
        <w:tc>
          <w:tcPr>
            <w:tcW w:w="1980" w:type="dxa"/>
            <w:vAlign w:val="bottom"/>
            <w:tcBorders>
              <w:bottom w:val="single" w:sz="8" w:color="0000EE"/>
            </w:tcBorders>
            <w:gridSpan w:val="5"/>
          </w:tcPr>
          <w:p>
            <w:pPr>
              <w:ind w:left="80"/>
              <w:spacing w:after="0"/>
              <w:rPr>
                <w:rFonts w:ascii="Arial" w:cs="Arial" w:eastAsia="Arial" w:hAnsi="Arial"/>
                <w:sz w:val="18"/>
                <w:szCs w:val="18"/>
                <w:b w:val="1"/>
                <w:bCs w:val="1"/>
                <w:color w:val="0000EE"/>
                <w:w w:val="87"/>
              </w:rPr>
            </w:pPr>
            <w:hyperlink w:anchor="page34">
              <w:r>
                <w:rPr>
                  <w:rFonts w:ascii="Arial" w:cs="Arial" w:eastAsia="Arial" w:hAnsi="Arial"/>
                  <w:sz w:val="18"/>
                  <w:szCs w:val="18"/>
                  <w:b w:val="1"/>
                  <w:bCs w:val="1"/>
                  <w:color w:val="0000EE"/>
                  <w:w w:val="87"/>
                </w:rPr>
                <w:t>Executive Compensation</w:t>
              </w:r>
            </w:hyperlink>
          </w:p>
        </w:tc>
        <w:tc>
          <w:tcPr>
            <w:tcW w:w="6520" w:type="dxa"/>
            <w:vAlign w:val="bottom"/>
            <w:gridSpan w:val="22"/>
          </w:tcPr>
          <w:p>
            <w:pPr>
              <w:spacing w:after="0"/>
              <w:rPr>
                <w:sz w:val="24"/>
                <w:szCs w:val="24"/>
                <w:color w:val="auto"/>
              </w:rPr>
            </w:pPr>
          </w:p>
        </w:tc>
        <w:tc>
          <w:tcPr>
            <w:tcW w:w="2520" w:type="dxa"/>
            <w:vAlign w:val="bottom"/>
          </w:tcPr>
          <w:p>
            <w:pPr>
              <w:jc w:val="right"/>
              <w:spacing w:after="0"/>
              <w:rPr>
                <w:sz w:val="20"/>
                <w:szCs w:val="20"/>
                <w:color w:val="auto"/>
              </w:rPr>
            </w:pPr>
            <w:r>
              <w:rPr>
                <w:rFonts w:ascii="Arial" w:cs="Arial" w:eastAsia="Arial" w:hAnsi="Arial"/>
                <w:sz w:val="18"/>
                <w:szCs w:val="18"/>
                <w:color w:val="auto"/>
              </w:rPr>
              <w:t>30</w:t>
            </w:r>
          </w:p>
        </w:tc>
      </w:tr>
      <w:tr>
        <w:trPr>
          <w:trHeight w:val="304"/>
        </w:trPr>
        <w:tc>
          <w:tcPr>
            <w:tcW w:w="22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2860" w:type="dxa"/>
            <w:vAlign w:val="bottom"/>
            <w:tcBorders>
              <w:bottom w:val="single" w:sz="8" w:color="0000EE"/>
            </w:tcBorders>
            <w:gridSpan w:val="11"/>
          </w:tcPr>
          <w:p>
            <w:pPr>
              <w:spacing w:after="0"/>
              <w:rPr>
                <w:rFonts w:ascii="Arial" w:cs="Arial" w:eastAsia="Arial" w:hAnsi="Arial"/>
                <w:sz w:val="18"/>
                <w:szCs w:val="18"/>
                <w:color w:val="0000EE"/>
                <w:w w:val="90"/>
              </w:rPr>
            </w:pPr>
            <w:hyperlink w:anchor="page34">
              <w:r>
                <w:rPr>
                  <w:rFonts w:ascii="Arial" w:cs="Arial" w:eastAsia="Arial" w:hAnsi="Arial"/>
                  <w:sz w:val="18"/>
                  <w:szCs w:val="18"/>
                  <w:color w:val="0000EE"/>
                  <w:w w:val="90"/>
                </w:rPr>
                <w:t>Compensation Discussion and Analysis</w:t>
              </w:r>
            </w:hyperlink>
          </w:p>
        </w:tc>
        <w:tc>
          <w:tcPr>
            <w:tcW w:w="5060" w:type="dxa"/>
            <w:vAlign w:val="bottom"/>
            <w:gridSpan w:val="15"/>
          </w:tcPr>
          <w:p>
            <w:pPr>
              <w:spacing w:after="0"/>
              <w:rPr>
                <w:sz w:val="24"/>
                <w:szCs w:val="24"/>
                <w:color w:val="auto"/>
              </w:rPr>
            </w:pPr>
          </w:p>
        </w:tc>
        <w:tc>
          <w:tcPr>
            <w:tcW w:w="2520" w:type="dxa"/>
            <w:vAlign w:val="bottom"/>
          </w:tcPr>
          <w:p>
            <w:pPr>
              <w:jc w:val="right"/>
              <w:spacing w:after="0"/>
              <w:rPr>
                <w:sz w:val="20"/>
                <w:szCs w:val="20"/>
                <w:color w:val="auto"/>
              </w:rPr>
            </w:pPr>
            <w:r>
              <w:rPr>
                <w:rFonts w:ascii="Arial" w:cs="Arial" w:eastAsia="Arial" w:hAnsi="Arial"/>
                <w:sz w:val="18"/>
                <w:szCs w:val="18"/>
                <w:color w:val="auto"/>
              </w:rPr>
              <w:t>30</w:t>
            </w:r>
          </w:p>
        </w:tc>
      </w:tr>
      <w:tr>
        <w:trPr>
          <w:trHeight w:val="196"/>
        </w:trPr>
        <w:tc>
          <w:tcPr>
            <w:tcW w:w="22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460" w:type="dxa"/>
            <w:vAlign w:val="bottom"/>
            <w:tcBorders>
              <w:bottom w:val="single" w:sz="8" w:color="0000EE"/>
            </w:tcBorders>
            <w:gridSpan w:val="4"/>
          </w:tcPr>
          <w:p>
            <w:pPr>
              <w:spacing w:after="0" w:line="196" w:lineRule="exact"/>
              <w:rPr>
                <w:rFonts w:ascii="Arial" w:cs="Arial" w:eastAsia="Arial" w:hAnsi="Arial"/>
                <w:sz w:val="18"/>
                <w:szCs w:val="18"/>
                <w:color w:val="0000EE"/>
                <w:w w:val="89"/>
              </w:rPr>
            </w:pPr>
            <w:hyperlink w:anchor="page34">
              <w:r>
                <w:rPr>
                  <w:rFonts w:ascii="Arial" w:cs="Arial" w:eastAsia="Arial" w:hAnsi="Arial"/>
                  <w:sz w:val="18"/>
                  <w:szCs w:val="18"/>
                  <w:color w:val="0000EE"/>
                  <w:w w:val="89"/>
                </w:rPr>
                <w:t>Executive Summary</w:t>
              </w:r>
            </w:hyperlink>
          </w:p>
        </w:tc>
        <w:tc>
          <w:tcPr>
            <w:tcW w:w="5860" w:type="dxa"/>
            <w:vAlign w:val="bottom"/>
            <w:gridSpan w:val="20"/>
          </w:tcPr>
          <w:p>
            <w:pPr>
              <w:spacing w:after="0"/>
              <w:rPr>
                <w:sz w:val="17"/>
                <w:szCs w:val="17"/>
                <w:color w:val="auto"/>
              </w:rPr>
            </w:pPr>
          </w:p>
        </w:tc>
        <w:tc>
          <w:tcPr>
            <w:tcW w:w="2520" w:type="dxa"/>
            <w:vAlign w:val="bottom"/>
          </w:tcPr>
          <w:p>
            <w:pPr>
              <w:jc w:val="right"/>
              <w:spacing w:after="0" w:line="196" w:lineRule="exact"/>
              <w:rPr>
                <w:sz w:val="20"/>
                <w:szCs w:val="20"/>
                <w:color w:val="auto"/>
              </w:rPr>
            </w:pPr>
            <w:r>
              <w:rPr>
                <w:rFonts w:ascii="Arial" w:cs="Arial" w:eastAsia="Arial" w:hAnsi="Arial"/>
                <w:sz w:val="18"/>
                <w:szCs w:val="18"/>
                <w:color w:val="auto"/>
              </w:rPr>
              <w:t>30</w:t>
            </w:r>
          </w:p>
        </w:tc>
      </w:tr>
      <w:tr>
        <w:trPr>
          <w:trHeight w:val="196"/>
        </w:trPr>
        <w:tc>
          <w:tcPr>
            <w:tcW w:w="22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2320" w:type="dxa"/>
            <w:vAlign w:val="bottom"/>
            <w:tcBorders>
              <w:bottom w:val="single" w:sz="8" w:color="0000EE"/>
            </w:tcBorders>
            <w:gridSpan w:val="10"/>
          </w:tcPr>
          <w:p>
            <w:pPr>
              <w:spacing w:after="0" w:line="196" w:lineRule="exact"/>
              <w:rPr>
                <w:rFonts w:ascii="Arial" w:cs="Arial" w:eastAsia="Arial" w:hAnsi="Arial"/>
                <w:sz w:val="18"/>
                <w:szCs w:val="18"/>
                <w:color w:val="0000EE"/>
                <w:w w:val="90"/>
              </w:rPr>
            </w:pPr>
            <w:hyperlink w:anchor="page39">
              <w:r>
                <w:rPr>
                  <w:rFonts w:ascii="Arial" w:cs="Arial" w:eastAsia="Arial" w:hAnsi="Arial"/>
                  <w:sz w:val="18"/>
                  <w:szCs w:val="18"/>
                  <w:color w:val="0000EE"/>
                  <w:w w:val="90"/>
                </w:rPr>
                <w:t>2017 Named Executive Officers</w:t>
              </w:r>
            </w:hyperlink>
          </w:p>
        </w:tc>
        <w:tc>
          <w:tcPr>
            <w:tcW w:w="5000" w:type="dxa"/>
            <w:vAlign w:val="bottom"/>
            <w:gridSpan w:val="14"/>
          </w:tcPr>
          <w:p>
            <w:pPr>
              <w:spacing w:after="0"/>
              <w:rPr>
                <w:sz w:val="17"/>
                <w:szCs w:val="17"/>
                <w:color w:val="auto"/>
              </w:rPr>
            </w:pPr>
          </w:p>
        </w:tc>
        <w:tc>
          <w:tcPr>
            <w:tcW w:w="2520" w:type="dxa"/>
            <w:vAlign w:val="bottom"/>
          </w:tcPr>
          <w:p>
            <w:pPr>
              <w:jc w:val="right"/>
              <w:spacing w:after="0" w:line="196" w:lineRule="exact"/>
              <w:rPr>
                <w:sz w:val="20"/>
                <w:szCs w:val="20"/>
                <w:color w:val="auto"/>
              </w:rPr>
            </w:pPr>
            <w:r>
              <w:rPr>
                <w:rFonts w:ascii="Arial" w:cs="Arial" w:eastAsia="Arial" w:hAnsi="Arial"/>
                <w:sz w:val="18"/>
                <w:szCs w:val="18"/>
                <w:color w:val="auto"/>
              </w:rPr>
              <w:t>35</w:t>
            </w:r>
          </w:p>
        </w:tc>
      </w:tr>
      <w:tr>
        <w:trPr>
          <w:trHeight w:val="196"/>
        </w:trPr>
        <w:tc>
          <w:tcPr>
            <w:tcW w:w="22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7320" w:type="dxa"/>
            <w:vAlign w:val="bottom"/>
            <w:gridSpan w:val="24"/>
          </w:tcPr>
          <w:p>
            <w:pPr>
              <w:spacing w:after="0" w:line="196" w:lineRule="exact"/>
              <w:rPr>
                <w:rFonts w:ascii="Arial" w:cs="Arial" w:eastAsia="Arial" w:hAnsi="Arial"/>
                <w:sz w:val="18"/>
                <w:szCs w:val="18"/>
                <w:color w:val="0000EE"/>
              </w:rPr>
            </w:pPr>
            <w:hyperlink w:anchor="page40">
              <w:r>
                <w:rPr>
                  <w:rFonts w:ascii="Arial" w:cs="Arial" w:eastAsia="Arial" w:hAnsi="Arial"/>
                  <w:sz w:val="18"/>
                  <w:szCs w:val="18"/>
                  <w:color w:val="0000EE"/>
                </w:rPr>
                <w:t>Compensation Philosophy and Objectives</w:t>
              </w:r>
            </w:hyperlink>
          </w:p>
        </w:tc>
        <w:tc>
          <w:tcPr>
            <w:tcW w:w="2520" w:type="dxa"/>
            <w:vAlign w:val="bottom"/>
          </w:tcPr>
          <w:p>
            <w:pPr>
              <w:jc w:val="right"/>
              <w:spacing w:after="0" w:line="196" w:lineRule="exact"/>
              <w:rPr>
                <w:sz w:val="20"/>
                <w:szCs w:val="20"/>
                <w:color w:val="auto"/>
              </w:rPr>
            </w:pPr>
            <w:r>
              <w:rPr>
                <w:rFonts w:ascii="Arial" w:cs="Arial" w:eastAsia="Arial" w:hAnsi="Arial"/>
                <w:sz w:val="18"/>
                <w:szCs w:val="18"/>
                <w:color w:val="auto"/>
              </w:rPr>
              <w:t>36</w:t>
            </w:r>
          </w:p>
        </w:tc>
      </w:tr>
      <w:tr>
        <w:trPr>
          <w:trHeight w:val="196"/>
        </w:trPr>
        <w:tc>
          <w:tcPr>
            <w:tcW w:w="22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3000" w:type="dxa"/>
            <w:vAlign w:val="bottom"/>
            <w:tcBorders>
              <w:top w:val="single" w:sz="8" w:color="0000EE"/>
            </w:tcBorders>
            <w:gridSpan w:val="15"/>
          </w:tcPr>
          <w:p>
            <w:pPr>
              <w:spacing w:after="0" w:line="196" w:lineRule="exact"/>
              <w:rPr>
                <w:rFonts w:ascii="Arial" w:cs="Arial" w:eastAsia="Arial" w:hAnsi="Arial"/>
                <w:sz w:val="18"/>
                <w:szCs w:val="18"/>
                <w:color w:val="0000EE"/>
              </w:rPr>
            </w:pPr>
            <w:hyperlink w:anchor="page40">
              <w:r>
                <w:rPr>
                  <w:rFonts w:ascii="Arial" w:cs="Arial" w:eastAsia="Arial" w:hAnsi="Arial"/>
                  <w:sz w:val="18"/>
                  <w:szCs w:val="18"/>
                  <w:color w:val="0000EE"/>
                </w:rPr>
                <w:t>Determining Compensation</w:t>
              </w:r>
            </w:hyperlink>
          </w:p>
        </w:tc>
        <w:tc>
          <w:tcPr>
            <w:tcW w:w="4320" w:type="dxa"/>
            <w:vAlign w:val="bottom"/>
            <w:gridSpan w:val="9"/>
          </w:tcPr>
          <w:p>
            <w:pPr>
              <w:spacing w:after="0"/>
              <w:rPr>
                <w:sz w:val="17"/>
                <w:szCs w:val="17"/>
                <w:color w:val="auto"/>
              </w:rPr>
            </w:pPr>
          </w:p>
        </w:tc>
        <w:tc>
          <w:tcPr>
            <w:tcW w:w="2520" w:type="dxa"/>
            <w:vAlign w:val="bottom"/>
          </w:tcPr>
          <w:p>
            <w:pPr>
              <w:jc w:val="right"/>
              <w:spacing w:after="0" w:line="196" w:lineRule="exact"/>
              <w:rPr>
                <w:sz w:val="20"/>
                <w:szCs w:val="20"/>
                <w:color w:val="auto"/>
              </w:rPr>
            </w:pPr>
            <w:r>
              <w:rPr>
                <w:rFonts w:ascii="Arial" w:cs="Arial" w:eastAsia="Arial" w:hAnsi="Arial"/>
                <w:sz w:val="18"/>
                <w:szCs w:val="18"/>
                <w:color w:val="auto"/>
              </w:rPr>
              <w:t>36</w:t>
            </w:r>
          </w:p>
        </w:tc>
      </w:tr>
      <w:tr>
        <w:trPr>
          <w:trHeight w:val="20"/>
        </w:trPr>
        <w:tc>
          <w:tcPr>
            <w:tcW w:w="22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620" w:type="dxa"/>
            <w:vAlign w:val="bottom"/>
            <w:gridSpan w:val="6"/>
            <w:shd w:val="clear" w:color="auto" w:fill="0000EE"/>
          </w:tcPr>
          <w:p>
            <w:pPr>
              <w:spacing w:after="0" w:line="20" w:lineRule="exact"/>
              <w:rPr>
                <w:sz w:val="1"/>
                <w:szCs w:val="1"/>
                <w:color w:val="auto"/>
              </w:rPr>
            </w:pPr>
          </w:p>
        </w:tc>
        <w:tc>
          <w:tcPr>
            <w:tcW w:w="360" w:type="dxa"/>
            <w:vAlign w:val="bottom"/>
            <w:shd w:val="clear" w:color="auto" w:fill="0000EE"/>
          </w:tcPr>
          <w:p>
            <w:pPr>
              <w:spacing w:after="0" w:line="20" w:lineRule="exact"/>
              <w:rPr>
                <w:sz w:val="1"/>
                <w:szCs w:val="1"/>
                <w:color w:val="auto"/>
              </w:rPr>
            </w:pPr>
          </w:p>
        </w:tc>
        <w:tc>
          <w:tcPr>
            <w:tcW w:w="600" w:type="dxa"/>
            <w:vAlign w:val="bottom"/>
            <w:gridSpan w:val="4"/>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280" w:type="dxa"/>
            <w:vAlign w:val="bottom"/>
          </w:tcPr>
          <w:p>
            <w:pPr>
              <w:spacing w:after="0" w:line="20" w:lineRule="exact"/>
              <w:rPr>
                <w:sz w:val="1"/>
                <w:szCs w:val="1"/>
                <w:color w:val="auto"/>
              </w:rPr>
            </w:pPr>
          </w:p>
        </w:tc>
        <w:tc>
          <w:tcPr>
            <w:tcW w:w="2520" w:type="dxa"/>
            <w:vAlign w:val="bottom"/>
          </w:tcPr>
          <w:p>
            <w:pPr>
              <w:spacing w:after="0" w:line="20" w:lineRule="exact"/>
              <w:rPr>
                <w:sz w:val="1"/>
                <w:szCs w:val="1"/>
                <w:color w:val="auto"/>
              </w:rPr>
            </w:pPr>
          </w:p>
        </w:tc>
      </w:tr>
      <w:tr>
        <w:trPr>
          <w:trHeight w:val="196"/>
        </w:trPr>
        <w:tc>
          <w:tcPr>
            <w:tcW w:w="22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7320" w:type="dxa"/>
            <w:vAlign w:val="bottom"/>
            <w:gridSpan w:val="24"/>
          </w:tcPr>
          <w:p>
            <w:pPr>
              <w:spacing w:after="0" w:line="196" w:lineRule="exact"/>
              <w:rPr>
                <w:rFonts w:ascii="Arial" w:cs="Arial" w:eastAsia="Arial" w:hAnsi="Arial"/>
                <w:sz w:val="18"/>
                <w:szCs w:val="18"/>
                <w:color w:val="0000EE"/>
              </w:rPr>
            </w:pPr>
            <w:hyperlink w:anchor="page43">
              <w:r>
                <w:rPr>
                  <w:rFonts w:ascii="Arial" w:cs="Arial" w:eastAsia="Arial" w:hAnsi="Arial"/>
                  <w:sz w:val="18"/>
                  <w:szCs w:val="18"/>
                  <w:color w:val="0000EE"/>
                </w:rPr>
                <w:t>Stockholder Outreach and Consideration of the 2017 Say-on-Pay Vote</w:t>
              </w:r>
            </w:hyperlink>
          </w:p>
        </w:tc>
        <w:tc>
          <w:tcPr>
            <w:tcW w:w="2520" w:type="dxa"/>
            <w:vAlign w:val="bottom"/>
          </w:tcPr>
          <w:p>
            <w:pPr>
              <w:jc w:val="right"/>
              <w:spacing w:after="0" w:line="196" w:lineRule="exact"/>
              <w:rPr>
                <w:sz w:val="20"/>
                <w:szCs w:val="20"/>
                <w:color w:val="auto"/>
              </w:rPr>
            </w:pPr>
            <w:r>
              <w:rPr>
                <w:rFonts w:ascii="Arial" w:cs="Arial" w:eastAsia="Arial" w:hAnsi="Arial"/>
                <w:sz w:val="18"/>
                <w:szCs w:val="18"/>
                <w:color w:val="auto"/>
              </w:rPr>
              <w:t>39</w:t>
            </w:r>
          </w:p>
        </w:tc>
      </w:tr>
      <w:tr>
        <w:trPr>
          <w:trHeight w:val="196"/>
        </w:trPr>
        <w:tc>
          <w:tcPr>
            <w:tcW w:w="22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5040" w:type="dxa"/>
            <w:vAlign w:val="bottom"/>
            <w:tcBorders>
              <w:top w:val="single" w:sz="8" w:color="0000EE"/>
            </w:tcBorders>
            <w:gridSpan w:val="23"/>
          </w:tcPr>
          <w:p>
            <w:pPr>
              <w:spacing w:after="0" w:line="196" w:lineRule="exact"/>
              <w:rPr>
                <w:rFonts w:ascii="Arial" w:cs="Arial" w:eastAsia="Arial" w:hAnsi="Arial"/>
                <w:sz w:val="18"/>
                <w:szCs w:val="18"/>
                <w:color w:val="0000EE"/>
              </w:rPr>
            </w:pPr>
            <w:hyperlink w:anchor="page45">
              <w:r>
                <w:rPr>
                  <w:rFonts w:ascii="Arial" w:cs="Arial" w:eastAsia="Arial" w:hAnsi="Arial"/>
                  <w:sz w:val="18"/>
                  <w:szCs w:val="18"/>
                  <w:color w:val="0000EE"/>
                </w:rPr>
                <w:t>Elements of Our Compensation Program and Their Purposes</w:t>
              </w:r>
            </w:hyperlink>
          </w:p>
        </w:tc>
        <w:tc>
          <w:tcPr>
            <w:tcW w:w="2280" w:type="dxa"/>
            <w:vAlign w:val="bottom"/>
          </w:tcPr>
          <w:p>
            <w:pPr>
              <w:spacing w:after="0"/>
              <w:rPr>
                <w:sz w:val="17"/>
                <w:szCs w:val="17"/>
                <w:color w:val="auto"/>
              </w:rPr>
            </w:pPr>
          </w:p>
        </w:tc>
        <w:tc>
          <w:tcPr>
            <w:tcW w:w="2520" w:type="dxa"/>
            <w:vAlign w:val="bottom"/>
          </w:tcPr>
          <w:p>
            <w:pPr>
              <w:jc w:val="right"/>
              <w:spacing w:after="0" w:line="196" w:lineRule="exact"/>
              <w:rPr>
                <w:sz w:val="20"/>
                <w:szCs w:val="20"/>
                <w:color w:val="auto"/>
              </w:rPr>
            </w:pPr>
            <w:r>
              <w:rPr>
                <w:rFonts w:ascii="Arial" w:cs="Arial" w:eastAsia="Arial" w:hAnsi="Arial"/>
                <w:sz w:val="18"/>
                <w:szCs w:val="18"/>
                <w:color w:val="auto"/>
              </w:rPr>
              <w:t>41</w:t>
            </w:r>
          </w:p>
        </w:tc>
      </w:tr>
      <w:tr>
        <w:trPr>
          <w:trHeight w:val="196"/>
        </w:trPr>
        <w:tc>
          <w:tcPr>
            <w:tcW w:w="22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2960" w:type="dxa"/>
            <w:vAlign w:val="bottom"/>
            <w:tcBorders>
              <w:top w:val="single" w:sz="8" w:color="0000EE"/>
              <w:bottom w:val="single" w:sz="8" w:color="0000EE"/>
            </w:tcBorders>
            <w:gridSpan w:val="14"/>
          </w:tcPr>
          <w:p>
            <w:pPr>
              <w:spacing w:after="0" w:line="196" w:lineRule="exact"/>
              <w:rPr>
                <w:rFonts w:ascii="Arial" w:cs="Arial" w:eastAsia="Arial" w:hAnsi="Arial"/>
                <w:sz w:val="18"/>
                <w:szCs w:val="18"/>
                <w:color w:val="0000EE"/>
                <w:w w:val="89"/>
              </w:rPr>
            </w:pPr>
            <w:hyperlink w:anchor="page51">
              <w:r>
                <w:rPr>
                  <w:rFonts w:ascii="Arial" w:cs="Arial" w:eastAsia="Arial" w:hAnsi="Arial"/>
                  <w:sz w:val="18"/>
                  <w:szCs w:val="18"/>
                  <w:color w:val="0000EE"/>
                  <w:w w:val="89"/>
                </w:rPr>
                <w:t>2017 Executive Compensation Decisions</w:t>
              </w:r>
            </w:hyperlink>
          </w:p>
        </w:tc>
        <w:tc>
          <w:tcPr>
            <w:tcW w:w="1400" w:type="dxa"/>
            <w:vAlign w:val="bottom"/>
            <w:tcBorders>
              <w:top w:val="single" w:sz="8" w:color="0000EE"/>
            </w:tcBorders>
            <w:gridSpan w:val="7"/>
          </w:tcPr>
          <w:p>
            <w:pPr>
              <w:spacing w:after="0"/>
              <w:rPr>
                <w:sz w:val="17"/>
                <w:szCs w:val="17"/>
                <w:color w:val="auto"/>
              </w:rPr>
            </w:pPr>
          </w:p>
        </w:tc>
        <w:tc>
          <w:tcPr>
            <w:tcW w:w="2960" w:type="dxa"/>
            <w:vAlign w:val="bottom"/>
            <w:gridSpan w:val="3"/>
          </w:tcPr>
          <w:p>
            <w:pPr>
              <w:spacing w:after="0"/>
              <w:rPr>
                <w:sz w:val="17"/>
                <w:szCs w:val="17"/>
                <w:color w:val="auto"/>
              </w:rPr>
            </w:pPr>
          </w:p>
        </w:tc>
        <w:tc>
          <w:tcPr>
            <w:tcW w:w="2520" w:type="dxa"/>
            <w:vAlign w:val="bottom"/>
          </w:tcPr>
          <w:p>
            <w:pPr>
              <w:jc w:val="right"/>
              <w:spacing w:after="0" w:line="196" w:lineRule="exact"/>
              <w:rPr>
                <w:sz w:val="20"/>
                <w:szCs w:val="20"/>
                <w:color w:val="auto"/>
              </w:rPr>
            </w:pPr>
            <w:r>
              <w:rPr>
                <w:rFonts w:ascii="Arial" w:cs="Arial" w:eastAsia="Arial" w:hAnsi="Arial"/>
                <w:sz w:val="18"/>
                <w:szCs w:val="18"/>
                <w:color w:val="auto"/>
              </w:rPr>
              <w:t>47</w:t>
            </w:r>
          </w:p>
        </w:tc>
      </w:tr>
      <w:tr>
        <w:trPr>
          <w:trHeight w:val="196"/>
        </w:trPr>
        <w:tc>
          <w:tcPr>
            <w:tcW w:w="22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7320" w:type="dxa"/>
            <w:vAlign w:val="bottom"/>
            <w:gridSpan w:val="24"/>
          </w:tcPr>
          <w:p>
            <w:pPr>
              <w:spacing w:after="0" w:line="196" w:lineRule="exact"/>
              <w:rPr>
                <w:rFonts w:ascii="Arial" w:cs="Arial" w:eastAsia="Arial" w:hAnsi="Arial"/>
                <w:sz w:val="18"/>
                <w:szCs w:val="18"/>
                <w:color w:val="0000EE"/>
              </w:rPr>
            </w:pPr>
            <w:hyperlink w:anchor="page55">
              <w:r>
                <w:rPr>
                  <w:rFonts w:ascii="Arial" w:cs="Arial" w:eastAsia="Arial" w:hAnsi="Arial"/>
                  <w:sz w:val="18"/>
                  <w:szCs w:val="18"/>
                  <w:color w:val="0000EE"/>
                </w:rPr>
                <w:t>Other Compensation Policies and Practices</w:t>
              </w:r>
            </w:hyperlink>
          </w:p>
        </w:tc>
        <w:tc>
          <w:tcPr>
            <w:tcW w:w="2520" w:type="dxa"/>
            <w:vAlign w:val="bottom"/>
          </w:tcPr>
          <w:p>
            <w:pPr>
              <w:jc w:val="right"/>
              <w:spacing w:after="0" w:line="196" w:lineRule="exact"/>
              <w:rPr>
                <w:sz w:val="20"/>
                <w:szCs w:val="20"/>
                <w:color w:val="auto"/>
              </w:rPr>
            </w:pPr>
            <w:r>
              <w:rPr>
                <w:rFonts w:ascii="Arial" w:cs="Arial" w:eastAsia="Arial" w:hAnsi="Arial"/>
                <w:sz w:val="18"/>
                <w:szCs w:val="18"/>
                <w:color w:val="auto"/>
              </w:rPr>
              <w:t>51</w:t>
            </w:r>
          </w:p>
        </w:tc>
      </w:tr>
      <w:tr>
        <w:trPr>
          <w:trHeight w:val="20"/>
        </w:trPr>
        <w:tc>
          <w:tcPr>
            <w:tcW w:w="22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600" w:type="dxa"/>
            <w:vAlign w:val="bottom"/>
            <w:gridSpan w:val="2"/>
          </w:tcPr>
          <w:p>
            <w:pPr>
              <w:spacing w:after="0" w:line="20" w:lineRule="exact"/>
              <w:rPr>
                <w:sz w:val="1"/>
                <w:szCs w:val="1"/>
                <w:color w:val="auto"/>
              </w:rPr>
            </w:pPr>
          </w:p>
        </w:tc>
        <w:tc>
          <w:tcPr>
            <w:tcW w:w="1620" w:type="dxa"/>
            <w:vAlign w:val="bottom"/>
            <w:gridSpan w:val="6"/>
            <w:shd w:val="clear" w:color="auto" w:fill="0000EE"/>
          </w:tcPr>
          <w:p>
            <w:pPr>
              <w:spacing w:after="0" w:line="20" w:lineRule="exact"/>
              <w:rPr>
                <w:sz w:val="1"/>
                <w:szCs w:val="1"/>
                <w:color w:val="auto"/>
              </w:rPr>
            </w:pPr>
          </w:p>
        </w:tc>
        <w:tc>
          <w:tcPr>
            <w:tcW w:w="960" w:type="dxa"/>
            <w:vAlign w:val="bottom"/>
            <w:gridSpan w:val="5"/>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140" w:type="dxa"/>
            <w:vAlign w:val="bottom"/>
            <w:gridSpan w:val="2"/>
            <w:shd w:val="clear" w:color="auto" w:fill="0000EE"/>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40" w:type="dxa"/>
            <w:vAlign w:val="bottom"/>
            <w:gridSpan w:val="2"/>
          </w:tcPr>
          <w:p>
            <w:pPr>
              <w:spacing w:after="0" w:line="20" w:lineRule="exact"/>
              <w:rPr>
                <w:sz w:val="1"/>
                <w:szCs w:val="1"/>
                <w:color w:val="auto"/>
              </w:rPr>
            </w:pPr>
          </w:p>
        </w:tc>
        <w:tc>
          <w:tcPr>
            <w:tcW w:w="2600" w:type="dxa"/>
            <w:vAlign w:val="bottom"/>
            <w:gridSpan w:val="2"/>
          </w:tcPr>
          <w:p>
            <w:pPr>
              <w:spacing w:after="0" w:line="20" w:lineRule="exact"/>
              <w:rPr>
                <w:sz w:val="1"/>
                <w:szCs w:val="1"/>
                <w:color w:val="auto"/>
              </w:rPr>
            </w:pPr>
          </w:p>
        </w:tc>
        <w:tc>
          <w:tcPr>
            <w:tcW w:w="2520" w:type="dxa"/>
            <w:vAlign w:val="bottom"/>
          </w:tcPr>
          <w:p>
            <w:pPr>
              <w:spacing w:after="0" w:line="20" w:lineRule="exact"/>
              <w:rPr>
                <w:sz w:val="1"/>
                <w:szCs w:val="1"/>
                <w:color w:val="auto"/>
              </w:rPr>
            </w:pPr>
          </w:p>
        </w:tc>
      </w:tr>
      <w:tr>
        <w:trPr>
          <w:trHeight w:val="196"/>
        </w:trPr>
        <w:tc>
          <w:tcPr>
            <w:tcW w:w="22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7920" w:type="dxa"/>
            <w:vAlign w:val="bottom"/>
            <w:gridSpan w:val="26"/>
          </w:tcPr>
          <w:p>
            <w:pPr>
              <w:spacing w:after="0" w:line="196" w:lineRule="exact"/>
              <w:rPr>
                <w:rFonts w:ascii="Arial" w:cs="Arial" w:eastAsia="Arial" w:hAnsi="Arial"/>
                <w:sz w:val="18"/>
                <w:szCs w:val="18"/>
                <w:color w:val="0000EE"/>
              </w:rPr>
            </w:pPr>
            <w:hyperlink w:anchor="page58">
              <w:r>
                <w:rPr>
                  <w:rFonts w:ascii="Arial" w:cs="Arial" w:eastAsia="Arial" w:hAnsi="Arial"/>
                  <w:sz w:val="18"/>
                  <w:szCs w:val="18"/>
                  <w:color w:val="0000EE"/>
                </w:rPr>
                <w:t>Report of the Compensation and Corporate Governance Committee</w:t>
              </w:r>
            </w:hyperlink>
          </w:p>
        </w:tc>
        <w:tc>
          <w:tcPr>
            <w:tcW w:w="2520" w:type="dxa"/>
            <w:vAlign w:val="bottom"/>
          </w:tcPr>
          <w:p>
            <w:pPr>
              <w:jc w:val="right"/>
              <w:spacing w:after="0" w:line="196" w:lineRule="exact"/>
              <w:rPr>
                <w:sz w:val="20"/>
                <w:szCs w:val="20"/>
                <w:color w:val="auto"/>
              </w:rPr>
            </w:pPr>
            <w:r>
              <w:rPr>
                <w:rFonts w:ascii="Arial" w:cs="Arial" w:eastAsia="Arial" w:hAnsi="Arial"/>
                <w:sz w:val="18"/>
                <w:szCs w:val="18"/>
                <w:color w:val="auto"/>
              </w:rPr>
              <w:t>54</w:t>
            </w:r>
          </w:p>
        </w:tc>
      </w:tr>
      <w:tr>
        <w:trPr>
          <w:trHeight w:val="196"/>
        </w:trPr>
        <w:tc>
          <w:tcPr>
            <w:tcW w:w="22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4860" w:type="dxa"/>
            <w:vAlign w:val="bottom"/>
            <w:tcBorders>
              <w:top w:val="single" w:sz="8" w:color="0000EE"/>
            </w:tcBorders>
            <w:gridSpan w:val="21"/>
          </w:tcPr>
          <w:p>
            <w:pPr>
              <w:spacing w:after="0" w:line="196" w:lineRule="exact"/>
              <w:rPr>
                <w:rFonts w:ascii="Arial" w:cs="Arial" w:eastAsia="Arial" w:hAnsi="Arial"/>
                <w:sz w:val="18"/>
                <w:szCs w:val="18"/>
                <w:color w:val="0000EE"/>
              </w:rPr>
            </w:pPr>
            <w:hyperlink w:anchor="page59">
              <w:r>
                <w:rPr>
                  <w:rFonts w:ascii="Arial" w:cs="Arial" w:eastAsia="Arial" w:hAnsi="Arial"/>
                  <w:sz w:val="18"/>
                  <w:szCs w:val="18"/>
                  <w:color w:val="0000EE"/>
                </w:rPr>
                <w:t>Summary Compensation Table</w:t>
              </w:r>
            </w:hyperlink>
          </w:p>
        </w:tc>
        <w:tc>
          <w:tcPr>
            <w:tcW w:w="3060" w:type="dxa"/>
            <w:vAlign w:val="bottom"/>
            <w:gridSpan w:val="5"/>
          </w:tcPr>
          <w:p>
            <w:pPr>
              <w:spacing w:after="0"/>
              <w:rPr>
                <w:sz w:val="17"/>
                <w:szCs w:val="17"/>
                <w:color w:val="auto"/>
              </w:rPr>
            </w:pPr>
          </w:p>
        </w:tc>
        <w:tc>
          <w:tcPr>
            <w:tcW w:w="2520" w:type="dxa"/>
            <w:vAlign w:val="bottom"/>
          </w:tcPr>
          <w:p>
            <w:pPr>
              <w:jc w:val="right"/>
              <w:spacing w:after="0" w:line="196" w:lineRule="exact"/>
              <w:rPr>
                <w:sz w:val="20"/>
                <w:szCs w:val="20"/>
                <w:color w:val="auto"/>
              </w:rPr>
            </w:pPr>
            <w:r>
              <w:rPr>
                <w:rFonts w:ascii="Arial" w:cs="Arial" w:eastAsia="Arial" w:hAnsi="Arial"/>
                <w:sz w:val="18"/>
                <w:szCs w:val="18"/>
                <w:color w:val="auto"/>
              </w:rPr>
              <w:t>55</w:t>
            </w:r>
          </w:p>
        </w:tc>
      </w:tr>
      <w:tr>
        <w:trPr>
          <w:trHeight w:val="20"/>
        </w:trPr>
        <w:tc>
          <w:tcPr>
            <w:tcW w:w="22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2220" w:type="dxa"/>
            <w:vAlign w:val="bottom"/>
            <w:gridSpan w:val="8"/>
            <w:shd w:val="clear" w:color="auto" w:fill="0000EE"/>
          </w:tcPr>
          <w:p>
            <w:pPr>
              <w:spacing w:after="0" w:line="20" w:lineRule="exact"/>
              <w:rPr>
                <w:sz w:val="1"/>
                <w:szCs w:val="1"/>
                <w:color w:val="auto"/>
              </w:rPr>
            </w:pPr>
          </w:p>
        </w:tc>
        <w:tc>
          <w:tcPr>
            <w:tcW w:w="960" w:type="dxa"/>
            <w:vAlign w:val="bottom"/>
            <w:gridSpan w:val="5"/>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740" w:type="dxa"/>
            <w:vAlign w:val="bottom"/>
            <w:gridSpan w:val="3"/>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60" w:type="dxa"/>
            <w:vAlign w:val="bottom"/>
            <w:gridSpan w:val="2"/>
          </w:tcPr>
          <w:p>
            <w:pPr>
              <w:spacing w:after="0" w:line="20" w:lineRule="exact"/>
              <w:rPr>
                <w:sz w:val="1"/>
                <w:szCs w:val="1"/>
                <w:color w:val="auto"/>
              </w:rPr>
            </w:pPr>
          </w:p>
        </w:tc>
        <w:tc>
          <w:tcPr>
            <w:tcW w:w="440" w:type="dxa"/>
            <w:vAlign w:val="bottom"/>
            <w:gridSpan w:val="2"/>
          </w:tcPr>
          <w:p>
            <w:pPr>
              <w:spacing w:after="0" w:line="20" w:lineRule="exact"/>
              <w:rPr>
                <w:sz w:val="1"/>
                <w:szCs w:val="1"/>
                <w:color w:val="auto"/>
              </w:rPr>
            </w:pPr>
          </w:p>
        </w:tc>
        <w:tc>
          <w:tcPr>
            <w:tcW w:w="2600" w:type="dxa"/>
            <w:vAlign w:val="bottom"/>
            <w:gridSpan w:val="2"/>
          </w:tcPr>
          <w:p>
            <w:pPr>
              <w:spacing w:after="0" w:line="20" w:lineRule="exact"/>
              <w:rPr>
                <w:sz w:val="1"/>
                <w:szCs w:val="1"/>
                <w:color w:val="auto"/>
              </w:rPr>
            </w:pPr>
          </w:p>
        </w:tc>
        <w:tc>
          <w:tcPr>
            <w:tcW w:w="2520" w:type="dxa"/>
            <w:vAlign w:val="bottom"/>
          </w:tcPr>
          <w:p>
            <w:pPr>
              <w:spacing w:after="0" w:line="20" w:lineRule="exact"/>
              <w:rPr>
                <w:sz w:val="1"/>
                <w:szCs w:val="1"/>
                <w:color w:val="auto"/>
              </w:rPr>
            </w:pPr>
          </w:p>
        </w:tc>
      </w:tr>
      <w:tr>
        <w:trPr>
          <w:trHeight w:val="196"/>
        </w:trPr>
        <w:tc>
          <w:tcPr>
            <w:tcW w:w="22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7920" w:type="dxa"/>
            <w:vAlign w:val="bottom"/>
            <w:gridSpan w:val="26"/>
          </w:tcPr>
          <w:p>
            <w:pPr>
              <w:spacing w:after="0" w:line="196" w:lineRule="exact"/>
              <w:rPr>
                <w:rFonts w:ascii="Arial" w:cs="Arial" w:eastAsia="Arial" w:hAnsi="Arial"/>
                <w:sz w:val="18"/>
                <w:szCs w:val="18"/>
                <w:color w:val="0000EE"/>
              </w:rPr>
            </w:pPr>
            <w:hyperlink w:anchor="page61">
              <w:r>
                <w:rPr>
                  <w:rFonts w:ascii="Arial" w:cs="Arial" w:eastAsia="Arial" w:hAnsi="Arial"/>
                  <w:sz w:val="18"/>
                  <w:szCs w:val="18"/>
                  <w:color w:val="0000EE"/>
                </w:rPr>
                <w:t>Grants of Plan-Based Awards in Fiscal Year 2017</w:t>
              </w:r>
            </w:hyperlink>
          </w:p>
        </w:tc>
        <w:tc>
          <w:tcPr>
            <w:tcW w:w="2520" w:type="dxa"/>
            <w:vAlign w:val="bottom"/>
          </w:tcPr>
          <w:p>
            <w:pPr>
              <w:jc w:val="right"/>
              <w:spacing w:after="0" w:line="196" w:lineRule="exact"/>
              <w:rPr>
                <w:sz w:val="20"/>
                <w:szCs w:val="20"/>
                <w:color w:val="auto"/>
              </w:rPr>
            </w:pPr>
            <w:r>
              <w:rPr>
                <w:rFonts w:ascii="Arial" w:cs="Arial" w:eastAsia="Arial" w:hAnsi="Arial"/>
                <w:sz w:val="18"/>
                <w:szCs w:val="18"/>
                <w:color w:val="auto"/>
              </w:rPr>
              <w:t>57</w:t>
            </w:r>
          </w:p>
        </w:tc>
      </w:tr>
      <w:tr>
        <w:trPr>
          <w:trHeight w:val="196"/>
        </w:trPr>
        <w:tc>
          <w:tcPr>
            <w:tcW w:w="22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3560" w:type="dxa"/>
            <w:vAlign w:val="bottom"/>
            <w:tcBorders>
              <w:top w:val="single" w:sz="8" w:color="0000EE"/>
            </w:tcBorders>
            <w:gridSpan w:val="16"/>
          </w:tcPr>
          <w:p>
            <w:pPr>
              <w:spacing w:after="0" w:line="196" w:lineRule="exact"/>
              <w:rPr>
                <w:rFonts w:ascii="Arial" w:cs="Arial" w:eastAsia="Arial" w:hAnsi="Arial"/>
                <w:sz w:val="18"/>
                <w:szCs w:val="18"/>
                <w:color w:val="0000EE"/>
                <w:w w:val="95"/>
              </w:rPr>
            </w:pPr>
            <w:hyperlink w:anchor="page62">
              <w:r>
                <w:rPr>
                  <w:rFonts w:ascii="Arial" w:cs="Arial" w:eastAsia="Arial" w:hAnsi="Arial"/>
                  <w:sz w:val="18"/>
                  <w:szCs w:val="18"/>
                  <w:color w:val="0000EE"/>
                  <w:w w:val="95"/>
                </w:rPr>
                <w:t>Outstanding Equity Awards at Fiscal Year-End</w:t>
              </w:r>
            </w:hyperlink>
          </w:p>
        </w:tc>
        <w:tc>
          <w:tcPr>
            <w:tcW w:w="4360" w:type="dxa"/>
            <w:vAlign w:val="bottom"/>
            <w:gridSpan w:val="10"/>
          </w:tcPr>
          <w:p>
            <w:pPr>
              <w:spacing w:after="0"/>
              <w:rPr>
                <w:sz w:val="17"/>
                <w:szCs w:val="17"/>
                <w:color w:val="auto"/>
              </w:rPr>
            </w:pPr>
          </w:p>
        </w:tc>
        <w:tc>
          <w:tcPr>
            <w:tcW w:w="2520" w:type="dxa"/>
            <w:vAlign w:val="bottom"/>
          </w:tcPr>
          <w:p>
            <w:pPr>
              <w:jc w:val="right"/>
              <w:spacing w:after="0" w:line="196" w:lineRule="exact"/>
              <w:rPr>
                <w:sz w:val="20"/>
                <w:szCs w:val="20"/>
                <w:color w:val="auto"/>
              </w:rPr>
            </w:pPr>
            <w:r>
              <w:rPr>
                <w:rFonts w:ascii="Arial" w:cs="Arial" w:eastAsia="Arial" w:hAnsi="Arial"/>
                <w:sz w:val="18"/>
                <w:szCs w:val="18"/>
                <w:color w:val="auto"/>
              </w:rPr>
              <w:t>58</w:t>
            </w:r>
          </w:p>
        </w:tc>
      </w:tr>
      <w:tr>
        <w:trPr>
          <w:trHeight w:val="196"/>
        </w:trPr>
        <w:tc>
          <w:tcPr>
            <w:tcW w:w="22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3360" w:type="dxa"/>
            <w:vAlign w:val="bottom"/>
            <w:tcBorders>
              <w:top w:val="single" w:sz="8" w:color="0000EE"/>
            </w:tcBorders>
            <w:gridSpan w:val="14"/>
          </w:tcPr>
          <w:p>
            <w:pPr>
              <w:spacing w:after="0" w:line="196" w:lineRule="exact"/>
              <w:rPr>
                <w:rFonts w:ascii="Arial" w:cs="Arial" w:eastAsia="Arial" w:hAnsi="Arial"/>
                <w:sz w:val="18"/>
                <w:szCs w:val="18"/>
                <w:color w:val="0000EE"/>
                <w:w w:val="93"/>
              </w:rPr>
            </w:pPr>
            <w:hyperlink w:anchor="page63">
              <w:r>
                <w:rPr>
                  <w:rFonts w:ascii="Arial" w:cs="Arial" w:eastAsia="Arial" w:hAnsi="Arial"/>
                  <w:sz w:val="18"/>
                  <w:szCs w:val="18"/>
                  <w:color w:val="0000EE"/>
                  <w:w w:val="93"/>
                </w:rPr>
                <w:t>Severance and Change of Control Payments</w:t>
              </w:r>
            </w:hyperlink>
          </w:p>
        </w:tc>
        <w:tc>
          <w:tcPr>
            <w:tcW w:w="4560" w:type="dxa"/>
            <w:vAlign w:val="bottom"/>
            <w:gridSpan w:val="12"/>
          </w:tcPr>
          <w:p>
            <w:pPr>
              <w:spacing w:after="0"/>
              <w:rPr>
                <w:sz w:val="17"/>
                <w:szCs w:val="17"/>
                <w:color w:val="auto"/>
              </w:rPr>
            </w:pPr>
          </w:p>
        </w:tc>
        <w:tc>
          <w:tcPr>
            <w:tcW w:w="2520" w:type="dxa"/>
            <w:vAlign w:val="bottom"/>
          </w:tcPr>
          <w:p>
            <w:pPr>
              <w:jc w:val="right"/>
              <w:spacing w:after="0" w:line="196" w:lineRule="exact"/>
              <w:rPr>
                <w:sz w:val="20"/>
                <w:szCs w:val="20"/>
                <w:color w:val="auto"/>
              </w:rPr>
            </w:pPr>
            <w:r>
              <w:rPr>
                <w:rFonts w:ascii="Arial" w:cs="Arial" w:eastAsia="Arial" w:hAnsi="Arial"/>
                <w:sz w:val="18"/>
                <w:szCs w:val="18"/>
                <w:color w:val="auto"/>
              </w:rPr>
              <w:t>59</w:t>
            </w:r>
          </w:p>
        </w:tc>
      </w:tr>
      <w:tr>
        <w:trPr>
          <w:trHeight w:val="75"/>
        </w:trPr>
        <w:tc>
          <w:tcPr>
            <w:tcW w:w="220" w:type="dxa"/>
            <w:vAlign w:val="bottom"/>
          </w:tcPr>
          <w:p>
            <w:pPr>
              <w:spacing w:after="0"/>
              <w:rPr>
                <w:sz w:val="6"/>
                <w:szCs w:val="6"/>
                <w:color w:val="auto"/>
              </w:rPr>
            </w:pPr>
          </w:p>
        </w:tc>
        <w:tc>
          <w:tcPr>
            <w:tcW w:w="580" w:type="dxa"/>
            <w:vAlign w:val="bottom"/>
            <w:tcBorders>
              <w:bottom w:val="single" w:sz="8" w:color="407CCA"/>
            </w:tcBorders>
          </w:tcPr>
          <w:p>
            <w:pPr>
              <w:spacing w:after="0"/>
              <w:rPr>
                <w:sz w:val="6"/>
                <w:szCs w:val="6"/>
                <w:color w:val="auto"/>
              </w:rPr>
            </w:pPr>
          </w:p>
        </w:tc>
        <w:tc>
          <w:tcPr>
            <w:tcW w:w="560" w:type="dxa"/>
            <w:vAlign w:val="bottom"/>
            <w:tcBorders>
              <w:top w:val="single" w:sz="8" w:color="0000EE"/>
              <w:bottom w:val="single" w:sz="8" w:color="407CCA"/>
            </w:tcBorders>
          </w:tcPr>
          <w:p>
            <w:pPr>
              <w:spacing w:after="0"/>
              <w:rPr>
                <w:sz w:val="6"/>
                <w:szCs w:val="6"/>
                <w:color w:val="auto"/>
              </w:rPr>
            </w:pPr>
          </w:p>
        </w:tc>
        <w:tc>
          <w:tcPr>
            <w:tcW w:w="40" w:type="dxa"/>
            <w:vAlign w:val="bottom"/>
            <w:tcBorders>
              <w:top w:val="single" w:sz="8" w:color="0000EE"/>
              <w:bottom w:val="single" w:sz="8" w:color="407CCA"/>
            </w:tcBorders>
          </w:tcPr>
          <w:p>
            <w:pPr>
              <w:spacing w:after="0"/>
              <w:rPr>
                <w:sz w:val="6"/>
                <w:szCs w:val="6"/>
                <w:color w:val="auto"/>
              </w:rPr>
            </w:pPr>
          </w:p>
        </w:tc>
        <w:tc>
          <w:tcPr>
            <w:tcW w:w="300" w:type="dxa"/>
            <w:vAlign w:val="bottom"/>
            <w:tcBorders>
              <w:top w:val="single" w:sz="8" w:color="0000EE"/>
              <w:bottom w:val="single" w:sz="8" w:color="407CCA"/>
            </w:tcBorders>
          </w:tcPr>
          <w:p>
            <w:pPr>
              <w:spacing w:after="0"/>
              <w:rPr>
                <w:sz w:val="6"/>
                <w:szCs w:val="6"/>
                <w:color w:val="auto"/>
              </w:rPr>
            </w:pPr>
          </w:p>
        </w:tc>
        <w:tc>
          <w:tcPr>
            <w:tcW w:w="500" w:type="dxa"/>
            <w:vAlign w:val="bottom"/>
            <w:tcBorders>
              <w:top w:val="single" w:sz="8" w:color="0000EE"/>
              <w:bottom w:val="single" w:sz="8" w:color="407CCA"/>
            </w:tcBorders>
          </w:tcPr>
          <w:p>
            <w:pPr>
              <w:spacing w:after="0"/>
              <w:rPr>
                <w:sz w:val="6"/>
                <w:szCs w:val="6"/>
                <w:color w:val="auto"/>
              </w:rPr>
            </w:pPr>
          </w:p>
        </w:tc>
        <w:tc>
          <w:tcPr>
            <w:tcW w:w="500" w:type="dxa"/>
            <w:vAlign w:val="bottom"/>
            <w:tcBorders>
              <w:top w:val="single" w:sz="8" w:color="0000EE"/>
              <w:bottom w:val="single" w:sz="8" w:color="407CCA"/>
            </w:tcBorders>
          </w:tcPr>
          <w:p>
            <w:pPr>
              <w:spacing w:after="0"/>
              <w:rPr>
                <w:sz w:val="6"/>
                <w:szCs w:val="6"/>
                <w:color w:val="auto"/>
              </w:rPr>
            </w:pPr>
          </w:p>
        </w:tc>
        <w:tc>
          <w:tcPr>
            <w:tcW w:w="160" w:type="dxa"/>
            <w:vAlign w:val="bottom"/>
            <w:tcBorders>
              <w:top w:val="single" w:sz="8" w:color="0000EE"/>
              <w:bottom w:val="single" w:sz="8" w:color="407CCA"/>
            </w:tcBorders>
          </w:tcPr>
          <w:p>
            <w:pPr>
              <w:spacing w:after="0"/>
              <w:rPr>
                <w:sz w:val="6"/>
                <w:szCs w:val="6"/>
                <w:color w:val="auto"/>
              </w:rPr>
            </w:pPr>
          </w:p>
        </w:tc>
        <w:tc>
          <w:tcPr>
            <w:tcW w:w="140" w:type="dxa"/>
            <w:vAlign w:val="bottom"/>
            <w:tcBorders>
              <w:top w:val="single" w:sz="8" w:color="0000EE"/>
              <w:bottom w:val="single" w:sz="8" w:color="407CCA"/>
            </w:tcBorders>
          </w:tcPr>
          <w:p>
            <w:pPr>
              <w:spacing w:after="0"/>
              <w:rPr>
                <w:sz w:val="6"/>
                <w:szCs w:val="6"/>
                <w:color w:val="auto"/>
              </w:rPr>
            </w:pPr>
          </w:p>
        </w:tc>
        <w:tc>
          <w:tcPr>
            <w:tcW w:w="20" w:type="dxa"/>
            <w:vAlign w:val="bottom"/>
            <w:tcBorders>
              <w:top w:val="single" w:sz="8" w:color="0000EE"/>
              <w:bottom w:val="single" w:sz="8" w:color="407CCA"/>
            </w:tcBorders>
          </w:tcPr>
          <w:p>
            <w:pPr>
              <w:spacing w:after="0"/>
              <w:rPr>
                <w:sz w:val="6"/>
                <w:szCs w:val="6"/>
                <w:color w:val="auto"/>
              </w:rPr>
            </w:pPr>
          </w:p>
        </w:tc>
        <w:tc>
          <w:tcPr>
            <w:tcW w:w="360" w:type="dxa"/>
            <w:vAlign w:val="bottom"/>
            <w:tcBorders>
              <w:top w:val="single" w:sz="8" w:color="0000EE"/>
              <w:bottom w:val="single" w:sz="8" w:color="407CCA"/>
            </w:tcBorders>
          </w:tcPr>
          <w:p>
            <w:pPr>
              <w:spacing w:after="0"/>
              <w:rPr>
                <w:sz w:val="6"/>
                <w:szCs w:val="6"/>
                <w:color w:val="auto"/>
              </w:rPr>
            </w:pPr>
          </w:p>
        </w:tc>
        <w:tc>
          <w:tcPr>
            <w:tcW w:w="180" w:type="dxa"/>
            <w:vAlign w:val="bottom"/>
            <w:tcBorders>
              <w:top w:val="single" w:sz="8" w:color="0000EE"/>
              <w:bottom w:val="single" w:sz="8" w:color="407CCA"/>
            </w:tcBorders>
          </w:tcPr>
          <w:p>
            <w:pPr>
              <w:spacing w:after="0"/>
              <w:rPr>
                <w:sz w:val="6"/>
                <w:szCs w:val="6"/>
                <w:color w:val="auto"/>
              </w:rPr>
            </w:pPr>
          </w:p>
        </w:tc>
        <w:tc>
          <w:tcPr>
            <w:tcW w:w="100" w:type="dxa"/>
            <w:vAlign w:val="bottom"/>
            <w:tcBorders>
              <w:top w:val="single" w:sz="8" w:color="0000EE"/>
              <w:bottom w:val="single" w:sz="8" w:color="407CCA"/>
            </w:tcBorders>
          </w:tcPr>
          <w:p>
            <w:pPr>
              <w:spacing w:after="0"/>
              <w:rPr>
                <w:sz w:val="6"/>
                <w:szCs w:val="6"/>
                <w:color w:val="auto"/>
              </w:rPr>
            </w:pPr>
          </w:p>
        </w:tc>
        <w:tc>
          <w:tcPr>
            <w:tcW w:w="60" w:type="dxa"/>
            <w:vAlign w:val="bottom"/>
            <w:tcBorders>
              <w:top w:val="single" w:sz="8" w:color="0000EE"/>
              <w:bottom w:val="single" w:sz="8" w:color="407CCA"/>
            </w:tcBorders>
          </w:tcPr>
          <w:p>
            <w:pPr>
              <w:spacing w:after="0"/>
              <w:rPr>
                <w:sz w:val="6"/>
                <w:szCs w:val="6"/>
                <w:color w:val="auto"/>
              </w:rPr>
            </w:pPr>
          </w:p>
        </w:tc>
        <w:tc>
          <w:tcPr>
            <w:tcW w:w="260" w:type="dxa"/>
            <w:vAlign w:val="bottom"/>
            <w:tcBorders>
              <w:top w:val="single" w:sz="8" w:color="0000EE"/>
              <w:bottom w:val="single" w:sz="8" w:color="407CCA"/>
            </w:tcBorders>
          </w:tcPr>
          <w:p>
            <w:pPr>
              <w:spacing w:after="0"/>
              <w:rPr>
                <w:sz w:val="6"/>
                <w:szCs w:val="6"/>
                <w:color w:val="auto"/>
              </w:rPr>
            </w:pPr>
          </w:p>
        </w:tc>
        <w:tc>
          <w:tcPr>
            <w:tcW w:w="180" w:type="dxa"/>
            <w:vAlign w:val="bottom"/>
            <w:tcBorders>
              <w:bottom w:val="single" w:sz="8" w:color="407CCA"/>
            </w:tcBorders>
          </w:tcPr>
          <w:p>
            <w:pPr>
              <w:spacing w:after="0"/>
              <w:rPr>
                <w:sz w:val="6"/>
                <w:szCs w:val="6"/>
                <w:color w:val="auto"/>
              </w:rPr>
            </w:pPr>
          </w:p>
        </w:tc>
        <w:tc>
          <w:tcPr>
            <w:tcW w:w="60" w:type="dxa"/>
            <w:vAlign w:val="bottom"/>
            <w:tcBorders>
              <w:bottom w:val="single" w:sz="8" w:color="407CCA"/>
            </w:tcBorders>
          </w:tcPr>
          <w:p>
            <w:pPr>
              <w:spacing w:after="0"/>
              <w:rPr>
                <w:sz w:val="6"/>
                <w:szCs w:val="6"/>
                <w:color w:val="auto"/>
              </w:rPr>
            </w:pPr>
          </w:p>
        </w:tc>
        <w:tc>
          <w:tcPr>
            <w:tcW w:w="140" w:type="dxa"/>
            <w:vAlign w:val="bottom"/>
            <w:tcBorders>
              <w:bottom w:val="single" w:sz="8" w:color="407CCA"/>
            </w:tcBorders>
          </w:tcPr>
          <w:p>
            <w:pPr>
              <w:spacing w:after="0"/>
              <w:rPr>
                <w:sz w:val="6"/>
                <w:szCs w:val="6"/>
                <w:color w:val="auto"/>
              </w:rPr>
            </w:pPr>
          </w:p>
        </w:tc>
        <w:tc>
          <w:tcPr>
            <w:tcW w:w="40" w:type="dxa"/>
            <w:vAlign w:val="bottom"/>
            <w:tcBorders>
              <w:bottom w:val="single" w:sz="8" w:color="407CCA"/>
            </w:tcBorders>
          </w:tcPr>
          <w:p>
            <w:pPr>
              <w:spacing w:after="0"/>
              <w:rPr>
                <w:sz w:val="6"/>
                <w:szCs w:val="6"/>
                <w:color w:val="auto"/>
              </w:rPr>
            </w:pPr>
          </w:p>
        </w:tc>
        <w:tc>
          <w:tcPr>
            <w:tcW w:w="100" w:type="dxa"/>
            <w:vAlign w:val="bottom"/>
            <w:tcBorders>
              <w:bottom w:val="single" w:sz="8" w:color="407CCA"/>
            </w:tcBorders>
          </w:tcPr>
          <w:p>
            <w:pPr>
              <w:spacing w:after="0"/>
              <w:rPr>
                <w:sz w:val="6"/>
                <w:szCs w:val="6"/>
                <w:color w:val="auto"/>
              </w:rPr>
            </w:pPr>
          </w:p>
        </w:tc>
        <w:tc>
          <w:tcPr>
            <w:tcW w:w="600" w:type="dxa"/>
            <w:vAlign w:val="bottom"/>
            <w:tcBorders>
              <w:bottom w:val="single" w:sz="8" w:color="407CCA"/>
            </w:tcBorders>
          </w:tcPr>
          <w:p>
            <w:pPr>
              <w:spacing w:after="0"/>
              <w:rPr>
                <w:sz w:val="6"/>
                <w:szCs w:val="6"/>
                <w:color w:val="auto"/>
              </w:rPr>
            </w:pPr>
          </w:p>
        </w:tc>
        <w:tc>
          <w:tcPr>
            <w:tcW w:w="420" w:type="dxa"/>
            <w:vAlign w:val="bottom"/>
            <w:tcBorders>
              <w:bottom w:val="single" w:sz="8" w:color="407CCA"/>
            </w:tcBorders>
          </w:tcPr>
          <w:p>
            <w:pPr>
              <w:spacing w:after="0"/>
              <w:rPr>
                <w:sz w:val="6"/>
                <w:szCs w:val="6"/>
                <w:color w:val="auto"/>
              </w:rPr>
            </w:pPr>
          </w:p>
        </w:tc>
        <w:tc>
          <w:tcPr>
            <w:tcW w:w="140" w:type="dxa"/>
            <w:vAlign w:val="bottom"/>
            <w:tcBorders>
              <w:bottom w:val="single" w:sz="8" w:color="407CCA"/>
            </w:tcBorders>
          </w:tcPr>
          <w:p>
            <w:pPr>
              <w:spacing w:after="0"/>
              <w:rPr>
                <w:sz w:val="6"/>
                <w:szCs w:val="6"/>
                <w:color w:val="auto"/>
              </w:rPr>
            </w:pPr>
          </w:p>
        </w:tc>
        <w:tc>
          <w:tcPr>
            <w:tcW w:w="20" w:type="dxa"/>
            <w:vAlign w:val="bottom"/>
            <w:tcBorders>
              <w:bottom w:val="single" w:sz="8" w:color="407CCA"/>
            </w:tcBorders>
          </w:tcPr>
          <w:p>
            <w:pPr>
              <w:spacing w:after="0"/>
              <w:rPr>
                <w:sz w:val="6"/>
                <w:szCs w:val="6"/>
                <w:color w:val="auto"/>
              </w:rPr>
            </w:pPr>
          </w:p>
        </w:tc>
        <w:tc>
          <w:tcPr>
            <w:tcW w:w="80" w:type="dxa"/>
            <w:vAlign w:val="bottom"/>
            <w:tcBorders>
              <w:bottom w:val="single" w:sz="8" w:color="407CCA"/>
            </w:tcBorders>
          </w:tcPr>
          <w:p>
            <w:pPr>
              <w:spacing w:after="0"/>
              <w:rPr>
                <w:sz w:val="6"/>
                <w:szCs w:val="6"/>
                <w:color w:val="auto"/>
              </w:rPr>
            </w:pPr>
          </w:p>
        </w:tc>
        <w:tc>
          <w:tcPr>
            <w:tcW w:w="360" w:type="dxa"/>
            <w:vAlign w:val="bottom"/>
            <w:tcBorders>
              <w:bottom w:val="single" w:sz="8" w:color="407CCA"/>
            </w:tcBorders>
          </w:tcPr>
          <w:p>
            <w:pPr>
              <w:spacing w:after="0"/>
              <w:rPr>
                <w:sz w:val="6"/>
                <w:szCs w:val="6"/>
                <w:color w:val="auto"/>
              </w:rPr>
            </w:pPr>
          </w:p>
        </w:tc>
        <w:tc>
          <w:tcPr>
            <w:tcW w:w="320" w:type="dxa"/>
            <w:vAlign w:val="bottom"/>
            <w:tcBorders>
              <w:bottom w:val="single" w:sz="8" w:color="407CCA"/>
            </w:tcBorders>
          </w:tcPr>
          <w:p>
            <w:pPr>
              <w:spacing w:after="0"/>
              <w:rPr>
                <w:sz w:val="6"/>
                <w:szCs w:val="6"/>
                <w:color w:val="auto"/>
              </w:rPr>
            </w:pPr>
          </w:p>
        </w:tc>
        <w:tc>
          <w:tcPr>
            <w:tcW w:w="2280" w:type="dxa"/>
            <w:vAlign w:val="bottom"/>
            <w:tcBorders>
              <w:bottom w:val="single" w:sz="8" w:color="407CCA"/>
            </w:tcBorders>
          </w:tcPr>
          <w:p>
            <w:pPr>
              <w:spacing w:after="0"/>
              <w:rPr>
                <w:sz w:val="6"/>
                <w:szCs w:val="6"/>
                <w:color w:val="auto"/>
              </w:rPr>
            </w:pPr>
          </w:p>
        </w:tc>
        <w:tc>
          <w:tcPr>
            <w:tcW w:w="2520" w:type="dxa"/>
            <w:vAlign w:val="bottom"/>
            <w:tcBorders>
              <w:bottom w:val="single" w:sz="8" w:color="407CCA"/>
            </w:tcBorders>
          </w:tcPr>
          <w:p>
            <w:pPr>
              <w:spacing w:after="0"/>
              <w:rPr>
                <w:sz w:val="6"/>
                <w:szCs w:val="6"/>
                <w:color w:val="auto"/>
              </w:rPr>
            </w:pPr>
          </w:p>
        </w:tc>
      </w:tr>
      <w:tr>
        <w:trPr>
          <w:trHeight w:val="480"/>
        </w:trPr>
        <w:tc>
          <w:tcPr>
            <w:tcW w:w="220" w:type="dxa"/>
            <w:vAlign w:val="bottom"/>
          </w:tcPr>
          <w:p>
            <w:pPr>
              <w:spacing w:after="0"/>
              <w:rPr>
                <w:sz w:val="24"/>
                <w:szCs w:val="24"/>
                <w:color w:val="auto"/>
              </w:rPr>
            </w:pPr>
          </w:p>
        </w:tc>
        <w:tc>
          <w:tcPr>
            <w:tcW w:w="8500" w:type="dxa"/>
            <w:vAlign w:val="bottom"/>
            <w:gridSpan w:val="27"/>
          </w:tcPr>
          <w:p>
            <w:pPr>
              <w:ind w:left="80"/>
              <w:spacing w:after="0"/>
              <w:rPr>
                <w:rFonts w:ascii="Arial" w:cs="Arial" w:eastAsia="Arial" w:hAnsi="Arial"/>
                <w:sz w:val="18"/>
                <w:szCs w:val="18"/>
                <w:b w:val="1"/>
                <w:bCs w:val="1"/>
                <w:color w:val="0000EE"/>
              </w:rPr>
            </w:pPr>
            <w:hyperlink w:anchor="page68">
              <w:r>
                <w:rPr>
                  <w:rFonts w:ascii="Arial" w:cs="Arial" w:eastAsia="Arial" w:hAnsi="Arial"/>
                  <w:sz w:val="18"/>
                  <w:szCs w:val="18"/>
                  <w:b w:val="1"/>
                  <w:bCs w:val="1"/>
                  <w:color w:val="0000EE"/>
                </w:rPr>
                <w:t>Information Regarding Company Voting Securities</w:t>
              </w:r>
            </w:hyperlink>
          </w:p>
        </w:tc>
        <w:tc>
          <w:tcPr>
            <w:tcW w:w="2520" w:type="dxa"/>
            <w:vAlign w:val="bottom"/>
          </w:tcPr>
          <w:p>
            <w:pPr>
              <w:jc w:val="right"/>
              <w:spacing w:after="0"/>
              <w:rPr>
                <w:sz w:val="20"/>
                <w:szCs w:val="20"/>
                <w:color w:val="auto"/>
              </w:rPr>
            </w:pPr>
            <w:r>
              <w:rPr>
                <w:rFonts w:ascii="Arial" w:cs="Arial" w:eastAsia="Arial" w:hAnsi="Arial"/>
                <w:sz w:val="18"/>
                <w:szCs w:val="18"/>
                <w:color w:val="auto"/>
              </w:rPr>
              <w:t>64</w:t>
            </w:r>
          </w:p>
        </w:tc>
      </w:tr>
      <w:tr>
        <w:trPr>
          <w:trHeight w:val="20"/>
        </w:trPr>
        <w:tc>
          <w:tcPr>
            <w:tcW w:w="220" w:type="dxa"/>
            <w:vAlign w:val="bottom"/>
            <w:tcBorders>
              <w:right w:val="single" w:sz="8" w:color="0000EE"/>
            </w:tcBorders>
          </w:tcPr>
          <w:p>
            <w:pPr>
              <w:spacing w:after="0" w:line="20" w:lineRule="exact"/>
              <w:rPr>
                <w:sz w:val="1"/>
                <w:szCs w:val="1"/>
                <w:color w:val="auto"/>
              </w:rPr>
            </w:pPr>
          </w:p>
        </w:tc>
        <w:tc>
          <w:tcPr>
            <w:tcW w:w="580" w:type="dxa"/>
            <w:vAlign w:val="bottom"/>
            <w:shd w:val="clear" w:color="auto" w:fill="0000EE"/>
          </w:tcPr>
          <w:p>
            <w:pPr>
              <w:spacing w:after="0" w:line="20" w:lineRule="exact"/>
              <w:rPr>
                <w:sz w:val="1"/>
                <w:szCs w:val="1"/>
                <w:color w:val="auto"/>
              </w:rPr>
            </w:pPr>
          </w:p>
        </w:tc>
        <w:tc>
          <w:tcPr>
            <w:tcW w:w="3420" w:type="dxa"/>
            <w:vAlign w:val="bottom"/>
            <w:gridSpan w:val="15"/>
            <w:shd w:val="clear" w:color="auto" w:fill="0000EE"/>
          </w:tcPr>
          <w:p>
            <w:pPr>
              <w:spacing w:after="0" w:line="20" w:lineRule="exact"/>
              <w:rPr>
                <w:sz w:val="1"/>
                <w:szCs w:val="1"/>
                <w:color w:val="auto"/>
              </w:rPr>
            </w:pPr>
          </w:p>
        </w:tc>
        <w:tc>
          <w:tcPr>
            <w:tcW w:w="880" w:type="dxa"/>
            <w:vAlign w:val="bottom"/>
            <w:gridSpan w:val="4"/>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60" w:type="dxa"/>
            <w:vAlign w:val="bottom"/>
            <w:gridSpan w:val="2"/>
          </w:tcPr>
          <w:p>
            <w:pPr>
              <w:spacing w:after="0" w:line="20" w:lineRule="exact"/>
              <w:rPr>
                <w:sz w:val="1"/>
                <w:szCs w:val="1"/>
                <w:color w:val="auto"/>
              </w:rPr>
            </w:pPr>
          </w:p>
        </w:tc>
        <w:tc>
          <w:tcPr>
            <w:tcW w:w="440" w:type="dxa"/>
            <w:vAlign w:val="bottom"/>
            <w:gridSpan w:val="2"/>
          </w:tcPr>
          <w:p>
            <w:pPr>
              <w:spacing w:after="0" w:line="20" w:lineRule="exact"/>
              <w:rPr>
                <w:sz w:val="1"/>
                <w:szCs w:val="1"/>
                <w:color w:val="auto"/>
              </w:rPr>
            </w:pPr>
          </w:p>
        </w:tc>
        <w:tc>
          <w:tcPr>
            <w:tcW w:w="2600" w:type="dxa"/>
            <w:vAlign w:val="bottom"/>
            <w:gridSpan w:val="2"/>
          </w:tcPr>
          <w:p>
            <w:pPr>
              <w:spacing w:after="0" w:line="20" w:lineRule="exact"/>
              <w:rPr>
                <w:sz w:val="1"/>
                <w:szCs w:val="1"/>
                <w:color w:val="auto"/>
              </w:rPr>
            </w:pPr>
          </w:p>
        </w:tc>
        <w:tc>
          <w:tcPr>
            <w:tcW w:w="2520" w:type="dxa"/>
            <w:vAlign w:val="bottom"/>
          </w:tcPr>
          <w:p>
            <w:pPr>
              <w:spacing w:after="0" w:line="20" w:lineRule="exact"/>
              <w:rPr>
                <w:sz w:val="1"/>
                <w:szCs w:val="1"/>
                <w:color w:val="auto"/>
              </w:rPr>
            </w:pPr>
          </w:p>
        </w:tc>
      </w:tr>
      <w:tr>
        <w:trPr>
          <w:trHeight w:val="304"/>
        </w:trPr>
        <w:tc>
          <w:tcPr>
            <w:tcW w:w="22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7920" w:type="dxa"/>
            <w:vAlign w:val="bottom"/>
            <w:gridSpan w:val="26"/>
          </w:tcPr>
          <w:p>
            <w:pPr>
              <w:spacing w:after="0"/>
              <w:rPr>
                <w:rFonts w:ascii="Arial" w:cs="Arial" w:eastAsia="Arial" w:hAnsi="Arial"/>
                <w:sz w:val="18"/>
                <w:szCs w:val="18"/>
                <w:color w:val="0000EE"/>
              </w:rPr>
            </w:pPr>
            <w:hyperlink w:anchor="page68">
              <w:r>
                <w:rPr>
                  <w:rFonts w:ascii="Arial" w:cs="Arial" w:eastAsia="Arial" w:hAnsi="Arial"/>
                  <w:sz w:val="18"/>
                  <w:szCs w:val="18"/>
                  <w:color w:val="0000EE"/>
                </w:rPr>
                <w:t>Security Ownership of Management and Certain Beneficial Owners</w:t>
              </w:r>
            </w:hyperlink>
          </w:p>
        </w:tc>
        <w:tc>
          <w:tcPr>
            <w:tcW w:w="2520" w:type="dxa"/>
            <w:vAlign w:val="bottom"/>
          </w:tcPr>
          <w:p>
            <w:pPr>
              <w:jc w:val="right"/>
              <w:spacing w:after="0"/>
              <w:rPr>
                <w:sz w:val="20"/>
                <w:szCs w:val="20"/>
                <w:color w:val="auto"/>
              </w:rPr>
            </w:pPr>
            <w:r>
              <w:rPr>
                <w:rFonts w:ascii="Arial" w:cs="Arial" w:eastAsia="Arial" w:hAnsi="Arial"/>
                <w:sz w:val="18"/>
                <w:szCs w:val="18"/>
                <w:color w:val="auto"/>
              </w:rPr>
              <w:t>64</w:t>
            </w:r>
          </w:p>
        </w:tc>
      </w:tr>
      <w:tr>
        <w:trPr>
          <w:trHeight w:val="196"/>
        </w:trPr>
        <w:tc>
          <w:tcPr>
            <w:tcW w:w="22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4880" w:type="dxa"/>
            <w:vAlign w:val="bottom"/>
            <w:tcBorders>
              <w:top w:val="single" w:sz="8" w:color="0000EE"/>
            </w:tcBorders>
            <w:gridSpan w:val="22"/>
          </w:tcPr>
          <w:p>
            <w:pPr>
              <w:spacing w:after="0" w:line="196" w:lineRule="exact"/>
              <w:rPr>
                <w:rFonts w:ascii="Arial" w:cs="Arial" w:eastAsia="Arial" w:hAnsi="Arial"/>
                <w:sz w:val="18"/>
                <w:szCs w:val="18"/>
                <w:color w:val="0000EE"/>
              </w:rPr>
            </w:pPr>
            <w:hyperlink w:anchor="page69">
              <w:r>
                <w:rPr>
                  <w:rFonts w:ascii="Arial" w:cs="Arial" w:eastAsia="Arial" w:hAnsi="Arial"/>
                  <w:sz w:val="18"/>
                  <w:szCs w:val="18"/>
                  <w:color w:val="0000EE"/>
                </w:rPr>
                <w:t>Section 16(a) Beneficial Ownership Reporting Compliance</w:t>
              </w:r>
            </w:hyperlink>
          </w:p>
        </w:tc>
        <w:tc>
          <w:tcPr>
            <w:tcW w:w="3040" w:type="dxa"/>
            <w:vAlign w:val="bottom"/>
            <w:gridSpan w:val="4"/>
          </w:tcPr>
          <w:p>
            <w:pPr>
              <w:spacing w:after="0"/>
              <w:rPr>
                <w:sz w:val="17"/>
                <w:szCs w:val="17"/>
                <w:color w:val="auto"/>
              </w:rPr>
            </w:pPr>
          </w:p>
        </w:tc>
        <w:tc>
          <w:tcPr>
            <w:tcW w:w="2520" w:type="dxa"/>
            <w:vAlign w:val="bottom"/>
          </w:tcPr>
          <w:p>
            <w:pPr>
              <w:jc w:val="right"/>
              <w:spacing w:after="0" w:line="196" w:lineRule="exact"/>
              <w:rPr>
                <w:sz w:val="20"/>
                <w:szCs w:val="20"/>
                <w:color w:val="auto"/>
              </w:rPr>
            </w:pPr>
            <w:r>
              <w:rPr>
                <w:rFonts w:ascii="Arial" w:cs="Arial" w:eastAsia="Arial" w:hAnsi="Arial"/>
                <w:sz w:val="18"/>
                <w:szCs w:val="18"/>
                <w:color w:val="auto"/>
              </w:rPr>
              <w:t>65</w:t>
            </w:r>
          </w:p>
        </w:tc>
      </w:tr>
      <w:tr>
        <w:trPr>
          <w:trHeight w:val="75"/>
        </w:trPr>
        <w:tc>
          <w:tcPr>
            <w:tcW w:w="220" w:type="dxa"/>
            <w:vAlign w:val="bottom"/>
          </w:tcPr>
          <w:p>
            <w:pPr>
              <w:spacing w:after="0"/>
              <w:rPr>
                <w:sz w:val="6"/>
                <w:szCs w:val="6"/>
                <w:color w:val="auto"/>
              </w:rPr>
            </w:pPr>
          </w:p>
        </w:tc>
        <w:tc>
          <w:tcPr>
            <w:tcW w:w="580" w:type="dxa"/>
            <w:vAlign w:val="bottom"/>
            <w:tcBorders>
              <w:bottom w:val="single" w:sz="8" w:color="407CCA"/>
            </w:tcBorders>
          </w:tcPr>
          <w:p>
            <w:pPr>
              <w:spacing w:after="0"/>
              <w:rPr>
                <w:sz w:val="6"/>
                <w:szCs w:val="6"/>
                <w:color w:val="auto"/>
              </w:rPr>
            </w:pPr>
          </w:p>
        </w:tc>
        <w:tc>
          <w:tcPr>
            <w:tcW w:w="560" w:type="dxa"/>
            <w:vAlign w:val="bottom"/>
            <w:tcBorders>
              <w:top w:val="single" w:sz="8" w:color="0000EE"/>
              <w:bottom w:val="single" w:sz="8" w:color="407CCA"/>
            </w:tcBorders>
          </w:tcPr>
          <w:p>
            <w:pPr>
              <w:spacing w:after="0"/>
              <w:rPr>
                <w:sz w:val="6"/>
                <w:szCs w:val="6"/>
                <w:color w:val="auto"/>
              </w:rPr>
            </w:pPr>
          </w:p>
        </w:tc>
        <w:tc>
          <w:tcPr>
            <w:tcW w:w="40" w:type="dxa"/>
            <w:vAlign w:val="bottom"/>
            <w:tcBorders>
              <w:top w:val="single" w:sz="8" w:color="0000EE"/>
              <w:bottom w:val="single" w:sz="8" w:color="407CCA"/>
            </w:tcBorders>
          </w:tcPr>
          <w:p>
            <w:pPr>
              <w:spacing w:after="0"/>
              <w:rPr>
                <w:sz w:val="6"/>
                <w:szCs w:val="6"/>
                <w:color w:val="auto"/>
              </w:rPr>
            </w:pPr>
          </w:p>
        </w:tc>
        <w:tc>
          <w:tcPr>
            <w:tcW w:w="300" w:type="dxa"/>
            <w:vAlign w:val="bottom"/>
            <w:tcBorders>
              <w:top w:val="single" w:sz="8" w:color="0000EE"/>
              <w:bottom w:val="single" w:sz="8" w:color="407CCA"/>
            </w:tcBorders>
          </w:tcPr>
          <w:p>
            <w:pPr>
              <w:spacing w:after="0"/>
              <w:rPr>
                <w:sz w:val="6"/>
                <w:szCs w:val="6"/>
                <w:color w:val="auto"/>
              </w:rPr>
            </w:pPr>
          </w:p>
        </w:tc>
        <w:tc>
          <w:tcPr>
            <w:tcW w:w="500" w:type="dxa"/>
            <w:vAlign w:val="bottom"/>
            <w:tcBorders>
              <w:top w:val="single" w:sz="8" w:color="0000EE"/>
              <w:bottom w:val="single" w:sz="8" w:color="407CCA"/>
            </w:tcBorders>
          </w:tcPr>
          <w:p>
            <w:pPr>
              <w:spacing w:after="0"/>
              <w:rPr>
                <w:sz w:val="6"/>
                <w:szCs w:val="6"/>
                <w:color w:val="auto"/>
              </w:rPr>
            </w:pPr>
          </w:p>
        </w:tc>
        <w:tc>
          <w:tcPr>
            <w:tcW w:w="500" w:type="dxa"/>
            <w:vAlign w:val="bottom"/>
            <w:tcBorders>
              <w:top w:val="single" w:sz="8" w:color="0000EE"/>
              <w:bottom w:val="single" w:sz="8" w:color="407CCA"/>
            </w:tcBorders>
          </w:tcPr>
          <w:p>
            <w:pPr>
              <w:spacing w:after="0"/>
              <w:rPr>
                <w:sz w:val="6"/>
                <w:szCs w:val="6"/>
                <w:color w:val="auto"/>
              </w:rPr>
            </w:pPr>
          </w:p>
        </w:tc>
        <w:tc>
          <w:tcPr>
            <w:tcW w:w="160" w:type="dxa"/>
            <w:vAlign w:val="bottom"/>
            <w:tcBorders>
              <w:top w:val="single" w:sz="8" w:color="0000EE"/>
              <w:bottom w:val="single" w:sz="8" w:color="407CCA"/>
            </w:tcBorders>
          </w:tcPr>
          <w:p>
            <w:pPr>
              <w:spacing w:after="0"/>
              <w:rPr>
                <w:sz w:val="6"/>
                <w:szCs w:val="6"/>
                <w:color w:val="auto"/>
              </w:rPr>
            </w:pPr>
          </w:p>
        </w:tc>
        <w:tc>
          <w:tcPr>
            <w:tcW w:w="140" w:type="dxa"/>
            <w:vAlign w:val="bottom"/>
            <w:tcBorders>
              <w:top w:val="single" w:sz="8" w:color="0000EE"/>
              <w:bottom w:val="single" w:sz="8" w:color="407CCA"/>
            </w:tcBorders>
          </w:tcPr>
          <w:p>
            <w:pPr>
              <w:spacing w:after="0"/>
              <w:rPr>
                <w:sz w:val="6"/>
                <w:szCs w:val="6"/>
                <w:color w:val="auto"/>
              </w:rPr>
            </w:pPr>
          </w:p>
        </w:tc>
        <w:tc>
          <w:tcPr>
            <w:tcW w:w="20" w:type="dxa"/>
            <w:vAlign w:val="bottom"/>
            <w:tcBorders>
              <w:top w:val="single" w:sz="8" w:color="0000EE"/>
              <w:bottom w:val="single" w:sz="8" w:color="407CCA"/>
            </w:tcBorders>
          </w:tcPr>
          <w:p>
            <w:pPr>
              <w:spacing w:after="0"/>
              <w:rPr>
                <w:sz w:val="6"/>
                <w:szCs w:val="6"/>
                <w:color w:val="auto"/>
              </w:rPr>
            </w:pPr>
          </w:p>
        </w:tc>
        <w:tc>
          <w:tcPr>
            <w:tcW w:w="360" w:type="dxa"/>
            <w:vAlign w:val="bottom"/>
            <w:tcBorders>
              <w:top w:val="single" w:sz="8" w:color="0000EE"/>
              <w:bottom w:val="single" w:sz="8" w:color="407CCA"/>
            </w:tcBorders>
          </w:tcPr>
          <w:p>
            <w:pPr>
              <w:spacing w:after="0"/>
              <w:rPr>
                <w:sz w:val="6"/>
                <w:szCs w:val="6"/>
                <w:color w:val="auto"/>
              </w:rPr>
            </w:pPr>
          </w:p>
        </w:tc>
        <w:tc>
          <w:tcPr>
            <w:tcW w:w="180" w:type="dxa"/>
            <w:vAlign w:val="bottom"/>
            <w:tcBorders>
              <w:top w:val="single" w:sz="8" w:color="0000EE"/>
              <w:bottom w:val="single" w:sz="8" w:color="407CCA"/>
            </w:tcBorders>
          </w:tcPr>
          <w:p>
            <w:pPr>
              <w:spacing w:after="0"/>
              <w:rPr>
                <w:sz w:val="6"/>
                <w:szCs w:val="6"/>
                <w:color w:val="auto"/>
              </w:rPr>
            </w:pPr>
          </w:p>
        </w:tc>
        <w:tc>
          <w:tcPr>
            <w:tcW w:w="100" w:type="dxa"/>
            <w:vAlign w:val="bottom"/>
            <w:tcBorders>
              <w:top w:val="single" w:sz="8" w:color="0000EE"/>
              <w:bottom w:val="single" w:sz="8" w:color="407CCA"/>
            </w:tcBorders>
          </w:tcPr>
          <w:p>
            <w:pPr>
              <w:spacing w:after="0"/>
              <w:rPr>
                <w:sz w:val="6"/>
                <w:szCs w:val="6"/>
                <w:color w:val="auto"/>
              </w:rPr>
            </w:pPr>
          </w:p>
        </w:tc>
        <w:tc>
          <w:tcPr>
            <w:tcW w:w="60" w:type="dxa"/>
            <w:vAlign w:val="bottom"/>
            <w:tcBorders>
              <w:top w:val="single" w:sz="8" w:color="0000EE"/>
              <w:bottom w:val="single" w:sz="8" w:color="407CCA"/>
            </w:tcBorders>
          </w:tcPr>
          <w:p>
            <w:pPr>
              <w:spacing w:after="0"/>
              <w:rPr>
                <w:sz w:val="6"/>
                <w:szCs w:val="6"/>
                <w:color w:val="auto"/>
              </w:rPr>
            </w:pPr>
          </w:p>
        </w:tc>
        <w:tc>
          <w:tcPr>
            <w:tcW w:w="260" w:type="dxa"/>
            <w:vAlign w:val="bottom"/>
            <w:tcBorders>
              <w:top w:val="single" w:sz="8" w:color="0000EE"/>
              <w:bottom w:val="single" w:sz="8" w:color="407CCA"/>
            </w:tcBorders>
          </w:tcPr>
          <w:p>
            <w:pPr>
              <w:spacing w:after="0"/>
              <w:rPr>
                <w:sz w:val="6"/>
                <w:szCs w:val="6"/>
                <w:color w:val="auto"/>
              </w:rPr>
            </w:pPr>
          </w:p>
        </w:tc>
        <w:tc>
          <w:tcPr>
            <w:tcW w:w="180" w:type="dxa"/>
            <w:vAlign w:val="bottom"/>
            <w:tcBorders>
              <w:top w:val="single" w:sz="8" w:color="0000EE"/>
              <w:bottom w:val="single" w:sz="8" w:color="407CCA"/>
            </w:tcBorders>
          </w:tcPr>
          <w:p>
            <w:pPr>
              <w:spacing w:after="0"/>
              <w:rPr>
                <w:sz w:val="6"/>
                <w:szCs w:val="6"/>
                <w:color w:val="auto"/>
              </w:rPr>
            </w:pPr>
          </w:p>
        </w:tc>
        <w:tc>
          <w:tcPr>
            <w:tcW w:w="60" w:type="dxa"/>
            <w:vAlign w:val="bottom"/>
            <w:tcBorders>
              <w:top w:val="single" w:sz="8" w:color="0000EE"/>
              <w:bottom w:val="single" w:sz="8" w:color="407CCA"/>
            </w:tcBorders>
          </w:tcPr>
          <w:p>
            <w:pPr>
              <w:spacing w:after="0"/>
              <w:rPr>
                <w:sz w:val="6"/>
                <w:szCs w:val="6"/>
                <w:color w:val="auto"/>
              </w:rPr>
            </w:pPr>
          </w:p>
        </w:tc>
        <w:tc>
          <w:tcPr>
            <w:tcW w:w="140" w:type="dxa"/>
            <w:vAlign w:val="bottom"/>
            <w:tcBorders>
              <w:top w:val="single" w:sz="8" w:color="0000EE"/>
              <w:bottom w:val="single" w:sz="8" w:color="407CCA"/>
            </w:tcBorders>
          </w:tcPr>
          <w:p>
            <w:pPr>
              <w:spacing w:after="0"/>
              <w:rPr>
                <w:sz w:val="6"/>
                <w:szCs w:val="6"/>
                <w:color w:val="auto"/>
              </w:rPr>
            </w:pPr>
          </w:p>
        </w:tc>
        <w:tc>
          <w:tcPr>
            <w:tcW w:w="40" w:type="dxa"/>
            <w:vAlign w:val="bottom"/>
            <w:tcBorders>
              <w:top w:val="single" w:sz="8" w:color="0000EE"/>
              <w:bottom w:val="single" w:sz="8" w:color="407CCA"/>
            </w:tcBorders>
          </w:tcPr>
          <w:p>
            <w:pPr>
              <w:spacing w:after="0"/>
              <w:rPr>
                <w:sz w:val="6"/>
                <w:szCs w:val="6"/>
                <w:color w:val="auto"/>
              </w:rPr>
            </w:pPr>
          </w:p>
        </w:tc>
        <w:tc>
          <w:tcPr>
            <w:tcW w:w="100" w:type="dxa"/>
            <w:vAlign w:val="bottom"/>
            <w:tcBorders>
              <w:top w:val="single" w:sz="8" w:color="0000EE"/>
              <w:bottom w:val="single" w:sz="8" w:color="407CCA"/>
            </w:tcBorders>
          </w:tcPr>
          <w:p>
            <w:pPr>
              <w:spacing w:after="0"/>
              <w:rPr>
                <w:sz w:val="6"/>
                <w:szCs w:val="6"/>
                <w:color w:val="auto"/>
              </w:rPr>
            </w:pPr>
          </w:p>
        </w:tc>
        <w:tc>
          <w:tcPr>
            <w:tcW w:w="600" w:type="dxa"/>
            <w:vAlign w:val="bottom"/>
            <w:tcBorders>
              <w:top w:val="single" w:sz="8" w:color="0000EE"/>
              <w:bottom w:val="single" w:sz="8" w:color="407CCA"/>
            </w:tcBorders>
          </w:tcPr>
          <w:p>
            <w:pPr>
              <w:spacing w:after="0"/>
              <w:rPr>
                <w:sz w:val="6"/>
                <w:szCs w:val="6"/>
                <w:color w:val="auto"/>
              </w:rPr>
            </w:pPr>
          </w:p>
        </w:tc>
        <w:tc>
          <w:tcPr>
            <w:tcW w:w="420" w:type="dxa"/>
            <w:vAlign w:val="bottom"/>
            <w:tcBorders>
              <w:bottom w:val="single" w:sz="8" w:color="407CCA"/>
            </w:tcBorders>
          </w:tcPr>
          <w:p>
            <w:pPr>
              <w:spacing w:after="0"/>
              <w:rPr>
                <w:sz w:val="6"/>
                <w:szCs w:val="6"/>
                <w:color w:val="auto"/>
              </w:rPr>
            </w:pPr>
          </w:p>
        </w:tc>
        <w:tc>
          <w:tcPr>
            <w:tcW w:w="140" w:type="dxa"/>
            <w:vAlign w:val="bottom"/>
            <w:tcBorders>
              <w:bottom w:val="single" w:sz="8" w:color="407CCA"/>
            </w:tcBorders>
          </w:tcPr>
          <w:p>
            <w:pPr>
              <w:spacing w:after="0"/>
              <w:rPr>
                <w:sz w:val="6"/>
                <w:szCs w:val="6"/>
                <w:color w:val="auto"/>
              </w:rPr>
            </w:pPr>
          </w:p>
        </w:tc>
        <w:tc>
          <w:tcPr>
            <w:tcW w:w="20" w:type="dxa"/>
            <w:vAlign w:val="bottom"/>
            <w:tcBorders>
              <w:bottom w:val="single" w:sz="8" w:color="407CCA"/>
            </w:tcBorders>
          </w:tcPr>
          <w:p>
            <w:pPr>
              <w:spacing w:after="0"/>
              <w:rPr>
                <w:sz w:val="6"/>
                <w:szCs w:val="6"/>
                <w:color w:val="auto"/>
              </w:rPr>
            </w:pPr>
          </w:p>
        </w:tc>
        <w:tc>
          <w:tcPr>
            <w:tcW w:w="80" w:type="dxa"/>
            <w:vAlign w:val="bottom"/>
            <w:tcBorders>
              <w:bottom w:val="single" w:sz="8" w:color="407CCA"/>
            </w:tcBorders>
          </w:tcPr>
          <w:p>
            <w:pPr>
              <w:spacing w:after="0"/>
              <w:rPr>
                <w:sz w:val="6"/>
                <w:szCs w:val="6"/>
                <w:color w:val="auto"/>
              </w:rPr>
            </w:pPr>
          </w:p>
        </w:tc>
        <w:tc>
          <w:tcPr>
            <w:tcW w:w="360" w:type="dxa"/>
            <w:vAlign w:val="bottom"/>
            <w:tcBorders>
              <w:bottom w:val="single" w:sz="8" w:color="407CCA"/>
            </w:tcBorders>
          </w:tcPr>
          <w:p>
            <w:pPr>
              <w:spacing w:after="0"/>
              <w:rPr>
                <w:sz w:val="6"/>
                <w:szCs w:val="6"/>
                <w:color w:val="auto"/>
              </w:rPr>
            </w:pPr>
          </w:p>
        </w:tc>
        <w:tc>
          <w:tcPr>
            <w:tcW w:w="320" w:type="dxa"/>
            <w:vAlign w:val="bottom"/>
            <w:tcBorders>
              <w:bottom w:val="single" w:sz="8" w:color="407CCA"/>
            </w:tcBorders>
          </w:tcPr>
          <w:p>
            <w:pPr>
              <w:spacing w:after="0"/>
              <w:rPr>
                <w:sz w:val="6"/>
                <w:szCs w:val="6"/>
                <w:color w:val="auto"/>
              </w:rPr>
            </w:pPr>
          </w:p>
        </w:tc>
        <w:tc>
          <w:tcPr>
            <w:tcW w:w="2280" w:type="dxa"/>
            <w:vAlign w:val="bottom"/>
            <w:tcBorders>
              <w:bottom w:val="single" w:sz="8" w:color="407CCA"/>
            </w:tcBorders>
          </w:tcPr>
          <w:p>
            <w:pPr>
              <w:spacing w:after="0"/>
              <w:rPr>
                <w:sz w:val="6"/>
                <w:szCs w:val="6"/>
                <w:color w:val="auto"/>
              </w:rPr>
            </w:pPr>
          </w:p>
        </w:tc>
        <w:tc>
          <w:tcPr>
            <w:tcW w:w="2520" w:type="dxa"/>
            <w:vAlign w:val="bottom"/>
            <w:tcBorders>
              <w:bottom w:val="single" w:sz="8" w:color="407CCA"/>
            </w:tcBorders>
          </w:tcPr>
          <w:p>
            <w:pPr>
              <w:spacing w:after="0"/>
              <w:rPr>
                <w:sz w:val="6"/>
                <w:szCs w:val="6"/>
                <w:color w:val="auto"/>
              </w:rPr>
            </w:pPr>
          </w:p>
        </w:tc>
      </w:tr>
      <w:tr>
        <w:trPr>
          <w:trHeight w:val="169"/>
        </w:trPr>
        <w:tc>
          <w:tcPr>
            <w:tcW w:w="220" w:type="dxa"/>
            <w:vAlign w:val="bottom"/>
          </w:tcPr>
          <w:p>
            <w:pPr>
              <w:spacing w:after="0"/>
              <w:rPr>
                <w:sz w:val="14"/>
                <w:szCs w:val="14"/>
                <w:color w:val="auto"/>
              </w:rPr>
            </w:pPr>
          </w:p>
        </w:tc>
        <w:tc>
          <w:tcPr>
            <w:tcW w:w="8500" w:type="dxa"/>
            <w:vAlign w:val="bottom"/>
            <w:gridSpan w:val="27"/>
          </w:tcPr>
          <w:p>
            <w:pPr>
              <w:ind w:left="120"/>
              <w:spacing w:after="0" w:line="170" w:lineRule="exact"/>
              <w:rPr>
                <w:rFonts w:ascii="Arial" w:cs="Arial" w:eastAsia="Arial" w:hAnsi="Arial"/>
                <w:sz w:val="18"/>
                <w:szCs w:val="18"/>
                <w:b w:val="1"/>
                <w:bCs w:val="1"/>
                <w:color w:val="0000EE"/>
              </w:rPr>
            </w:pPr>
            <w:hyperlink w:anchor="page70">
              <w:r>
                <w:rPr>
                  <w:rFonts w:ascii="Arial" w:cs="Arial" w:eastAsia="Arial" w:hAnsi="Arial"/>
                  <w:sz w:val="18"/>
                  <w:szCs w:val="18"/>
                  <w:b w:val="1"/>
                  <w:bCs w:val="1"/>
                  <w:color w:val="0000EE"/>
                </w:rPr>
                <w:t>Questions and Answers About Stockholder Communications and Proposals</w:t>
              </w:r>
            </w:hyperlink>
          </w:p>
        </w:tc>
        <w:tc>
          <w:tcPr>
            <w:tcW w:w="2520" w:type="dxa"/>
            <w:vAlign w:val="bottom"/>
          </w:tcPr>
          <w:p>
            <w:pPr>
              <w:jc w:val="right"/>
              <w:spacing w:after="0" w:line="170" w:lineRule="exact"/>
              <w:rPr>
                <w:sz w:val="20"/>
                <w:szCs w:val="20"/>
                <w:color w:val="auto"/>
              </w:rPr>
            </w:pPr>
            <w:r>
              <w:rPr>
                <w:rFonts w:ascii="Arial" w:cs="Arial" w:eastAsia="Arial" w:hAnsi="Arial"/>
                <w:sz w:val="18"/>
                <w:szCs w:val="18"/>
                <w:color w:val="auto"/>
              </w:rPr>
              <w:t>66</w:t>
            </w:r>
          </w:p>
        </w:tc>
      </w:tr>
      <w:tr>
        <w:trPr>
          <w:trHeight w:val="75"/>
        </w:trPr>
        <w:tc>
          <w:tcPr>
            <w:tcW w:w="220" w:type="dxa"/>
            <w:vAlign w:val="bottom"/>
          </w:tcPr>
          <w:p>
            <w:pPr>
              <w:spacing w:after="0"/>
              <w:rPr>
                <w:sz w:val="6"/>
                <w:szCs w:val="6"/>
                <w:color w:val="auto"/>
              </w:rPr>
            </w:pPr>
          </w:p>
        </w:tc>
        <w:tc>
          <w:tcPr>
            <w:tcW w:w="580" w:type="dxa"/>
            <w:vAlign w:val="bottom"/>
            <w:tcBorders>
              <w:top w:val="single" w:sz="8" w:color="0000EE"/>
              <w:bottom w:val="single" w:sz="8" w:color="407CCA"/>
            </w:tcBorders>
          </w:tcPr>
          <w:p>
            <w:pPr>
              <w:spacing w:after="0"/>
              <w:rPr>
                <w:sz w:val="6"/>
                <w:szCs w:val="6"/>
                <w:color w:val="auto"/>
              </w:rPr>
            </w:pPr>
          </w:p>
        </w:tc>
        <w:tc>
          <w:tcPr>
            <w:tcW w:w="560" w:type="dxa"/>
            <w:vAlign w:val="bottom"/>
            <w:tcBorders>
              <w:top w:val="single" w:sz="8" w:color="0000EE"/>
              <w:bottom w:val="single" w:sz="8" w:color="407CCA"/>
            </w:tcBorders>
          </w:tcPr>
          <w:p>
            <w:pPr>
              <w:spacing w:after="0"/>
              <w:rPr>
                <w:sz w:val="6"/>
                <w:szCs w:val="6"/>
                <w:color w:val="auto"/>
              </w:rPr>
            </w:pPr>
          </w:p>
        </w:tc>
        <w:tc>
          <w:tcPr>
            <w:tcW w:w="40" w:type="dxa"/>
            <w:vAlign w:val="bottom"/>
            <w:tcBorders>
              <w:top w:val="single" w:sz="8" w:color="0000EE"/>
              <w:bottom w:val="single" w:sz="8" w:color="407CCA"/>
            </w:tcBorders>
          </w:tcPr>
          <w:p>
            <w:pPr>
              <w:spacing w:after="0"/>
              <w:rPr>
                <w:sz w:val="6"/>
                <w:szCs w:val="6"/>
                <w:color w:val="auto"/>
              </w:rPr>
            </w:pPr>
          </w:p>
        </w:tc>
        <w:tc>
          <w:tcPr>
            <w:tcW w:w="300" w:type="dxa"/>
            <w:vAlign w:val="bottom"/>
            <w:tcBorders>
              <w:top w:val="single" w:sz="8" w:color="0000EE"/>
              <w:bottom w:val="single" w:sz="8" w:color="407CCA"/>
            </w:tcBorders>
          </w:tcPr>
          <w:p>
            <w:pPr>
              <w:spacing w:after="0"/>
              <w:rPr>
                <w:sz w:val="6"/>
                <w:szCs w:val="6"/>
                <w:color w:val="auto"/>
              </w:rPr>
            </w:pPr>
          </w:p>
        </w:tc>
        <w:tc>
          <w:tcPr>
            <w:tcW w:w="500" w:type="dxa"/>
            <w:vAlign w:val="bottom"/>
            <w:tcBorders>
              <w:top w:val="single" w:sz="8" w:color="0000EE"/>
              <w:bottom w:val="single" w:sz="8" w:color="407CCA"/>
            </w:tcBorders>
          </w:tcPr>
          <w:p>
            <w:pPr>
              <w:spacing w:after="0"/>
              <w:rPr>
                <w:sz w:val="6"/>
                <w:szCs w:val="6"/>
                <w:color w:val="auto"/>
              </w:rPr>
            </w:pPr>
          </w:p>
        </w:tc>
        <w:tc>
          <w:tcPr>
            <w:tcW w:w="500" w:type="dxa"/>
            <w:vAlign w:val="bottom"/>
            <w:tcBorders>
              <w:top w:val="single" w:sz="8" w:color="0000EE"/>
              <w:bottom w:val="single" w:sz="8" w:color="407CCA"/>
            </w:tcBorders>
          </w:tcPr>
          <w:p>
            <w:pPr>
              <w:spacing w:after="0"/>
              <w:rPr>
                <w:sz w:val="6"/>
                <w:szCs w:val="6"/>
                <w:color w:val="auto"/>
              </w:rPr>
            </w:pPr>
          </w:p>
        </w:tc>
        <w:tc>
          <w:tcPr>
            <w:tcW w:w="160" w:type="dxa"/>
            <w:vAlign w:val="bottom"/>
            <w:tcBorders>
              <w:top w:val="single" w:sz="8" w:color="0000EE"/>
              <w:bottom w:val="single" w:sz="8" w:color="407CCA"/>
            </w:tcBorders>
          </w:tcPr>
          <w:p>
            <w:pPr>
              <w:spacing w:after="0"/>
              <w:rPr>
                <w:sz w:val="6"/>
                <w:szCs w:val="6"/>
                <w:color w:val="auto"/>
              </w:rPr>
            </w:pPr>
          </w:p>
        </w:tc>
        <w:tc>
          <w:tcPr>
            <w:tcW w:w="140" w:type="dxa"/>
            <w:vAlign w:val="bottom"/>
            <w:tcBorders>
              <w:top w:val="single" w:sz="8" w:color="0000EE"/>
              <w:bottom w:val="single" w:sz="8" w:color="407CCA"/>
            </w:tcBorders>
          </w:tcPr>
          <w:p>
            <w:pPr>
              <w:spacing w:after="0"/>
              <w:rPr>
                <w:sz w:val="6"/>
                <w:szCs w:val="6"/>
                <w:color w:val="auto"/>
              </w:rPr>
            </w:pPr>
          </w:p>
        </w:tc>
        <w:tc>
          <w:tcPr>
            <w:tcW w:w="20" w:type="dxa"/>
            <w:vAlign w:val="bottom"/>
            <w:tcBorders>
              <w:top w:val="single" w:sz="8" w:color="0000EE"/>
              <w:bottom w:val="single" w:sz="8" w:color="407CCA"/>
            </w:tcBorders>
          </w:tcPr>
          <w:p>
            <w:pPr>
              <w:spacing w:after="0"/>
              <w:rPr>
                <w:sz w:val="6"/>
                <w:szCs w:val="6"/>
                <w:color w:val="auto"/>
              </w:rPr>
            </w:pPr>
          </w:p>
        </w:tc>
        <w:tc>
          <w:tcPr>
            <w:tcW w:w="360" w:type="dxa"/>
            <w:vAlign w:val="bottom"/>
            <w:tcBorders>
              <w:top w:val="single" w:sz="8" w:color="0000EE"/>
              <w:bottom w:val="single" w:sz="8" w:color="407CCA"/>
            </w:tcBorders>
          </w:tcPr>
          <w:p>
            <w:pPr>
              <w:spacing w:after="0"/>
              <w:rPr>
                <w:sz w:val="6"/>
                <w:szCs w:val="6"/>
                <w:color w:val="auto"/>
              </w:rPr>
            </w:pPr>
          </w:p>
        </w:tc>
        <w:tc>
          <w:tcPr>
            <w:tcW w:w="180" w:type="dxa"/>
            <w:vAlign w:val="bottom"/>
            <w:tcBorders>
              <w:top w:val="single" w:sz="8" w:color="0000EE"/>
              <w:bottom w:val="single" w:sz="8" w:color="407CCA"/>
            </w:tcBorders>
          </w:tcPr>
          <w:p>
            <w:pPr>
              <w:spacing w:after="0"/>
              <w:rPr>
                <w:sz w:val="6"/>
                <w:szCs w:val="6"/>
                <w:color w:val="auto"/>
              </w:rPr>
            </w:pPr>
          </w:p>
        </w:tc>
        <w:tc>
          <w:tcPr>
            <w:tcW w:w="100" w:type="dxa"/>
            <w:vAlign w:val="bottom"/>
            <w:tcBorders>
              <w:top w:val="single" w:sz="8" w:color="0000EE"/>
              <w:bottom w:val="single" w:sz="8" w:color="407CCA"/>
            </w:tcBorders>
          </w:tcPr>
          <w:p>
            <w:pPr>
              <w:spacing w:after="0"/>
              <w:rPr>
                <w:sz w:val="6"/>
                <w:szCs w:val="6"/>
                <w:color w:val="auto"/>
              </w:rPr>
            </w:pPr>
          </w:p>
        </w:tc>
        <w:tc>
          <w:tcPr>
            <w:tcW w:w="60" w:type="dxa"/>
            <w:vAlign w:val="bottom"/>
            <w:tcBorders>
              <w:top w:val="single" w:sz="8" w:color="0000EE"/>
              <w:bottom w:val="single" w:sz="8" w:color="407CCA"/>
            </w:tcBorders>
          </w:tcPr>
          <w:p>
            <w:pPr>
              <w:spacing w:after="0"/>
              <w:rPr>
                <w:sz w:val="6"/>
                <w:szCs w:val="6"/>
                <w:color w:val="auto"/>
              </w:rPr>
            </w:pPr>
          </w:p>
        </w:tc>
        <w:tc>
          <w:tcPr>
            <w:tcW w:w="260" w:type="dxa"/>
            <w:vAlign w:val="bottom"/>
            <w:tcBorders>
              <w:top w:val="single" w:sz="8" w:color="0000EE"/>
              <w:bottom w:val="single" w:sz="8" w:color="407CCA"/>
            </w:tcBorders>
          </w:tcPr>
          <w:p>
            <w:pPr>
              <w:spacing w:after="0"/>
              <w:rPr>
                <w:sz w:val="6"/>
                <w:szCs w:val="6"/>
                <w:color w:val="auto"/>
              </w:rPr>
            </w:pPr>
          </w:p>
        </w:tc>
        <w:tc>
          <w:tcPr>
            <w:tcW w:w="180" w:type="dxa"/>
            <w:vAlign w:val="bottom"/>
            <w:tcBorders>
              <w:top w:val="single" w:sz="8" w:color="0000EE"/>
              <w:bottom w:val="single" w:sz="8" w:color="407CCA"/>
            </w:tcBorders>
          </w:tcPr>
          <w:p>
            <w:pPr>
              <w:spacing w:after="0"/>
              <w:rPr>
                <w:sz w:val="6"/>
                <w:szCs w:val="6"/>
                <w:color w:val="auto"/>
              </w:rPr>
            </w:pPr>
          </w:p>
        </w:tc>
        <w:tc>
          <w:tcPr>
            <w:tcW w:w="60" w:type="dxa"/>
            <w:vAlign w:val="bottom"/>
            <w:tcBorders>
              <w:top w:val="single" w:sz="8" w:color="0000EE"/>
              <w:bottom w:val="single" w:sz="8" w:color="407CCA"/>
            </w:tcBorders>
          </w:tcPr>
          <w:p>
            <w:pPr>
              <w:spacing w:after="0"/>
              <w:rPr>
                <w:sz w:val="6"/>
                <w:szCs w:val="6"/>
                <w:color w:val="auto"/>
              </w:rPr>
            </w:pPr>
          </w:p>
        </w:tc>
        <w:tc>
          <w:tcPr>
            <w:tcW w:w="140" w:type="dxa"/>
            <w:vAlign w:val="bottom"/>
            <w:tcBorders>
              <w:top w:val="single" w:sz="8" w:color="0000EE"/>
              <w:bottom w:val="single" w:sz="8" w:color="407CCA"/>
            </w:tcBorders>
          </w:tcPr>
          <w:p>
            <w:pPr>
              <w:spacing w:after="0"/>
              <w:rPr>
                <w:sz w:val="6"/>
                <w:szCs w:val="6"/>
                <w:color w:val="auto"/>
              </w:rPr>
            </w:pPr>
          </w:p>
        </w:tc>
        <w:tc>
          <w:tcPr>
            <w:tcW w:w="40" w:type="dxa"/>
            <w:vAlign w:val="bottom"/>
            <w:tcBorders>
              <w:top w:val="single" w:sz="8" w:color="0000EE"/>
              <w:bottom w:val="single" w:sz="8" w:color="407CCA"/>
            </w:tcBorders>
          </w:tcPr>
          <w:p>
            <w:pPr>
              <w:spacing w:after="0"/>
              <w:rPr>
                <w:sz w:val="6"/>
                <w:szCs w:val="6"/>
                <w:color w:val="auto"/>
              </w:rPr>
            </w:pPr>
          </w:p>
        </w:tc>
        <w:tc>
          <w:tcPr>
            <w:tcW w:w="100" w:type="dxa"/>
            <w:vAlign w:val="bottom"/>
            <w:tcBorders>
              <w:top w:val="single" w:sz="8" w:color="0000EE"/>
              <w:bottom w:val="single" w:sz="8" w:color="407CCA"/>
            </w:tcBorders>
          </w:tcPr>
          <w:p>
            <w:pPr>
              <w:spacing w:after="0"/>
              <w:rPr>
                <w:sz w:val="6"/>
                <w:szCs w:val="6"/>
                <w:color w:val="auto"/>
              </w:rPr>
            </w:pPr>
          </w:p>
        </w:tc>
        <w:tc>
          <w:tcPr>
            <w:tcW w:w="600" w:type="dxa"/>
            <w:vAlign w:val="bottom"/>
            <w:tcBorders>
              <w:top w:val="single" w:sz="8" w:color="0000EE"/>
              <w:bottom w:val="single" w:sz="8" w:color="407CCA"/>
            </w:tcBorders>
          </w:tcPr>
          <w:p>
            <w:pPr>
              <w:spacing w:after="0"/>
              <w:rPr>
                <w:sz w:val="6"/>
                <w:szCs w:val="6"/>
                <w:color w:val="auto"/>
              </w:rPr>
            </w:pPr>
          </w:p>
        </w:tc>
        <w:tc>
          <w:tcPr>
            <w:tcW w:w="420" w:type="dxa"/>
            <w:vAlign w:val="bottom"/>
            <w:tcBorders>
              <w:top w:val="single" w:sz="8" w:color="0000EE"/>
              <w:bottom w:val="single" w:sz="8" w:color="407CCA"/>
            </w:tcBorders>
          </w:tcPr>
          <w:p>
            <w:pPr>
              <w:spacing w:after="0"/>
              <w:rPr>
                <w:sz w:val="6"/>
                <w:szCs w:val="6"/>
                <w:color w:val="auto"/>
              </w:rPr>
            </w:pPr>
          </w:p>
        </w:tc>
        <w:tc>
          <w:tcPr>
            <w:tcW w:w="140" w:type="dxa"/>
            <w:vAlign w:val="bottom"/>
            <w:tcBorders>
              <w:top w:val="single" w:sz="8" w:color="0000EE"/>
              <w:bottom w:val="single" w:sz="8" w:color="407CCA"/>
            </w:tcBorders>
          </w:tcPr>
          <w:p>
            <w:pPr>
              <w:spacing w:after="0"/>
              <w:rPr>
                <w:sz w:val="6"/>
                <w:szCs w:val="6"/>
                <w:color w:val="auto"/>
              </w:rPr>
            </w:pPr>
          </w:p>
        </w:tc>
        <w:tc>
          <w:tcPr>
            <w:tcW w:w="20" w:type="dxa"/>
            <w:vAlign w:val="bottom"/>
            <w:tcBorders>
              <w:top w:val="single" w:sz="8" w:color="0000EE"/>
              <w:bottom w:val="single" w:sz="8" w:color="407CCA"/>
            </w:tcBorders>
          </w:tcPr>
          <w:p>
            <w:pPr>
              <w:spacing w:after="0"/>
              <w:rPr>
                <w:sz w:val="6"/>
                <w:szCs w:val="6"/>
                <w:color w:val="auto"/>
              </w:rPr>
            </w:pPr>
          </w:p>
        </w:tc>
        <w:tc>
          <w:tcPr>
            <w:tcW w:w="80" w:type="dxa"/>
            <w:vAlign w:val="bottom"/>
            <w:tcBorders>
              <w:top w:val="single" w:sz="8" w:color="0000EE"/>
              <w:bottom w:val="single" w:sz="8" w:color="407CCA"/>
            </w:tcBorders>
          </w:tcPr>
          <w:p>
            <w:pPr>
              <w:spacing w:after="0"/>
              <w:rPr>
                <w:sz w:val="6"/>
                <w:szCs w:val="6"/>
                <w:color w:val="auto"/>
              </w:rPr>
            </w:pPr>
          </w:p>
        </w:tc>
        <w:tc>
          <w:tcPr>
            <w:tcW w:w="360" w:type="dxa"/>
            <w:vAlign w:val="bottom"/>
            <w:tcBorders>
              <w:top w:val="single" w:sz="8" w:color="0000EE"/>
              <w:bottom w:val="single" w:sz="8" w:color="407CCA"/>
            </w:tcBorders>
          </w:tcPr>
          <w:p>
            <w:pPr>
              <w:spacing w:after="0"/>
              <w:rPr>
                <w:sz w:val="6"/>
                <w:szCs w:val="6"/>
                <w:color w:val="auto"/>
              </w:rPr>
            </w:pPr>
          </w:p>
        </w:tc>
        <w:tc>
          <w:tcPr>
            <w:tcW w:w="320" w:type="dxa"/>
            <w:vAlign w:val="bottom"/>
            <w:tcBorders>
              <w:bottom w:val="single" w:sz="8" w:color="407CCA"/>
            </w:tcBorders>
          </w:tcPr>
          <w:p>
            <w:pPr>
              <w:spacing w:after="0"/>
              <w:rPr>
                <w:sz w:val="6"/>
                <w:szCs w:val="6"/>
                <w:color w:val="auto"/>
              </w:rPr>
            </w:pPr>
          </w:p>
        </w:tc>
        <w:tc>
          <w:tcPr>
            <w:tcW w:w="2280" w:type="dxa"/>
            <w:vAlign w:val="bottom"/>
            <w:tcBorders>
              <w:bottom w:val="single" w:sz="8" w:color="407CCA"/>
            </w:tcBorders>
          </w:tcPr>
          <w:p>
            <w:pPr>
              <w:spacing w:after="0"/>
              <w:rPr>
                <w:sz w:val="6"/>
                <w:szCs w:val="6"/>
                <w:color w:val="auto"/>
              </w:rPr>
            </w:pPr>
          </w:p>
        </w:tc>
        <w:tc>
          <w:tcPr>
            <w:tcW w:w="2520" w:type="dxa"/>
            <w:vAlign w:val="bottom"/>
            <w:tcBorders>
              <w:bottom w:val="single" w:sz="8" w:color="407CCA"/>
            </w:tcBorders>
          </w:tcPr>
          <w:p>
            <w:pPr>
              <w:spacing w:after="0"/>
              <w:rPr>
                <w:sz w:val="6"/>
                <w:szCs w:val="6"/>
                <w:color w:val="auto"/>
              </w:rPr>
            </w:pPr>
          </w:p>
        </w:tc>
      </w:tr>
      <w:tr>
        <w:trPr>
          <w:trHeight w:val="169"/>
        </w:trPr>
        <w:tc>
          <w:tcPr>
            <w:tcW w:w="220" w:type="dxa"/>
            <w:vAlign w:val="bottom"/>
          </w:tcPr>
          <w:p>
            <w:pPr>
              <w:spacing w:after="0"/>
              <w:rPr>
                <w:sz w:val="14"/>
                <w:szCs w:val="14"/>
                <w:color w:val="auto"/>
              </w:rPr>
            </w:pPr>
          </w:p>
        </w:tc>
        <w:tc>
          <w:tcPr>
            <w:tcW w:w="8500" w:type="dxa"/>
            <w:vAlign w:val="bottom"/>
            <w:gridSpan w:val="27"/>
          </w:tcPr>
          <w:p>
            <w:pPr>
              <w:ind w:left="120"/>
              <w:spacing w:after="0" w:line="170" w:lineRule="exact"/>
              <w:rPr>
                <w:rFonts w:ascii="Arial" w:cs="Arial" w:eastAsia="Arial" w:hAnsi="Arial"/>
                <w:sz w:val="18"/>
                <w:szCs w:val="18"/>
                <w:b w:val="1"/>
                <w:bCs w:val="1"/>
                <w:color w:val="0000EE"/>
              </w:rPr>
            </w:pPr>
            <w:hyperlink w:anchor="page72">
              <w:r>
                <w:rPr>
                  <w:rFonts w:ascii="Arial" w:cs="Arial" w:eastAsia="Arial" w:hAnsi="Arial"/>
                  <w:sz w:val="18"/>
                  <w:szCs w:val="18"/>
                  <w:b w:val="1"/>
                  <w:bCs w:val="1"/>
                  <w:color w:val="0000EE"/>
                </w:rPr>
                <w:t>Questions and Answers About the 2018 Annual Meeting and Voting</w:t>
              </w:r>
            </w:hyperlink>
          </w:p>
        </w:tc>
        <w:tc>
          <w:tcPr>
            <w:tcW w:w="2520" w:type="dxa"/>
            <w:vAlign w:val="bottom"/>
          </w:tcPr>
          <w:p>
            <w:pPr>
              <w:jc w:val="right"/>
              <w:spacing w:after="0" w:line="170" w:lineRule="exact"/>
              <w:rPr>
                <w:sz w:val="20"/>
                <w:szCs w:val="20"/>
                <w:color w:val="auto"/>
              </w:rPr>
            </w:pPr>
            <w:r>
              <w:rPr>
                <w:rFonts w:ascii="Arial" w:cs="Arial" w:eastAsia="Arial" w:hAnsi="Arial"/>
                <w:sz w:val="18"/>
                <w:szCs w:val="18"/>
                <w:color w:val="auto"/>
              </w:rPr>
              <w:t>68</w:t>
            </w:r>
          </w:p>
        </w:tc>
      </w:tr>
      <w:tr>
        <w:trPr>
          <w:trHeight w:val="75"/>
        </w:trPr>
        <w:tc>
          <w:tcPr>
            <w:tcW w:w="220" w:type="dxa"/>
            <w:vAlign w:val="bottom"/>
          </w:tcPr>
          <w:p>
            <w:pPr>
              <w:spacing w:after="0"/>
              <w:rPr>
                <w:sz w:val="6"/>
                <w:szCs w:val="6"/>
                <w:color w:val="auto"/>
              </w:rPr>
            </w:pPr>
          </w:p>
        </w:tc>
        <w:tc>
          <w:tcPr>
            <w:tcW w:w="580" w:type="dxa"/>
            <w:vAlign w:val="bottom"/>
            <w:tcBorders>
              <w:top w:val="single" w:sz="8" w:color="0000EE"/>
              <w:bottom w:val="single" w:sz="8" w:color="407CCA"/>
            </w:tcBorders>
          </w:tcPr>
          <w:p>
            <w:pPr>
              <w:spacing w:after="0"/>
              <w:rPr>
                <w:sz w:val="6"/>
                <w:szCs w:val="6"/>
                <w:color w:val="auto"/>
              </w:rPr>
            </w:pPr>
          </w:p>
        </w:tc>
        <w:tc>
          <w:tcPr>
            <w:tcW w:w="560" w:type="dxa"/>
            <w:vAlign w:val="bottom"/>
            <w:tcBorders>
              <w:top w:val="single" w:sz="8" w:color="0000EE"/>
              <w:bottom w:val="single" w:sz="8" w:color="407CCA"/>
            </w:tcBorders>
          </w:tcPr>
          <w:p>
            <w:pPr>
              <w:spacing w:after="0"/>
              <w:rPr>
                <w:sz w:val="6"/>
                <w:szCs w:val="6"/>
                <w:color w:val="auto"/>
              </w:rPr>
            </w:pPr>
          </w:p>
        </w:tc>
        <w:tc>
          <w:tcPr>
            <w:tcW w:w="40" w:type="dxa"/>
            <w:vAlign w:val="bottom"/>
            <w:tcBorders>
              <w:top w:val="single" w:sz="8" w:color="0000EE"/>
              <w:bottom w:val="single" w:sz="8" w:color="407CCA"/>
            </w:tcBorders>
          </w:tcPr>
          <w:p>
            <w:pPr>
              <w:spacing w:after="0"/>
              <w:rPr>
                <w:sz w:val="6"/>
                <w:szCs w:val="6"/>
                <w:color w:val="auto"/>
              </w:rPr>
            </w:pPr>
          </w:p>
        </w:tc>
        <w:tc>
          <w:tcPr>
            <w:tcW w:w="300" w:type="dxa"/>
            <w:vAlign w:val="bottom"/>
            <w:tcBorders>
              <w:top w:val="single" w:sz="8" w:color="0000EE"/>
              <w:bottom w:val="single" w:sz="8" w:color="407CCA"/>
            </w:tcBorders>
          </w:tcPr>
          <w:p>
            <w:pPr>
              <w:spacing w:after="0"/>
              <w:rPr>
                <w:sz w:val="6"/>
                <w:szCs w:val="6"/>
                <w:color w:val="auto"/>
              </w:rPr>
            </w:pPr>
          </w:p>
        </w:tc>
        <w:tc>
          <w:tcPr>
            <w:tcW w:w="500" w:type="dxa"/>
            <w:vAlign w:val="bottom"/>
            <w:tcBorders>
              <w:top w:val="single" w:sz="8" w:color="0000EE"/>
              <w:bottom w:val="single" w:sz="8" w:color="407CCA"/>
            </w:tcBorders>
          </w:tcPr>
          <w:p>
            <w:pPr>
              <w:spacing w:after="0"/>
              <w:rPr>
                <w:sz w:val="6"/>
                <w:szCs w:val="6"/>
                <w:color w:val="auto"/>
              </w:rPr>
            </w:pPr>
          </w:p>
        </w:tc>
        <w:tc>
          <w:tcPr>
            <w:tcW w:w="500" w:type="dxa"/>
            <w:vAlign w:val="bottom"/>
            <w:tcBorders>
              <w:top w:val="single" w:sz="8" w:color="0000EE"/>
              <w:bottom w:val="single" w:sz="8" w:color="407CCA"/>
            </w:tcBorders>
          </w:tcPr>
          <w:p>
            <w:pPr>
              <w:spacing w:after="0"/>
              <w:rPr>
                <w:sz w:val="6"/>
                <w:szCs w:val="6"/>
                <w:color w:val="auto"/>
              </w:rPr>
            </w:pPr>
          </w:p>
        </w:tc>
        <w:tc>
          <w:tcPr>
            <w:tcW w:w="160" w:type="dxa"/>
            <w:vAlign w:val="bottom"/>
            <w:tcBorders>
              <w:top w:val="single" w:sz="8" w:color="0000EE"/>
              <w:bottom w:val="single" w:sz="8" w:color="407CCA"/>
            </w:tcBorders>
          </w:tcPr>
          <w:p>
            <w:pPr>
              <w:spacing w:after="0"/>
              <w:rPr>
                <w:sz w:val="6"/>
                <w:szCs w:val="6"/>
                <w:color w:val="auto"/>
              </w:rPr>
            </w:pPr>
          </w:p>
        </w:tc>
        <w:tc>
          <w:tcPr>
            <w:tcW w:w="140" w:type="dxa"/>
            <w:vAlign w:val="bottom"/>
            <w:tcBorders>
              <w:top w:val="single" w:sz="8" w:color="0000EE"/>
              <w:bottom w:val="single" w:sz="8" w:color="407CCA"/>
            </w:tcBorders>
          </w:tcPr>
          <w:p>
            <w:pPr>
              <w:spacing w:after="0"/>
              <w:rPr>
                <w:sz w:val="6"/>
                <w:szCs w:val="6"/>
                <w:color w:val="auto"/>
              </w:rPr>
            </w:pPr>
          </w:p>
        </w:tc>
        <w:tc>
          <w:tcPr>
            <w:tcW w:w="20" w:type="dxa"/>
            <w:vAlign w:val="bottom"/>
            <w:tcBorders>
              <w:top w:val="single" w:sz="8" w:color="0000EE"/>
              <w:bottom w:val="single" w:sz="8" w:color="407CCA"/>
            </w:tcBorders>
          </w:tcPr>
          <w:p>
            <w:pPr>
              <w:spacing w:after="0"/>
              <w:rPr>
                <w:sz w:val="6"/>
                <w:szCs w:val="6"/>
                <w:color w:val="auto"/>
              </w:rPr>
            </w:pPr>
          </w:p>
        </w:tc>
        <w:tc>
          <w:tcPr>
            <w:tcW w:w="360" w:type="dxa"/>
            <w:vAlign w:val="bottom"/>
            <w:tcBorders>
              <w:top w:val="single" w:sz="8" w:color="0000EE"/>
              <w:bottom w:val="single" w:sz="8" w:color="407CCA"/>
            </w:tcBorders>
          </w:tcPr>
          <w:p>
            <w:pPr>
              <w:spacing w:after="0"/>
              <w:rPr>
                <w:sz w:val="6"/>
                <w:szCs w:val="6"/>
                <w:color w:val="auto"/>
              </w:rPr>
            </w:pPr>
          </w:p>
        </w:tc>
        <w:tc>
          <w:tcPr>
            <w:tcW w:w="180" w:type="dxa"/>
            <w:vAlign w:val="bottom"/>
            <w:tcBorders>
              <w:top w:val="single" w:sz="8" w:color="0000EE"/>
              <w:bottom w:val="single" w:sz="8" w:color="407CCA"/>
            </w:tcBorders>
          </w:tcPr>
          <w:p>
            <w:pPr>
              <w:spacing w:after="0"/>
              <w:rPr>
                <w:sz w:val="6"/>
                <w:szCs w:val="6"/>
                <w:color w:val="auto"/>
              </w:rPr>
            </w:pPr>
          </w:p>
        </w:tc>
        <w:tc>
          <w:tcPr>
            <w:tcW w:w="100" w:type="dxa"/>
            <w:vAlign w:val="bottom"/>
            <w:tcBorders>
              <w:top w:val="single" w:sz="8" w:color="0000EE"/>
              <w:bottom w:val="single" w:sz="8" w:color="407CCA"/>
            </w:tcBorders>
          </w:tcPr>
          <w:p>
            <w:pPr>
              <w:spacing w:after="0"/>
              <w:rPr>
                <w:sz w:val="6"/>
                <w:szCs w:val="6"/>
                <w:color w:val="auto"/>
              </w:rPr>
            </w:pPr>
          </w:p>
        </w:tc>
        <w:tc>
          <w:tcPr>
            <w:tcW w:w="60" w:type="dxa"/>
            <w:vAlign w:val="bottom"/>
            <w:tcBorders>
              <w:top w:val="single" w:sz="8" w:color="0000EE"/>
              <w:bottom w:val="single" w:sz="8" w:color="407CCA"/>
            </w:tcBorders>
          </w:tcPr>
          <w:p>
            <w:pPr>
              <w:spacing w:after="0"/>
              <w:rPr>
                <w:sz w:val="6"/>
                <w:szCs w:val="6"/>
                <w:color w:val="auto"/>
              </w:rPr>
            </w:pPr>
          </w:p>
        </w:tc>
        <w:tc>
          <w:tcPr>
            <w:tcW w:w="260" w:type="dxa"/>
            <w:vAlign w:val="bottom"/>
            <w:tcBorders>
              <w:top w:val="single" w:sz="8" w:color="0000EE"/>
              <w:bottom w:val="single" w:sz="8" w:color="407CCA"/>
            </w:tcBorders>
          </w:tcPr>
          <w:p>
            <w:pPr>
              <w:spacing w:after="0"/>
              <w:rPr>
                <w:sz w:val="6"/>
                <w:szCs w:val="6"/>
                <w:color w:val="auto"/>
              </w:rPr>
            </w:pPr>
          </w:p>
        </w:tc>
        <w:tc>
          <w:tcPr>
            <w:tcW w:w="180" w:type="dxa"/>
            <w:vAlign w:val="bottom"/>
            <w:tcBorders>
              <w:top w:val="single" w:sz="8" w:color="0000EE"/>
              <w:bottom w:val="single" w:sz="8" w:color="407CCA"/>
            </w:tcBorders>
          </w:tcPr>
          <w:p>
            <w:pPr>
              <w:spacing w:after="0"/>
              <w:rPr>
                <w:sz w:val="6"/>
                <w:szCs w:val="6"/>
                <w:color w:val="auto"/>
              </w:rPr>
            </w:pPr>
          </w:p>
        </w:tc>
        <w:tc>
          <w:tcPr>
            <w:tcW w:w="60" w:type="dxa"/>
            <w:vAlign w:val="bottom"/>
            <w:tcBorders>
              <w:top w:val="single" w:sz="8" w:color="0000EE"/>
              <w:bottom w:val="single" w:sz="8" w:color="407CCA"/>
            </w:tcBorders>
          </w:tcPr>
          <w:p>
            <w:pPr>
              <w:spacing w:after="0"/>
              <w:rPr>
                <w:sz w:val="6"/>
                <w:szCs w:val="6"/>
                <w:color w:val="auto"/>
              </w:rPr>
            </w:pPr>
          </w:p>
        </w:tc>
        <w:tc>
          <w:tcPr>
            <w:tcW w:w="140" w:type="dxa"/>
            <w:vAlign w:val="bottom"/>
            <w:tcBorders>
              <w:top w:val="single" w:sz="8" w:color="0000EE"/>
              <w:bottom w:val="single" w:sz="8" w:color="407CCA"/>
            </w:tcBorders>
          </w:tcPr>
          <w:p>
            <w:pPr>
              <w:spacing w:after="0"/>
              <w:rPr>
                <w:sz w:val="6"/>
                <w:szCs w:val="6"/>
                <w:color w:val="auto"/>
              </w:rPr>
            </w:pPr>
          </w:p>
        </w:tc>
        <w:tc>
          <w:tcPr>
            <w:tcW w:w="40" w:type="dxa"/>
            <w:vAlign w:val="bottom"/>
            <w:tcBorders>
              <w:top w:val="single" w:sz="8" w:color="0000EE"/>
              <w:bottom w:val="single" w:sz="8" w:color="407CCA"/>
            </w:tcBorders>
          </w:tcPr>
          <w:p>
            <w:pPr>
              <w:spacing w:after="0"/>
              <w:rPr>
                <w:sz w:val="6"/>
                <w:szCs w:val="6"/>
                <w:color w:val="auto"/>
              </w:rPr>
            </w:pPr>
          </w:p>
        </w:tc>
        <w:tc>
          <w:tcPr>
            <w:tcW w:w="100" w:type="dxa"/>
            <w:vAlign w:val="bottom"/>
            <w:tcBorders>
              <w:top w:val="single" w:sz="8" w:color="0000EE"/>
              <w:bottom w:val="single" w:sz="8" w:color="407CCA"/>
            </w:tcBorders>
          </w:tcPr>
          <w:p>
            <w:pPr>
              <w:spacing w:after="0"/>
              <w:rPr>
                <w:sz w:val="6"/>
                <w:szCs w:val="6"/>
                <w:color w:val="auto"/>
              </w:rPr>
            </w:pPr>
          </w:p>
        </w:tc>
        <w:tc>
          <w:tcPr>
            <w:tcW w:w="600" w:type="dxa"/>
            <w:vAlign w:val="bottom"/>
            <w:tcBorders>
              <w:top w:val="single" w:sz="8" w:color="0000EE"/>
              <w:bottom w:val="single" w:sz="8" w:color="407CCA"/>
            </w:tcBorders>
          </w:tcPr>
          <w:p>
            <w:pPr>
              <w:spacing w:after="0"/>
              <w:rPr>
                <w:sz w:val="6"/>
                <w:szCs w:val="6"/>
                <w:color w:val="auto"/>
              </w:rPr>
            </w:pPr>
          </w:p>
        </w:tc>
        <w:tc>
          <w:tcPr>
            <w:tcW w:w="420" w:type="dxa"/>
            <w:vAlign w:val="bottom"/>
            <w:tcBorders>
              <w:top w:val="single" w:sz="8" w:color="0000EE"/>
              <w:bottom w:val="single" w:sz="8" w:color="407CCA"/>
            </w:tcBorders>
          </w:tcPr>
          <w:p>
            <w:pPr>
              <w:spacing w:after="0"/>
              <w:rPr>
                <w:sz w:val="6"/>
                <w:szCs w:val="6"/>
                <w:color w:val="auto"/>
              </w:rPr>
            </w:pPr>
          </w:p>
        </w:tc>
        <w:tc>
          <w:tcPr>
            <w:tcW w:w="140" w:type="dxa"/>
            <w:vAlign w:val="bottom"/>
            <w:tcBorders>
              <w:bottom w:val="single" w:sz="8" w:color="407CCA"/>
            </w:tcBorders>
          </w:tcPr>
          <w:p>
            <w:pPr>
              <w:spacing w:after="0"/>
              <w:rPr>
                <w:sz w:val="6"/>
                <w:szCs w:val="6"/>
                <w:color w:val="auto"/>
              </w:rPr>
            </w:pPr>
          </w:p>
        </w:tc>
        <w:tc>
          <w:tcPr>
            <w:tcW w:w="20" w:type="dxa"/>
            <w:vAlign w:val="bottom"/>
            <w:tcBorders>
              <w:bottom w:val="single" w:sz="8" w:color="407CCA"/>
            </w:tcBorders>
          </w:tcPr>
          <w:p>
            <w:pPr>
              <w:spacing w:after="0"/>
              <w:rPr>
                <w:sz w:val="6"/>
                <w:szCs w:val="6"/>
                <w:color w:val="auto"/>
              </w:rPr>
            </w:pPr>
          </w:p>
        </w:tc>
        <w:tc>
          <w:tcPr>
            <w:tcW w:w="80" w:type="dxa"/>
            <w:vAlign w:val="bottom"/>
            <w:tcBorders>
              <w:bottom w:val="single" w:sz="8" w:color="407CCA"/>
            </w:tcBorders>
          </w:tcPr>
          <w:p>
            <w:pPr>
              <w:spacing w:after="0"/>
              <w:rPr>
                <w:sz w:val="6"/>
                <w:szCs w:val="6"/>
                <w:color w:val="auto"/>
              </w:rPr>
            </w:pPr>
          </w:p>
        </w:tc>
        <w:tc>
          <w:tcPr>
            <w:tcW w:w="360" w:type="dxa"/>
            <w:vAlign w:val="bottom"/>
            <w:tcBorders>
              <w:bottom w:val="single" w:sz="8" w:color="407CCA"/>
            </w:tcBorders>
          </w:tcPr>
          <w:p>
            <w:pPr>
              <w:spacing w:after="0"/>
              <w:rPr>
                <w:sz w:val="6"/>
                <w:szCs w:val="6"/>
                <w:color w:val="auto"/>
              </w:rPr>
            </w:pPr>
          </w:p>
        </w:tc>
        <w:tc>
          <w:tcPr>
            <w:tcW w:w="320" w:type="dxa"/>
            <w:vAlign w:val="bottom"/>
            <w:tcBorders>
              <w:bottom w:val="single" w:sz="8" w:color="407CCA"/>
            </w:tcBorders>
          </w:tcPr>
          <w:p>
            <w:pPr>
              <w:spacing w:after="0"/>
              <w:rPr>
                <w:sz w:val="6"/>
                <w:szCs w:val="6"/>
                <w:color w:val="auto"/>
              </w:rPr>
            </w:pPr>
          </w:p>
        </w:tc>
        <w:tc>
          <w:tcPr>
            <w:tcW w:w="2280" w:type="dxa"/>
            <w:vAlign w:val="bottom"/>
            <w:tcBorders>
              <w:bottom w:val="single" w:sz="8" w:color="407CCA"/>
            </w:tcBorders>
          </w:tcPr>
          <w:p>
            <w:pPr>
              <w:spacing w:after="0"/>
              <w:rPr>
                <w:sz w:val="6"/>
                <w:szCs w:val="6"/>
                <w:color w:val="auto"/>
              </w:rPr>
            </w:pPr>
          </w:p>
        </w:tc>
        <w:tc>
          <w:tcPr>
            <w:tcW w:w="2520" w:type="dxa"/>
            <w:vAlign w:val="bottom"/>
            <w:tcBorders>
              <w:bottom w:val="single" w:sz="8" w:color="407CCA"/>
            </w:tcBorders>
          </w:tcPr>
          <w:p>
            <w:pPr>
              <w:spacing w:after="0"/>
              <w:rPr>
                <w:sz w:val="6"/>
                <w:szCs w:val="6"/>
                <w:color w:val="auto"/>
              </w:rPr>
            </w:pPr>
          </w:p>
        </w:tc>
      </w:tr>
    </w:tbl>
    <w:p>
      <w:pPr>
        <w:spacing w:after="0" w:line="13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p>
    <w:p>
      <w:pPr>
        <w:ind w:left="200"/>
        <w:spacing w:after="0"/>
        <w:tabs>
          <w:tab w:leader="none" w:pos="400" w:val="left"/>
        </w:tabs>
        <w:rPr>
          <w:sz w:val="20"/>
          <w:szCs w:val="20"/>
          <w:color w:val="auto"/>
        </w:rPr>
      </w:pPr>
      <w:r>
        <w:rPr>
          <w:rFonts w:ascii="Arial" w:cs="Arial" w:eastAsia="Arial" w:hAnsi="Arial"/>
          <w:sz w:val="14"/>
          <w:szCs w:val="14"/>
          <w:color w:val="407CCA"/>
        </w:rPr>
        <w:t>ii</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40"/>
          </w:cols>
          <w:pgMar w:left="240" w:top="446" w:right="419" w:bottom="1440" w:gutter="0" w:footer="0" w:header="0"/>
        </w:sectPr>
      </w:pPr>
    </w:p>
    <w:bookmarkStart w:id="4" w:name="page5"/>
    <w:bookmarkEnd w:id="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15" w:lineRule="exact"/>
        <w:rPr>
          <w:sz w:val="20"/>
          <w:szCs w:val="20"/>
          <w:color w:val="auto"/>
        </w:rPr>
      </w:pPr>
    </w:p>
    <w:p>
      <w:pPr>
        <w:jc w:val="center"/>
        <w:ind w:right="-199"/>
        <w:spacing w:after="0"/>
        <w:rPr>
          <w:sz w:val="20"/>
          <w:szCs w:val="20"/>
          <w:color w:val="auto"/>
        </w:rPr>
      </w:pPr>
      <w:r>
        <w:rPr>
          <w:rFonts w:ascii="Arial" w:cs="Arial" w:eastAsia="Arial" w:hAnsi="Arial"/>
          <w:sz w:val="22"/>
          <w:szCs w:val="22"/>
          <w:b w:val="1"/>
          <w:bCs w:val="1"/>
          <w:color w:val="407CCA"/>
        </w:rPr>
        <w:t>AGNC INVESTMENT CORP. AT A GLANCE</w:t>
      </w:r>
    </w:p>
    <w:p>
      <w:pPr>
        <w:spacing w:after="0" w:line="219" w:lineRule="exact"/>
        <w:rPr>
          <w:sz w:val="20"/>
          <w:szCs w:val="20"/>
          <w:color w:val="auto"/>
        </w:rPr>
      </w:pPr>
    </w:p>
    <w:p>
      <w:pPr>
        <w:jc w:val="both"/>
        <w:ind w:left="200" w:right="200" w:firstLine="771"/>
        <w:spacing w:after="0" w:line="286" w:lineRule="auto"/>
        <w:rPr>
          <w:sz w:val="20"/>
          <w:szCs w:val="20"/>
          <w:color w:val="auto"/>
        </w:rPr>
      </w:pPr>
      <w:r>
        <w:rPr>
          <w:rFonts w:ascii="Arial" w:cs="Arial" w:eastAsia="Arial" w:hAnsi="Arial"/>
          <w:sz w:val="17"/>
          <w:szCs w:val="17"/>
          <w:color w:val="auto"/>
        </w:rPr>
        <w:t>AGNC Investment Corp. is an internally-managed real estate investment trust (“REIT”) that invests predominantly in residential mortgage-backed securities for which the principal and interest payments are guaranteed by a U.S. Government-sponsored entity or a U.S. Government agency (referred to as “Agency” securities). AGNC is a private source of capital supporting the U.S. housing market.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131445</wp:posOffset>
            </wp:positionV>
            <wp:extent cx="6097270" cy="280416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6097270" cy="28041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ind w:left="860" w:hanging="656"/>
        <w:spacing w:after="0"/>
        <w:tabs>
          <w:tab w:leader="none" w:pos="860" w:val="left"/>
        </w:tabs>
        <w:numPr>
          <w:ilvl w:val="0"/>
          <w:numId w:val="5"/>
        </w:numPr>
        <w:rPr>
          <w:rFonts w:ascii="Arial" w:cs="Arial" w:eastAsia="Arial" w:hAnsi="Arial"/>
          <w:sz w:val="14"/>
          <w:szCs w:val="14"/>
          <w:color w:val="auto"/>
        </w:rPr>
      </w:pPr>
      <w:r>
        <w:rPr>
          <w:rFonts w:ascii="Arial" w:cs="Arial" w:eastAsia="Arial" w:hAnsi="Arial"/>
          <w:sz w:val="14"/>
          <w:szCs w:val="14"/>
          <w:color w:val="auto"/>
        </w:rPr>
        <w:t>Information is as of December 31, 2017.</w:t>
      </w:r>
    </w:p>
    <w:p>
      <w:pPr>
        <w:ind w:left="860" w:hanging="656"/>
        <w:spacing w:after="0"/>
        <w:tabs>
          <w:tab w:leader="none" w:pos="860" w:val="left"/>
        </w:tabs>
        <w:numPr>
          <w:ilvl w:val="0"/>
          <w:numId w:val="5"/>
        </w:numPr>
        <w:rPr>
          <w:rFonts w:ascii="Arial" w:cs="Arial" w:eastAsia="Arial" w:hAnsi="Arial"/>
          <w:sz w:val="14"/>
          <w:szCs w:val="14"/>
          <w:color w:val="auto"/>
        </w:rPr>
      </w:pPr>
      <w:r>
        <w:rPr>
          <w:rFonts w:ascii="Arial" w:cs="Arial" w:eastAsia="Arial" w:hAnsi="Arial"/>
          <w:sz w:val="14"/>
          <w:szCs w:val="14"/>
          <w:color w:val="auto"/>
        </w:rPr>
        <w:t>Portfolio includes forward purchases of Agency securities in the “to-be-announced” (“TBA”) market.</w:t>
      </w:r>
    </w:p>
    <w:p>
      <w:pPr>
        <w:spacing w:after="0" w:line="399" w:lineRule="exact"/>
        <w:rPr>
          <w:sz w:val="20"/>
          <w:szCs w:val="20"/>
          <w:color w:val="auto"/>
        </w:rPr>
      </w:pPr>
    </w:p>
    <w:p>
      <w:pPr>
        <w:jc w:val="center"/>
        <w:ind w:right="-199"/>
        <w:spacing w:after="0"/>
        <w:rPr>
          <w:sz w:val="20"/>
          <w:szCs w:val="20"/>
          <w:color w:val="auto"/>
        </w:rPr>
      </w:pPr>
      <w:r>
        <w:rPr>
          <w:rFonts w:ascii="Arial" w:cs="Arial" w:eastAsia="Arial" w:hAnsi="Arial"/>
          <w:sz w:val="22"/>
          <w:szCs w:val="22"/>
          <w:b w:val="1"/>
          <w:bCs w:val="1"/>
          <w:color w:val="407CCA"/>
        </w:rPr>
        <w:t>THE AGNC DIFFERENCE</w:t>
      </w:r>
    </w:p>
    <w:p>
      <w:pPr>
        <w:spacing w:after="0" w:line="219" w:lineRule="exact"/>
        <w:rPr>
          <w:sz w:val="20"/>
          <w:szCs w:val="20"/>
          <w:color w:val="auto"/>
        </w:rPr>
      </w:pPr>
    </w:p>
    <w:p>
      <w:pPr>
        <w:ind w:left="980"/>
        <w:spacing w:after="0"/>
        <w:rPr>
          <w:sz w:val="20"/>
          <w:szCs w:val="20"/>
          <w:color w:val="auto"/>
        </w:rPr>
      </w:pPr>
      <w:r>
        <w:rPr>
          <w:rFonts w:ascii="Arial" w:cs="Arial" w:eastAsia="Arial" w:hAnsi="Arial"/>
          <w:sz w:val="16"/>
          <w:szCs w:val="16"/>
          <w:color w:val="auto"/>
        </w:rPr>
        <w:t>AGNC combines a track-record of strong financial performance with one of the lowest-cost operating structures in the residential mortgage</w:t>
      </w:r>
    </w:p>
    <w:p>
      <w:pPr>
        <w:spacing w:after="0" w:line="46" w:lineRule="exact"/>
        <w:rPr>
          <w:sz w:val="20"/>
          <w:szCs w:val="20"/>
          <w:color w:val="auto"/>
        </w:rPr>
      </w:pPr>
    </w:p>
    <w:p>
      <w:pPr>
        <w:ind w:left="200"/>
        <w:spacing w:after="0"/>
        <w:rPr>
          <w:sz w:val="20"/>
          <w:szCs w:val="20"/>
          <w:color w:val="auto"/>
        </w:rPr>
      </w:pPr>
      <w:r>
        <w:rPr>
          <w:rFonts w:ascii="Arial" w:cs="Arial" w:eastAsia="Arial" w:hAnsi="Arial"/>
          <w:sz w:val="18"/>
          <w:szCs w:val="18"/>
          <w:color w:val="auto"/>
        </w:rPr>
        <w:t>REIT industry. The value proposition for our stockholders is as follows:</w:t>
      </w:r>
    </w:p>
    <w:p>
      <w:pPr>
        <w:spacing w:after="0" w:line="31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Strong Financial Performance</w:t>
      </w:r>
    </w:p>
    <w:p>
      <w:pPr>
        <w:spacing w:after="0" w:line="121" w:lineRule="exact"/>
        <w:rPr>
          <w:sz w:val="20"/>
          <w:szCs w:val="20"/>
          <w:color w:val="auto"/>
        </w:rPr>
      </w:pPr>
    </w:p>
    <w:p>
      <w:pPr>
        <w:ind w:left="200" w:right="60" w:firstLine="771"/>
        <w:spacing w:after="0" w:line="259" w:lineRule="auto"/>
        <w:rPr>
          <w:sz w:val="20"/>
          <w:szCs w:val="20"/>
          <w:color w:val="auto"/>
        </w:rPr>
      </w:pPr>
      <w:r>
        <w:rPr>
          <w:rFonts w:ascii="Arial" w:cs="Arial" w:eastAsia="Arial" w:hAnsi="Arial"/>
          <w:sz w:val="18"/>
          <w:szCs w:val="18"/>
          <w:color w:val="auto"/>
        </w:rPr>
        <w:t>In 2017, AGNC generated an economic return of 12.1% for the year, comprised of $2.16 in dividends per common share and a $0.19 per common share improvement in tangible net book value per common share, and produced a total stock return of 23.7%.</w:t>
      </w:r>
      <w:r>
        <w:rPr>
          <w:rFonts w:ascii="Arial" w:cs="Arial" w:eastAsia="Arial" w:hAnsi="Arial"/>
          <w:sz w:val="15"/>
          <w:szCs w:val="15"/>
          <w:color w:val="auto"/>
        </w:rPr>
        <w:t>1</w:t>
      </w:r>
      <w:r>
        <w:rPr>
          <w:rFonts w:ascii="Arial" w:cs="Arial" w:eastAsia="Arial" w:hAnsi="Arial"/>
          <w:sz w:val="18"/>
          <w:szCs w:val="18"/>
          <w:color w:val="auto"/>
        </w:rPr>
        <w:t xml:space="preserve"> Since our May 2008 initial public offering (“IPO”) through December 31, 2017, AGNC has declared $37.16 in cumulative dividends per common share, or a total of $7.5 billion in dividends paid to our stockholders and has generated a total stock return of 356%, compared 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76200</wp:posOffset>
            </wp:positionV>
            <wp:extent cx="694690" cy="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694690" cy="8890"/>
                    </a:xfrm>
                    <a:prstGeom prst="rect">
                      <a:avLst/>
                    </a:prstGeom>
                    <a:noFill/>
                  </pic:spPr>
                </pic:pic>
              </a:graphicData>
            </a:graphic>
          </wp:anchor>
        </w:drawing>
      </w:r>
    </w:p>
    <w:p>
      <w:pPr>
        <w:spacing w:after="0" w:line="136" w:lineRule="exact"/>
        <w:rPr>
          <w:sz w:val="20"/>
          <w:szCs w:val="20"/>
          <w:color w:val="auto"/>
        </w:rPr>
      </w:pPr>
    </w:p>
    <w:p>
      <w:pPr>
        <w:ind w:left="320" w:hanging="116"/>
        <w:spacing w:after="0" w:line="234" w:lineRule="auto"/>
        <w:tabs>
          <w:tab w:leader="none" w:pos="320" w:val="left"/>
        </w:tabs>
        <w:numPr>
          <w:ilvl w:val="0"/>
          <w:numId w:val="6"/>
        </w:numPr>
        <w:rPr>
          <w:rFonts w:ascii="Arial" w:cs="Arial" w:eastAsia="Arial" w:hAnsi="Arial"/>
          <w:sz w:val="12"/>
          <w:szCs w:val="12"/>
          <w:color w:val="auto"/>
        </w:rPr>
      </w:pPr>
      <w:r>
        <w:rPr>
          <w:rFonts w:ascii="Arial" w:cs="Arial" w:eastAsia="Arial" w:hAnsi="Arial"/>
          <w:sz w:val="14"/>
          <w:szCs w:val="14"/>
          <w:color w:val="auto"/>
        </w:rPr>
        <w:t>Economic return is measured from December 31, 2016 through December 31, 2017. Total economic return represents the change in tangible net book value per common share and dividends declared on common stock during the period over the beginning tangible net book value per common share. Total stock return is measured from December 31, 2016 through December 31, 2017. Total stock return over a period includes price appreciation and dividend reinvestment; dividends are assumed to be reinvested at the closing price of the security on the ex-dividend date. Source: Public filings and S&amp;P Global Market Intelligence.</w:t>
      </w:r>
    </w:p>
    <w:p>
      <w:pPr>
        <w:spacing w:after="0" w:line="290" w:lineRule="exact"/>
        <w:rPr>
          <w:sz w:val="20"/>
          <w:szCs w:val="20"/>
          <w:color w:val="auto"/>
        </w:rPr>
      </w:pPr>
    </w:p>
    <w:p>
      <w:pPr>
        <w:jc w:val="right"/>
        <w:spacing w:after="0"/>
        <w:tabs>
          <w:tab w:leader="none" w:pos="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0"/>
          <w:szCs w:val="10"/>
          <w:color w:val="407CCA"/>
        </w:rPr>
        <w:t>1</w:t>
      </w:r>
    </w:p>
    <w:p>
      <w:pPr>
        <w:sectPr>
          <w:pgSz w:w="11900" w:h="16838" w:orient="portrait"/>
          <w:cols w:equalWidth="0" w:num="1">
            <w:col w:w="11220"/>
          </w:cols>
          <w:pgMar w:left="240" w:top="459" w:right="439" w:bottom="1440" w:gutter="0" w:footer="0" w:header="0"/>
        </w:sectPr>
      </w:pPr>
    </w:p>
    <w:bookmarkStart w:id="5" w:name="page6"/>
    <w:bookmarkEnd w:id="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200"/>
        <w:spacing w:after="0"/>
        <w:rPr>
          <w:sz w:val="20"/>
          <w:szCs w:val="20"/>
          <w:color w:val="auto"/>
        </w:rPr>
      </w:pPr>
      <w:r>
        <w:rPr>
          <w:rFonts w:ascii="Arial" w:cs="Arial" w:eastAsia="Arial" w:hAnsi="Arial"/>
          <w:sz w:val="18"/>
          <w:szCs w:val="18"/>
          <w:color w:val="auto"/>
        </w:rPr>
        <w:t>123% for our Agency-focused residential mortgage REIT peers (collectively, the “Agency REIT Peer Group”) and 134% for the S&amp;P 500.</w:t>
      </w:r>
      <w:r>
        <w:rPr>
          <w:rFonts w:ascii="Arial" w:cs="Arial" w:eastAsia="Arial" w:hAnsi="Arial"/>
          <w:sz w:val="15"/>
          <w:szCs w:val="15"/>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169545</wp:posOffset>
            </wp:positionV>
            <wp:extent cx="6997700" cy="21463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6997700" cy="214630"/>
                    </a:xfrm>
                    <a:prstGeom prst="rect">
                      <a:avLst/>
                    </a:prstGeom>
                    <a:noFill/>
                  </pic:spPr>
                </pic:pic>
              </a:graphicData>
            </a:graphic>
          </wp:anchor>
        </w:drawing>
      </w:r>
    </w:p>
    <w:p>
      <w:pPr>
        <w:spacing w:after="0" w:line="269" w:lineRule="exact"/>
        <w:rPr>
          <w:sz w:val="20"/>
          <w:szCs w:val="20"/>
          <w:color w:val="auto"/>
        </w:rPr>
      </w:pPr>
    </w:p>
    <w:p>
      <w:pPr>
        <w:jc w:val="center"/>
        <w:ind w:right="-219"/>
        <w:spacing w:after="0"/>
        <w:rPr>
          <w:sz w:val="20"/>
          <w:szCs w:val="20"/>
          <w:color w:val="auto"/>
        </w:rPr>
      </w:pPr>
      <w:r>
        <w:rPr>
          <w:rFonts w:ascii="Arial" w:cs="Arial" w:eastAsia="Arial" w:hAnsi="Arial"/>
          <w:sz w:val="18"/>
          <w:szCs w:val="18"/>
          <w:b w:val="1"/>
          <w:bCs w:val="1"/>
          <w:color w:val="auto"/>
        </w:rPr>
        <w:t>Residential Mortgage REIT Total Stock Returns</w:t>
      </w:r>
    </w:p>
    <w:p>
      <w:pPr>
        <w:spacing w:after="0" w:line="212" w:lineRule="exact"/>
        <w:rPr>
          <w:sz w:val="20"/>
          <w:szCs w:val="20"/>
          <w:color w:val="auto"/>
        </w:rPr>
      </w:pPr>
    </w:p>
    <w:p>
      <w:pPr>
        <w:ind w:left="2500"/>
        <w:spacing w:after="0"/>
        <w:tabs>
          <w:tab w:leader="none" w:pos="8300" w:val="left"/>
        </w:tabs>
        <w:rPr>
          <w:sz w:val="20"/>
          <w:szCs w:val="20"/>
          <w:color w:val="auto"/>
        </w:rPr>
      </w:pPr>
      <w:r>
        <w:rPr>
          <w:rFonts w:ascii="Arial" w:cs="Arial" w:eastAsia="Arial" w:hAnsi="Arial"/>
          <w:sz w:val="18"/>
          <w:szCs w:val="18"/>
          <w:b w:val="1"/>
          <w:bCs w:val="1"/>
          <w:color w:val="auto"/>
        </w:rPr>
        <w:t>Since AGNC’s May 2008 IPO</w:t>
      </w:r>
      <w:r>
        <w:rPr>
          <w:rFonts w:ascii="Arial" w:cs="Arial" w:eastAsia="Arial" w:hAnsi="Arial"/>
          <w:sz w:val="15"/>
          <w:szCs w:val="15"/>
          <w:b w:val="1"/>
          <w:bCs w:val="1"/>
          <w:color w:val="auto"/>
        </w:rPr>
        <w:t>(1)</w:t>
      </w:r>
      <w:r>
        <w:rPr>
          <w:sz w:val="20"/>
          <w:szCs w:val="20"/>
          <w:color w:val="auto"/>
        </w:rPr>
        <w:tab/>
      </w:r>
      <w:r>
        <w:rPr>
          <w:rFonts w:ascii="Arial" w:cs="Arial" w:eastAsia="Arial" w:hAnsi="Arial"/>
          <w:sz w:val="16"/>
          <w:szCs w:val="16"/>
          <w:b w:val="1"/>
          <w:bCs w:val="1"/>
          <w:color w:val="auto"/>
        </w:rPr>
        <w:t>Dec 31, 2016 – Dec 31, 2017</w:t>
      </w:r>
      <w:r>
        <w:rPr>
          <w:rFonts w:ascii="Arial" w:cs="Arial" w:eastAsia="Arial" w:hAnsi="Arial"/>
          <w:sz w:val="13"/>
          <w:szCs w:val="13"/>
          <w:b w:val="1"/>
          <w:bCs w:val="1"/>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-119380</wp:posOffset>
            </wp:positionV>
            <wp:extent cx="6997700" cy="27698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6997700" cy="27698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5" w:lineRule="exact"/>
        <w:rPr>
          <w:sz w:val="20"/>
          <w:szCs w:val="20"/>
          <w:color w:val="auto"/>
        </w:rPr>
      </w:pPr>
    </w:p>
    <w:p>
      <w:pPr>
        <w:ind w:left="860" w:hanging="656"/>
        <w:spacing w:after="0"/>
        <w:tabs>
          <w:tab w:leader="none" w:pos="860" w:val="left"/>
        </w:tabs>
        <w:numPr>
          <w:ilvl w:val="0"/>
          <w:numId w:val="7"/>
        </w:numPr>
        <w:rPr>
          <w:rFonts w:ascii="Arial" w:cs="Arial" w:eastAsia="Arial" w:hAnsi="Arial"/>
          <w:sz w:val="14"/>
          <w:szCs w:val="14"/>
          <w:color w:val="auto"/>
        </w:rPr>
      </w:pPr>
      <w:r>
        <w:rPr>
          <w:rFonts w:ascii="Arial" w:cs="Arial" w:eastAsia="Arial" w:hAnsi="Arial"/>
          <w:sz w:val="14"/>
          <w:szCs w:val="14"/>
          <w:color w:val="auto"/>
        </w:rPr>
        <w:t>Total stock return is measured from IPO through December 31, 2017. Source: S&amp;P Global Market Intelligence.</w:t>
      </w:r>
    </w:p>
    <w:p>
      <w:pPr>
        <w:ind w:left="860" w:hanging="656"/>
        <w:spacing w:after="0" w:line="221" w:lineRule="auto"/>
        <w:tabs>
          <w:tab w:leader="none" w:pos="860" w:val="left"/>
        </w:tabs>
        <w:numPr>
          <w:ilvl w:val="0"/>
          <w:numId w:val="7"/>
        </w:numPr>
        <w:rPr>
          <w:rFonts w:ascii="Arial" w:cs="Arial" w:eastAsia="Arial" w:hAnsi="Arial"/>
          <w:sz w:val="14"/>
          <w:szCs w:val="14"/>
          <w:color w:val="auto"/>
        </w:rPr>
      </w:pPr>
      <w:r>
        <w:rPr>
          <w:rFonts w:ascii="Arial" w:cs="Arial" w:eastAsia="Arial" w:hAnsi="Arial"/>
          <w:sz w:val="14"/>
          <w:szCs w:val="14"/>
          <w:color w:val="auto"/>
        </w:rPr>
        <w:t>Total stock return is measured from December 31, 2016 through December 31, 2017. Source: S&amp;P Global Market Intelligence.</w:t>
      </w:r>
    </w:p>
    <w:p>
      <w:pPr>
        <w:ind w:left="860" w:hanging="656"/>
        <w:spacing w:after="0" w:line="221" w:lineRule="auto"/>
        <w:tabs>
          <w:tab w:leader="none" w:pos="860" w:val="left"/>
        </w:tabs>
        <w:numPr>
          <w:ilvl w:val="0"/>
          <w:numId w:val="7"/>
        </w:numPr>
        <w:rPr>
          <w:rFonts w:ascii="Arial" w:cs="Arial" w:eastAsia="Arial" w:hAnsi="Arial"/>
          <w:sz w:val="14"/>
          <w:szCs w:val="14"/>
          <w:color w:val="auto"/>
        </w:rPr>
      </w:pPr>
      <w:r>
        <w:rPr>
          <w:rFonts w:ascii="Arial" w:cs="Arial" w:eastAsia="Arial" w:hAnsi="Arial"/>
          <w:sz w:val="14"/>
          <w:szCs w:val="14"/>
          <w:color w:val="auto"/>
        </w:rPr>
        <w:t>Agency REIT Peer Group. Average total stock return is based upon a simple unweighted average of the peer group.</w:t>
      </w:r>
    </w:p>
    <w:p>
      <w:pPr>
        <w:ind w:left="860" w:hanging="656"/>
        <w:spacing w:after="0" w:line="226" w:lineRule="auto"/>
        <w:tabs>
          <w:tab w:leader="none" w:pos="860" w:val="left"/>
        </w:tabs>
        <w:numPr>
          <w:ilvl w:val="0"/>
          <w:numId w:val="7"/>
        </w:numPr>
        <w:rPr>
          <w:rFonts w:ascii="Arial" w:cs="Arial" w:eastAsia="Arial" w:hAnsi="Arial"/>
          <w:sz w:val="14"/>
          <w:szCs w:val="14"/>
          <w:color w:val="auto"/>
        </w:rPr>
      </w:pPr>
      <w:r>
        <w:rPr>
          <w:rFonts w:ascii="Arial" w:cs="Arial" w:eastAsia="Arial" w:hAnsi="Arial"/>
          <w:sz w:val="14"/>
          <w:szCs w:val="14"/>
          <w:color w:val="auto"/>
        </w:rPr>
        <w:t>Average total stock return is based upon a simple unweighted average of the residential mortgage REIT universe. The residential mortgage REIT universe is unweighted and includes AG Mortgage Investment Trust, Inc. (“MITT”), Annaly Capital Management, Inc. (“NLY”), Anworth Mortgage Asset Corporation (“ANH”), ARMOUR Residential REIT, Inc. (“ARR”), Capstead Mortgage Corporation (“CMO”), Cherry Hill Mortgage Investment Corp. (“CHMI”), Chimera Investment Corporation (“CIM”), CYS Investments, Inc. (“CYS”), Dynex Capital, Inc. (“DX”), Ellington Residential Mortgage REIT (“EARN”), Five Oaks Investment Corp. (“OAKS”), Great Ajax Corp. (“AJX”), Invesco Mortgage Capital Inc. (“IVR”), MFA Financial, Inc. (“MFA”), MTGE Investment Corp. (“MTGE”), New Residential Investment Corp. (“NRZ”), New York Mortgage Trust, Inc. (“NYMT”), Orchid Island Capital, Inc. (“ORC”), PennyMac Mortgage Investment Trust (“PMT”), Redwood Trust, Inc. (“RWT”), Two Harbors Investment Corp. (“TWO”), and Western Asset Mortgage Capital Corporation (“WMC”) (collectively referred to herein as the “Resi mREIT Universe”).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76200</wp:posOffset>
            </wp:positionV>
            <wp:extent cx="694690" cy="88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694690" cy="8890"/>
                    </a:xfrm>
                    <a:prstGeom prst="rect">
                      <a:avLst/>
                    </a:prstGeom>
                    <a:noFill/>
                  </pic:spPr>
                </pic:pic>
              </a:graphicData>
            </a:graphic>
          </wp:anchor>
        </w:drawing>
      </w:r>
    </w:p>
    <w:p>
      <w:pPr>
        <w:spacing w:after="0" w:line="136" w:lineRule="exact"/>
        <w:rPr>
          <w:sz w:val="20"/>
          <w:szCs w:val="20"/>
          <w:color w:val="auto"/>
        </w:rPr>
      </w:pPr>
    </w:p>
    <w:p>
      <w:pPr>
        <w:ind w:left="320" w:right="80" w:hanging="116"/>
        <w:spacing w:after="0" w:line="234" w:lineRule="auto"/>
        <w:tabs>
          <w:tab w:leader="none" w:pos="320" w:val="left"/>
        </w:tabs>
        <w:numPr>
          <w:ilvl w:val="0"/>
          <w:numId w:val="8"/>
        </w:numPr>
        <w:rPr>
          <w:rFonts w:ascii="Arial" w:cs="Arial" w:eastAsia="Arial" w:hAnsi="Arial"/>
          <w:sz w:val="12"/>
          <w:szCs w:val="12"/>
          <w:color w:val="auto"/>
        </w:rPr>
      </w:pPr>
      <w:r>
        <w:rPr>
          <w:rFonts w:ascii="Arial" w:cs="Arial" w:eastAsia="Arial" w:hAnsi="Arial"/>
          <w:sz w:val="14"/>
          <w:szCs w:val="14"/>
          <w:color w:val="auto"/>
        </w:rPr>
        <w:t>Total stock return was calculated from AGNC’s IPO date through December 31, 2017. Total stock return over a period includes price appreciation and dividend reinvestment; dividends are assumed to be reinvested at the closing price of the security on the ex-dividend date. For Agency-focused residential mortgage REIT peer comparison purposes, AGNC’s peer group is unweighted and includes Annaly Capital Management, Inc. (“NLY”), Anworth Mortgage Asset Corporation (“ANH”), ARMOUR Residential REIT, Inc. (“ARR”), Capstead Mortgage Corporation (“CMO”), and CYS Investments, Inc. (“CYS”). Source: S&amp;P Global Market Intelligence.</w:t>
      </w:r>
    </w:p>
    <w:p>
      <w:pPr>
        <w:spacing w:after="0" w:line="114" w:lineRule="exact"/>
        <w:rPr>
          <w:rFonts w:ascii="Arial" w:cs="Arial" w:eastAsia="Arial" w:hAnsi="Arial"/>
          <w:sz w:val="12"/>
          <w:szCs w:val="12"/>
          <w:color w:val="auto"/>
        </w:rPr>
      </w:pPr>
    </w:p>
    <w:p>
      <w:pPr>
        <w:ind w:left="420" w:hanging="216"/>
        <w:spacing w:after="0"/>
        <w:tabs>
          <w:tab w:leader="none" w:pos="420" w:val="left"/>
        </w:tabs>
        <w:numPr>
          <w:ilvl w:val="0"/>
          <w:numId w:val="8"/>
        </w:numPr>
        <w:rPr>
          <w:rFonts w:ascii="Arial" w:cs="Arial" w:eastAsia="Arial" w:hAnsi="Arial"/>
          <w:sz w:val="14"/>
          <w:szCs w:val="14"/>
          <w:color w:val="407CCA"/>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p>
    <w:p>
      <w:pPr>
        <w:sectPr>
          <w:pgSz w:w="11900" w:h="16838" w:orient="portrait"/>
          <w:cols w:equalWidth="0" w:num="1">
            <w:col w:w="11220"/>
          </w:cols>
          <w:pgMar w:left="240" w:top="459" w:right="439" w:bottom="1440" w:gutter="0" w:footer="0" w:header="0"/>
        </w:sectPr>
      </w:pPr>
    </w:p>
    <w:bookmarkStart w:id="6" w:name="page7"/>
    <w:bookmarkEnd w:id="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Highly Efficient Operating Cost Structure</w:t>
      </w:r>
    </w:p>
    <w:p>
      <w:pPr>
        <w:spacing w:after="0" w:line="121" w:lineRule="exact"/>
        <w:rPr>
          <w:sz w:val="20"/>
          <w:szCs w:val="20"/>
          <w:color w:val="auto"/>
        </w:rPr>
      </w:pPr>
    </w:p>
    <w:p>
      <w:pPr>
        <w:ind w:left="200" w:right="260" w:firstLine="771"/>
        <w:spacing w:after="0" w:line="293" w:lineRule="auto"/>
        <w:rPr>
          <w:sz w:val="20"/>
          <w:szCs w:val="20"/>
          <w:color w:val="auto"/>
        </w:rPr>
      </w:pPr>
      <w:r>
        <w:rPr>
          <w:rFonts w:ascii="Arial" w:cs="Arial" w:eastAsia="Arial" w:hAnsi="Arial"/>
          <w:sz w:val="16"/>
          <w:szCs w:val="16"/>
          <w:color w:val="auto"/>
        </w:rPr>
        <w:t>Operating costs and fees are a significant consideration for investors in evaluating investment alternatives because of their impact on investment returns. As a result of the acquisition of our external manager in July 2016 (a process we refer to as the “Internalization” and which is discussed in greater detail on page 34), AGNC has one of the lowest operating cost structures among residential mortgage REITs. Projected annual operating expenses, net of the fee income earned from the management of MTGE Investment Corp. (“MTGE”), are expected to be approximately 70 basis points of stockholders’ equity, or less than 10 basis points of total assets on an annual basis.</w:t>
      </w:r>
      <w:r>
        <w:rPr>
          <w:rFonts w:ascii="Arial" w:cs="Arial" w:eastAsia="Arial" w:hAnsi="Arial"/>
          <w:sz w:val="13"/>
          <w:szCs w:val="13"/>
          <w:color w:val="auto"/>
        </w:rPr>
        <w:t>3</w:t>
      </w:r>
      <w:r>
        <w:rPr>
          <w:rFonts w:ascii="Arial" w:cs="Arial" w:eastAsia="Arial" w:hAnsi="Arial"/>
          <w:sz w:val="16"/>
          <w:szCs w:val="16"/>
          <w:color w:val="auto"/>
        </w:rPr>
        <w:t xml:space="preserve"> On a per-asset basis, AGNC’s net operating cost is in-line with low-cost bond exchange-traded funds, which are passive, unlevered, and unhedged investment vehicles.</w:t>
      </w:r>
    </w:p>
    <w:p>
      <w:pPr>
        <w:spacing w:after="0" w:line="269"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Disciplined Risk Management</w:t>
      </w:r>
    </w:p>
    <w:p>
      <w:pPr>
        <w:spacing w:after="0" w:line="121" w:lineRule="exact"/>
        <w:rPr>
          <w:sz w:val="20"/>
          <w:szCs w:val="20"/>
          <w:color w:val="auto"/>
        </w:rPr>
      </w:pPr>
    </w:p>
    <w:p>
      <w:pPr>
        <w:ind w:left="200" w:right="60" w:firstLine="771"/>
        <w:spacing w:after="0" w:line="279" w:lineRule="auto"/>
        <w:rPr>
          <w:sz w:val="20"/>
          <w:szCs w:val="20"/>
          <w:color w:val="auto"/>
        </w:rPr>
      </w:pPr>
      <w:r>
        <w:rPr>
          <w:rFonts w:ascii="Arial" w:cs="Arial" w:eastAsia="Arial" w:hAnsi="Arial"/>
          <w:sz w:val="17"/>
          <w:szCs w:val="17"/>
          <w:color w:val="auto"/>
        </w:rPr>
        <w:t>AGNC utilizes a comprehensive actively managed approach to risk management that emphasizes careful asset selection, hedging with swaps, swaptions, and U.S. Treasury securities upon asset acquisition, and ongoing portfolio rebalancing. AGNC adjusts the size and composition of hedge instruments based on the risks inherent in our assets for given market environments. Mortgage spread risk is a significant unhedged component of our business. AGNC uses asset selection and leverage to manage the magnitude of this exposure.</w:t>
      </w:r>
    </w:p>
    <w:p>
      <w:pPr>
        <w:spacing w:after="0" w:line="276"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Transparency for our Stockholders</w:t>
      </w:r>
    </w:p>
    <w:p>
      <w:pPr>
        <w:spacing w:after="0" w:line="121" w:lineRule="exact"/>
        <w:rPr>
          <w:sz w:val="20"/>
          <w:szCs w:val="20"/>
          <w:color w:val="auto"/>
        </w:rPr>
      </w:pPr>
    </w:p>
    <w:p>
      <w:pPr>
        <w:ind w:left="200" w:right="20" w:firstLine="771"/>
        <w:spacing w:after="0" w:line="276" w:lineRule="auto"/>
        <w:rPr>
          <w:sz w:val="20"/>
          <w:szCs w:val="20"/>
          <w:color w:val="auto"/>
        </w:rPr>
      </w:pPr>
      <w:r>
        <w:rPr>
          <w:rFonts w:ascii="Arial" w:cs="Arial" w:eastAsia="Arial" w:hAnsi="Arial"/>
          <w:sz w:val="17"/>
          <w:szCs w:val="17"/>
          <w:color w:val="auto"/>
        </w:rPr>
        <w:t>AGNC provides significant financial disclosure and transparent communications to its stockholders through monthly estimates of tangible net asset value, or tangible net book value, which gives our stockholders visibility into intra-quarter model estimates and greater clarity. AGNC also pays monthly common stock dividends, as opposed to the quarterly dividends that are more common in the residential mortgage REIT industry. In addition, AGNC provides periodic disclosure regarding assets and hedge composition, as well as model estimates of interest rate and mortgage spread exposure, allowing investors to evaluate performance through various interest rate and spread scenarios.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67310</wp:posOffset>
            </wp:positionV>
            <wp:extent cx="694690" cy="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694690" cy="8890"/>
                    </a:xfrm>
                    <a:prstGeom prst="rect">
                      <a:avLst/>
                    </a:prstGeom>
                    <a:noFill/>
                  </pic:spPr>
                </pic:pic>
              </a:graphicData>
            </a:graphic>
          </wp:anchor>
        </w:drawing>
      </w:r>
    </w:p>
    <w:p>
      <w:pPr>
        <w:spacing w:after="0" w:line="121" w:lineRule="exact"/>
        <w:rPr>
          <w:sz w:val="20"/>
          <w:szCs w:val="20"/>
          <w:color w:val="auto"/>
        </w:rPr>
      </w:pPr>
    </w:p>
    <w:p>
      <w:pPr>
        <w:ind w:left="320" w:right="160" w:hanging="116"/>
        <w:spacing w:after="0" w:line="253" w:lineRule="auto"/>
        <w:tabs>
          <w:tab w:leader="none" w:pos="320" w:val="left"/>
        </w:tabs>
        <w:numPr>
          <w:ilvl w:val="0"/>
          <w:numId w:val="9"/>
        </w:numPr>
        <w:rPr>
          <w:rFonts w:ascii="Arial" w:cs="Arial" w:eastAsia="Arial" w:hAnsi="Arial"/>
          <w:sz w:val="12"/>
          <w:szCs w:val="12"/>
          <w:color w:val="auto"/>
        </w:rPr>
      </w:pPr>
      <w:r>
        <w:rPr>
          <w:rFonts w:ascii="Arial" w:cs="Arial" w:eastAsia="Arial" w:hAnsi="Arial"/>
          <w:sz w:val="14"/>
          <w:szCs w:val="14"/>
          <w:color w:val="auto"/>
        </w:rPr>
        <w:t>The estimated future net operating expense ratio for AGNC is based on projected operating costs, including compensation and benefits and general and administrative expenses (“G&amp;A”), excludes non-cash amortization charges associated with the Internalization, and is net of management fee income from MTGE.</w:t>
      </w:r>
    </w:p>
    <w:p>
      <w:pPr>
        <w:spacing w:after="0" w:line="106" w:lineRule="exact"/>
        <w:rPr>
          <w:sz w:val="20"/>
          <w:szCs w:val="20"/>
          <w:color w:val="auto"/>
        </w:rPr>
      </w:pPr>
    </w:p>
    <w:p>
      <w:pPr>
        <w:jc w:val="right"/>
        <w:spacing w:after="0"/>
        <w:tabs>
          <w:tab w:leader="none" w:pos="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0"/>
          <w:szCs w:val="10"/>
          <w:color w:val="407CCA"/>
        </w:rPr>
        <w:t>3</w:t>
      </w:r>
    </w:p>
    <w:p>
      <w:pPr>
        <w:sectPr>
          <w:pgSz w:w="11900" w:h="16838" w:orient="portrait"/>
          <w:cols w:equalWidth="0" w:num="1">
            <w:col w:w="11220"/>
          </w:cols>
          <w:pgMar w:left="240" w:top="459" w:right="439" w:bottom="1440" w:gutter="0" w:footer="0" w:header="0"/>
        </w:sectPr>
      </w:pPr>
    </w:p>
    <w:bookmarkStart w:id="7" w:name="page8"/>
    <w:bookmarkEnd w:id="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Liquidity and Scale</w:t>
      </w:r>
    </w:p>
    <w:p>
      <w:pPr>
        <w:spacing w:after="0" w:line="121" w:lineRule="exact"/>
        <w:rPr>
          <w:sz w:val="20"/>
          <w:szCs w:val="20"/>
          <w:color w:val="auto"/>
        </w:rPr>
      </w:pPr>
    </w:p>
    <w:p>
      <w:pPr>
        <w:ind w:left="200" w:firstLine="771"/>
        <w:spacing w:after="0" w:line="277" w:lineRule="auto"/>
        <w:rPr>
          <w:sz w:val="20"/>
          <w:szCs w:val="20"/>
          <w:color w:val="auto"/>
        </w:rPr>
      </w:pPr>
      <w:r>
        <w:rPr>
          <w:rFonts w:ascii="Arial" w:cs="Arial" w:eastAsia="Arial" w:hAnsi="Arial"/>
          <w:sz w:val="18"/>
          <w:szCs w:val="18"/>
          <w:color w:val="auto"/>
        </w:rPr>
        <w:t>AGNC is the largest internally-managed and second largest residential mortgage REIT overall by market capitalization, stockholders’ equity, and assets, which provides favorable liquidity and the benefits of scale to our stockholders.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134620</wp:posOffset>
            </wp:positionV>
            <wp:extent cx="6997700" cy="21463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6997700" cy="214630"/>
                    </a:xfrm>
                    <a:prstGeom prst="rect">
                      <a:avLst/>
                    </a:prstGeom>
                    <a:noFill/>
                  </pic:spPr>
                </pic:pic>
              </a:graphicData>
            </a:graphic>
          </wp:anchor>
        </w:drawing>
      </w:r>
    </w:p>
    <w:p>
      <w:pPr>
        <w:spacing w:after="0" w:line="214" w:lineRule="exact"/>
        <w:rPr>
          <w:sz w:val="20"/>
          <w:szCs w:val="20"/>
          <w:color w:val="auto"/>
        </w:rPr>
      </w:pPr>
    </w:p>
    <w:p>
      <w:pPr>
        <w:ind w:left="2140"/>
        <w:spacing w:after="0"/>
        <w:rPr>
          <w:sz w:val="20"/>
          <w:szCs w:val="20"/>
          <w:color w:val="auto"/>
        </w:rPr>
      </w:pPr>
      <w:r>
        <w:rPr>
          <w:rFonts w:ascii="Arial" w:cs="Arial" w:eastAsia="Arial" w:hAnsi="Arial"/>
          <w:sz w:val="18"/>
          <w:szCs w:val="18"/>
          <w:b w:val="1"/>
          <w:bCs w:val="1"/>
          <w:color w:val="auto"/>
        </w:rPr>
        <w:t>Residential Mortgage REIT Market Capitalizations</w:t>
      </w:r>
      <w:r>
        <w:rPr>
          <w:rFonts w:ascii="Arial" w:cs="Arial" w:eastAsia="Arial" w:hAnsi="Arial"/>
          <w:sz w:val="15"/>
          <w:szCs w:val="15"/>
          <w:b w:val="1"/>
          <w:bCs w:val="1"/>
          <w:color w:val="auto"/>
        </w:rPr>
        <w:t>(1)</w:t>
      </w:r>
      <w:r>
        <w:rPr>
          <w:rFonts w:ascii="Arial" w:cs="Arial" w:eastAsia="Arial" w:hAnsi="Arial"/>
          <w:sz w:val="18"/>
          <w:szCs w:val="18"/>
          <w:b w:val="1"/>
          <w:bCs w:val="1"/>
          <w:color w:val="auto"/>
        </w:rPr>
        <w:t xml:space="preserve"> and Average Daily Trading Volumes</w:t>
      </w:r>
      <w:r>
        <w:rPr>
          <w:rFonts w:ascii="Arial" w:cs="Arial" w:eastAsia="Arial" w:hAnsi="Arial"/>
          <w:sz w:val="15"/>
          <w:szCs w:val="15"/>
          <w:b w:val="1"/>
          <w:bCs w:val="1"/>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223520</wp:posOffset>
            </wp:positionV>
            <wp:extent cx="6089015" cy="25812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6089015" cy="25812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ind w:left="860" w:hanging="656"/>
        <w:spacing w:after="0"/>
        <w:tabs>
          <w:tab w:leader="none" w:pos="860" w:val="left"/>
        </w:tabs>
        <w:numPr>
          <w:ilvl w:val="0"/>
          <w:numId w:val="10"/>
        </w:numPr>
        <w:rPr>
          <w:rFonts w:ascii="Arial" w:cs="Arial" w:eastAsia="Arial" w:hAnsi="Arial"/>
          <w:sz w:val="14"/>
          <w:szCs w:val="14"/>
          <w:color w:val="auto"/>
        </w:rPr>
      </w:pPr>
      <w:r>
        <w:rPr>
          <w:rFonts w:ascii="Arial" w:cs="Arial" w:eastAsia="Arial" w:hAnsi="Arial"/>
          <w:sz w:val="14"/>
          <w:szCs w:val="14"/>
          <w:color w:val="auto"/>
        </w:rPr>
        <w:t>Market capitalizations are as of December 31, 2017. Source: S&amp;P Global Market Intelligence.</w:t>
      </w:r>
    </w:p>
    <w:p>
      <w:pPr>
        <w:ind w:left="860" w:hanging="656"/>
        <w:spacing w:after="0" w:line="221" w:lineRule="auto"/>
        <w:tabs>
          <w:tab w:leader="none" w:pos="860" w:val="left"/>
        </w:tabs>
        <w:numPr>
          <w:ilvl w:val="0"/>
          <w:numId w:val="10"/>
        </w:numPr>
        <w:rPr>
          <w:rFonts w:ascii="Arial" w:cs="Arial" w:eastAsia="Arial" w:hAnsi="Arial"/>
          <w:sz w:val="14"/>
          <w:szCs w:val="14"/>
          <w:color w:val="auto"/>
        </w:rPr>
      </w:pPr>
      <w:r>
        <w:rPr>
          <w:rFonts w:ascii="Arial" w:cs="Arial" w:eastAsia="Arial" w:hAnsi="Arial"/>
          <w:sz w:val="14"/>
          <w:szCs w:val="14"/>
          <w:color w:val="auto"/>
        </w:rPr>
        <w:t>Average daily trading volumes are for the year ended December 31, 2017. Source: Bloomberg.</w:t>
      </w:r>
    </w:p>
    <w:p>
      <w:pPr>
        <w:ind w:left="860" w:hanging="656"/>
        <w:spacing w:after="0"/>
        <w:tabs>
          <w:tab w:leader="none" w:pos="860" w:val="left"/>
        </w:tabs>
        <w:numPr>
          <w:ilvl w:val="0"/>
          <w:numId w:val="10"/>
        </w:numPr>
        <w:rPr>
          <w:rFonts w:ascii="Arial" w:cs="Arial" w:eastAsia="Arial" w:hAnsi="Arial"/>
          <w:sz w:val="14"/>
          <w:szCs w:val="14"/>
          <w:color w:val="auto"/>
        </w:rPr>
      </w:pPr>
      <w:r>
        <w:rPr>
          <w:rFonts w:ascii="Arial" w:cs="Arial" w:eastAsia="Arial" w:hAnsi="Arial"/>
          <w:sz w:val="14"/>
          <w:szCs w:val="14"/>
          <w:color w:val="auto"/>
        </w:rPr>
        <w:t>Reflects the median of the Resi mREIT Universe.</w:t>
      </w:r>
    </w:p>
    <w:p>
      <w:pPr>
        <w:spacing w:after="0" w:line="124" w:lineRule="exact"/>
        <w:rPr>
          <w:sz w:val="20"/>
          <w:szCs w:val="20"/>
          <w:color w:val="auto"/>
        </w:rPr>
      </w:pPr>
    </w:p>
    <w:p>
      <w:pPr>
        <w:ind w:left="200"/>
        <w:spacing w:after="0"/>
        <w:tabs>
          <w:tab w:leader="none" w:pos="400" w:val="left"/>
        </w:tabs>
        <w:rPr>
          <w:sz w:val="20"/>
          <w:szCs w:val="20"/>
          <w:color w:val="auto"/>
        </w:rPr>
      </w:pPr>
      <w:r>
        <w:rPr>
          <w:rFonts w:ascii="Arial" w:cs="Arial" w:eastAsia="Arial" w:hAnsi="Arial"/>
          <w:sz w:val="14"/>
          <w:szCs w:val="14"/>
          <w:color w:val="407CCA"/>
        </w:rPr>
        <w:t>4</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20"/>
          </w:cols>
          <w:pgMar w:left="240" w:top="459" w:right="539" w:bottom="1440" w:gutter="0" w:footer="0" w:header="0"/>
        </w:sectPr>
      </w:pPr>
    </w:p>
    <w:bookmarkStart w:id="8" w:name="page9"/>
    <w:bookmarkEnd w:id="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ind w:right="20"/>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15" w:lineRule="exact"/>
        <w:rPr>
          <w:sz w:val="20"/>
          <w:szCs w:val="20"/>
          <w:color w:val="auto"/>
        </w:rPr>
      </w:pPr>
    </w:p>
    <w:p>
      <w:pPr>
        <w:jc w:val="center"/>
        <w:ind w:right="-179"/>
        <w:spacing w:after="0"/>
        <w:rPr>
          <w:sz w:val="20"/>
          <w:szCs w:val="20"/>
          <w:color w:val="auto"/>
        </w:rPr>
      </w:pPr>
      <w:r>
        <w:rPr>
          <w:rFonts w:ascii="Arial" w:cs="Arial" w:eastAsia="Arial" w:hAnsi="Arial"/>
          <w:sz w:val="22"/>
          <w:szCs w:val="22"/>
          <w:b w:val="1"/>
          <w:bCs w:val="1"/>
          <w:color w:val="407CCA"/>
        </w:rPr>
        <w:t>BOARD AND GOVERNANCE MATTERS</w:t>
      </w:r>
    </w:p>
    <w:p>
      <w:pPr>
        <w:spacing w:after="0" w:line="219" w:lineRule="exact"/>
        <w:rPr>
          <w:sz w:val="20"/>
          <w:szCs w:val="20"/>
          <w:color w:val="auto"/>
        </w:rPr>
      </w:pPr>
    </w:p>
    <w:p>
      <w:pPr>
        <w:ind w:left="200" w:right="420" w:firstLine="771"/>
        <w:spacing w:after="0" w:line="277" w:lineRule="auto"/>
        <w:rPr>
          <w:sz w:val="20"/>
          <w:szCs w:val="20"/>
          <w:color w:val="auto"/>
        </w:rPr>
      </w:pPr>
      <w:r>
        <w:rPr>
          <w:rFonts w:ascii="Arial" w:cs="Arial" w:eastAsia="Arial" w:hAnsi="Arial"/>
          <w:sz w:val="18"/>
          <w:szCs w:val="18"/>
          <w:color w:val="auto"/>
        </w:rPr>
        <w:t>Our Board of Directors is currently comprised of four independent directors and one affiliated director. The following table sets forth the current members of our Board of Directors and their committee membership:</w:t>
      </w:r>
    </w:p>
    <w:p>
      <w:pPr>
        <w:spacing w:after="0" w:line="192" w:lineRule="exact"/>
        <w:rPr>
          <w:sz w:val="20"/>
          <w:szCs w:val="20"/>
          <w:color w:val="auto"/>
        </w:rPr>
      </w:pPr>
    </w:p>
    <w:tbl>
      <w:tblPr>
        <w:tblLayout w:type="fixed"/>
        <w:tblInd w:w="220" w:type="dxa"/>
        <w:tblCellMar>
          <w:top w:w="0" w:type="dxa"/>
          <w:left w:w="0" w:type="dxa"/>
          <w:bottom w:w="0" w:type="dxa"/>
          <w:right w:w="0" w:type="dxa"/>
        </w:tblCellMar>
      </w:tblPr>
      <w:tr>
        <w:trPr>
          <w:trHeight w:val="130"/>
        </w:trPr>
        <w:tc>
          <w:tcPr>
            <w:tcW w:w="3780" w:type="dxa"/>
            <w:vAlign w:val="bottom"/>
            <w:tcBorders>
              <w:top w:val="single" w:sz="8" w:color="304963"/>
            </w:tcBorders>
            <w:vMerge w:val="restart"/>
          </w:tcPr>
          <w:p>
            <w:pPr>
              <w:ind w:left="80"/>
              <w:spacing w:after="0"/>
              <w:rPr>
                <w:sz w:val="20"/>
                <w:szCs w:val="20"/>
                <w:color w:val="auto"/>
              </w:rPr>
            </w:pPr>
            <w:r>
              <w:rPr>
                <w:rFonts w:ascii="Arial" w:cs="Arial" w:eastAsia="Arial" w:hAnsi="Arial"/>
                <w:sz w:val="18"/>
                <w:szCs w:val="18"/>
                <w:b w:val="1"/>
                <w:bCs w:val="1"/>
                <w:color w:val="auto"/>
              </w:rPr>
              <w:t>Name</w:t>
            </w:r>
          </w:p>
        </w:tc>
        <w:tc>
          <w:tcPr>
            <w:tcW w:w="3460" w:type="dxa"/>
            <w:vAlign w:val="bottom"/>
            <w:tcBorders>
              <w:top w:val="single" w:sz="8" w:color="304963"/>
            </w:tcBorders>
          </w:tcPr>
          <w:p>
            <w:pPr>
              <w:spacing w:after="0"/>
              <w:rPr>
                <w:sz w:val="11"/>
                <w:szCs w:val="11"/>
                <w:color w:val="auto"/>
              </w:rPr>
            </w:pPr>
          </w:p>
        </w:tc>
        <w:tc>
          <w:tcPr>
            <w:tcW w:w="1100" w:type="dxa"/>
            <w:vAlign w:val="bottom"/>
            <w:tcBorders>
              <w:top w:val="single" w:sz="8" w:color="304963"/>
            </w:tcBorders>
          </w:tcPr>
          <w:p>
            <w:pPr>
              <w:spacing w:after="0"/>
              <w:rPr>
                <w:sz w:val="11"/>
                <w:szCs w:val="11"/>
                <w:color w:val="auto"/>
              </w:rPr>
            </w:pPr>
          </w:p>
        </w:tc>
        <w:tc>
          <w:tcPr>
            <w:tcW w:w="1000" w:type="dxa"/>
            <w:vAlign w:val="bottom"/>
            <w:tcBorders>
              <w:top w:val="single" w:sz="8" w:color="304963"/>
            </w:tcBorders>
          </w:tcPr>
          <w:p>
            <w:pPr>
              <w:spacing w:after="0"/>
              <w:rPr>
                <w:sz w:val="11"/>
                <w:szCs w:val="11"/>
                <w:color w:val="auto"/>
              </w:rPr>
            </w:pPr>
          </w:p>
        </w:tc>
        <w:tc>
          <w:tcPr>
            <w:tcW w:w="1680" w:type="dxa"/>
            <w:vAlign w:val="bottom"/>
            <w:tcBorders>
              <w:top w:val="single" w:sz="8" w:color="304963"/>
            </w:tcBorders>
          </w:tcPr>
          <w:p>
            <w:pPr>
              <w:jc w:val="center"/>
              <w:ind w:left="179"/>
              <w:spacing w:after="0" w:line="131" w:lineRule="exact"/>
              <w:rPr>
                <w:sz w:val="20"/>
                <w:szCs w:val="20"/>
                <w:color w:val="auto"/>
              </w:rPr>
            </w:pPr>
            <w:r>
              <w:rPr>
                <w:rFonts w:ascii="Arial" w:cs="Arial" w:eastAsia="Arial" w:hAnsi="Arial"/>
                <w:sz w:val="13"/>
                <w:szCs w:val="13"/>
                <w:b w:val="1"/>
                <w:bCs w:val="1"/>
                <w:color w:val="auto"/>
                <w:w w:val="87"/>
              </w:rPr>
              <w:t>Compensation and</w:t>
            </w:r>
          </w:p>
        </w:tc>
        <w:tc>
          <w:tcPr>
            <w:tcW w:w="0" w:type="dxa"/>
            <w:vAlign w:val="bottom"/>
          </w:tcPr>
          <w:p>
            <w:pPr>
              <w:spacing w:after="0"/>
              <w:rPr>
                <w:sz w:val="1"/>
                <w:szCs w:val="1"/>
                <w:color w:val="auto"/>
              </w:rPr>
            </w:pPr>
          </w:p>
        </w:tc>
      </w:tr>
      <w:tr>
        <w:trPr>
          <w:trHeight w:val="153"/>
        </w:trPr>
        <w:tc>
          <w:tcPr>
            <w:tcW w:w="3780" w:type="dxa"/>
            <w:vAlign w:val="bottom"/>
            <w:tcBorders>
              <w:bottom w:val="single" w:sz="8" w:color="304963"/>
            </w:tcBorders>
            <w:vMerge w:val="continue"/>
          </w:tcPr>
          <w:p>
            <w:pPr>
              <w:spacing w:after="0"/>
              <w:rPr>
                <w:sz w:val="13"/>
                <w:szCs w:val="13"/>
                <w:color w:val="auto"/>
              </w:rPr>
            </w:pPr>
          </w:p>
        </w:tc>
        <w:tc>
          <w:tcPr>
            <w:tcW w:w="3460" w:type="dxa"/>
            <w:vAlign w:val="bottom"/>
            <w:tcBorders>
              <w:bottom w:val="single" w:sz="8" w:color="304963"/>
            </w:tcBorders>
          </w:tcPr>
          <w:p>
            <w:pPr>
              <w:jc w:val="center"/>
              <w:ind w:left="2034"/>
              <w:spacing w:after="0"/>
              <w:rPr>
                <w:sz w:val="20"/>
                <w:szCs w:val="20"/>
                <w:color w:val="auto"/>
              </w:rPr>
            </w:pPr>
            <w:r>
              <w:rPr>
                <w:rFonts w:ascii="Arial" w:cs="Arial" w:eastAsia="Arial" w:hAnsi="Arial"/>
                <w:sz w:val="13"/>
                <w:szCs w:val="13"/>
                <w:b w:val="1"/>
                <w:bCs w:val="1"/>
                <w:color w:val="auto"/>
                <w:w w:val="88"/>
              </w:rPr>
              <w:t>Director Since</w:t>
            </w:r>
          </w:p>
        </w:tc>
        <w:tc>
          <w:tcPr>
            <w:tcW w:w="1100" w:type="dxa"/>
            <w:vAlign w:val="bottom"/>
            <w:tcBorders>
              <w:bottom w:val="single" w:sz="8" w:color="304963"/>
            </w:tcBorders>
          </w:tcPr>
          <w:p>
            <w:pPr>
              <w:jc w:val="center"/>
              <w:spacing w:after="0"/>
              <w:rPr>
                <w:sz w:val="20"/>
                <w:szCs w:val="20"/>
                <w:color w:val="auto"/>
              </w:rPr>
            </w:pPr>
            <w:r>
              <w:rPr>
                <w:rFonts w:ascii="Arial" w:cs="Arial" w:eastAsia="Arial" w:hAnsi="Arial"/>
                <w:sz w:val="13"/>
                <w:szCs w:val="13"/>
                <w:b w:val="1"/>
                <w:bCs w:val="1"/>
                <w:color w:val="auto"/>
                <w:w w:val="85"/>
              </w:rPr>
              <w:t>Executive</w:t>
            </w:r>
          </w:p>
        </w:tc>
        <w:tc>
          <w:tcPr>
            <w:tcW w:w="1000" w:type="dxa"/>
            <w:vAlign w:val="bottom"/>
            <w:tcBorders>
              <w:bottom w:val="single" w:sz="8" w:color="304963"/>
            </w:tcBorders>
          </w:tcPr>
          <w:p>
            <w:pPr>
              <w:jc w:val="center"/>
              <w:spacing w:after="0"/>
              <w:rPr>
                <w:sz w:val="20"/>
                <w:szCs w:val="20"/>
                <w:color w:val="auto"/>
              </w:rPr>
            </w:pPr>
            <w:r>
              <w:rPr>
                <w:rFonts w:ascii="Arial" w:cs="Arial" w:eastAsia="Arial" w:hAnsi="Arial"/>
                <w:sz w:val="13"/>
                <w:szCs w:val="13"/>
                <w:b w:val="1"/>
                <w:bCs w:val="1"/>
                <w:color w:val="auto"/>
                <w:w w:val="96"/>
              </w:rPr>
              <w:t>Audit</w:t>
            </w:r>
            <w:r>
              <w:rPr>
                <w:rFonts w:ascii="Arial" w:cs="Arial" w:eastAsia="Arial" w:hAnsi="Arial"/>
                <w:sz w:val="10"/>
                <w:szCs w:val="10"/>
                <w:b w:val="1"/>
                <w:bCs w:val="1"/>
                <w:color w:val="auto"/>
                <w:w w:val="96"/>
              </w:rPr>
              <w:t>(1)</w:t>
            </w:r>
          </w:p>
        </w:tc>
        <w:tc>
          <w:tcPr>
            <w:tcW w:w="1680" w:type="dxa"/>
            <w:vAlign w:val="bottom"/>
            <w:tcBorders>
              <w:bottom w:val="single" w:sz="8" w:color="304963"/>
            </w:tcBorders>
          </w:tcPr>
          <w:p>
            <w:pPr>
              <w:jc w:val="center"/>
              <w:ind w:left="199"/>
              <w:spacing w:after="0"/>
              <w:rPr>
                <w:sz w:val="20"/>
                <w:szCs w:val="20"/>
                <w:color w:val="auto"/>
              </w:rPr>
            </w:pPr>
            <w:r>
              <w:rPr>
                <w:rFonts w:ascii="Arial" w:cs="Arial" w:eastAsia="Arial" w:hAnsi="Arial"/>
                <w:sz w:val="13"/>
                <w:szCs w:val="13"/>
                <w:b w:val="1"/>
                <w:bCs w:val="1"/>
                <w:color w:val="auto"/>
                <w:w w:val="88"/>
              </w:rPr>
              <w:t>Corporate Governance</w:t>
            </w:r>
            <w:r>
              <w:rPr>
                <w:rFonts w:ascii="Arial" w:cs="Arial" w:eastAsia="Arial" w:hAnsi="Arial"/>
                <w:sz w:val="10"/>
                <w:szCs w:val="10"/>
                <w:b w:val="1"/>
                <w:bCs w:val="1"/>
                <w:color w:val="auto"/>
                <w:w w:val="88"/>
              </w:rPr>
              <w:t>(2)</w:t>
            </w:r>
          </w:p>
        </w:tc>
        <w:tc>
          <w:tcPr>
            <w:tcW w:w="0" w:type="dxa"/>
            <w:vAlign w:val="bottom"/>
          </w:tcPr>
          <w:p>
            <w:pPr>
              <w:spacing w:after="0"/>
              <w:rPr>
                <w:sz w:val="1"/>
                <w:szCs w:val="1"/>
                <w:color w:val="auto"/>
              </w:rPr>
            </w:pPr>
          </w:p>
        </w:tc>
      </w:tr>
      <w:tr>
        <w:trPr>
          <w:trHeight w:val="210"/>
        </w:trPr>
        <w:tc>
          <w:tcPr>
            <w:tcW w:w="3780" w:type="dxa"/>
            <w:vAlign w:val="bottom"/>
            <w:shd w:val="clear" w:color="auto" w:fill="CCEEFF"/>
          </w:tcPr>
          <w:p>
            <w:pPr>
              <w:ind w:left="80"/>
              <w:spacing w:after="0"/>
              <w:rPr>
                <w:sz w:val="20"/>
                <w:szCs w:val="20"/>
                <w:color w:val="auto"/>
              </w:rPr>
            </w:pPr>
            <w:r>
              <w:rPr>
                <w:rFonts w:ascii="Arial" w:cs="Arial" w:eastAsia="Arial" w:hAnsi="Arial"/>
                <w:sz w:val="18"/>
                <w:szCs w:val="18"/>
                <w:color w:val="auto"/>
              </w:rPr>
              <w:t>Gary D. Kain</w:t>
            </w:r>
          </w:p>
        </w:tc>
        <w:tc>
          <w:tcPr>
            <w:tcW w:w="3460" w:type="dxa"/>
            <w:vAlign w:val="bottom"/>
            <w:shd w:val="clear" w:color="auto" w:fill="CCEEFF"/>
          </w:tcPr>
          <w:p>
            <w:pPr>
              <w:jc w:val="center"/>
              <w:ind w:left="2014"/>
              <w:spacing w:after="0"/>
              <w:rPr>
                <w:sz w:val="20"/>
                <w:szCs w:val="20"/>
                <w:color w:val="auto"/>
              </w:rPr>
            </w:pPr>
            <w:r>
              <w:rPr>
                <w:rFonts w:ascii="Arial" w:cs="Arial" w:eastAsia="Arial" w:hAnsi="Arial"/>
                <w:sz w:val="18"/>
                <w:szCs w:val="18"/>
                <w:color w:val="auto"/>
                <w:w w:val="89"/>
              </w:rPr>
              <w:t>2016</w:t>
            </w:r>
          </w:p>
        </w:tc>
        <w:tc>
          <w:tcPr>
            <w:tcW w:w="1100" w:type="dxa"/>
            <w:vAlign w:val="bottom"/>
            <w:shd w:val="clear" w:color="auto" w:fill="CCEEFF"/>
          </w:tcPr>
          <w:p>
            <w:pPr>
              <w:jc w:val="center"/>
              <w:spacing w:after="0" w:line="181" w:lineRule="exact"/>
              <w:rPr>
                <w:sz w:val="20"/>
                <w:szCs w:val="20"/>
                <w:color w:val="auto"/>
              </w:rPr>
            </w:pPr>
            <w:r>
              <w:rPr>
                <w:rFonts w:ascii="MS PGothic" w:cs="MS PGothic" w:eastAsia="MS PGothic" w:hAnsi="MS PGothic"/>
                <w:sz w:val="18"/>
                <w:szCs w:val="18"/>
                <w:color w:val="auto"/>
                <w:w w:val="88"/>
              </w:rPr>
              <w:t>✓</w:t>
            </w:r>
          </w:p>
        </w:tc>
        <w:tc>
          <w:tcPr>
            <w:tcW w:w="1000" w:type="dxa"/>
            <w:vAlign w:val="bottom"/>
            <w:shd w:val="clear" w:color="auto" w:fill="CCEEFF"/>
          </w:tcPr>
          <w:p>
            <w:pPr>
              <w:spacing w:after="0"/>
              <w:rPr>
                <w:sz w:val="18"/>
                <w:szCs w:val="18"/>
                <w:color w:val="auto"/>
              </w:rPr>
            </w:pPr>
          </w:p>
        </w:tc>
        <w:tc>
          <w:tcPr>
            <w:tcW w:w="16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780" w:type="dxa"/>
            <w:vAlign w:val="bottom"/>
          </w:tcPr>
          <w:p>
            <w:pPr>
              <w:ind w:left="80"/>
              <w:spacing w:after="0"/>
              <w:rPr>
                <w:sz w:val="20"/>
                <w:szCs w:val="20"/>
                <w:color w:val="auto"/>
              </w:rPr>
            </w:pPr>
            <w:r>
              <w:rPr>
                <w:rFonts w:ascii="Arial" w:cs="Arial" w:eastAsia="Arial" w:hAnsi="Arial"/>
                <w:sz w:val="18"/>
                <w:szCs w:val="18"/>
                <w:color w:val="auto"/>
              </w:rPr>
              <w:t>Morris A. Davis*</w:t>
            </w:r>
          </w:p>
        </w:tc>
        <w:tc>
          <w:tcPr>
            <w:tcW w:w="3460" w:type="dxa"/>
            <w:vAlign w:val="bottom"/>
          </w:tcPr>
          <w:p>
            <w:pPr>
              <w:jc w:val="center"/>
              <w:ind w:left="2014"/>
              <w:spacing w:after="0"/>
              <w:rPr>
                <w:sz w:val="20"/>
                <w:szCs w:val="20"/>
                <w:color w:val="auto"/>
              </w:rPr>
            </w:pPr>
            <w:r>
              <w:rPr>
                <w:rFonts w:ascii="Arial" w:cs="Arial" w:eastAsia="Arial" w:hAnsi="Arial"/>
                <w:sz w:val="18"/>
                <w:szCs w:val="18"/>
                <w:color w:val="auto"/>
                <w:w w:val="89"/>
              </w:rPr>
              <w:t>2008</w:t>
            </w:r>
          </w:p>
        </w:tc>
        <w:tc>
          <w:tcPr>
            <w:tcW w:w="1100" w:type="dxa"/>
            <w:vAlign w:val="bottom"/>
          </w:tcPr>
          <w:p>
            <w:pPr>
              <w:spacing w:after="0"/>
              <w:rPr>
                <w:sz w:val="18"/>
                <w:szCs w:val="18"/>
                <w:color w:val="auto"/>
              </w:rPr>
            </w:pPr>
          </w:p>
        </w:tc>
        <w:tc>
          <w:tcPr>
            <w:tcW w:w="1000" w:type="dxa"/>
            <w:vAlign w:val="bottom"/>
          </w:tcPr>
          <w:p>
            <w:pPr>
              <w:jc w:val="center"/>
              <w:spacing w:after="0" w:line="181" w:lineRule="exact"/>
              <w:rPr>
                <w:sz w:val="20"/>
                <w:szCs w:val="20"/>
                <w:color w:val="auto"/>
              </w:rPr>
            </w:pPr>
            <w:r>
              <w:rPr>
                <w:rFonts w:ascii="MS PGothic" w:cs="MS PGothic" w:eastAsia="MS PGothic" w:hAnsi="MS PGothic"/>
                <w:sz w:val="18"/>
                <w:szCs w:val="18"/>
                <w:color w:val="auto"/>
                <w:w w:val="88"/>
              </w:rPr>
              <w:t>✓</w:t>
            </w:r>
          </w:p>
        </w:tc>
        <w:tc>
          <w:tcPr>
            <w:tcW w:w="1680" w:type="dxa"/>
            <w:vAlign w:val="bottom"/>
          </w:tcPr>
          <w:p>
            <w:pPr>
              <w:jc w:val="center"/>
              <w:ind w:left="199"/>
              <w:spacing w:after="0"/>
              <w:rPr>
                <w:sz w:val="20"/>
                <w:szCs w:val="20"/>
                <w:color w:val="auto"/>
              </w:rPr>
            </w:pPr>
            <w:r>
              <w:rPr>
                <w:rFonts w:ascii="Arial" w:cs="Arial" w:eastAsia="Arial" w:hAnsi="Arial"/>
                <w:sz w:val="18"/>
                <w:szCs w:val="18"/>
                <w:color w:val="auto"/>
                <w:w w:val="92"/>
              </w:rPr>
              <w:t>Chair</w:t>
            </w:r>
          </w:p>
        </w:tc>
        <w:tc>
          <w:tcPr>
            <w:tcW w:w="0" w:type="dxa"/>
            <w:vAlign w:val="bottom"/>
          </w:tcPr>
          <w:p>
            <w:pPr>
              <w:spacing w:after="0"/>
              <w:rPr>
                <w:sz w:val="1"/>
                <w:szCs w:val="1"/>
                <w:color w:val="auto"/>
              </w:rPr>
            </w:pPr>
          </w:p>
        </w:tc>
      </w:tr>
      <w:tr>
        <w:trPr>
          <w:trHeight w:val="216"/>
        </w:trPr>
        <w:tc>
          <w:tcPr>
            <w:tcW w:w="3780" w:type="dxa"/>
            <w:vAlign w:val="bottom"/>
            <w:shd w:val="clear" w:color="auto" w:fill="CCEEFF"/>
          </w:tcPr>
          <w:p>
            <w:pPr>
              <w:ind w:left="80"/>
              <w:spacing w:after="0"/>
              <w:rPr>
                <w:sz w:val="20"/>
                <w:szCs w:val="20"/>
                <w:color w:val="auto"/>
              </w:rPr>
            </w:pPr>
            <w:r>
              <w:rPr>
                <w:rFonts w:ascii="Arial" w:cs="Arial" w:eastAsia="Arial" w:hAnsi="Arial"/>
                <w:sz w:val="18"/>
                <w:szCs w:val="18"/>
                <w:color w:val="auto"/>
              </w:rPr>
              <w:t>Larry K. Harvey*</w:t>
            </w:r>
          </w:p>
        </w:tc>
        <w:tc>
          <w:tcPr>
            <w:tcW w:w="3460" w:type="dxa"/>
            <w:vAlign w:val="bottom"/>
            <w:shd w:val="clear" w:color="auto" w:fill="CCEEFF"/>
          </w:tcPr>
          <w:p>
            <w:pPr>
              <w:jc w:val="center"/>
              <w:ind w:left="2014"/>
              <w:spacing w:after="0"/>
              <w:rPr>
                <w:sz w:val="20"/>
                <w:szCs w:val="20"/>
                <w:color w:val="auto"/>
              </w:rPr>
            </w:pPr>
            <w:r>
              <w:rPr>
                <w:rFonts w:ascii="Arial" w:cs="Arial" w:eastAsia="Arial" w:hAnsi="Arial"/>
                <w:sz w:val="18"/>
                <w:szCs w:val="18"/>
                <w:color w:val="auto"/>
                <w:w w:val="89"/>
              </w:rPr>
              <w:t>2008</w:t>
            </w:r>
          </w:p>
        </w:tc>
        <w:tc>
          <w:tcPr>
            <w:tcW w:w="1100" w:type="dxa"/>
            <w:vAlign w:val="bottom"/>
            <w:shd w:val="clear" w:color="auto" w:fill="CCEEFF"/>
          </w:tcPr>
          <w:p>
            <w:pPr>
              <w:jc w:val="center"/>
              <w:spacing w:after="0" w:line="181" w:lineRule="exact"/>
              <w:rPr>
                <w:sz w:val="20"/>
                <w:szCs w:val="20"/>
                <w:color w:val="auto"/>
              </w:rPr>
            </w:pPr>
            <w:r>
              <w:rPr>
                <w:rFonts w:ascii="MS PGothic" w:cs="MS PGothic" w:eastAsia="MS PGothic" w:hAnsi="MS PGothic"/>
                <w:sz w:val="18"/>
                <w:szCs w:val="18"/>
                <w:color w:val="auto"/>
                <w:w w:val="88"/>
              </w:rPr>
              <w:t>✓</w:t>
            </w:r>
          </w:p>
        </w:tc>
        <w:tc>
          <w:tcPr>
            <w:tcW w:w="10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2"/>
              </w:rPr>
              <w:t>Chair</w:t>
            </w:r>
          </w:p>
        </w:tc>
        <w:tc>
          <w:tcPr>
            <w:tcW w:w="1680" w:type="dxa"/>
            <w:vAlign w:val="bottom"/>
            <w:shd w:val="clear" w:color="auto" w:fill="CCEEFF"/>
          </w:tcPr>
          <w:p>
            <w:pPr>
              <w:jc w:val="center"/>
              <w:ind w:left="199"/>
              <w:spacing w:after="0" w:line="181" w:lineRule="exact"/>
              <w:rPr>
                <w:sz w:val="20"/>
                <w:szCs w:val="20"/>
                <w:color w:val="auto"/>
              </w:rPr>
            </w:pPr>
            <w:r>
              <w:rPr>
                <w:rFonts w:ascii="MS PGothic" w:cs="MS PGothic" w:eastAsia="MS PGothic" w:hAnsi="MS PGothic"/>
                <w:sz w:val="18"/>
                <w:szCs w:val="18"/>
                <w:color w:val="auto"/>
                <w:w w:val="88"/>
              </w:rPr>
              <w:t>✓</w:t>
            </w:r>
          </w:p>
        </w:tc>
        <w:tc>
          <w:tcPr>
            <w:tcW w:w="0" w:type="dxa"/>
            <w:vAlign w:val="bottom"/>
          </w:tcPr>
          <w:p>
            <w:pPr>
              <w:spacing w:after="0"/>
              <w:rPr>
                <w:sz w:val="1"/>
                <w:szCs w:val="1"/>
                <w:color w:val="auto"/>
              </w:rPr>
            </w:pPr>
          </w:p>
        </w:tc>
      </w:tr>
      <w:tr>
        <w:trPr>
          <w:trHeight w:val="216"/>
        </w:trPr>
        <w:tc>
          <w:tcPr>
            <w:tcW w:w="3780" w:type="dxa"/>
            <w:vAlign w:val="bottom"/>
          </w:tcPr>
          <w:p>
            <w:pPr>
              <w:ind w:left="80"/>
              <w:spacing w:after="0"/>
              <w:rPr>
                <w:sz w:val="20"/>
                <w:szCs w:val="20"/>
                <w:color w:val="auto"/>
              </w:rPr>
            </w:pPr>
            <w:r>
              <w:rPr>
                <w:rFonts w:ascii="Arial" w:cs="Arial" w:eastAsia="Arial" w:hAnsi="Arial"/>
                <w:sz w:val="18"/>
                <w:szCs w:val="18"/>
                <w:color w:val="auto"/>
              </w:rPr>
              <w:t>Prue B. Larocca*</w:t>
            </w:r>
          </w:p>
        </w:tc>
        <w:tc>
          <w:tcPr>
            <w:tcW w:w="3460" w:type="dxa"/>
            <w:vAlign w:val="bottom"/>
          </w:tcPr>
          <w:p>
            <w:pPr>
              <w:jc w:val="center"/>
              <w:ind w:left="2014"/>
              <w:spacing w:after="0"/>
              <w:rPr>
                <w:sz w:val="20"/>
                <w:szCs w:val="20"/>
                <w:color w:val="auto"/>
              </w:rPr>
            </w:pPr>
            <w:r>
              <w:rPr>
                <w:rFonts w:ascii="Arial" w:cs="Arial" w:eastAsia="Arial" w:hAnsi="Arial"/>
                <w:sz w:val="18"/>
                <w:szCs w:val="18"/>
                <w:color w:val="auto"/>
                <w:w w:val="89"/>
              </w:rPr>
              <w:t>2013</w:t>
            </w:r>
          </w:p>
        </w:tc>
        <w:tc>
          <w:tcPr>
            <w:tcW w:w="1100" w:type="dxa"/>
            <w:vAlign w:val="bottom"/>
          </w:tcPr>
          <w:p>
            <w:pPr>
              <w:jc w:val="center"/>
              <w:spacing w:after="0"/>
              <w:rPr>
                <w:sz w:val="20"/>
                <w:szCs w:val="20"/>
                <w:color w:val="auto"/>
              </w:rPr>
            </w:pPr>
            <w:r>
              <w:rPr>
                <w:rFonts w:ascii="Arial" w:cs="Arial" w:eastAsia="Arial" w:hAnsi="Arial"/>
                <w:sz w:val="18"/>
                <w:szCs w:val="18"/>
                <w:color w:val="auto"/>
                <w:w w:val="92"/>
              </w:rPr>
              <w:t>Chair</w:t>
            </w:r>
          </w:p>
        </w:tc>
        <w:tc>
          <w:tcPr>
            <w:tcW w:w="1000" w:type="dxa"/>
            <w:vAlign w:val="bottom"/>
          </w:tcPr>
          <w:p>
            <w:pPr>
              <w:jc w:val="center"/>
              <w:spacing w:after="0" w:line="181" w:lineRule="exact"/>
              <w:rPr>
                <w:sz w:val="20"/>
                <w:szCs w:val="20"/>
                <w:color w:val="auto"/>
              </w:rPr>
            </w:pPr>
            <w:r>
              <w:rPr>
                <w:rFonts w:ascii="MS PGothic" w:cs="MS PGothic" w:eastAsia="MS PGothic" w:hAnsi="MS PGothic"/>
                <w:sz w:val="18"/>
                <w:szCs w:val="18"/>
                <w:color w:val="auto"/>
                <w:w w:val="88"/>
              </w:rPr>
              <w:t>✓</w:t>
            </w:r>
          </w:p>
        </w:tc>
        <w:tc>
          <w:tcPr>
            <w:tcW w:w="1680" w:type="dxa"/>
            <w:vAlign w:val="bottom"/>
          </w:tcPr>
          <w:p>
            <w:pPr>
              <w:jc w:val="center"/>
              <w:ind w:left="199"/>
              <w:spacing w:after="0" w:line="181" w:lineRule="exact"/>
              <w:rPr>
                <w:sz w:val="20"/>
                <w:szCs w:val="20"/>
                <w:color w:val="auto"/>
              </w:rPr>
            </w:pPr>
            <w:r>
              <w:rPr>
                <w:rFonts w:ascii="MS PGothic" w:cs="MS PGothic" w:eastAsia="MS PGothic" w:hAnsi="MS PGothic"/>
                <w:sz w:val="18"/>
                <w:szCs w:val="18"/>
                <w:color w:val="auto"/>
                <w:w w:val="88"/>
              </w:rPr>
              <w:t>✓</w:t>
            </w:r>
          </w:p>
        </w:tc>
        <w:tc>
          <w:tcPr>
            <w:tcW w:w="0" w:type="dxa"/>
            <w:vAlign w:val="bottom"/>
          </w:tcPr>
          <w:p>
            <w:pPr>
              <w:spacing w:after="0"/>
              <w:rPr>
                <w:sz w:val="1"/>
                <w:szCs w:val="1"/>
                <w:color w:val="auto"/>
              </w:rPr>
            </w:pPr>
          </w:p>
        </w:tc>
      </w:tr>
      <w:tr>
        <w:trPr>
          <w:trHeight w:val="284"/>
        </w:trPr>
        <w:tc>
          <w:tcPr>
            <w:tcW w:w="3780" w:type="dxa"/>
            <w:vAlign w:val="bottom"/>
            <w:tcBorders>
              <w:bottom w:val="single" w:sz="8" w:color="304963"/>
            </w:tcBorders>
            <w:shd w:val="clear" w:color="auto" w:fill="CCEEFF"/>
          </w:tcPr>
          <w:p>
            <w:pPr>
              <w:ind w:left="80"/>
              <w:spacing w:after="0"/>
              <w:rPr>
                <w:sz w:val="20"/>
                <w:szCs w:val="20"/>
                <w:color w:val="auto"/>
              </w:rPr>
            </w:pPr>
            <w:r>
              <w:rPr>
                <w:rFonts w:ascii="Arial" w:cs="Arial" w:eastAsia="Arial" w:hAnsi="Arial"/>
                <w:sz w:val="18"/>
                <w:szCs w:val="18"/>
                <w:color w:val="auto"/>
              </w:rPr>
              <w:t>Paul E. Mullings*</w:t>
            </w:r>
          </w:p>
        </w:tc>
        <w:tc>
          <w:tcPr>
            <w:tcW w:w="3460" w:type="dxa"/>
            <w:vAlign w:val="bottom"/>
            <w:tcBorders>
              <w:bottom w:val="single" w:sz="8" w:color="304963"/>
            </w:tcBorders>
            <w:shd w:val="clear" w:color="auto" w:fill="CCEEFF"/>
          </w:tcPr>
          <w:p>
            <w:pPr>
              <w:jc w:val="center"/>
              <w:ind w:left="2014"/>
              <w:spacing w:after="0"/>
              <w:rPr>
                <w:sz w:val="20"/>
                <w:szCs w:val="20"/>
                <w:color w:val="auto"/>
              </w:rPr>
            </w:pPr>
            <w:r>
              <w:rPr>
                <w:rFonts w:ascii="Arial" w:cs="Arial" w:eastAsia="Arial" w:hAnsi="Arial"/>
                <w:sz w:val="18"/>
                <w:szCs w:val="18"/>
                <w:color w:val="auto"/>
                <w:w w:val="89"/>
              </w:rPr>
              <w:t>2016</w:t>
            </w:r>
          </w:p>
        </w:tc>
        <w:tc>
          <w:tcPr>
            <w:tcW w:w="1100" w:type="dxa"/>
            <w:vAlign w:val="bottom"/>
            <w:tcBorders>
              <w:bottom w:val="single" w:sz="8" w:color="304963"/>
            </w:tcBorders>
            <w:shd w:val="clear" w:color="auto" w:fill="CCEEFF"/>
          </w:tcPr>
          <w:p>
            <w:pPr>
              <w:spacing w:after="0"/>
              <w:rPr>
                <w:sz w:val="24"/>
                <w:szCs w:val="24"/>
                <w:color w:val="auto"/>
              </w:rPr>
            </w:pPr>
          </w:p>
        </w:tc>
        <w:tc>
          <w:tcPr>
            <w:tcW w:w="1000" w:type="dxa"/>
            <w:vAlign w:val="bottom"/>
            <w:tcBorders>
              <w:bottom w:val="single" w:sz="8" w:color="304963"/>
            </w:tcBorders>
            <w:shd w:val="clear" w:color="auto" w:fill="CCEEFF"/>
          </w:tcPr>
          <w:p>
            <w:pPr>
              <w:jc w:val="center"/>
              <w:spacing w:after="0" w:line="181" w:lineRule="exact"/>
              <w:rPr>
                <w:sz w:val="20"/>
                <w:szCs w:val="20"/>
                <w:color w:val="auto"/>
              </w:rPr>
            </w:pPr>
            <w:r>
              <w:rPr>
                <w:rFonts w:ascii="MS PGothic" w:cs="MS PGothic" w:eastAsia="MS PGothic" w:hAnsi="MS PGothic"/>
                <w:sz w:val="18"/>
                <w:szCs w:val="18"/>
                <w:color w:val="auto"/>
                <w:w w:val="88"/>
              </w:rPr>
              <w:t>✓</w:t>
            </w:r>
          </w:p>
        </w:tc>
        <w:tc>
          <w:tcPr>
            <w:tcW w:w="1680" w:type="dxa"/>
            <w:vAlign w:val="bottom"/>
            <w:tcBorders>
              <w:bottom w:val="single" w:sz="8" w:color="304963"/>
            </w:tcBorders>
            <w:shd w:val="clear" w:color="auto" w:fill="CCEEFF"/>
          </w:tcPr>
          <w:p>
            <w:pPr>
              <w:jc w:val="center"/>
              <w:ind w:left="199"/>
              <w:spacing w:after="0" w:line="181" w:lineRule="exact"/>
              <w:rPr>
                <w:sz w:val="20"/>
                <w:szCs w:val="20"/>
                <w:color w:val="auto"/>
              </w:rPr>
            </w:pPr>
            <w:r>
              <w:rPr>
                <w:rFonts w:ascii="MS PGothic" w:cs="MS PGothic" w:eastAsia="MS PGothic" w:hAnsi="MS PGothic"/>
                <w:sz w:val="18"/>
                <w:szCs w:val="18"/>
                <w:color w:val="auto"/>
                <w:w w:val="88"/>
              </w:rPr>
              <w:t>✓</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85725</wp:posOffset>
            </wp:positionV>
            <wp:extent cx="2444115" cy="88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2444115" cy="8890"/>
                    </a:xfrm>
                    <a:prstGeom prst="rect">
                      <a:avLst/>
                    </a:prstGeom>
                    <a:noFill/>
                  </pic:spPr>
                </pic:pic>
              </a:graphicData>
            </a:graphic>
          </wp:anchor>
        </w:drawing>
      </w:r>
    </w:p>
    <w:p>
      <w:pPr>
        <w:spacing w:after="0" w:line="150" w:lineRule="exact"/>
        <w:rPr>
          <w:sz w:val="20"/>
          <w:szCs w:val="20"/>
          <w:color w:val="auto"/>
        </w:rPr>
      </w:pPr>
    </w:p>
    <w:p>
      <w:pPr>
        <w:ind w:left="860" w:hanging="656"/>
        <w:spacing w:after="0"/>
        <w:tabs>
          <w:tab w:leader="none" w:pos="860" w:val="left"/>
        </w:tabs>
        <w:numPr>
          <w:ilvl w:val="0"/>
          <w:numId w:val="11"/>
        </w:numPr>
        <w:rPr>
          <w:rFonts w:ascii="Arial" w:cs="Arial" w:eastAsia="Arial" w:hAnsi="Arial"/>
          <w:sz w:val="14"/>
          <w:szCs w:val="14"/>
          <w:color w:val="auto"/>
        </w:rPr>
      </w:pPr>
      <w:r>
        <w:rPr>
          <w:rFonts w:ascii="Arial" w:cs="Arial" w:eastAsia="Arial" w:hAnsi="Arial"/>
          <w:sz w:val="14"/>
          <w:szCs w:val="14"/>
          <w:color w:val="auto"/>
        </w:rPr>
        <w:t>Director is “independent” as defined in Rule 5605(a)(2) of The Nasdaq Listing Rules (the “Nasdaq rules”).</w:t>
      </w:r>
    </w:p>
    <w:p>
      <w:pPr>
        <w:ind w:left="860" w:right="100" w:hanging="656"/>
        <w:spacing w:after="0" w:line="221" w:lineRule="auto"/>
        <w:tabs>
          <w:tab w:leader="none" w:pos="860" w:val="left"/>
        </w:tabs>
        <w:numPr>
          <w:ilvl w:val="0"/>
          <w:numId w:val="12"/>
        </w:numPr>
        <w:rPr>
          <w:rFonts w:ascii="Arial" w:cs="Arial" w:eastAsia="Arial" w:hAnsi="Arial"/>
          <w:sz w:val="14"/>
          <w:szCs w:val="14"/>
          <w:color w:val="auto"/>
        </w:rPr>
      </w:pPr>
      <w:r>
        <w:rPr>
          <w:rFonts w:ascii="Arial" w:cs="Arial" w:eastAsia="Arial" w:hAnsi="Arial"/>
          <w:sz w:val="14"/>
          <w:szCs w:val="14"/>
          <w:color w:val="auto"/>
        </w:rPr>
        <w:t>Each member of the Audit Committee is “independent” as defined in Rules 5605(a)(2) and 5605(c)(2) of the Nasdaq rules and Rule 10A-3 of the Securities Exchange Act of 1934 as amended (the “Exchange Act”). The Board of Directors has determined that Mr. Harvey is an “audit committee financial expert” (as defined in Item 407 of Regulation S-K under the Securities Act of 1933, as amended (the “Securities Act”)).</w:t>
      </w:r>
    </w:p>
    <w:p>
      <w:pPr>
        <w:ind w:left="860" w:hanging="656"/>
        <w:spacing w:after="0"/>
        <w:tabs>
          <w:tab w:leader="none" w:pos="860" w:val="left"/>
        </w:tabs>
        <w:numPr>
          <w:ilvl w:val="0"/>
          <w:numId w:val="12"/>
        </w:numPr>
        <w:rPr>
          <w:rFonts w:ascii="Arial" w:cs="Arial" w:eastAsia="Arial" w:hAnsi="Arial"/>
          <w:sz w:val="14"/>
          <w:szCs w:val="14"/>
          <w:color w:val="auto"/>
        </w:rPr>
      </w:pPr>
      <w:r>
        <w:rPr>
          <w:rFonts w:ascii="Arial" w:cs="Arial" w:eastAsia="Arial" w:hAnsi="Arial"/>
          <w:sz w:val="14"/>
          <w:szCs w:val="14"/>
          <w:color w:val="auto"/>
        </w:rPr>
        <w:t>Each member of the Compensation and Corporate Governance Committee is “independent” as defined in Rules 5605(a)(2) and 5605(d)(2) of the Nasdaq rules.</w:t>
      </w:r>
    </w:p>
    <w:p>
      <w:pPr>
        <w:spacing w:after="0" w:line="300"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Board Leadership Structure</w:t>
      </w:r>
    </w:p>
    <w:p>
      <w:pPr>
        <w:spacing w:after="0" w:line="121" w:lineRule="exact"/>
        <w:rPr>
          <w:sz w:val="20"/>
          <w:szCs w:val="20"/>
          <w:color w:val="auto"/>
        </w:rPr>
      </w:pPr>
    </w:p>
    <w:p>
      <w:pPr>
        <w:jc w:val="both"/>
        <w:ind w:left="200" w:right="160" w:firstLine="771"/>
        <w:spacing w:after="0" w:line="279" w:lineRule="auto"/>
        <w:rPr>
          <w:sz w:val="20"/>
          <w:szCs w:val="20"/>
          <w:color w:val="auto"/>
        </w:rPr>
      </w:pPr>
      <w:r>
        <w:rPr>
          <w:rFonts w:ascii="Arial" w:cs="Arial" w:eastAsia="Arial" w:hAnsi="Arial"/>
          <w:sz w:val="17"/>
          <w:szCs w:val="17"/>
          <w:color w:val="auto"/>
        </w:rPr>
        <w:t>Ms. Larocca has served as our Chair and lead independent director since May 2016, and Mr. Kain has served as our Chief Executive Officer since March 2016. We recognize the importance of strong independent leadership on our Board of Directors (the “Board” or “Board of Directors”) and believe that separating the positions of Chair and Chief Executive Officer is the best corporate governance leadership structure for us at this time. Our Board has determined that all of the current directors, except Mr. Kain, are “independent” as defined in the Nasdaq rules.</w:t>
      </w:r>
    </w:p>
    <w:p>
      <w:pPr>
        <w:spacing w:after="0" w:line="171" w:lineRule="exact"/>
        <w:rPr>
          <w:sz w:val="20"/>
          <w:szCs w:val="20"/>
          <w:color w:val="auto"/>
        </w:rPr>
      </w:pPr>
    </w:p>
    <w:p>
      <w:pPr>
        <w:ind w:left="200" w:right="220" w:firstLine="771"/>
        <w:spacing w:after="0" w:line="259" w:lineRule="auto"/>
        <w:rPr>
          <w:sz w:val="20"/>
          <w:szCs w:val="20"/>
          <w:color w:val="auto"/>
        </w:rPr>
      </w:pPr>
      <w:r>
        <w:rPr>
          <w:rFonts w:ascii="Arial" w:cs="Arial" w:eastAsia="Arial" w:hAnsi="Arial"/>
          <w:sz w:val="18"/>
          <w:szCs w:val="18"/>
          <w:color w:val="auto"/>
        </w:rPr>
        <w:t>It is our Board’s policy as a matter of good corporate governance to have our independent directors meet regularly without persons who are members of management or employee directors present to facilitate the Board’s effective independent oversight of management. Presently, our independent directors meet during our Board’s quarterly in-person meetings and may hold additional meetings at the request of the Chair or any other independent director.</w:t>
      </w:r>
    </w:p>
    <w:p>
      <w:pPr>
        <w:spacing w:after="0" w:line="187" w:lineRule="exact"/>
        <w:rPr>
          <w:sz w:val="20"/>
          <w:szCs w:val="20"/>
          <w:color w:val="auto"/>
        </w:rPr>
      </w:pPr>
    </w:p>
    <w:p>
      <w:pPr>
        <w:ind w:left="200" w:right="80" w:firstLine="771"/>
        <w:spacing w:after="0" w:line="259" w:lineRule="auto"/>
        <w:rPr>
          <w:sz w:val="20"/>
          <w:szCs w:val="20"/>
          <w:color w:val="auto"/>
        </w:rPr>
      </w:pPr>
      <w:r>
        <w:rPr>
          <w:rFonts w:ascii="Arial" w:cs="Arial" w:eastAsia="Arial" w:hAnsi="Arial"/>
          <w:sz w:val="18"/>
          <w:szCs w:val="18"/>
          <w:color w:val="auto"/>
        </w:rPr>
        <w:t>Each of our Board’s Audit Committee and Compensation and Corporate Governance Committee (“Compensation Committee”) is composed entirely of independent directors. These independent committees of our Board also have the authority under their respective charters to hire independent advisors and consultants, at our expense, to assist them in performing their duties. A majority of our Board’s Executive Committee consists of independent directors.</w:t>
      </w:r>
    </w:p>
    <w:p>
      <w:pPr>
        <w:spacing w:after="0" w:line="291"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Corporate Governance</w:t>
      </w:r>
    </w:p>
    <w:p>
      <w:pPr>
        <w:spacing w:after="0" w:line="121" w:lineRule="exact"/>
        <w:rPr>
          <w:sz w:val="20"/>
          <w:szCs w:val="20"/>
          <w:color w:val="auto"/>
        </w:rPr>
      </w:pPr>
    </w:p>
    <w:p>
      <w:pPr>
        <w:ind w:left="200" w:right="60" w:firstLine="771"/>
        <w:spacing w:after="0" w:line="264" w:lineRule="auto"/>
        <w:rPr>
          <w:sz w:val="20"/>
          <w:szCs w:val="20"/>
          <w:color w:val="auto"/>
        </w:rPr>
      </w:pPr>
      <w:r>
        <w:rPr>
          <w:rFonts w:ascii="Arial" w:cs="Arial" w:eastAsia="Arial" w:hAnsi="Arial"/>
          <w:sz w:val="18"/>
          <w:szCs w:val="18"/>
          <w:color w:val="auto"/>
        </w:rPr>
        <w:t>Our Board has developed corporate governance practices to help it fulfill its responsibility to stockholders to oversee the work of management in the conduct of our business. The governance practices are memorialized in corporate governance guidelines to assure that the Board will have the necessary authority and</w:t>
      </w:r>
    </w:p>
    <w:p>
      <w:pPr>
        <w:spacing w:after="0" w:line="109" w:lineRule="exact"/>
        <w:rPr>
          <w:sz w:val="20"/>
          <w:szCs w:val="20"/>
          <w:color w:val="auto"/>
        </w:rPr>
      </w:pPr>
    </w:p>
    <w:p>
      <w:pPr>
        <w:jc w:val="right"/>
        <w:ind w:right="20"/>
        <w:spacing w:after="0"/>
        <w:tabs>
          <w:tab w:leader="none" w:pos="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0"/>
          <w:szCs w:val="10"/>
          <w:color w:val="407CCA"/>
        </w:rPr>
        <w:t>5</w:t>
      </w:r>
    </w:p>
    <w:p>
      <w:pPr>
        <w:sectPr>
          <w:pgSz w:w="11900" w:h="16838" w:orient="portrait"/>
          <w:cols w:equalWidth="0" w:num="1">
            <w:col w:w="11240"/>
          </w:cols>
          <w:pgMar w:left="240" w:top="459" w:right="419" w:bottom="1440" w:gutter="0" w:footer="0" w:header="0"/>
        </w:sectPr>
      </w:pPr>
    </w:p>
    <w:bookmarkStart w:id="9" w:name="page10"/>
    <w:bookmarkEnd w:id="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200" w:right="420"/>
        <w:spacing w:after="0" w:line="279" w:lineRule="auto"/>
        <w:rPr>
          <w:sz w:val="20"/>
          <w:szCs w:val="20"/>
          <w:color w:val="auto"/>
        </w:rPr>
      </w:pPr>
      <w:r>
        <w:rPr>
          <w:rFonts w:ascii="Arial" w:cs="Arial" w:eastAsia="Arial" w:hAnsi="Arial"/>
          <w:sz w:val="17"/>
          <w:szCs w:val="17"/>
          <w:color w:val="auto"/>
        </w:rPr>
        <w:t xml:space="preserve">practices in place to review and evaluate our business operations as needed and to make decisions that are independent of management. These guidelines, together with our Amended and Restated Certificate of Incorporation (our “Certificate of Incorporation”), Third Amended and Restated By-laws, as amended (our Bylaws”), and committee charters of the Audit Committee and the Compensation Committee, form the basis for our governance practices. All of these documents are available in the Investors section of our web site at </w:t>
      </w:r>
      <w:r>
        <w:rPr>
          <w:rFonts w:ascii="Arial" w:cs="Arial" w:eastAsia="Arial" w:hAnsi="Arial"/>
          <w:sz w:val="17"/>
          <w:szCs w:val="17"/>
          <w:i w:val="1"/>
          <w:iCs w:val="1"/>
          <w:color w:val="auto"/>
        </w:rPr>
        <w:t>www.AGNC.com</w:t>
      </w:r>
      <w:r>
        <w:rPr>
          <w:rFonts w:ascii="Arial" w:cs="Arial" w:eastAsia="Arial" w:hAnsi="Arial"/>
          <w:sz w:val="17"/>
          <w:szCs w:val="17"/>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131445</wp:posOffset>
            </wp:positionH>
            <wp:positionV relativeFrom="paragraph">
              <wp:posOffset>133350</wp:posOffset>
            </wp:positionV>
            <wp:extent cx="7002145" cy="23539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7002145" cy="2353945"/>
                    </a:xfrm>
                    <a:prstGeom prst="rect">
                      <a:avLst/>
                    </a:prstGeom>
                    <a:noFill/>
                  </pic:spPr>
                </pic:pic>
              </a:graphicData>
            </a:graphic>
          </wp:anchor>
        </w:drawing>
      </w:r>
    </w:p>
    <w:p>
      <w:pPr>
        <w:spacing w:after="0" w:line="337" w:lineRule="exact"/>
        <w:rPr>
          <w:sz w:val="20"/>
          <w:szCs w:val="20"/>
          <w:color w:val="auto"/>
        </w:rPr>
      </w:pPr>
    </w:p>
    <w:tbl>
      <w:tblPr>
        <w:tblLayout w:type="fixed"/>
        <w:tblInd w:w="540" w:type="dxa"/>
        <w:tblCellMar>
          <w:top w:w="0" w:type="dxa"/>
          <w:left w:w="0" w:type="dxa"/>
          <w:bottom w:w="0" w:type="dxa"/>
          <w:right w:w="0" w:type="dxa"/>
        </w:tblCellMar>
      </w:tblPr>
      <w:tr>
        <w:trPr>
          <w:trHeight w:val="234"/>
        </w:trPr>
        <w:tc>
          <w:tcPr>
            <w:tcW w:w="220" w:type="dxa"/>
            <w:vAlign w:val="bottom"/>
          </w:tcPr>
          <w:p>
            <w:pPr>
              <w:spacing w:after="0"/>
              <w:rPr>
                <w:sz w:val="20"/>
                <w:szCs w:val="20"/>
                <w:color w:val="auto"/>
              </w:rPr>
            </w:pPr>
          </w:p>
        </w:tc>
        <w:tc>
          <w:tcPr>
            <w:tcW w:w="10420" w:type="dxa"/>
            <w:vAlign w:val="bottom"/>
            <w:gridSpan w:val="3"/>
          </w:tcPr>
          <w:p>
            <w:pPr>
              <w:ind w:left="3080"/>
              <w:spacing w:after="0"/>
              <w:rPr>
                <w:sz w:val="20"/>
                <w:szCs w:val="20"/>
                <w:color w:val="auto"/>
              </w:rPr>
            </w:pPr>
            <w:r>
              <w:rPr>
                <w:rFonts w:ascii="Arial" w:cs="Arial" w:eastAsia="Arial" w:hAnsi="Arial"/>
                <w:sz w:val="18"/>
                <w:szCs w:val="18"/>
                <w:b w:val="1"/>
                <w:bCs w:val="1"/>
                <w:color w:val="407CCA"/>
              </w:rPr>
              <w:t>CORPORATE GOVERNANCE HIGHLIGHTS:</w:t>
            </w:r>
          </w:p>
        </w:tc>
      </w:tr>
      <w:tr>
        <w:trPr>
          <w:trHeight w:val="256"/>
        </w:trPr>
        <w:tc>
          <w:tcPr>
            <w:tcW w:w="220" w:type="dxa"/>
            <w:vAlign w:val="bottom"/>
          </w:tcPr>
          <w:p>
            <w:pPr>
              <w:spacing w:after="0"/>
              <w:rPr>
                <w:sz w:val="20"/>
                <w:szCs w:val="20"/>
                <w:color w:val="auto"/>
              </w:rPr>
            </w:pPr>
            <w:r>
              <w:rPr>
                <w:rFonts w:ascii="Arial" w:cs="Arial" w:eastAsia="Arial" w:hAnsi="Arial"/>
                <w:sz w:val="18"/>
                <w:szCs w:val="18"/>
                <w:color w:val="auto"/>
              </w:rPr>
              <w:t>•</w:t>
            </w:r>
          </w:p>
        </w:tc>
        <w:tc>
          <w:tcPr>
            <w:tcW w:w="5060" w:type="dxa"/>
            <w:vAlign w:val="bottom"/>
          </w:tcPr>
          <w:p>
            <w:pPr>
              <w:ind w:left="160"/>
              <w:spacing w:after="0"/>
              <w:rPr>
                <w:sz w:val="20"/>
                <w:szCs w:val="20"/>
                <w:color w:val="auto"/>
              </w:rPr>
            </w:pPr>
            <w:r>
              <w:rPr>
                <w:rFonts w:ascii="Arial" w:cs="Arial" w:eastAsia="Arial" w:hAnsi="Arial"/>
                <w:sz w:val="18"/>
                <w:szCs w:val="18"/>
                <w:color w:val="auto"/>
              </w:rPr>
              <w:t>Annual election of directors</w:t>
            </w:r>
          </w:p>
        </w:tc>
        <w:tc>
          <w:tcPr>
            <w:tcW w:w="540" w:type="dxa"/>
            <w:vAlign w:val="bottom"/>
          </w:tcPr>
          <w:p>
            <w:pPr>
              <w:ind w:left="320"/>
              <w:spacing w:after="0"/>
              <w:rPr>
                <w:sz w:val="20"/>
                <w:szCs w:val="20"/>
                <w:color w:val="auto"/>
              </w:rPr>
            </w:pPr>
            <w:r>
              <w:rPr>
                <w:rFonts w:ascii="Arial" w:cs="Arial" w:eastAsia="Arial" w:hAnsi="Arial"/>
                <w:sz w:val="18"/>
                <w:szCs w:val="18"/>
                <w:color w:val="auto"/>
              </w:rPr>
              <w:t>•</w:t>
            </w:r>
          </w:p>
        </w:tc>
        <w:tc>
          <w:tcPr>
            <w:tcW w:w="4820" w:type="dxa"/>
            <w:vAlign w:val="bottom"/>
          </w:tcPr>
          <w:p>
            <w:pPr>
              <w:ind w:left="160"/>
              <w:spacing w:after="0"/>
              <w:rPr>
                <w:sz w:val="20"/>
                <w:szCs w:val="20"/>
                <w:color w:val="auto"/>
              </w:rPr>
            </w:pPr>
            <w:r>
              <w:rPr>
                <w:rFonts w:ascii="Arial" w:cs="Arial" w:eastAsia="Arial" w:hAnsi="Arial"/>
                <w:sz w:val="18"/>
                <w:szCs w:val="18"/>
                <w:color w:val="auto"/>
                <w:w w:val="97"/>
              </w:rPr>
              <w:t>Anti-Hedging and Pledging Policy for Executive Officers and</w:t>
            </w:r>
          </w:p>
        </w:tc>
      </w:tr>
      <w:tr>
        <w:trPr>
          <w:trHeight w:val="216"/>
        </w:trPr>
        <w:tc>
          <w:tcPr>
            <w:tcW w:w="220" w:type="dxa"/>
            <w:vAlign w:val="bottom"/>
          </w:tcPr>
          <w:p>
            <w:pPr>
              <w:spacing w:after="0"/>
              <w:rPr>
                <w:sz w:val="20"/>
                <w:szCs w:val="20"/>
                <w:color w:val="auto"/>
              </w:rPr>
            </w:pPr>
            <w:r>
              <w:rPr>
                <w:rFonts w:ascii="Arial" w:cs="Arial" w:eastAsia="Arial" w:hAnsi="Arial"/>
                <w:sz w:val="18"/>
                <w:szCs w:val="18"/>
                <w:color w:val="auto"/>
              </w:rPr>
              <w:t>•</w:t>
            </w:r>
          </w:p>
        </w:tc>
        <w:tc>
          <w:tcPr>
            <w:tcW w:w="5060" w:type="dxa"/>
            <w:vAlign w:val="bottom"/>
          </w:tcPr>
          <w:p>
            <w:pPr>
              <w:ind w:left="160"/>
              <w:spacing w:after="0"/>
              <w:rPr>
                <w:sz w:val="20"/>
                <w:szCs w:val="20"/>
                <w:color w:val="auto"/>
              </w:rPr>
            </w:pPr>
            <w:r>
              <w:rPr>
                <w:rFonts w:ascii="Arial" w:cs="Arial" w:eastAsia="Arial" w:hAnsi="Arial"/>
                <w:sz w:val="18"/>
                <w:szCs w:val="18"/>
                <w:color w:val="auto"/>
              </w:rPr>
              <w:t>Directors elected by majority, not plurality, voting</w:t>
            </w:r>
          </w:p>
        </w:tc>
        <w:tc>
          <w:tcPr>
            <w:tcW w:w="540" w:type="dxa"/>
            <w:vAlign w:val="bottom"/>
          </w:tcPr>
          <w:p>
            <w:pPr>
              <w:spacing w:after="0"/>
              <w:rPr>
                <w:sz w:val="18"/>
                <w:szCs w:val="18"/>
                <w:color w:val="auto"/>
              </w:rPr>
            </w:pPr>
          </w:p>
        </w:tc>
        <w:tc>
          <w:tcPr>
            <w:tcW w:w="4820" w:type="dxa"/>
            <w:vAlign w:val="bottom"/>
          </w:tcPr>
          <w:p>
            <w:pPr>
              <w:ind w:left="160"/>
              <w:spacing w:after="0"/>
              <w:rPr>
                <w:sz w:val="20"/>
                <w:szCs w:val="20"/>
                <w:color w:val="auto"/>
              </w:rPr>
            </w:pPr>
            <w:r>
              <w:rPr>
                <w:rFonts w:ascii="Arial" w:cs="Arial" w:eastAsia="Arial" w:hAnsi="Arial"/>
                <w:sz w:val="18"/>
                <w:szCs w:val="18"/>
                <w:color w:val="auto"/>
              </w:rPr>
              <w:t>Directors</w:t>
            </w:r>
          </w:p>
        </w:tc>
      </w:tr>
      <w:tr>
        <w:trPr>
          <w:trHeight w:val="216"/>
        </w:trPr>
        <w:tc>
          <w:tcPr>
            <w:tcW w:w="220" w:type="dxa"/>
            <w:vAlign w:val="bottom"/>
          </w:tcPr>
          <w:p>
            <w:pPr>
              <w:spacing w:after="0"/>
              <w:rPr>
                <w:sz w:val="20"/>
                <w:szCs w:val="20"/>
                <w:color w:val="auto"/>
              </w:rPr>
            </w:pPr>
            <w:r>
              <w:rPr>
                <w:rFonts w:ascii="Arial" w:cs="Arial" w:eastAsia="Arial" w:hAnsi="Arial"/>
                <w:sz w:val="18"/>
                <w:szCs w:val="18"/>
                <w:color w:val="auto"/>
              </w:rPr>
              <w:t>•</w:t>
            </w:r>
          </w:p>
        </w:tc>
        <w:tc>
          <w:tcPr>
            <w:tcW w:w="5060" w:type="dxa"/>
            <w:vAlign w:val="bottom"/>
          </w:tcPr>
          <w:p>
            <w:pPr>
              <w:ind w:left="160"/>
              <w:spacing w:after="0"/>
              <w:rPr>
                <w:sz w:val="20"/>
                <w:szCs w:val="20"/>
                <w:color w:val="auto"/>
              </w:rPr>
            </w:pPr>
            <w:r>
              <w:rPr>
                <w:rFonts w:ascii="Arial" w:cs="Arial" w:eastAsia="Arial" w:hAnsi="Arial"/>
                <w:sz w:val="18"/>
                <w:szCs w:val="18"/>
                <w:color w:val="auto"/>
              </w:rPr>
              <w:t>Resignation policy for directors who do not receive a majority</w:t>
            </w:r>
          </w:p>
        </w:tc>
        <w:tc>
          <w:tcPr>
            <w:tcW w:w="540" w:type="dxa"/>
            <w:vAlign w:val="bottom"/>
          </w:tcPr>
          <w:p>
            <w:pPr>
              <w:ind w:left="320"/>
              <w:spacing w:after="0"/>
              <w:rPr>
                <w:sz w:val="20"/>
                <w:szCs w:val="20"/>
                <w:color w:val="auto"/>
              </w:rPr>
            </w:pPr>
            <w:r>
              <w:rPr>
                <w:rFonts w:ascii="Arial" w:cs="Arial" w:eastAsia="Arial" w:hAnsi="Arial"/>
                <w:sz w:val="18"/>
                <w:szCs w:val="18"/>
                <w:color w:val="auto"/>
              </w:rPr>
              <w:t>•</w:t>
            </w:r>
          </w:p>
        </w:tc>
        <w:tc>
          <w:tcPr>
            <w:tcW w:w="4820" w:type="dxa"/>
            <w:vAlign w:val="bottom"/>
          </w:tcPr>
          <w:p>
            <w:pPr>
              <w:ind w:left="160"/>
              <w:spacing w:after="0"/>
              <w:rPr>
                <w:sz w:val="20"/>
                <w:szCs w:val="20"/>
                <w:color w:val="auto"/>
              </w:rPr>
            </w:pPr>
            <w:r>
              <w:rPr>
                <w:rFonts w:ascii="Arial" w:cs="Arial" w:eastAsia="Arial" w:hAnsi="Arial"/>
                <w:sz w:val="18"/>
                <w:szCs w:val="18"/>
                <w:color w:val="auto"/>
              </w:rPr>
              <w:t>Clawback policy for compensation</w:t>
            </w:r>
          </w:p>
        </w:tc>
      </w:tr>
      <w:tr>
        <w:trPr>
          <w:trHeight w:val="216"/>
        </w:trPr>
        <w:tc>
          <w:tcPr>
            <w:tcW w:w="220" w:type="dxa"/>
            <w:vAlign w:val="bottom"/>
          </w:tcPr>
          <w:p>
            <w:pPr>
              <w:spacing w:after="0"/>
              <w:rPr>
                <w:sz w:val="18"/>
                <w:szCs w:val="18"/>
                <w:color w:val="auto"/>
              </w:rPr>
            </w:pPr>
          </w:p>
        </w:tc>
        <w:tc>
          <w:tcPr>
            <w:tcW w:w="5060" w:type="dxa"/>
            <w:vAlign w:val="bottom"/>
          </w:tcPr>
          <w:p>
            <w:pPr>
              <w:ind w:left="160"/>
              <w:spacing w:after="0"/>
              <w:rPr>
                <w:sz w:val="20"/>
                <w:szCs w:val="20"/>
                <w:color w:val="auto"/>
              </w:rPr>
            </w:pPr>
            <w:r>
              <w:rPr>
                <w:rFonts w:ascii="Arial" w:cs="Arial" w:eastAsia="Arial" w:hAnsi="Arial"/>
                <w:sz w:val="18"/>
                <w:szCs w:val="18"/>
                <w:color w:val="auto"/>
              </w:rPr>
              <w:t>vote</w:t>
            </w:r>
          </w:p>
        </w:tc>
        <w:tc>
          <w:tcPr>
            <w:tcW w:w="540" w:type="dxa"/>
            <w:vAlign w:val="bottom"/>
          </w:tcPr>
          <w:p>
            <w:pPr>
              <w:ind w:left="320"/>
              <w:spacing w:after="0"/>
              <w:rPr>
                <w:sz w:val="20"/>
                <w:szCs w:val="20"/>
                <w:color w:val="auto"/>
              </w:rPr>
            </w:pPr>
            <w:r>
              <w:rPr>
                <w:rFonts w:ascii="Arial" w:cs="Arial" w:eastAsia="Arial" w:hAnsi="Arial"/>
                <w:sz w:val="18"/>
                <w:szCs w:val="18"/>
                <w:color w:val="auto"/>
              </w:rPr>
              <w:t>•</w:t>
            </w:r>
          </w:p>
        </w:tc>
        <w:tc>
          <w:tcPr>
            <w:tcW w:w="4820" w:type="dxa"/>
            <w:vAlign w:val="bottom"/>
          </w:tcPr>
          <w:p>
            <w:pPr>
              <w:ind w:left="160"/>
              <w:spacing w:after="0"/>
              <w:rPr>
                <w:sz w:val="20"/>
                <w:szCs w:val="20"/>
                <w:color w:val="auto"/>
              </w:rPr>
            </w:pPr>
            <w:r>
              <w:rPr>
                <w:rFonts w:ascii="Arial" w:cs="Arial" w:eastAsia="Arial" w:hAnsi="Arial"/>
                <w:sz w:val="18"/>
                <w:szCs w:val="18"/>
                <w:color w:val="auto"/>
              </w:rPr>
              <w:t>Strong pay-for-performance philosophy</w:t>
            </w:r>
          </w:p>
        </w:tc>
      </w:tr>
      <w:tr>
        <w:trPr>
          <w:trHeight w:val="216"/>
        </w:trPr>
        <w:tc>
          <w:tcPr>
            <w:tcW w:w="220" w:type="dxa"/>
            <w:vAlign w:val="bottom"/>
          </w:tcPr>
          <w:p>
            <w:pPr>
              <w:spacing w:after="0"/>
              <w:rPr>
                <w:sz w:val="20"/>
                <w:szCs w:val="20"/>
                <w:color w:val="auto"/>
              </w:rPr>
            </w:pPr>
            <w:r>
              <w:rPr>
                <w:rFonts w:ascii="Arial" w:cs="Arial" w:eastAsia="Arial" w:hAnsi="Arial"/>
                <w:sz w:val="18"/>
                <w:szCs w:val="18"/>
                <w:color w:val="auto"/>
              </w:rPr>
              <w:t>•</w:t>
            </w:r>
          </w:p>
        </w:tc>
        <w:tc>
          <w:tcPr>
            <w:tcW w:w="5060" w:type="dxa"/>
            <w:vAlign w:val="bottom"/>
          </w:tcPr>
          <w:p>
            <w:pPr>
              <w:ind w:left="160"/>
              <w:spacing w:after="0"/>
              <w:rPr>
                <w:sz w:val="20"/>
                <w:szCs w:val="20"/>
                <w:color w:val="auto"/>
              </w:rPr>
            </w:pPr>
            <w:r>
              <w:rPr>
                <w:rFonts w:ascii="Arial" w:cs="Arial" w:eastAsia="Arial" w:hAnsi="Arial"/>
                <w:sz w:val="18"/>
                <w:szCs w:val="18"/>
                <w:color w:val="auto"/>
              </w:rPr>
              <w:t>Four of five directors are independent</w:t>
            </w:r>
          </w:p>
        </w:tc>
        <w:tc>
          <w:tcPr>
            <w:tcW w:w="540" w:type="dxa"/>
            <w:vAlign w:val="bottom"/>
          </w:tcPr>
          <w:p>
            <w:pPr>
              <w:ind w:left="320"/>
              <w:spacing w:after="0"/>
              <w:rPr>
                <w:sz w:val="20"/>
                <w:szCs w:val="20"/>
                <w:color w:val="auto"/>
              </w:rPr>
            </w:pPr>
            <w:r>
              <w:rPr>
                <w:rFonts w:ascii="Arial" w:cs="Arial" w:eastAsia="Arial" w:hAnsi="Arial"/>
                <w:sz w:val="18"/>
                <w:szCs w:val="18"/>
                <w:color w:val="auto"/>
              </w:rPr>
              <w:t>•</w:t>
            </w:r>
          </w:p>
        </w:tc>
        <w:tc>
          <w:tcPr>
            <w:tcW w:w="4820" w:type="dxa"/>
            <w:vAlign w:val="bottom"/>
          </w:tcPr>
          <w:p>
            <w:pPr>
              <w:ind w:left="160"/>
              <w:spacing w:after="0"/>
              <w:rPr>
                <w:sz w:val="20"/>
                <w:szCs w:val="20"/>
                <w:color w:val="auto"/>
              </w:rPr>
            </w:pPr>
            <w:r>
              <w:rPr>
                <w:rFonts w:ascii="Arial" w:cs="Arial" w:eastAsia="Arial" w:hAnsi="Arial"/>
                <w:sz w:val="18"/>
                <w:szCs w:val="18"/>
                <w:color w:val="auto"/>
              </w:rPr>
              <w:t>No stockholder rights plan or “poison pill”</w:t>
            </w:r>
          </w:p>
        </w:tc>
      </w:tr>
      <w:tr>
        <w:trPr>
          <w:trHeight w:val="216"/>
        </w:trPr>
        <w:tc>
          <w:tcPr>
            <w:tcW w:w="220" w:type="dxa"/>
            <w:vAlign w:val="bottom"/>
          </w:tcPr>
          <w:p>
            <w:pPr>
              <w:spacing w:after="0"/>
              <w:rPr>
                <w:sz w:val="20"/>
                <w:szCs w:val="20"/>
                <w:color w:val="auto"/>
              </w:rPr>
            </w:pPr>
            <w:r>
              <w:rPr>
                <w:rFonts w:ascii="Arial" w:cs="Arial" w:eastAsia="Arial" w:hAnsi="Arial"/>
                <w:sz w:val="18"/>
                <w:szCs w:val="18"/>
                <w:color w:val="auto"/>
              </w:rPr>
              <w:t>•</w:t>
            </w:r>
          </w:p>
        </w:tc>
        <w:tc>
          <w:tcPr>
            <w:tcW w:w="5060" w:type="dxa"/>
            <w:vAlign w:val="bottom"/>
          </w:tcPr>
          <w:p>
            <w:pPr>
              <w:ind w:left="160"/>
              <w:spacing w:after="0"/>
              <w:rPr>
                <w:sz w:val="20"/>
                <w:szCs w:val="20"/>
                <w:color w:val="auto"/>
              </w:rPr>
            </w:pPr>
            <w:r>
              <w:rPr>
                <w:rFonts w:ascii="Arial" w:cs="Arial" w:eastAsia="Arial" w:hAnsi="Arial"/>
                <w:sz w:val="18"/>
                <w:szCs w:val="18"/>
                <w:color w:val="auto"/>
              </w:rPr>
              <w:t>Chair is independent</w:t>
            </w:r>
          </w:p>
        </w:tc>
        <w:tc>
          <w:tcPr>
            <w:tcW w:w="540" w:type="dxa"/>
            <w:vAlign w:val="bottom"/>
          </w:tcPr>
          <w:p>
            <w:pPr>
              <w:ind w:left="320"/>
              <w:spacing w:after="0"/>
              <w:rPr>
                <w:sz w:val="20"/>
                <w:szCs w:val="20"/>
                <w:color w:val="auto"/>
              </w:rPr>
            </w:pPr>
            <w:r>
              <w:rPr>
                <w:rFonts w:ascii="Arial" w:cs="Arial" w:eastAsia="Arial" w:hAnsi="Arial"/>
                <w:sz w:val="18"/>
                <w:szCs w:val="18"/>
                <w:color w:val="auto"/>
              </w:rPr>
              <w:t>•</w:t>
            </w:r>
          </w:p>
        </w:tc>
        <w:tc>
          <w:tcPr>
            <w:tcW w:w="4820" w:type="dxa"/>
            <w:vAlign w:val="bottom"/>
          </w:tcPr>
          <w:p>
            <w:pPr>
              <w:ind w:left="160"/>
              <w:spacing w:after="0"/>
              <w:rPr>
                <w:sz w:val="20"/>
                <w:szCs w:val="20"/>
                <w:color w:val="auto"/>
              </w:rPr>
            </w:pPr>
            <w:r>
              <w:rPr>
                <w:rFonts w:ascii="Arial" w:cs="Arial" w:eastAsia="Arial" w:hAnsi="Arial"/>
                <w:sz w:val="18"/>
                <w:szCs w:val="18"/>
                <w:color w:val="auto"/>
                <w:w w:val="97"/>
              </w:rPr>
              <w:t>Comprehensive Code of Ethics and Conduct and Corporate</w:t>
            </w:r>
          </w:p>
        </w:tc>
      </w:tr>
      <w:tr>
        <w:trPr>
          <w:trHeight w:val="216"/>
        </w:trPr>
        <w:tc>
          <w:tcPr>
            <w:tcW w:w="220" w:type="dxa"/>
            <w:vAlign w:val="bottom"/>
          </w:tcPr>
          <w:p>
            <w:pPr>
              <w:spacing w:after="0"/>
              <w:rPr>
                <w:sz w:val="20"/>
                <w:szCs w:val="20"/>
                <w:color w:val="auto"/>
              </w:rPr>
            </w:pPr>
            <w:r>
              <w:rPr>
                <w:rFonts w:ascii="Arial" w:cs="Arial" w:eastAsia="Arial" w:hAnsi="Arial"/>
                <w:sz w:val="18"/>
                <w:szCs w:val="18"/>
                <w:color w:val="auto"/>
              </w:rPr>
              <w:t>•</w:t>
            </w:r>
          </w:p>
        </w:tc>
        <w:tc>
          <w:tcPr>
            <w:tcW w:w="5060" w:type="dxa"/>
            <w:vAlign w:val="bottom"/>
          </w:tcPr>
          <w:p>
            <w:pPr>
              <w:ind w:left="160"/>
              <w:spacing w:after="0"/>
              <w:rPr>
                <w:sz w:val="20"/>
                <w:szCs w:val="20"/>
                <w:color w:val="auto"/>
              </w:rPr>
            </w:pPr>
            <w:r>
              <w:rPr>
                <w:rFonts w:ascii="Arial" w:cs="Arial" w:eastAsia="Arial" w:hAnsi="Arial"/>
                <w:sz w:val="18"/>
                <w:szCs w:val="18"/>
                <w:color w:val="auto"/>
              </w:rPr>
              <w:t>All AGNC directors serve on two or fewer public company</w:t>
            </w:r>
          </w:p>
        </w:tc>
        <w:tc>
          <w:tcPr>
            <w:tcW w:w="540" w:type="dxa"/>
            <w:vAlign w:val="bottom"/>
          </w:tcPr>
          <w:p>
            <w:pPr>
              <w:spacing w:after="0"/>
              <w:rPr>
                <w:sz w:val="18"/>
                <w:szCs w:val="18"/>
                <w:color w:val="auto"/>
              </w:rPr>
            </w:pPr>
          </w:p>
        </w:tc>
        <w:tc>
          <w:tcPr>
            <w:tcW w:w="4820" w:type="dxa"/>
            <w:vAlign w:val="bottom"/>
          </w:tcPr>
          <w:p>
            <w:pPr>
              <w:ind w:left="160"/>
              <w:spacing w:after="0"/>
              <w:rPr>
                <w:sz w:val="20"/>
                <w:szCs w:val="20"/>
                <w:color w:val="auto"/>
              </w:rPr>
            </w:pPr>
            <w:r>
              <w:rPr>
                <w:rFonts w:ascii="Arial" w:cs="Arial" w:eastAsia="Arial" w:hAnsi="Arial"/>
                <w:sz w:val="18"/>
                <w:szCs w:val="18"/>
                <w:color w:val="auto"/>
              </w:rPr>
              <w:t>Governance Guidelines</w:t>
            </w:r>
          </w:p>
        </w:tc>
      </w:tr>
      <w:tr>
        <w:trPr>
          <w:trHeight w:val="216"/>
        </w:trPr>
        <w:tc>
          <w:tcPr>
            <w:tcW w:w="220" w:type="dxa"/>
            <w:vAlign w:val="bottom"/>
          </w:tcPr>
          <w:p>
            <w:pPr>
              <w:spacing w:after="0"/>
              <w:rPr>
                <w:sz w:val="18"/>
                <w:szCs w:val="18"/>
                <w:color w:val="auto"/>
              </w:rPr>
            </w:pPr>
          </w:p>
        </w:tc>
        <w:tc>
          <w:tcPr>
            <w:tcW w:w="5060" w:type="dxa"/>
            <w:vAlign w:val="bottom"/>
          </w:tcPr>
          <w:p>
            <w:pPr>
              <w:ind w:left="160"/>
              <w:spacing w:after="0"/>
              <w:rPr>
                <w:sz w:val="20"/>
                <w:szCs w:val="20"/>
                <w:color w:val="auto"/>
              </w:rPr>
            </w:pPr>
            <w:r>
              <w:rPr>
                <w:rFonts w:ascii="Arial" w:cs="Arial" w:eastAsia="Arial" w:hAnsi="Arial"/>
                <w:sz w:val="18"/>
                <w:szCs w:val="18"/>
                <w:color w:val="auto"/>
              </w:rPr>
              <w:t>boards</w:t>
            </w:r>
          </w:p>
        </w:tc>
        <w:tc>
          <w:tcPr>
            <w:tcW w:w="540" w:type="dxa"/>
            <w:vAlign w:val="bottom"/>
          </w:tcPr>
          <w:p>
            <w:pPr>
              <w:ind w:left="320"/>
              <w:spacing w:after="0"/>
              <w:rPr>
                <w:sz w:val="20"/>
                <w:szCs w:val="20"/>
                <w:color w:val="auto"/>
              </w:rPr>
            </w:pPr>
            <w:r>
              <w:rPr>
                <w:rFonts w:ascii="Arial" w:cs="Arial" w:eastAsia="Arial" w:hAnsi="Arial"/>
                <w:sz w:val="18"/>
                <w:szCs w:val="18"/>
                <w:color w:val="auto"/>
              </w:rPr>
              <w:t>•</w:t>
            </w:r>
          </w:p>
        </w:tc>
        <w:tc>
          <w:tcPr>
            <w:tcW w:w="4820" w:type="dxa"/>
            <w:vAlign w:val="bottom"/>
          </w:tcPr>
          <w:p>
            <w:pPr>
              <w:ind w:left="160"/>
              <w:spacing w:after="0"/>
              <w:rPr>
                <w:sz w:val="20"/>
                <w:szCs w:val="20"/>
                <w:color w:val="auto"/>
              </w:rPr>
            </w:pPr>
            <w:r>
              <w:rPr>
                <w:rFonts w:ascii="Arial" w:cs="Arial" w:eastAsia="Arial" w:hAnsi="Arial"/>
                <w:sz w:val="18"/>
                <w:szCs w:val="18"/>
                <w:color w:val="auto"/>
              </w:rPr>
              <w:t>Annual Board and Committee Self-Evaluations</w:t>
            </w:r>
          </w:p>
        </w:tc>
      </w:tr>
      <w:tr>
        <w:trPr>
          <w:trHeight w:val="216"/>
        </w:trPr>
        <w:tc>
          <w:tcPr>
            <w:tcW w:w="220" w:type="dxa"/>
            <w:vAlign w:val="bottom"/>
          </w:tcPr>
          <w:p>
            <w:pPr>
              <w:spacing w:after="0"/>
              <w:rPr>
                <w:sz w:val="20"/>
                <w:szCs w:val="20"/>
                <w:color w:val="auto"/>
              </w:rPr>
            </w:pPr>
            <w:r>
              <w:rPr>
                <w:rFonts w:ascii="Arial" w:cs="Arial" w:eastAsia="Arial" w:hAnsi="Arial"/>
                <w:sz w:val="18"/>
                <w:szCs w:val="18"/>
                <w:color w:val="auto"/>
              </w:rPr>
              <w:t>•</w:t>
            </w:r>
          </w:p>
        </w:tc>
        <w:tc>
          <w:tcPr>
            <w:tcW w:w="5060" w:type="dxa"/>
            <w:vAlign w:val="bottom"/>
          </w:tcPr>
          <w:p>
            <w:pPr>
              <w:ind w:left="160"/>
              <w:spacing w:after="0"/>
              <w:rPr>
                <w:sz w:val="20"/>
                <w:szCs w:val="20"/>
                <w:color w:val="auto"/>
              </w:rPr>
            </w:pPr>
            <w:r>
              <w:rPr>
                <w:rFonts w:ascii="Arial" w:cs="Arial" w:eastAsia="Arial" w:hAnsi="Arial"/>
                <w:sz w:val="18"/>
                <w:szCs w:val="18"/>
                <w:color w:val="auto"/>
                <w:w w:val="97"/>
              </w:rPr>
              <w:t>Regular meetings of independent directors without members of</w:t>
            </w:r>
          </w:p>
        </w:tc>
        <w:tc>
          <w:tcPr>
            <w:tcW w:w="540" w:type="dxa"/>
            <w:vAlign w:val="bottom"/>
          </w:tcPr>
          <w:p>
            <w:pPr>
              <w:ind w:left="320"/>
              <w:spacing w:after="0"/>
              <w:rPr>
                <w:sz w:val="20"/>
                <w:szCs w:val="20"/>
                <w:color w:val="auto"/>
              </w:rPr>
            </w:pPr>
            <w:r>
              <w:rPr>
                <w:rFonts w:ascii="Arial" w:cs="Arial" w:eastAsia="Arial" w:hAnsi="Arial"/>
                <w:sz w:val="18"/>
                <w:szCs w:val="18"/>
                <w:color w:val="auto"/>
              </w:rPr>
              <w:t>•</w:t>
            </w:r>
          </w:p>
        </w:tc>
        <w:tc>
          <w:tcPr>
            <w:tcW w:w="4820" w:type="dxa"/>
            <w:vAlign w:val="bottom"/>
          </w:tcPr>
          <w:p>
            <w:pPr>
              <w:ind w:left="160"/>
              <w:spacing w:after="0"/>
              <w:rPr>
                <w:sz w:val="20"/>
                <w:szCs w:val="20"/>
                <w:color w:val="auto"/>
              </w:rPr>
            </w:pPr>
            <w:r>
              <w:rPr>
                <w:rFonts w:ascii="Arial" w:cs="Arial" w:eastAsia="Arial" w:hAnsi="Arial"/>
                <w:sz w:val="18"/>
                <w:szCs w:val="18"/>
                <w:color w:val="auto"/>
                <w:w w:val="89"/>
              </w:rPr>
              <w:t>100% attendance for Board meetings and committee meetings in</w:t>
            </w:r>
          </w:p>
        </w:tc>
      </w:tr>
      <w:tr>
        <w:trPr>
          <w:trHeight w:val="216"/>
        </w:trPr>
        <w:tc>
          <w:tcPr>
            <w:tcW w:w="220" w:type="dxa"/>
            <w:vAlign w:val="bottom"/>
          </w:tcPr>
          <w:p>
            <w:pPr>
              <w:spacing w:after="0"/>
              <w:rPr>
                <w:sz w:val="18"/>
                <w:szCs w:val="18"/>
                <w:color w:val="auto"/>
              </w:rPr>
            </w:pPr>
          </w:p>
        </w:tc>
        <w:tc>
          <w:tcPr>
            <w:tcW w:w="5060" w:type="dxa"/>
            <w:vAlign w:val="bottom"/>
          </w:tcPr>
          <w:p>
            <w:pPr>
              <w:ind w:left="160"/>
              <w:spacing w:after="0"/>
              <w:rPr>
                <w:sz w:val="20"/>
                <w:szCs w:val="20"/>
                <w:color w:val="auto"/>
              </w:rPr>
            </w:pPr>
            <w:r>
              <w:rPr>
                <w:rFonts w:ascii="Arial" w:cs="Arial" w:eastAsia="Arial" w:hAnsi="Arial"/>
                <w:sz w:val="18"/>
                <w:szCs w:val="18"/>
                <w:color w:val="auto"/>
              </w:rPr>
              <w:t>management or affiliated directors</w:t>
            </w:r>
          </w:p>
        </w:tc>
        <w:tc>
          <w:tcPr>
            <w:tcW w:w="540" w:type="dxa"/>
            <w:vAlign w:val="bottom"/>
          </w:tcPr>
          <w:p>
            <w:pPr>
              <w:spacing w:after="0"/>
              <w:rPr>
                <w:sz w:val="18"/>
                <w:szCs w:val="18"/>
                <w:color w:val="auto"/>
              </w:rPr>
            </w:pPr>
          </w:p>
        </w:tc>
        <w:tc>
          <w:tcPr>
            <w:tcW w:w="4820" w:type="dxa"/>
            <w:vAlign w:val="bottom"/>
          </w:tcPr>
          <w:p>
            <w:pPr>
              <w:ind w:left="160"/>
              <w:spacing w:after="0"/>
              <w:rPr>
                <w:sz w:val="20"/>
                <w:szCs w:val="20"/>
                <w:color w:val="auto"/>
              </w:rPr>
            </w:pPr>
            <w:r>
              <w:rPr>
                <w:rFonts w:ascii="Arial" w:cs="Arial" w:eastAsia="Arial" w:hAnsi="Arial"/>
                <w:sz w:val="18"/>
                <w:szCs w:val="18"/>
                <w:color w:val="auto"/>
              </w:rPr>
              <w:t>2017</w:t>
            </w:r>
          </w:p>
        </w:tc>
      </w:tr>
      <w:tr>
        <w:trPr>
          <w:trHeight w:val="216"/>
        </w:trPr>
        <w:tc>
          <w:tcPr>
            <w:tcW w:w="220" w:type="dxa"/>
            <w:vAlign w:val="bottom"/>
          </w:tcPr>
          <w:p>
            <w:pPr>
              <w:spacing w:after="0"/>
              <w:rPr>
                <w:sz w:val="20"/>
                <w:szCs w:val="20"/>
                <w:color w:val="auto"/>
              </w:rPr>
            </w:pPr>
            <w:r>
              <w:rPr>
                <w:rFonts w:ascii="Arial" w:cs="Arial" w:eastAsia="Arial" w:hAnsi="Arial"/>
                <w:sz w:val="18"/>
                <w:szCs w:val="18"/>
                <w:color w:val="auto"/>
              </w:rPr>
              <w:t>•</w:t>
            </w:r>
          </w:p>
        </w:tc>
        <w:tc>
          <w:tcPr>
            <w:tcW w:w="5060" w:type="dxa"/>
            <w:vAlign w:val="bottom"/>
          </w:tcPr>
          <w:p>
            <w:pPr>
              <w:ind w:left="160"/>
              <w:spacing w:after="0"/>
              <w:rPr>
                <w:sz w:val="20"/>
                <w:szCs w:val="20"/>
                <w:color w:val="auto"/>
              </w:rPr>
            </w:pPr>
            <w:r>
              <w:rPr>
                <w:rFonts w:ascii="Arial" w:cs="Arial" w:eastAsia="Arial" w:hAnsi="Arial"/>
                <w:sz w:val="18"/>
                <w:szCs w:val="18"/>
                <w:color w:val="auto"/>
              </w:rPr>
              <w:t>Stock ownership guidelines for directors and our most senior</w:t>
            </w:r>
          </w:p>
        </w:tc>
        <w:tc>
          <w:tcPr>
            <w:tcW w:w="540" w:type="dxa"/>
            <w:vAlign w:val="bottom"/>
          </w:tcPr>
          <w:p>
            <w:pPr>
              <w:ind w:left="320"/>
              <w:spacing w:after="0"/>
              <w:rPr>
                <w:sz w:val="20"/>
                <w:szCs w:val="20"/>
                <w:color w:val="auto"/>
              </w:rPr>
            </w:pPr>
            <w:r>
              <w:rPr>
                <w:rFonts w:ascii="Arial" w:cs="Arial" w:eastAsia="Arial" w:hAnsi="Arial"/>
                <w:sz w:val="18"/>
                <w:szCs w:val="18"/>
                <w:color w:val="auto"/>
              </w:rPr>
              <w:t>•</w:t>
            </w:r>
          </w:p>
        </w:tc>
        <w:tc>
          <w:tcPr>
            <w:tcW w:w="4820" w:type="dxa"/>
            <w:vAlign w:val="bottom"/>
          </w:tcPr>
          <w:p>
            <w:pPr>
              <w:ind w:left="160"/>
              <w:spacing w:after="0"/>
              <w:rPr>
                <w:sz w:val="20"/>
                <w:szCs w:val="20"/>
                <w:color w:val="auto"/>
              </w:rPr>
            </w:pPr>
            <w:r>
              <w:rPr>
                <w:rFonts w:ascii="Arial" w:cs="Arial" w:eastAsia="Arial" w:hAnsi="Arial"/>
                <w:sz w:val="18"/>
                <w:szCs w:val="18"/>
                <w:color w:val="auto"/>
                <w:w w:val="93"/>
              </w:rPr>
              <w:t>Membership in the National Association of Corporate Directors</w:t>
            </w:r>
          </w:p>
        </w:tc>
      </w:tr>
      <w:tr>
        <w:trPr>
          <w:trHeight w:val="216"/>
        </w:trPr>
        <w:tc>
          <w:tcPr>
            <w:tcW w:w="220" w:type="dxa"/>
            <w:vAlign w:val="bottom"/>
          </w:tcPr>
          <w:p>
            <w:pPr>
              <w:spacing w:after="0"/>
              <w:rPr>
                <w:sz w:val="18"/>
                <w:szCs w:val="18"/>
                <w:color w:val="auto"/>
              </w:rPr>
            </w:pPr>
          </w:p>
        </w:tc>
        <w:tc>
          <w:tcPr>
            <w:tcW w:w="5060" w:type="dxa"/>
            <w:vAlign w:val="bottom"/>
          </w:tcPr>
          <w:p>
            <w:pPr>
              <w:ind w:left="160"/>
              <w:spacing w:after="0"/>
              <w:rPr>
                <w:sz w:val="20"/>
                <w:szCs w:val="20"/>
                <w:color w:val="auto"/>
              </w:rPr>
            </w:pPr>
            <w:r>
              <w:rPr>
                <w:rFonts w:ascii="Arial" w:cs="Arial" w:eastAsia="Arial" w:hAnsi="Arial"/>
                <w:sz w:val="18"/>
                <w:szCs w:val="18"/>
                <w:color w:val="auto"/>
              </w:rPr>
              <w:t>executive officers</w:t>
            </w:r>
          </w:p>
        </w:tc>
        <w:tc>
          <w:tcPr>
            <w:tcW w:w="540" w:type="dxa"/>
            <w:vAlign w:val="bottom"/>
          </w:tcPr>
          <w:p>
            <w:pPr>
              <w:spacing w:after="0"/>
              <w:rPr>
                <w:sz w:val="18"/>
                <w:szCs w:val="18"/>
                <w:color w:val="auto"/>
              </w:rPr>
            </w:pPr>
          </w:p>
        </w:tc>
        <w:tc>
          <w:tcPr>
            <w:tcW w:w="4820" w:type="dxa"/>
            <w:vAlign w:val="bottom"/>
          </w:tcPr>
          <w:p>
            <w:pPr>
              <w:ind w:left="160"/>
              <w:spacing w:after="0"/>
              <w:rPr>
                <w:sz w:val="20"/>
                <w:szCs w:val="20"/>
                <w:color w:val="auto"/>
              </w:rPr>
            </w:pPr>
            <w:r>
              <w:rPr>
                <w:rFonts w:ascii="Arial" w:cs="Arial" w:eastAsia="Arial" w:hAnsi="Arial"/>
                <w:sz w:val="18"/>
                <w:szCs w:val="18"/>
                <w:color w:val="auto"/>
                <w:w w:val="93"/>
              </w:rPr>
              <w:t>(the “NACD”), a leading authority on corporate boardroom and</w:t>
            </w:r>
          </w:p>
        </w:tc>
      </w:tr>
      <w:tr>
        <w:trPr>
          <w:trHeight w:val="230"/>
        </w:trPr>
        <w:tc>
          <w:tcPr>
            <w:tcW w:w="220" w:type="dxa"/>
            <w:vAlign w:val="bottom"/>
          </w:tcPr>
          <w:p>
            <w:pPr>
              <w:spacing w:after="0"/>
              <w:rPr>
                <w:sz w:val="20"/>
                <w:szCs w:val="20"/>
                <w:color w:val="auto"/>
              </w:rPr>
            </w:pPr>
          </w:p>
        </w:tc>
        <w:tc>
          <w:tcPr>
            <w:tcW w:w="5060" w:type="dxa"/>
            <w:vAlign w:val="bottom"/>
          </w:tcPr>
          <w:p>
            <w:pPr>
              <w:spacing w:after="0"/>
              <w:rPr>
                <w:sz w:val="20"/>
                <w:szCs w:val="20"/>
                <w:color w:val="auto"/>
              </w:rPr>
            </w:pPr>
          </w:p>
        </w:tc>
        <w:tc>
          <w:tcPr>
            <w:tcW w:w="540" w:type="dxa"/>
            <w:vAlign w:val="bottom"/>
          </w:tcPr>
          <w:p>
            <w:pPr>
              <w:spacing w:after="0"/>
              <w:rPr>
                <w:sz w:val="20"/>
                <w:szCs w:val="20"/>
                <w:color w:val="auto"/>
              </w:rPr>
            </w:pPr>
          </w:p>
        </w:tc>
        <w:tc>
          <w:tcPr>
            <w:tcW w:w="4820" w:type="dxa"/>
            <w:vAlign w:val="bottom"/>
          </w:tcPr>
          <w:p>
            <w:pPr>
              <w:ind w:left="160"/>
              <w:spacing w:after="0"/>
              <w:rPr>
                <w:sz w:val="20"/>
                <w:szCs w:val="20"/>
                <w:color w:val="auto"/>
              </w:rPr>
            </w:pPr>
            <w:r>
              <w:rPr>
                <w:rFonts w:ascii="Arial" w:cs="Arial" w:eastAsia="Arial" w:hAnsi="Arial"/>
                <w:sz w:val="18"/>
                <w:szCs w:val="18"/>
                <w:color w:val="auto"/>
              </w:rPr>
              <w:t>governance practices</w:t>
            </w:r>
          </w:p>
        </w:tc>
      </w:tr>
    </w:tbl>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Committees of the Board of Directors</w:t>
      </w:r>
    </w:p>
    <w:p>
      <w:pPr>
        <w:spacing w:after="0" w:line="121" w:lineRule="exact"/>
        <w:rPr>
          <w:sz w:val="20"/>
          <w:szCs w:val="20"/>
          <w:color w:val="auto"/>
        </w:rPr>
      </w:pPr>
    </w:p>
    <w:p>
      <w:pPr>
        <w:ind w:left="980"/>
        <w:spacing w:after="0"/>
        <w:rPr>
          <w:sz w:val="20"/>
          <w:szCs w:val="20"/>
          <w:color w:val="auto"/>
        </w:rPr>
      </w:pPr>
      <w:r>
        <w:rPr>
          <w:rFonts w:ascii="Arial" w:cs="Arial" w:eastAsia="Arial" w:hAnsi="Arial"/>
          <w:sz w:val="18"/>
          <w:szCs w:val="18"/>
          <w:color w:val="auto"/>
        </w:rPr>
        <w:t>Our Board’s principal standing committees and their primary functions are described below.</w:t>
      </w:r>
    </w:p>
    <w:p>
      <w:pPr>
        <w:spacing w:after="0" w:line="117"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Executive Committee</w:t>
      </w:r>
    </w:p>
    <w:p>
      <w:pPr>
        <w:spacing w:after="0" w:line="117" w:lineRule="exact"/>
        <w:rPr>
          <w:sz w:val="20"/>
          <w:szCs w:val="20"/>
          <w:color w:val="auto"/>
        </w:rPr>
      </w:pPr>
    </w:p>
    <w:p>
      <w:pPr>
        <w:ind w:left="200" w:firstLine="771"/>
        <w:spacing w:after="0" w:line="277" w:lineRule="auto"/>
        <w:rPr>
          <w:sz w:val="20"/>
          <w:szCs w:val="20"/>
          <w:color w:val="auto"/>
        </w:rPr>
      </w:pPr>
      <w:r>
        <w:rPr>
          <w:rFonts w:ascii="Arial" w:cs="Arial" w:eastAsia="Arial" w:hAnsi="Arial"/>
          <w:sz w:val="18"/>
          <w:szCs w:val="18"/>
          <w:color w:val="auto"/>
        </w:rPr>
        <w:t>This committee has the authority to exercise all powers of the Board except for actions that must be taken by the full Board of Directors under Delaware law or our Certificate of Incorporation or Bylaws.</w:t>
      </w:r>
    </w:p>
    <w:p>
      <w:pPr>
        <w:spacing w:after="0" w:line="62"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Audit Committee</w:t>
      </w:r>
    </w:p>
    <w:p>
      <w:pPr>
        <w:spacing w:after="0" w:line="117" w:lineRule="exact"/>
        <w:rPr>
          <w:sz w:val="20"/>
          <w:szCs w:val="20"/>
          <w:color w:val="auto"/>
        </w:rPr>
      </w:pPr>
    </w:p>
    <w:p>
      <w:pPr>
        <w:ind w:left="980"/>
        <w:spacing w:after="0"/>
        <w:rPr>
          <w:sz w:val="20"/>
          <w:szCs w:val="20"/>
          <w:color w:val="auto"/>
        </w:rPr>
      </w:pPr>
      <w:r>
        <w:rPr>
          <w:rFonts w:ascii="Arial" w:cs="Arial" w:eastAsia="Arial" w:hAnsi="Arial"/>
          <w:sz w:val="18"/>
          <w:szCs w:val="18"/>
          <w:color w:val="auto"/>
        </w:rPr>
        <w:t>This committee assists the Board in overseeing:</w:t>
      </w:r>
    </w:p>
    <w:p>
      <w:pPr>
        <w:spacing w:after="0" w:line="131" w:lineRule="exact"/>
        <w:rPr>
          <w:sz w:val="20"/>
          <w:szCs w:val="20"/>
          <w:color w:val="auto"/>
        </w:rPr>
      </w:pPr>
    </w:p>
    <w:p>
      <w:pPr>
        <w:ind w:left="960" w:hanging="432"/>
        <w:spacing w:after="0"/>
        <w:tabs>
          <w:tab w:leader="none" w:pos="960" w:val="left"/>
        </w:tabs>
        <w:numPr>
          <w:ilvl w:val="0"/>
          <w:numId w:val="13"/>
        </w:numPr>
        <w:rPr>
          <w:rFonts w:ascii="Arial" w:cs="Arial" w:eastAsia="Arial" w:hAnsi="Arial"/>
          <w:sz w:val="18"/>
          <w:szCs w:val="18"/>
          <w:color w:val="auto"/>
        </w:rPr>
      </w:pPr>
      <w:r>
        <w:rPr>
          <w:rFonts w:ascii="Arial" w:cs="Arial" w:eastAsia="Arial" w:hAnsi="Arial"/>
          <w:sz w:val="18"/>
          <w:szCs w:val="18"/>
          <w:color w:val="auto"/>
        </w:rPr>
        <w:t>our accounting and financial reporting processes;</w:t>
      </w:r>
    </w:p>
    <w:p>
      <w:pPr>
        <w:spacing w:after="0" w:line="23" w:lineRule="exact"/>
        <w:rPr>
          <w:rFonts w:ascii="Arial" w:cs="Arial" w:eastAsia="Arial" w:hAnsi="Arial"/>
          <w:sz w:val="18"/>
          <w:szCs w:val="18"/>
          <w:color w:val="auto"/>
        </w:rPr>
      </w:pPr>
    </w:p>
    <w:p>
      <w:pPr>
        <w:ind w:left="960" w:hanging="432"/>
        <w:spacing w:after="0"/>
        <w:tabs>
          <w:tab w:leader="none" w:pos="960" w:val="left"/>
        </w:tabs>
        <w:numPr>
          <w:ilvl w:val="0"/>
          <w:numId w:val="13"/>
        </w:numPr>
        <w:rPr>
          <w:rFonts w:ascii="Arial" w:cs="Arial" w:eastAsia="Arial" w:hAnsi="Arial"/>
          <w:sz w:val="18"/>
          <w:szCs w:val="18"/>
          <w:color w:val="auto"/>
        </w:rPr>
      </w:pPr>
      <w:r>
        <w:rPr>
          <w:rFonts w:ascii="Arial" w:cs="Arial" w:eastAsia="Arial" w:hAnsi="Arial"/>
          <w:sz w:val="18"/>
          <w:szCs w:val="18"/>
          <w:color w:val="auto"/>
        </w:rPr>
        <w:t>the integrity and audits of our financial statements;</w:t>
      </w:r>
    </w:p>
    <w:p>
      <w:pPr>
        <w:spacing w:after="0" w:line="9" w:lineRule="exact"/>
        <w:rPr>
          <w:rFonts w:ascii="Arial" w:cs="Arial" w:eastAsia="Arial" w:hAnsi="Arial"/>
          <w:sz w:val="18"/>
          <w:szCs w:val="18"/>
          <w:color w:val="auto"/>
        </w:rPr>
      </w:pPr>
    </w:p>
    <w:p>
      <w:pPr>
        <w:ind w:left="960" w:right="780" w:hanging="432"/>
        <w:spacing w:after="0" w:line="250" w:lineRule="auto"/>
        <w:tabs>
          <w:tab w:leader="none" w:pos="960" w:val="left"/>
        </w:tabs>
        <w:numPr>
          <w:ilvl w:val="0"/>
          <w:numId w:val="13"/>
        </w:numPr>
        <w:rPr>
          <w:rFonts w:ascii="Arial" w:cs="Arial" w:eastAsia="Arial" w:hAnsi="Arial"/>
          <w:sz w:val="18"/>
          <w:szCs w:val="18"/>
          <w:color w:val="auto"/>
        </w:rPr>
      </w:pPr>
      <w:r>
        <w:rPr>
          <w:rFonts w:ascii="Arial" w:cs="Arial" w:eastAsia="Arial" w:hAnsi="Arial"/>
          <w:sz w:val="18"/>
          <w:szCs w:val="18"/>
          <w:color w:val="auto"/>
        </w:rPr>
        <w:t>the adequacy of our internal controls over financial reporting, including information technology security and controls relating to the preparation of our financial statements;</w:t>
      </w:r>
    </w:p>
    <w:p>
      <w:pPr>
        <w:ind w:left="960" w:hanging="432"/>
        <w:spacing w:after="0"/>
        <w:tabs>
          <w:tab w:leader="none" w:pos="960" w:val="left"/>
        </w:tabs>
        <w:numPr>
          <w:ilvl w:val="0"/>
          <w:numId w:val="13"/>
        </w:numPr>
        <w:rPr>
          <w:rFonts w:ascii="Arial" w:cs="Arial" w:eastAsia="Arial" w:hAnsi="Arial"/>
          <w:sz w:val="18"/>
          <w:szCs w:val="18"/>
          <w:color w:val="auto"/>
        </w:rPr>
      </w:pPr>
      <w:r>
        <w:rPr>
          <w:rFonts w:ascii="Arial" w:cs="Arial" w:eastAsia="Arial" w:hAnsi="Arial"/>
          <w:sz w:val="18"/>
          <w:szCs w:val="18"/>
          <w:color w:val="auto"/>
        </w:rPr>
        <w:t>our internal audit department and their annual scope of work;</w:t>
      </w:r>
    </w:p>
    <w:p>
      <w:pPr>
        <w:spacing w:after="0" w:line="9" w:lineRule="exact"/>
        <w:rPr>
          <w:rFonts w:ascii="Arial" w:cs="Arial" w:eastAsia="Arial" w:hAnsi="Arial"/>
          <w:sz w:val="18"/>
          <w:szCs w:val="18"/>
          <w:color w:val="auto"/>
        </w:rPr>
      </w:pPr>
    </w:p>
    <w:p>
      <w:pPr>
        <w:ind w:left="960" w:hanging="432"/>
        <w:spacing w:after="0"/>
        <w:tabs>
          <w:tab w:leader="none" w:pos="960" w:val="left"/>
        </w:tabs>
        <w:numPr>
          <w:ilvl w:val="0"/>
          <w:numId w:val="13"/>
        </w:numPr>
        <w:rPr>
          <w:rFonts w:ascii="Arial" w:cs="Arial" w:eastAsia="Arial" w:hAnsi="Arial"/>
          <w:sz w:val="18"/>
          <w:szCs w:val="18"/>
          <w:color w:val="auto"/>
        </w:rPr>
      </w:pPr>
      <w:r>
        <w:rPr>
          <w:rFonts w:ascii="Arial" w:cs="Arial" w:eastAsia="Arial" w:hAnsi="Arial"/>
          <w:sz w:val="18"/>
          <w:szCs w:val="18"/>
          <w:color w:val="auto"/>
        </w:rPr>
        <w:t>our compliance with legal and regulatory requirements;</w:t>
      </w:r>
    </w:p>
    <w:p>
      <w:pPr>
        <w:spacing w:after="0" w:line="9" w:lineRule="exact"/>
        <w:rPr>
          <w:rFonts w:ascii="Arial" w:cs="Arial" w:eastAsia="Arial" w:hAnsi="Arial"/>
          <w:sz w:val="18"/>
          <w:szCs w:val="18"/>
          <w:color w:val="auto"/>
        </w:rPr>
      </w:pPr>
    </w:p>
    <w:p>
      <w:pPr>
        <w:ind w:left="960" w:hanging="432"/>
        <w:spacing w:after="0"/>
        <w:tabs>
          <w:tab w:leader="none" w:pos="960" w:val="left"/>
        </w:tabs>
        <w:numPr>
          <w:ilvl w:val="0"/>
          <w:numId w:val="13"/>
        </w:numPr>
        <w:rPr>
          <w:rFonts w:ascii="Arial" w:cs="Arial" w:eastAsia="Arial" w:hAnsi="Arial"/>
          <w:sz w:val="18"/>
          <w:szCs w:val="18"/>
          <w:color w:val="auto"/>
        </w:rPr>
      </w:pPr>
      <w:r>
        <w:rPr>
          <w:rFonts w:ascii="Arial" w:cs="Arial" w:eastAsia="Arial" w:hAnsi="Arial"/>
          <w:sz w:val="18"/>
          <w:szCs w:val="18"/>
          <w:color w:val="auto"/>
        </w:rPr>
        <w:t>compliance with our Code of Ethics and Conduct (“Code of Ethics”);</w:t>
      </w:r>
    </w:p>
    <w:p>
      <w:pPr>
        <w:spacing w:after="0" w:line="9" w:lineRule="exact"/>
        <w:rPr>
          <w:rFonts w:ascii="Arial" w:cs="Arial" w:eastAsia="Arial" w:hAnsi="Arial"/>
          <w:sz w:val="18"/>
          <w:szCs w:val="18"/>
          <w:color w:val="auto"/>
        </w:rPr>
      </w:pPr>
    </w:p>
    <w:p>
      <w:pPr>
        <w:ind w:left="960" w:hanging="432"/>
        <w:spacing w:after="0"/>
        <w:tabs>
          <w:tab w:leader="none" w:pos="960" w:val="left"/>
        </w:tabs>
        <w:numPr>
          <w:ilvl w:val="0"/>
          <w:numId w:val="13"/>
        </w:numPr>
        <w:rPr>
          <w:rFonts w:ascii="Arial" w:cs="Arial" w:eastAsia="Arial" w:hAnsi="Arial"/>
          <w:sz w:val="18"/>
          <w:szCs w:val="18"/>
          <w:color w:val="auto"/>
        </w:rPr>
      </w:pPr>
      <w:r>
        <w:rPr>
          <w:rFonts w:ascii="Arial" w:cs="Arial" w:eastAsia="Arial" w:hAnsi="Arial"/>
          <w:sz w:val="18"/>
          <w:szCs w:val="18"/>
          <w:color w:val="auto"/>
        </w:rPr>
        <w:t>the qualifications and independence of our independent registered public accounting firm; and</w:t>
      </w:r>
    </w:p>
    <w:p>
      <w:pPr>
        <w:spacing w:after="0" w:line="9" w:lineRule="exact"/>
        <w:rPr>
          <w:rFonts w:ascii="Arial" w:cs="Arial" w:eastAsia="Arial" w:hAnsi="Arial"/>
          <w:sz w:val="18"/>
          <w:szCs w:val="18"/>
          <w:color w:val="auto"/>
        </w:rPr>
      </w:pPr>
    </w:p>
    <w:p>
      <w:pPr>
        <w:ind w:left="960" w:hanging="432"/>
        <w:spacing w:after="0"/>
        <w:tabs>
          <w:tab w:leader="none" w:pos="960" w:val="left"/>
        </w:tabs>
        <w:numPr>
          <w:ilvl w:val="0"/>
          <w:numId w:val="13"/>
        </w:numPr>
        <w:rPr>
          <w:rFonts w:ascii="Arial" w:cs="Arial" w:eastAsia="Arial" w:hAnsi="Arial"/>
          <w:sz w:val="18"/>
          <w:szCs w:val="18"/>
          <w:color w:val="auto"/>
        </w:rPr>
      </w:pPr>
      <w:r>
        <w:rPr>
          <w:rFonts w:ascii="Arial" w:cs="Arial" w:eastAsia="Arial" w:hAnsi="Arial"/>
          <w:sz w:val="18"/>
          <w:szCs w:val="18"/>
          <w:color w:val="auto"/>
        </w:rPr>
        <w:t>the performance of our independent registered public accounting firm and any internal auditors.</w:t>
      </w:r>
    </w:p>
    <w:p>
      <w:pPr>
        <w:spacing w:after="0" w:line="139" w:lineRule="exact"/>
        <w:rPr>
          <w:sz w:val="20"/>
          <w:szCs w:val="20"/>
          <w:color w:val="auto"/>
        </w:rPr>
      </w:pPr>
    </w:p>
    <w:p>
      <w:pPr>
        <w:ind w:left="200"/>
        <w:spacing w:after="0"/>
        <w:tabs>
          <w:tab w:leader="none" w:pos="400" w:val="left"/>
        </w:tabs>
        <w:rPr>
          <w:sz w:val="20"/>
          <w:szCs w:val="20"/>
          <w:color w:val="auto"/>
        </w:rPr>
      </w:pPr>
      <w:r>
        <w:rPr>
          <w:rFonts w:ascii="Arial" w:cs="Arial" w:eastAsia="Arial" w:hAnsi="Arial"/>
          <w:sz w:val="14"/>
          <w:szCs w:val="14"/>
          <w:color w:val="407CCA"/>
        </w:rPr>
        <w:t>6</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20"/>
          </w:cols>
          <w:pgMar w:left="240" w:top="459" w:right="439" w:bottom="1440" w:gutter="0" w:footer="0" w:header="0"/>
        </w:sectPr>
      </w:pPr>
    </w:p>
    <w:bookmarkStart w:id="10" w:name="page11"/>
    <w:bookmarkEnd w:id="1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200" w:right="240" w:firstLine="771"/>
        <w:spacing w:after="0" w:line="259" w:lineRule="auto"/>
        <w:rPr>
          <w:sz w:val="20"/>
          <w:szCs w:val="20"/>
          <w:color w:val="auto"/>
        </w:rPr>
      </w:pPr>
      <w:r>
        <w:rPr>
          <w:rFonts w:ascii="Arial" w:cs="Arial" w:eastAsia="Arial" w:hAnsi="Arial"/>
          <w:sz w:val="18"/>
          <w:szCs w:val="18"/>
          <w:color w:val="auto"/>
        </w:rPr>
        <w:t>The Audit Committee is also responsible for engaging an independent registered public accounting firm, reviewing the plans and results of the audit engagement with the independent registered public accounting firm, approving professional services provided by the independent registered public accounting firm, and considering the range of audit and non-audit fees. The committee’s meetings include, whenever appropriate, executive sessions with our independent external auditors, without the presence of management.</w:t>
      </w:r>
    </w:p>
    <w:p>
      <w:pPr>
        <w:spacing w:after="0" w:line="187"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Compensation and Corporate Governance Committee</w:t>
      </w:r>
    </w:p>
    <w:p>
      <w:pPr>
        <w:spacing w:after="0" w:line="117" w:lineRule="exact"/>
        <w:rPr>
          <w:sz w:val="20"/>
          <w:szCs w:val="20"/>
          <w:color w:val="auto"/>
        </w:rPr>
      </w:pPr>
    </w:p>
    <w:p>
      <w:pPr>
        <w:ind w:left="980"/>
        <w:spacing w:after="0"/>
        <w:rPr>
          <w:sz w:val="20"/>
          <w:szCs w:val="20"/>
          <w:color w:val="auto"/>
        </w:rPr>
      </w:pPr>
      <w:r>
        <w:rPr>
          <w:rFonts w:ascii="Arial" w:cs="Arial" w:eastAsia="Arial" w:hAnsi="Arial"/>
          <w:sz w:val="18"/>
          <w:szCs w:val="18"/>
          <w:color w:val="auto"/>
        </w:rPr>
        <w:t>This committee’s principal functions are to:</w:t>
      </w:r>
    </w:p>
    <w:p>
      <w:pPr>
        <w:spacing w:after="0" w:line="252" w:lineRule="exact"/>
        <w:rPr>
          <w:sz w:val="20"/>
          <w:szCs w:val="20"/>
          <w:color w:val="auto"/>
        </w:rPr>
      </w:pPr>
    </w:p>
    <w:p>
      <w:pPr>
        <w:ind w:left="960" w:right="20" w:hanging="432"/>
        <w:spacing w:after="0" w:line="258" w:lineRule="auto"/>
        <w:tabs>
          <w:tab w:leader="none" w:pos="960" w:val="left"/>
        </w:tabs>
        <w:numPr>
          <w:ilvl w:val="0"/>
          <w:numId w:val="14"/>
        </w:numPr>
        <w:rPr>
          <w:rFonts w:ascii="Arial" w:cs="Arial" w:eastAsia="Arial" w:hAnsi="Arial"/>
          <w:sz w:val="18"/>
          <w:szCs w:val="18"/>
          <w:color w:val="auto"/>
        </w:rPr>
      </w:pPr>
      <w:r>
        <w:rPr>
          <w:rFonts w:ascii="Arial" w:cs="Arial" w:eastAsia="Arial" w:hAnsi="Arial"/>
          <w:sz w:val="18"/>
          <w:szCs w:val="18"/>
          <w:color w:val="auto"/>
        </w:rPr>
        <w:t>Oversee and review our compensation practices with respect to our executive officers, employees, and members of the Board of Directors and make recommendations to the Board on these matters;</w:t>
      </w:r>
    </w:p>
    <w:p>
      <w:pPr>
        <w:spacing w:after="0" w:line="1" w:lineRule="exact"/>
        <w:rPr>
          <w:rFonts w:ascii="Arial" w:cs="Arial" w:eastAsia="Arial" w:hAnsi="Arial"/>
          <w:sz w:val="18"/>
          <w:szCs w:val="18"/>
          <w:color w:val="auto"/>
        </w:rPr>
      </w:pPr>
    </w:p>
    <w:p>
      <w:pPr>
        <w:ind w:left="960" w:hanging="432"/>
        <w:spacing w:after="0"/>
        <w:tabs>
          <w:tab w:leader="none" w:pos="960" w:val="left"/>
        </w:tabs>
        <w:numPr>
          <w:ilvl w:val="0"/>
          <w:numId w:val="14"/>
        </w:numPr>
        <w:rPr>
          <w:rFonts w:ascii="Arial" w:cs="Arial" w:eastAsia="Arial" w:hAnsi="Arial"/>
          <w:sz w:val="18"/>
          <w:szCs w:val="18"/>
          <w:color w:val="auto"/>
        </w:rPr>
      </w:pPr>
      <w:r>
        <w:rPr>
          <w:rFonts w:ascii="Arial" w:cs="Arial" w:eastAsia="Arial" w:hAnsi="Arial"/>
          <w:sz w:val="18"/>
          <w:szCs w:val="18"/>
          <w:color w:val="auto"/>
        </w:rPr>
        <w:t>set the terms of employment of our executive officers, including our CEO;</w:t>
      </w:r>
    </w:p>
    <w:p>
      <w:pPr>
        <w:spacing w:after="0" w:line="9" w:lineRule="exact"/>
        <w:rPr>
          <w:rFonts w:ascii="Arial" w:cs="Arial" w:eastAsia="Arial" w:hAnsi="Arial"/>
          <w:sz w:val="18"/>
          <w:szCs w:val="18"/>
          <w:color w:val="auto"/>
        </w:rPr>
      </w:pPr>
    </w:p>
    <w:p>
      <w:pPr>
        <w:ind w:left="960" w:hanging="432"/>
        <w:spacing w:after="0"/>
        <w:tabs>
          <w:tab w:leader="none" w:pos="960" w:val="left"/>
        </w:tabs>
        <w:numPr>
          <w:ilvl w:val="0"/>
          <w:numId w:val="14"/>
        </w:numPr>
        <w:rPr>
          <w:rFonts w:ascii="Arial" w:cs="Arial" w:eastAsia="Arial" w:hAnsi="Arial"/>
          <w:sz w:val="18"/>
          <w:szCs w:val="18"/>
          <w:color w:val="auto"/>
        </w:rPr>
      </w:pPr>
      <w:r>
        <w:rPr>
          <w:rFonts w:ascii="Arial" w:cs="Arial" w:eastAsia="Arial" w:hAnsi="Arial"/>
          <w:sz w:val="18"/>
          <w:szCs w:val="18"/>
          <w:color w:val="auto"/>
        </w:rPr>
        <w:t>administer our equity and incentive plans to the extent delegated authority by the Board of Directors;</w:t>
      </w:r>
    </w:p>
    <w:p>
      <w:pPr>
        <w:spacing w:after="0" w:line="9" w:lineRule="exact"/>
        <w:rPr>
          <w:rFonts w:ascii="Arial" w:cs="Arial" w:eastAsia="Arial" w:hAnsi="Arial"/>
          <w:sz w:val="18"/>
          <w:szCs w:val="18"/>
          <w:color w:val="auto"/>
        </w:rPr>
      </w:pPr>
    </w:p>
    <w:p>
      <w:pPr>
        <w:ind w:left="960" w:hanging="432"/>
        <w:spacing w:after="0"/>
        <w:tabs>
          <w:tab w:leader="none" w:pos="960" w:val="left"/>
        </w:tabs>
        <w:numPr>
          <w:ilvl w:val="0"/>
          <w:numId w:val="14"/>
        </w:numPr>
        <w:rPr>
          <w:rFonts w:ascii="Arial" w:cs="Arial" w:eastAsia="Arial" w:hAnsi="Arial"/>
          <w:sz w:val="18"/>
          <w:szCs w:val="18"/>
          <w:color w:val="auto"/>
        </w:rPr>
      </w:pPr>
      <w:r>
        <w:rPr>
          <w:rFonts w:ascii="Arial" w:cs="Arial" w:eastAsia="Arial" w:hAnsi="Arial"/>
          <w:sz w:val="18"/>
          <w:szCs w:val="18"/>
          <w:color w:val="auto"/>
        </w:rPr>
        <w:t>provide general oversight of our compensation structure, including any compensation plans;</w:t>
      </w:r>
    </w:p>
    <w:p>
      <w:pPr>
        <w:spacing w:after="0" w:line="9" w:lineRule="exact"/>
        <w:rPr>
          <w:rFonts w:ascii="Arial" w:cs="Arial" w:eastAsia="Arial" w:hAnsi="Arial"/>
          <w:sz w:val="18"/>
          <w:szCs w:val="18"/>
          <w:color w:val="auto"/>
        </w:rPr>
      </w:pPr>
    </w:p>
    <w:p>
      <w:pPr>
        <w:ind w:left="960" w:hanging="432"/>
        <w:spacing w:after="0"/>
        <w:tabs>
          <w:tab w:leader="none" w:pos="960" w:val="left"/>
        </w:tabs>
        <w:numPr>
          <w:ilvl w:val="0"/>
          <w:numId w:val="14"/>
        </w:numPr>
        <w:rPr>
          <w:rFonts w:ascii="Arial" w:cs="Arial" w:eastAsia="Arial" w:hAnsi="Arial"/>
          <w:sz w:val="18"/>
          <w:szCs w:val="18"/>
          <w:color w:val="auto"/>
        </w:rPr>
      </w:pPr>
      <w:r>
        <w:rPr>
          <w:rFonts w:ascii="Arial" w:cs="Arial" w:eastAsia="Arial" w:hAnsi="Arial"/>
          <w:sz w:val="18"/>
          <w:szCs w:val="18"/>
          <w:color w:val="auto"/>
        </w:rPr>
        <w:t>regularly evaluate and report to the Board on executive and director succession plans;</w:t>
      </w:r>
    </w:p>
    <w:p>
      <w:pPr>
        <w:spacing w:after="0" w:line="9" w:lineRule="exact"/>
        <w:rPr>
          <w:rFonts w:ascii="Arial" w:cs="Arial" w:eastAsia="Arial" w:hAnsi="Arial"/>
          <w:sz w:val="18"/>
          <w:szCs w:val="18"/>
          <w:color w:val="auto"/>
        </w:rPr>
      </w:pPr>
    </w:p>
    <w:p>
      <w:pPr>
        <w:ind w:left="960" w:hanging="432"/>
        <w:spacing w:after="0"/>
        <w:tabs>
          <w:tab w:leader="none" w:pos="960" w:val="left"/>
        </w:tabs>
        <w:numPr>
          <w:ilvl w:val="0"/>
          <w:numId w:val="14"/>
        </w:numPr>
        <w:rPr>
          <w:rFonts w:ascii="Arial" w:cs="Arial" w:eastAsia="Arial" w:hAnsi="Arial"/>
          <w:sz w:val="18"/>
          <w:szCs w:val="18"/>
          <w:color w:val="auto"/>
        </w:rPr>
      </w:pPr>
      <w:r>
        <w:rPr>
          <w:rFonts w:ascii="Arial" w:cs="Arial" w:eastAsia="Arial" w:hAnsi="Arial"/>
          <w:sz w:val="18"/>
          <w:szCs w:val="18"/>
          <w:color w:val="auto"/>
        </w:rPr>
        <w:t>identify and engage in leadership development opportunities for management and the Board of Directors;</w:t>
      </w:r>
    </w:p>
    <w:p>
      <w:pPr>
        <w:spacing w:after="0" w:line="9" w:lineRule="exact"/>
        <w:rPr>
          <w:rFonts w:ascii="Arial" w:cs="Arial" w:eastAsia="Arial" w:hAnsi="Arial"/>
          <w:sz w:val="18"/>
          <w:szCs w:val="18"/>
          <w:color w:val="auto"/>
        </w:rPr>
      </w:pPr>
    </w:p>
    <w:p>
      <w:pPr>
        <w:ind w:left="960" w:right="80" w:hanging="432"/>
        <w:spacing w:after="0" w:line="250" w:lineRule="auto"/>
        <w:tabs>
          <w:tab w:leader="none" w:pos="960" w:val="left"/>
        </w:tabs>
        <w:numPr>
          <w:ilvl w:val="0"/>
          <w:numId w:val="14"/>
        </w:numPr>
        <w:rPr>
          <w:rFonts w:ascii="Arial" w:cs="Arial" w:eastAsia="Arial" w:hAnsi="Arial"/>
          <w:sz w:val="18"/>
          <w:szCs w:val="18"/>
          <w:color w:val="auto"/>
        </w:rPr>
      </w:pPr>
      <w:r>
        <w:rPr>
          <w:rFonts w:ascii="Arial" w:cs="Arial" w:eastAsia="Arial" w:hAnsi="Arial"/>
          <w:sz w:val="18"/>
          <w:szCs w:val="18"/>
          <w:color w:val="auto"/>
        </w:rPr>
        <w:t>monitor and facilitate our governance, including membership of the Board of Directors and operations pursuant to our Corporate Governance Guidelines;</w:t>
      </w:r>
    </w:p>
    <w:p>
      <w:pPr>
        <w:ind w:left="960" w:hanging="432"/>
        <w:spacing w:after="0"/>
        <w:tabs>
          <w:tab w:leader="none" w:pos="960" w:val="left"/>
        </w:tabs>
        <w:numPr>
          <w:ilvl w:val="0"/>
          <w:numId w:val="14"/>
        </w:numPr>
        <w:rPr>
          <w:rFonts w:ascii="Arial" w:cs="Arial" w:eastAsia="Arial" w:hAnsi="Arial"/>
          <w:sz w:val="18"/>
          <w:szCs w:val="18"/>
          <w:color w:val="auto"/>
        </w:rPr>
      </w:pPr>
      <w:r>
        <w:rPr>
          <w:rFonts w:ascii="Arial" w:cs="Arial" w:eastAsia="Arial" w:hAnsi="Arial"/>
          <w:sz w:val="18"/>
          <w:szCs w:val="18"/>
          <w:color w:val="auto"/>
        </w:rPr>
        <w:t>review and evaluate the sufficiency of our Code of Ethics;</w:t>
      </w:r>
    </w:p>
    <w:p>
      <w:pPr>
        <w:spacing w:after="0" w:line="9" w:lineRule="exact"/>
        <w:rPr>
          <w:rFonts w:ascii="Arial" w:cs="Arial" w:eastAsia="Arial" w:hAnsi="Arial"/>
          <w:sz w:val="18"/>
          <w:szCs w:val="18"/>
          <w:color w:val="auto"/>
        </w:rPr>
      </w:pPr>
    </w:p>
    <w:p>
      <w:pPr>
        <w:ind w:left="960" w:hanging="432"/>
        <w:spacing w:after="0"/>
        <w:tabs>
          <w:tab w:leader="none" w:pos="960" w:val="left"/>
        </w:tabs>
        <w:numPr>
          <w:ilvl w:val="0"/>
          <w:numId w:val="14"/>
        </w:numPr>
        <w:rPr>
          <w:rFonts w:ascii="Arial" w:cs="Arial" w:eastAsia="Arial" w:hAnsi="Arial"/>
          <w:sz w:val="18"/>
          <w:szCs w:val="18"/>
          <w:color w:val="auto"/>
        </w:rPr>
      </w:pPr>
      <w:r>
        <w:rPr>
          <w:rFonts w:ascii="Arial" w:cs="Arial" w:eastAsia="Arial" w:hAnsi="Arial"/>
          <w:sz w:val="18"/>
          <w:szCs w:val="18"/>
          <w:color w:val="auto"/>
        </w:rPr>
        <w:t>oversee evaluation of our Board, committees of the Board of Directors, and management; and</w:t>
      </w:r>
    </w:p>
    <w:p>
      <w:pPr>
        <w:spacing w:after="0" w:line="9" w:lineRule="exact"/>
        <w:rPr>
          <w:rFonts w:ascii="Arial" w:cs="Arial" w:eastAsia="Arial" w:hAnsi="Arial"/>
          <w:sz w:val="18"/>
          <w:szCs w:val="18"/>
          <w:color w:val="auto"/>
        </w:rPr>
      </w:pPr>
    </w:p>
    <w:p>
      <w:pPr>
        <w:ind w:left="960" w:hanging="432"/>
        <w:spacing w:after="0"/>
        <w:tabs>
          <w:tab w:leader="none" w:pos="960" w:val="left"/>
        </w:tabs>
        <w:numPr>
          <w:ilvl w:val="0"/>
          <w:numId w:val="14"/>
        </w:numPr>
        <w:rPr>
          <w:rFonts w:ascii="Arial" w:cs="Arial" w:eastAsia="Arial" w:hAnsi="Arial"/>
          <w:sz w:val="18"/>
          <w:szCs w:val="18"/>
          <w:color w:val="auto"/>
        </w:rPr>
      </w:pPr>
      <w:r>
        <w:rPr>
          <w:rFonts w:ascii="Arial" w:cs="Arial" w:eastAsia="Arial" w:hAnsi="Arial"/>
          <w:sz w:val="18"/>
          <w:szCs w:val="18"/>
          <w:color w:val="auto"/>
        </w:rPr>
        <w:t>produce a report on executive compensation required to be included in our proxy statement for our annual meetings.</w:t>
      </w:r>
    </w:p>
    <w:p>
      <w:pPr>
        <w:spacing w:after="0" w:line="211" w:lineRule="exact"/>
        <w:rPr>
          <w:sz w:val="20"/>
          <w:szCs w:val="20"/>
          <w:color w:val="auto"/>
        </w:rPr>
      </w:pPr>
    </w:p>
    <w:p>
      <w:pPr>
        <w:ind w:left="980"/>
        <w:spacing w:after="0"/>
        <w:rPr>
          <w:sz w:val="20"/>
          <w:szCs w:val="20"/>
          <w:color w:val="auto"/>
        </w:rPr>
      </w:pPr>
      <w:r>
        <w:rPr>
          <w:rFonts w:ascii="Arial" w:cs="Arial" w:eastAsia="Arial" w:hAnsi="Arial"/>
          <w:sz w:val="16"/>
          <w:szCs w:val="16"/>
          <w:color w:val="auto"/>
        </w:rPr>
        <w:t>The Compensation Committee also serves as the Board of Director’s standing nominating committee and as such performs the following</w:t>
      </w:r>
    </w:p>
    <w:p>
      <w:pPr>
        <w:spacing w:after="0" w:line="46" w:lineRule="exact"/>
        <w:rPr>
          <w:sz w:val="20"/>
          <w:szCs w:val="20"/>
          <w:color w:val="auto"/>
        </w:rPr>
      </w:pPr>
    </w:p>
    <w:p>
      <w:pPr>
        <w:ind w:left="200"/>
        <w:spacing w:after="0"/>
        <w:rPr>
          <w:sz w:val="20"/>
          <w:szCs w:val="20"/>
          <w:color w:val="auto"/>
        </w:rPr>
      </w:pPr>
      <w:r>
        <w:rPr>
          <w:rFonts w:ascii="Arial" w:cs="Arial" w:eastAsia="Arial" w:hAnsi="Arial"/>
          <w:sz w:val="18"/>
          <w:szCs w:val="18"/>
          <w:color w:val="auto"/>
        </w:rPr>
        <w:t>functions:</w:t>
      </w:r>
    </w:p>
    <w:p>
      <w:pPr>
        <w:spacing w:after="0" w:line="238" w:lineRule="exact"/>
        <w:rPr>
          <w:sz w:val="20"/>
          <w:szCs w:val="20"/>
          <w:color w:val="auto"/>
        </w:rPr>
      </w:pPr>
    </w:p>
    <w:p>
      <w:pPr>
        <w:ind w:left="960" w:hanging="432"/>
        <w:spacing w:after="0" w:line="258" w:lineRule="auto"/>
        <w:tabs>
          <w:tab w:leader="none" w:pos="960" w:val="left"/>
        </w:tabs>
        <w:numPr>
          <w:ilvl w:val="0"/>
          <w:numId w:val="15"/>
        </w:numPr>
        <w:rPr>
          <w:rFonts w:ascii="Arial" w:cs="Arial" w:eastAsia="Arial" w:hAnsi="Arial"/>
          <w:sz w:val="18"/>
          <w:szCs w:val="18"/>
          <w:color w:val="auto"/>
        </w:rPr>
      </w:pPr>
      <w:r>
        <w:rPr>
          <w:rFonts w:ascii="Arial" w:cs="Arial" w:eastAsia="Arial" w:hAnsi="Arial"/>
          <w:sz w:val="18"/>
          <w:szCs w:val="18"/>
          <w:color w:val="auto"/>
        </w:rPr>
        <w:t>identifying, recruiting, and recommending to the Board of Directors qualified candidates for election as directors and recommending a slate of nominees for election as directors by our common stockholders at the annual meeting of stockholders;</w:t>
      </w:r>
    </w:p>
    <w:p>
      <w:pPr>
        <w:spacing w:after="0" w:line="1" w:lineRule="exact"/>
        <w:rPr>
          <w:rFonts w:ascii="Arial" w:cs="Arial" w:eastAsia="Arial" w:hAnsi="Arial"/>
          <w:sz w:val="18"/>
          <w:szCs w:val="18"/>
          <w:color w:val="auto"/>
        </w:rPr>
      </w:pPr>
    </w:p>
    <w:p>
      <w:pPr>
        <w:ind w:left="960" w:right="340" w:hanging="432"/>
        <w:spacing w:after="0" w:line="250" w:lineRule="auto"/>
        <w:tabs>
          <w:tab w:leader="none" w:pos="960" w:val="left"/>
        </w:tabs>
        <w:numPr>
          <w:ilvl w:val="0"/>
          <w:numId w:val="15"/>
        </w:numPr>
        <w:rPr>
          <w:rFonts w:ascii="Arial" w:cs="Arial" w:eastAsia="Arial" w:hAnsi="Arial"/>
          <w:sz w:val="18"/>
          <w:szCs w:val="18"/>
          <w:color w:val="auto"/>
        </w:rPr>
      </w:pPr>
      <w:r>
        <w:rPr>
          <w:rFonts w:ascii="Arial" w:cs="Arial" w:eastAsia="Arial" w:hAnsi="Arial"/>
          <w:sz w:val="18"/>
          <w:szCs w:val="18"/>
          <w:color w:val="auto"/>
        </w:rPr>
        <w:t>developing and recommending to the Board of Directors corporate governance guidelines, including the committee’s selection criteria for director nominees;</w:t>
      </w:r>
    </w:p>
    <w:p>
      <w:pPr>
        <w:ind w:left="960" w:hanging="432"/>
        <w:spacing w:after="0"/>
        <w:tabs>
          <w:tab w:leader="none" w:pos="960" w:val="left"/>
        </w:tabs>
        <w:numPr>
          <w:ilvl w:val="0"/>
          <w:numId w:val="15"/>
        </w:numPr>
        <w:rPr>
          <w:rFonts w:ascii="Arial" w:cs="Arial" w:eastAsia="Arial" w:hAnsi="Arial"/>
          <w:sz w:val="18"/>
          <w:szCs w:val="18"/>
          <w:color w:val="auto"/>
        </w:rPr>
      </w:pPr>
      <w:r>
        <w:rPr>
          <w:rFonts w:ascii="Arial" w:cs="Arial" w:eastAsia="Arial" w:hAnsi="Arial"/>
          <w:sz w:val="18"/>
          <w:szCs w:val="18"/>
          <w:color w:val="auto"/>
        </w:rPr>
        <w:t>recommending to the Board nominees for each committee of the Board; and</w:t>
      </w:r>
    </w:p>
    <w:p>
      <w:pPr>
        <w:spacing w:after="0" w:line="9" w:lineRule="exact"/>
        <w:rPr>
          <w:rFonts w:ascii="Arial" w:cs="Arial" w:eastAsia="Arial" w:hAnsi="Arial"/>
          <w:sz w:val="18"/>
          <w:szCs w:val="18"/>
          <w:color w:val="auto"/>
        </w:rPr>
      </w:pPr>
    </w:p>
    <w:p>
      <w:pPr>
        <w:ind w:left="960" w:right="440" w:hanging="432"/>
        <w:spacing w:after="0" w:line="261" w:lineRule="auto"/>
        <w:tabs>
          <w:tab w:leader="none" w:pos="960" w:val="left"/>
        </w:tabs>
        <w:numPr>
          <w:ilvl w:val="0"/>
          <w:numId w:val="15"/>
        </w:numPr>
        <w:rPr>
          <w:rFonts w:ascii="Arial" w:cs="Arial" w:eastAsia="Arial" w:hAnsi="Arial"/>
          <w:sz w:val="18"/>
          <w:szCs w:val="18"/>
          <w:color w:val="auto"/>
        </w:rPr>
      </w:pPr>
      <w:r>
        <w:rPr>
          <w:rFonts w:ascii="Arial" w:cs="Arial" w:eastAsia="Arial" w:hAnsi="Arial"/>
          <w:sz w:val="18"/>
          <w:szCs w:val="18"/>
          <w:color w:val="auto"/>
        </w:rPr>
        <w:t>annually facilitating an assessment of the Board of Directors’ performance as a whole and of the individual directors and making reports thereon to the Board of Directors.</w:t>
      </w:r>
    </w:p>
    <w:p>
      <w:pPr>
        <w:spacing w:after="0" w:line="184" w:lineRule="exact"/>
        <w:rPr>
          <w:sz w:val="20"/>
          <w:szCs w:val="20"/>
          <w:color w:val="auto"/>
        </w:rPr>
      </w:pPr>
    </w:p>
    <w:p>
      <w:pPr>
        <w:ind w:left="200" w:right="280" w:firstLine="771"/>
        <w:spacing w:after="0" w:line="279" w:lineRule="auto"/>
        <w:rPr>
          <w:sz w:val="20"/>
          <w:szCs w:val="20"/>
          <w:color w:val="auto"/>
        </w:rPr>
      </w:pPr>
      <w:r>
        <w:rPr>
          <w:rFonts w:ascii="Arial" w:cs="Arial" w:eastAsia="Arial" w:hAnsi="Arial"/>
          <w:sz w:val="17"/>
          <w:szCs w:val="17"/>
          <w:color w:val="auto"/>
        </w:rPr>
        <w:t>Under its charter, the Compensation Committee has the authority to select, retain, and terminate compensation consultants. In 2016, the Compensation Committee retained Frederic W. Cook &amp; Co., Inc. (“FW Cook”) to provide a comprehensive review of non-employee director compensation and advise it on post-Internalization executive compensation. The Compensation Committee continued its engagement of FW Cook in 2017 to assist with the review and evaluation of executive compensation and compensation of our non-employee directors.</w:t>
      </w:r>
    </w:p>
    <w:p>
      <w:pPr>
        <w:spacing w:after="0" w:line="100" w:lineRule="exact"/>
        <w:rPr>
          <w:sz w:val="20"/>
          <w:szCs w:val="20"/>
          <w:color w:val="auto"/>
        </w:rPr>
      </w:pPr>
    </w:p>
    <w:p>
      <w:pPr>
        <w:jc w:val="right"/>
        <w:spacing w:after="0"/>
        <w:tabs>
          <w:tab w:leader="none" w:pos="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0"/>
          <w:szCs w:val="10"/>
          <w:color w:val="407CCA"/>
        </w:rPr>
        <w:t>7</w:t>
      </w:r>
    </w:p>
    <w:p>
      <w:pPr>
        <w:sectPr>
          <w:pgSz w:w="11900" w:h="16838" w:orient="portrait"/>
          <w:cols w:equalWidth="0" w:num="1">
            <w:col w:w="11220"/>
          </w:cols>
          <w:pgMar w:left="240" w:top="459" w:right="439" w:bottom="1440" w:gutter="0" w:footer="0" w:header="0"/>
        </w:sectPr>
      </w:pPr>
    </w:p>
    <w:bookmarkStart w:id="11" w:name="page12"/>
    <w:bookmarkEnd w:id="1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Board and Committee Meetings</w:t>
      </w:r>
    </w:p>
    <w:p>
      <w:pPr>
        <w:spacing w:after="0" w:line="121" w:lineRule="exact"/>
        <w:rPr>
          <w:sz w:val="20"/>
          <w:szCs w:val="20"/>
          <w:color w:val="auto"/>
        </w:rPr>
      </w:pPr>
    </w:p>
    <w:p>
      <w:pPr>
        <w:ind w:left="200" w:right="80" w:firstLine="771"/>
        <w:spacing w:after="0" w:line="302" w:lineRule="auto"/>
        <w:rPr>
          <w:sz w:val="20"/>
          <w:szCs w:val="20"/>
          <w:color w:val="auto"/>
        </w:rPr>
      </w:pPr>
      <w:r>
        <w:rPr>
          <w:rFonts w:ascii="Arial" w:cs="Arial" w:eastAsia="Arial" w:hAnsi="Arial"/>
          <w:sz w:val="16"/>
          <w:szCs w:val="16"/>
          <w:color w:val="auto"/>
        </w:rPr>
        <w:t>Under our Bylaws and Delaware law, the Board of Directors and its committees are permitted to take actions at regular or special meetings and by written consent. The Board of Directors generally holds regular quarterly meetings and meets on other occasions as necessary. The Board of Directors held nine regular and special meetings during 2017. In addition, the independent directors also met separately in executive sessions to discuss various matters, including our performance and the performance of our Chief Executive Officer and other executive officers.</w:t>
      </w:r>
    </w:p>
    <w:p>
      <w:pPr>
        <w:spacing w:after="0" w:line="154" w:lineRule="exact"/>
        <w:rPr>
          <w:sz w:val="20"/>
          <w:szCs w:val="20"/>
          <w:color w:val="auto"/>
        </w:rPr>
      </w:pPr>
    </w:p>
    <w:p>
      <w:pPr>
        <w:ind w:left="200" w:firstLine="771"/>
        <w:spacing w:after="0" w:line="257" w:lineRule="auto"/>
        <w:rPr>
          <w:sz w:val="20"/>
          <w:szCs w:val="20"/>
          <w:color w:val="auto"/>
        </w:rPr>
      </w:pPr>
      <w:r>
        <w:rPr>
          <w:rFonts w:ascii="Arial" w:cs="Arial" w:eastAsia="Arial" w:hAnsi="Arial"/>
          <w:sz w:val="18"/>
          <w:szCs w:val="18"/>
          <w:color w:val="auto"/>
        </w:rPr>
        <w:t>Each of the Audit Committee and the Compensation Committee schedules regular meetings to coincide with the quarterly in-person meetings of the Board of Directors and also meets at the request of senior management or at such other times as its Chair determines. The Chair of each Committee, in consultation with our Secretary, sets the agendas for the meetings. Each committee reports to the Board of Directors on its activities at the next regularly scheduled Board of Directors meeting following its committee meetings and when appropriate. During 2017, the Audit Committee held five meetings and the Compensation Committee held six meetings.</w:t>
      </w:r>
    </w:p>
    <w:p>
      <w:pPr>
        <w:spacing w:after="0" w:line="188" w:lineRule="exact"/>
        <w:rPr>
          <w:sz w:val="20"/>
          <w:szCs w:val="20"/>
          <w:color w:val="auto"/>
        </w:rPr>
      </w:pPr>
    </w:p>
    <w:p>
      <w:pPr>
        <w:ind w:left="200" w:right="100" w:firstLine="771"/>
        <w:spacing w:after="0" w:line="264" w:lineRule="auto"/>
        <w:rPr>
          <w:sz w:val="20"/>
          <w:szCs w:val="20"/>
          <w:color w:val="auto"/>
        </w:rPr>
      </w:pPr>
      <w:r>
        <w:rPr>
          <w:rFonts w:ascii="Arial" w:cs="Arial" w:eastAsia="Arial" w:hAnsi="Arial"/>
          <w:sz w:val="18"/>
          <w:szCs w:val="18"/>
          <w:color w:val="auto"/>
        </w:rPr>
        <w:t>Each of our directors attended all of the meetings of the Board of Directors and committees on which he or she served in 2017. Although we do not have a policy on director attendance at the Annual Meeting, directors are encouraged to attend the Annual Meeting. Each of our directors attended the 2017 Annual Meeting in person.</w:t>
      </w:r>
    </w:p>
    <w:p>
      <w:pPr>
        <w:spacing w:after="0" w:line="28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Strategy and Risk Oversight</w:t>
      </w:r>
    </w:p>
    <w:p>
      <w:pPr>
        <w:spacing w:after="0" w:line="121" w:lineRule="exact"/>
        <w:rPr>
          <w:sz w:val="20"/>
          <w:szCs w:val="20"/>
          <w:color w:val="auto"/>
        </w:rPr>
      </w:pPr>
    </w:p>
    <w:p>
      <w:pPr>
        <w:ind w:left="200" w:right="240" w:firstLine="771"/>
        <w:spacing w:after="0" w:line="279" w:lineRule="auto"/>
        <w:rPr>
          <w:sz w:val="20"/>
          <w:szCs w:val="20"/>
          <w:color w:val="auto"/>
        </w:rPr>
      </w:pPr>
      <w:r>
        <w:rPr>
          <w:rFonts w:ascii="Arial" w:cs="Arial" w:eastAsia="Arial" w:hAnsi="Arial"/>
          <w:sz w:val="17"/>
          <w:szCs w:val="17"/>
          <w:color w:val="auto"/>
        </w:rPr>
        <w:t>Our Board of Directors is responsible for the general oversight of the Company, including our strategic direction, the performance of our executive officers, and the Company’s risk management processes, to assure that the long-term interests of our stockholders are being served. In performing this oversight function, the Board, directly or through its standing committees, regularly reviews and discusses our corporate strategy and our material strategic, operational, financial, compensation, and compliance risks with senior management.</w:t>
      </w:r>
    </w:p>
    <w:p>
      <w:pPr>
        <w:spacing w:after="0" w:line="171" w:lineRule="exact"/>
        <w:rPr>
          <w:sz w:val="20"/>
          <w:szCs w:val="20"/>
          <w:color w:val="auto"/>
        </w:rPr>
      </w:pPr>
    </w:p>
    <w:p>
      <w:pPr>
        <w:ind w:left="200" w:firstLine="771"/>
        <w:spacing w:after="0" w:line="297" w:lineRule="auto"/>
        <w:rPr>
          <w:sz w:val="20"/>
          <w:szCs w:val="20"/>
          <w:color w:val="auto"/>
        </w:rPr>
      </w:pPr>
      <w:r>
        <w:rPr>
          <w:rFonts w:ascii="Arial" w:cs="Arial" w:eastAsia="Arial" w:hAnsi="Arial"/>
          <w:sz w:val="16"/>
          <w:szCs w:val="16"/>
          <w:color w:val="auto"/>
        </w:rPr>
        <w:t>The Company believes that the Board’s role in strategy and risk management oversight is effective and appropriate. The Board receives updates at each regular meeting on the Company’s performance, market conditions, and other recent developments, including, among other things, the risks and opportunities facing us, as well as the strategies used to hedge the Company’s exposure to market risks, including interest rate, prepayment, and extension risks. The Board periodically reviews and discusses with management and in executive session our near and longer run strategic direction. The Board has also adopted, and regularly reviews our compliance with, various policies and procedures addressing other operational risks.</w:t>
      </w:r>
    </w:p>
    <w:p>
      <w:pPr>
        <w:spacing w:after="0" w:line="158" w:lineRule="exact"/>
        <w:rPr>
          <w:sz w:val="20"/>
          <w:szCs w:val="20"/>
          <w:color w:val="auto"/>
        </w:rPr>
      </w:pPr>
    </w:p>
    <w:p>
      <w:pPr>
        <w:ind w:left="200" w:right="20" w:firstLine="771"/>
        <w:spacing w:after="0" w:line="271" w:lineRule="auto"/>
        <w:rPr>
          <w:sz w:val="20"/>
          <w:szCs w:val="20"/>
          <w:color w:val="auto"/>
        </w:rPr>
      </w:pPr>
      <w:r>
        <w:rPr>
          <w:rFonts w:ascii="Arial" w:cs="Arial" w:eastAsia="Arial" w:hAnsi="Arial"/>
          <w:sz w:val="17"/>
          <w:szCs w:val="17"/>
          <w:color w:val="auto"/>
        </w:rPr>
        <w:t>The Board believes the risk of cybersecurity is an enterprise-wide concern impacting people, processes, and operations, and in light of the pervasive and increasing threat from cyber attached to all companies, the Board believes oversight of this risk is appropriately allocated to the full Board. The Board has evaluated with management the threat to the Company after considering our operations and the types of data retained on our systems. Although our primary business involves investment in mortgages and mortgage-related instruments, we do not receive personal information on individual mortgage borrowers as part of our regular operations, as we do not perform mortgage servicing, maintain customer accounts, or provide any direct mortgage lending. The Company also contracts with third party security firms to provide threat detection and conduct annual testing on our systems. The Board reviews cybersecurity and receives reports from the Company’s Senior Vice President for Information Technology on an annual basis. The Board may also receive additional updates or reports from management as necessary.</w:t>
      </w:r>
    </w:p>
    <w:p>
      <w:pPr>
        <w:spacing w:after="0" w:line="107" w:lineRule="exact"/>
        <w:rPr>
          <w:sz w:val="20"/>
          <w:szCs w:val="20"/>
          <w:color w:val="auto"/>
        </w:rPr>
      </w:pPr>
    </w:p>
    <w:p>
      <w:pPr>
        <w:ind w:left="200"/>
        <w:spacing w:after="0"/>
        <w:tabs>
          <w:tab w:leader="none" w:pos="400" w:val="left"/>
        </w:tabs>
        <w:rPr>
          <w:sz w:val="20"/>
          <w:szCs w:val="20"/>
          <w:color w:val="auto"/>
        </w:rPr>
      </w:pPr>
      <w:r>
        <w:rPr>
          <w:rFonts w:ascii="Arial" w:cs="Arial" w:eastAsia="Arial" w:hAnsi="Arial"/>
          <w:sz w:val="14"/>
          <w:szCs w:val="14"/>
          <w:color w:val="407CCA"/>
        </w:rPr>
        <w:t>8</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00"/>
          </w:cols>
          <w:pgMar w:left="240" w:top="459" w:right="459" w:bottom="1440" w:gutter="0" w:footer="0" w:header="0"/>
        </w:sectPr>
      </w:pPr>
    </w:p>
    <w:bookmarkStart w:id="12" w:name="page13"/>
    <w:bookmarkEnd w:id="1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200" w:right="120" w:firstLine="771"/>
        <w:spacing w:after="0" w:line="273" w:lineRule="auto"/>
        <w:rPr>
          <w:sz w:val="20"/>
          <w:szCs w:val="20"/>
          <w:color w:val="auto"/>
        </w:rPr>
      </w:pPr>
      <w:r>
        <w:rPr>
          <w:rFonts w:ascii="Arial" w:cs="Arial" w:eastAsia="Arial" w:hAnsi="Arial"/>
          <w:sz w:val="17"/>
          <w:szCs w:val="17"/>
          <w:color w:val="auto"/>
        </w:rPr>
        <w:t>The Board of Directors also recognizes the importance of effective executive leadership to our success and is actively engaged in overseeing succession planning. The Board of Directors and the Compensation Committee routinely review staffing for critical roles, considering the operational needs of the Company and the potential leadership, industry knowledge, and investment skills of existing employees. Executives and other key employees in the Company are given exposure to the Board of Directors during meetings and other events to assist with their development and the Board’s evaluation. In addition, the Board of Directors is regularly updated on management’s strategies for recruiting, developing, and retaining outstanding personnel and minimizing employee turnover, as applicable.</w:t>
      </w:r>
    </w:p>
    <w:p>
      <w:pPr>
        <w:spacing w:after="0" w:line="178" w:lineRule="exact"/>
        <w:rPr>
          <w:sz w:val="20"/>
          <w:szCs w:val="20"/>
          <w:color w:val="auto"/>
        </w:rPr>
      </w:pPr>
    </w:p>
    <w:p>
      <w:pPr>
        <w:ind w:left="980"/>
        <w:spacing w:after="0"/>
        <w:rPr>
          <w:sz w:val="20"/>
          <w:szCs w:val="20"/>
          <w:color w:val="auto"/>
        </w:rPr>
      </w:pPr>
      <w:r>
        <w:rPr>
          <w:rFonts w:ascii="Arial" w:cs="Arial" w:eastAsia="Arial" w:hAnsi="Arial"/>
          <w:sz w:val="18"/>
          <w:szCs w:val="18"/>
          <w:color w:val="auto"/>
        </w:rPr>
        <w:t>The Board of Directors has delegated certain risk management oversight responsibility to its committees as follows:</w:t>
      </w:r>
    </w:p>
    <w:p>
      <w:pPr>
        <w:spacing w:after="0" w:line="131" w:lineRule="exact"/>
        <w:rPr>
          <w:sz w:val="20"/>
          <w:szCs w:val="20"/>
          <w:color w:val="auto"/>
        </w:rPr>
      </w:pPr>
    </w:p>
    <w:p>
      <w:pPr>
        <w:ind w:left="960" w:right="200" w:hanging="432"/>
        <w:spacing w:after="0" w:line="254" w:lineRule="auto"/>
        <w:tabs>
          <w:tab w:leader="none" w:pos="960" w:val="left"/>
        </w:tabs>
        <w:numPr>
          <w:ilvl w:val="0"/>
          <w:numId w:val="16"/>
        </w:numPr>
        <w:rPr>
          <w:rFonts w:ascii="Arial" w:cs="Arial" w:eastAsia="Arial" w:hAnsi="Arial"/>
          <w:sz w:val="18"/>
          <w:szCs w:val="18"/>
          <w:color w:val="auto"/>
        </w:rPr>
      </w:pPr>
      <w:r>
        <w:rPr>
          <w:rFonts w:ascii="Arial" w:cs="Arial" w:eastAsia="Arial" w:hAnsi="Arial"/>
          <w:sz w:val="18"/>
          <w:szCs w:val="18"/>
          <w:i w:val="1"/>
          <w:iCs w:val="1"/>
          <w:color w:val="407CCA"/>
        </w:rPr>
        <w:t xml:space="preserve">Regulatory Compliance Risk: </w:t>
      </w:r>
      <w:r>
        <w:rPr>
          <w:rFonts w:ascii="Arial" w:cs="Arial" w:eastAsia="Arial" w:hAnsi="Arial"/>
          <w:sz w:val="18"/>
          <w:szCs w:val="18"/>
          <w:color w:val="000000"/>
        </w:rPr>
        <w:t>The Board of Directors, both directly and through the Audit Committee, receives regular reports from the</w:t>
      </w:r>
      <w:r>
        <w:rPr>
          <w:rFonts w:ascii="Arial" w:cs="Arial" w:eastAsia="Arial" w:hAnsi="Arial"/>
          <w:sz w:val="18"/>
          <w:szCs w:val="18"/>
          <w:i w:val="1"/>
          <w:iCs w:val="1"/>
          <w:color w:val="407CCA"/>
        </w:rPr>
        <w:t xml:space="preserve"> </w:t>
      </w:r>
      <w:r>
        <w:rPr>
          <w:rFonts w:ascii="Arial" w:cs="Arial" w:eastAsia="Arial" w:hAnsi="Arial"/>
          <w:sz w:val="18"/>
          <w:szCs w:val="18"/>
          <w:color w:val="000000"/>
        </w:rPr>
        <w:t>Company’s legal, accounting, and internal audit representatives on regulatory matters, including the Company’s compliance with its REIT qualification and exemption from the Investment Company Act of 1940, compliance with our Code of Ethics, and our advisory subsidiary’s compliance with the Investment Advisers Act of 1940.</w:t>
      </w:r>
    </w:p>
    <w:p>
      <w:pPr>
        <w:spacing w:after="0" w:line="2" w:lineRule="exact"/>
        <w:rPr>
          <w:rFonts w:ascii="Arial" w:cs="Arial" w:eastAsia="Arial" w:hAnsi="Arial"/>
          <w:sz w:val="18"/>
          <w:szCs w:val="18"/>
          <w:color w:val="auto"/>
        </w:rPr>
      </w:pPr>
    </w:p>
    <w:p>
      <w:pPr>
        <w:ind w:left="960" w:hanging="432"/>
        <w:spacing w:after="0" w:line="265" w:lineRule="auto"/>
        <w:tabs>
          <w:tab w:leader="none" w:pos="960" w:val="left"/>
        </w:tabs>
        <w:numPr>
          <w:ilvl w:val="0"/>
          <w:numId w:val="16"/>
        </w:numPr>
        <w:rPr>
          <w:rFonts w:ascii="Arial" w:cs="Arial" w:eastAsia="Arial" w:hAnsi="Arial"/>
          <w:sz w:val="17"/>
          <w:szCs w:val="17"/>
          <w:color w:val="auto"/>
        </w:rPr>
      </w:pPr>
      <w:r>
        <w:rPr>
          <w:rFonts w:ascii="Arial" w:cs="Arial" w:eastAsia="Arial" w:hAnsi="Arial"/>
          <w:sz w:val="17"/>
          <w:szCs w:val="17"/>
          <w:i w:val="1"/>
          <w:iCs w:val="1"/>
          <w:color w:val="407CCA"/>
        </w:rPr>
        <w:t xml:space="preserve">Financial and Accounting Risk: </w:t>
      </w:r>
      <w:r>
        <w:rPr>
          <w:rFonts w:ascii="Arial" w:cs="Arial" w:eastAsia="Arial" w:hAnsi="Arial"/>
          <w:sz w:val="17"/>
          <w:szCs w:val="17"/>
          <w:color w:val="000000"/>
        </w:rPr>
        <w:t>The Audit Committee oversees the Company’s management of its financial, accounting, internal controls, and</w:t>
      </w:r>
      <w:r>
        <w:rPr>
          <w:rFonts w:ascii="Arial" w:cs="Arial" w:eastAsia="Arial" w:hAnsi="Arial"/>
          <w:sz w:val="17"/>
          <w:szCs w:val="17"/>
          <w:i w:val="1"/>
          <w:iCs w:val="1"/>
          <w:color w:val="407CCA"/>
        </w:rPr>
        <w:t xml:space="preserve"> </w:t>
      </w:r>
      <w:r>
        <w:rPr>
          <w:rFonts w:ascii="Arial" w:cs="Arial" w:eastAsia="Arial" w:hAnsi="Arial"/>
          <w:sz w:val="17"/>
          <w:szCs w:val="17"/>
          <w:color w:val="000000"/>
        </w:rPr>
        <w:t>regulatory compliance through regular meetings with our Chief Financial Officer, senior representatives of the Company’s accounting, tax, internal audit, and legal departments, and representatives of the Company’s independent public accountant.</w:t>
      </w:r>
    </w:p>
    <w:p>
      <w:pPr>
        <w:ind w:left="960" w:hanging="432"/>
        <w:spacing w:after="0"/>
        <w:tabs>
          <w:tab w:leader="none" w:pos="960" w:val="left"/>
        </w:tabs>
        <w:numPr>
          <w:ilvl w:val="0"/>
          <w:numId w:val="16"/>
        </w:numPr>
        <w:rPr>
          <w:rFonts w:ascii="Arial" w:cs="Arial" w:eastAsia="Arial" w:hAnsi="Arial"/>
          <w:sz w:val="18"/>
          <w:szCs w:val="18"/>
          <w:color w:val="auto"/>
        </w:rPr>
      </w:pPr>
      <w:r>
        <w:rPr>
          <w:rFonts w:ascii="Arial" w:cs="Arial" w:eastAsia="Arial" w:hAnsi="Arial"/>
          <w:sz w:val="18"/>
          <w:szCs w:val="18"/>
          <w:i w:val="1"/>
          <w:iCs w:val="1"/>
          <w:color w:val="407CCA"/>
        </w:rPr>
        <w:t xml:space="preserve">Litigation Risk: </w:t>
      </w:r>
      <w:r>
        <w:rPr>
          <w:rFonts w:ascii="Arial" w:cs="Arial" w:eastAsia="Arial" w:hAnsi="Arial"/>
          <w:sz w:val="18"/>
          <w:szCs w:val="18"/>
          <w:color w:val="000000"/>
        </w:rPr>
        <w:t>The Compensation Committee monitors the Company’s litigation, if any.</w:t>
      </w:r>
    </w:p>
    <w:p>
      <w:pPr>
        <w:spacing w:after="0" w:line="9" w:lineRule="exact"/>
        <w:rPr>
          <w:rFonts w:ascii="Arial" w:cs="Arial" w:eastAsia="Arial" w:hAnsi="Arial"/>
          <w:sz w:val="18"/>
          <w:szCs w:val="18"/>
          <w:color w:val="auto"/>
        </w:rPr>
      </w:pPr>
    </w:p>
    <w:p>
      <w:pPr>
        <w:ind w:left="960" w:right="620" w:hanging="432"/>
        <w:spacing w:after="0" w:line="250" w:lineRule="auto"/>
        <w:tabs>
          <w:tab w:leader="none" w:pos="960" w:val="left"/>
        </w:tabs>
        <w:numPr>
          <w:ilvl w:val="0"/>
          <w:numId w:val="16"/>
        </w:numPr>
        <w:rPr>
          <w:rFonts w:ascii="Arial" w:cs="Arial" w:eastAsia="Arial" w:hAnsi="Arial"/>
          <w:sz w:val="18"/>
          <w:szCs w:val="18"/>
          <w:color w:val="auto"/>
        </w:rPr>
      </w:pPr>
      <w:r>
        <w:rPr>
          <w:rFonts w:ascii="Arial" w:cs="Arial" w:eastAsia="Arial" w:hAnsi="Arial"/>
          <w:sz w:val="18"/>
          <w:szCs w:val="18"/>
          <w:i w:val="1"/>
          <w:iCs w:val="1"/>
          <w:color w:val="407CCA"/>
        </w:rPr>
        <w:t xml:space="preserve">Compensation and Benefit Plan Risk: </w:t>
      </w:r>
      <w:r>
        <w:rPr>
          <w:rFonts w:ascii="Arial" w:cs="Arial" w:eastAsia="Arial" w:hAnsi="Arial"/>
          <w:sz w:val="18"/>
          <w:szCs w:val="18"/>
          <w:color w:val="000000"/>
        </w:rPr>
        <w:t>The Compensation Committee considers the extent to which our compensation and benefit plan</w:t>
      </w:r>
      <w:r>
        <w:rPr>
          <w:rFonts w:ascii="Arial" w:cs="Arial" w:eastAsia="Arial" w:hAnsi="Arial"/>
          <w:sz w:val="18"/>
          <w:szCs w:val="18"/>
          <w:i w:val="1"/>
          <w:iCs w:val="1"/>
          <w:color w:val="407CCA"/>
        </w:rPr>
        <w:t xml:space="preserve"> </w:t>
      </w:r>
      <w:r>
        <w:rPr>
          <w:rFonts w:ascii="Arial" w:cs="Arial" w:eastAsia="Arial" w:hAnsi="Arial"/>
          <w:sz w:val="18"/>
          <w:szCs w:val="18"/>
          <w:color w:val="000000"/>
        </w:rPr>
        <w:t>programs may create risk for the Company.</w:t>
      </w:r>
    </w:p>
    <w:p>
      <w:pPr>
        <w:ind w:left="960" w:right="400" w:hanging="432"/>
        <w:spacing w:after="0" w:line="250" w:lineRule="auto"/>
        <w:tabs>
          <w:tab w:leader="none" w:pos="960" w:val="left"/>
        </w:tabs>
        <w:numPr>
          <w:ilvl w:val="0"/>
          <w:numId w:val="16"/>
        </w:numPr>
        <w:rPr>
          <w:rFonts w:ascii="Arial" w:cs="Arial" w:eastAsia="Arial" w:hAnsi="Arial"/>
          <w:sz w:val="18"/>
          <w:szCs w:val="18"/>
          <w:color w:val="auto"/>
        </w:rPr>
      </w:pPr>
      <w:r>
        <w:rPr>
          <w:rFonts w:ascii="Arial" w:cs="Arial" w:eastAsia="Arial" w:hAnsi="Arial"/>
          <w:sz w:val="18"/>
          <w:szCs w:val="18"/>
          <w:i w:val="1"/>
          <w:iCs w:val="1"/>
          <w:color w:val="407CCA"/>
        </w:rPr>
        <w:t xml:space="preserve">Governance Risk: </w:t>
      </w:r>
      <w:r>
        <w:rPr>
          <w:rFonts w:ascii="Arial" w:cs="Arial" w:eastAsia="Arial" w:hAnsi="Arial"/>
          <w:sz w:val="18"/>
          <w:szCs w:val="18"/>
          <w:color w:val="000000"/>
        </w:rPr>
        <w:t>The Compensation Committee also oversees risks related to Board organization, membership, structure, and corporate</w:t>
      </w:r>
      <w:r>
        <w:rPr>
          <w:rFonts w:ascii="Arial" w:cs="Arial" w:eastAsia="Arial" w:hAnsi="Arial"/>
          <w:sz w:val="18"/>
          <w:szCs w:val="18"/>
          <w:i w:val="1"/>
          <w:iCs w:val="1"/>
          <w:color w:val="407CCA"/>
        </w:rPr>
        <w:t xml:space="preserve"> </w:t>
      </w:r>
      <w:r>
        <w:rPr>
          <w:rFonts w:ascii="Arial" w:cs="Arial" w:eastAsia="Arial" w:hAnsi="Arial"/>
          <w:sz w:val="18"/>
          <w:szCs w:val="18"/>
          <w:color w:val="000000"/>
        </w:rPr>
        <w:t>governance.</w:t>
      </w:r>
    </w:p>
    <w:p>
      <w:pPr>
        <w:ind w:left="960" w:right="480" w:hanging="432"/>
        <w:spacing w:after="0" w:line="261" w:lineRule="auto"/>
        <w:tabs>
          <w:tab w:leader="none" w:pos="960" w:val="left"/>
        </w:tabs>
        <w:numPr>
          <w:ilvl w:val="0"/>
          <w:numId w:val="16"/>
        </w:numPr>
        <w:rPr>
          <w:rFonts w:ascii="Arial" w:cs="Arial" w:eastAsia="Arial" w:hAnsi="Arial"/>
          <w:sz w:val="18"/>
          <w:szCs w:val="18"/>
          <w:color w:val="auto"/>
        </w:rPr>
      </w:pPr>
      <w:r>
        <w:rPr>
          <w:rFonts w:ascii="Arial" w:cs="Arial" w:eastAsia="Arial" w:hAnsi="Arial"/>
          <w:sz w:val="18"/>
          <w:szCs w:val="18"/>
          <w:i w:val="1"/>
          <w:iCs w:val="1"/>
          <w:color w:val="407CCA"/>
        </w:rPr>
        <w:t xml:space="preserve">Succession Planning Risk: </w:t>
      </w:r>
      <w:r>
        <w:rPr>
          <w:rFonts w:ascii="Arial" w:cs="Arial" w:eastAsia="Arial" w:hAnsi="Arial"/>
          <w:sz w:val="18"/>
          <w:szCs w:val="18"/>
          <w:color w:val="000000"/>
        </w:rPr>
        <w:t>The Compensation Committee is responsible for ensuring that a succession plan is in place for our executive</w:t>
      </w:r>
      <w:r>
        <w:rPr>
          <w:rFonts w:ascii="Arial" w:cs="Arial" w:eastAsia="Arial" w:hAnsi="Arial"/>
          <w:sz w:val="18"/>
          <w:szCs w:val="18"/>
          <w:i w:val="1"/>
          <w:iCs w:val="1"/>
          <w:color w:val="407CCA"/>
        </w:rPr>
        <w:t xml:space="preserve"> </w:t>
      </w:r>
      <w:r>
        <w:rPr>
          <w:rFonts w:ascii="Arial" w:cs="Arial" w:eastAsia="Arial" w:hAnsi="Arial"/>
          <w:sz w:val="18"/>
          <w:szCs w:val="18"/>
          <w:color w:val="000000"/>
        </w:rPr>
        <w:t>officers and other key employees.</w:t>
      </w:r>
    </w:p>
    <w:p>
      <w:pPr>
        <w:spacing w:after="0" w:line="112" w:lineRule="exact"/>
        <w:rPr>
          <w:sz w:val="20"/>
          <w:szCs w:val="20"/>
          <w:color w:val="auto"/>
        </w:rPr>
      </w:pPr>
    </w:p>
    <w:p>
      <w:pPr>
        <w:jc w:val="right"/>
        <w:spacing w:after="0"/>
        <w:tabs>
          <w:tab w:leader="none" w:pos="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0"/>
          <w:szCs w:val="10"/>
          <w:color w:val="407CCA"/>
        </w:rPr>
        <w:t>9</w:t>
      </w:r>
    </w:p>
    <w:p>
      <w:pPr>
        <w:sectPr>
          <w:pgSz w:w="11900" w:h="16838" w:orient="portrait"/>
          <w:cols w:equalWidth="0" w:num="1">
            <w:col w:w="11220"/>
          </w:cols>
          <w:pgMar w:left="240" w:top="459" w:right="439" w:bottom="1440" w:gutter="0" w:footer="0" w:header="0"/>
        </w:sectPr>
      </w:pPr>
    </w:p>
    <w:bookmarkStart w:id="13" w:name="page14"/>
    <w:bookmarkEnd w:id="1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980"/>
        <w:spacing w:after="0"/>
        <w:rPr>
          <w:sz w:val="20"/>
          <w:szCs w:val="20"/>
          <w:color w:val="auto"/>
        </w:rPr>
      </w:pPr>
      <w:r>
        <w:rPr>
          <w:rFonts w:ascii="Arial" w:cs="Arial" w:eastAsia="Arial" w:hAnsi="Arial"/>
          <w:sz w:val="18"/>
          <w:szCs w:val="18"/>
          <w:color w:val="auto"/>
        </w:rPr>
        <w:t>A diagram of our Board’s allocation of risk management responsibility is as follows: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4"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Director Compensation</w:t>
      </w:r>
    </w:p>
    <w:p>
      <w:pPr>
        <w:spacing w:after="0" w:line="121" w:lineRule="exact"/>
        <w:rPr>
          <w:sz w:val="20"/>
          <w:szCs w:val="20"/>
          <w:color w:val="auto"/>
        </w:rPr>
      </w:pPr>
    </w:p>
    <w:p>
      <w:pPr>
        <w:ind w:left="200" w:firstLine="771"/>
        <w:spacing w:after="0" w:line="255" w:lineRule="auto"/>
        <w:rPr>
          <w:sz w:val="20"/>
          <w:szCs w:val="20"/>
          <w:color w:val="auto"/>
        </w:rPr>
      </w:pPr>
      <w:r>
        <w:rPr>
          <w:rFonts w:ascii="Arial" w:cs="Arial" w:eastAsia="Arial" w:hAnsi="Arial"/>
          <w:sz w:val="18"/>
          <w:szCs w:val="18"/>
          <w:color w:val="auto"/>
        </w:rPr>
        <w:t>The Compensation Committee periodically reviews the form and amount of compensation paid to our independent directors against peer companies and general industry data and makes recommendations for adjustments, as appropriate, to the full Board of Directors. The Compensation Committee regularly consults with FW Cook, which conducts assessments of the competitiveness of our non-employee director compensation levels relative to comparable companies and provides advice on the design and structure of the program to ensure it remains consistent with corporate governance best practices. FW Cook also provides the Committee general market information, as well as information on recent trends and developments in non-employee director compensation.</w:t>
      </w:r>
    </w:p>
    <w:p>
      <w:pPr>
        <w:spacing w:after="0" w:line="193" w:lineRule="exact"/>
        <w:rPr>
          <w:sz w:val="20"/>
          <w:szCs w:val="20"/>
          <w:color w:val="auto"/>
        </w:rPr>
      </w:pPr>
    </w:p>
    <w:p>
      <w:pPr>
        <w:jc w:val="both"/>
        <w:ind w:left="200" w:right="80" w:firstLine="771"/>
        <w:spacing w:after="0" w:line="312" w:lineRule="auto"/>
        <w:rPr>
          <w:sz w:val="20"/>
          <w:szCs w:val="20"/>
          <w:color w:val="auto"/>
        </w:rPr>
      </w:pPr>
      <w:r>
        <w:rPr>
          <w:rFonts w:ascii="Arial" w:cs="Arial" w:eastAsia="Arial" w:hAnsi="Arial"/>
          <w:sz w:val="16"/>
          <w:szCs w:val="16"/>
          <w:color w:val="auto"/>
        </w:rPr>
        <w:t>As described in more detail below, we compensate our independent directors with cash retainers and equity-based awards. Directors who are employees of the Company or our subsidiaries do not receive any compensation from us for service as a member of the Board of Directors although we reimburse all of our directors for travel expenses incurred in connection with Board and committee meetings and Board-related functions.</w:t>
      </w:r>
    </w:p>
    <w:p>
      <w:pPr>
        <w:spacing w:after="0" w:line="147" w:lineRule="exact"/>
        <w:rPr>
          <w:sz w:val="20"/>
          <w:szCs w:val="20"/>
          <w:color w:val="auto"/>
        </w:rPr>
      </w:pPr>
    </w:p>
    <w:p>
      <w:pPr>
        <w:ind w:left="200" w:right="80" w:firstLine="771"/>
        <w:spacing w:after="0" w:line="255" w:lineRule="auto"/>
        <w:rPr>
          <w:sz w:val="20"/>
          <w:szCs w:val="20"/>
          <w:color w:val="auto"/>
        </w:rPr>
      </w:pPr>
      <w:r>
        <w:rPr>
          <w:rFonts w:ascii="Arial" w:cs="Arial" w:eastAsia="Arial" w:hAnsi="Arial"/>
          <w:sz w:val="18"/>
          <w:szCs w:val="18"/>
          <w:color w:val="auto"/>
        </w:rPr>
        <w:t>Independent directors are paid a cash retainer for service on the Board of Directors at the rate of $100,000 per year, payable quarterly in advance. The Chair of our Audit Committee receives an additional annual retainer of $25,000, payable quarterly in advance. Effective July 1, 2017, the Chair of our Compensation Committee receives an additional annual retainer of $25,000, and our Chair and lead independent director receives an additional annual retainer of $50,000, each payable quarterly in advance. Previously, independent directors serving in these leadership roles received an additional annual retainer of $10,000. In connection with the Internalization, our lead independent director also became the Chair of our Board of Directors, a position</w:t>
      </w:r>
    </w:p>
    <w:p>
      <w:pPr>
        <w:spacing w:after="0" w:line="310"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10</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00"/>
          </w:cols>
          <w:pgMar w:left="240" w:top="459" w:right="459" w:bottom="1440" w:gutter="0" w:footer="0" w:header="0"/>
        </w:sectPr>
      </w:pPr>
    </w:p>
    <w:bookmarkStart w:id="14" w:name="page15"/>
    <w:bookmarkEnd w:id="1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8660"/>
        <w:spacing w:after="0"/>
        <w:rPr>
          <w:sz w:val="20"/>
          <w:szCs w:val="20"/>
          <w:color w:val="auto"/>
        </w:rPr>
      </w:pPr>
      <w:r>
        <w:rPr>
          <w:rFonts w:ascii="Arial" w:cs="Arial" w:eastAsia="Arial" w:hAnsi="Arial"/>
          <w:sz w:val="13"/>
          <w:szCs w:val="13"/>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53975</wp:posOffset>
            </wp:positionV>
            <wp:extent cx="6997700" cy="889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40" w:lineRule="exact"/>
        <w:rPr>
          <w:sz w:val="20"/>
          <w:szCs w:val="20"/>
          <w:color w:val="auto"/>
        </w:rPr>
      </w:pPr>
    </w:p>
    <w:p>
      <w:pPr>
        <w:ind w:left="200"/>
        <w:spacing w:after="0" w:line="257" w:lineRule="auto"/>
        <w:rPr>
          <w:sz w:val="20"/>
          <w:szCs w:val="20"/>
          <w:color w:val="auto"/>
        </w:rPr>
      </w:pPr>
      <w:r>
        <w:rPr>
          <w:rFonts w:ascii="Arial" w:cs="Arial" w:eastAsia="Arial" w:hAnsi="Arial"/>
          <w:sz w:val="18"/>
          <w:szCs w:val="18"/>
          <w:color w:val="auto"/>
        </w:rPr>
        <w:t>previously held by an interested director, leading to an increase in her responsibilities in setting the agenda and coordinating with management. Also as a result of the Internalization, the Compensation Committee became directly responsible for determining and overseeing the Company’s compensation programs, a task previously handled by our external manager. After completing a review of compensation paid to independent directors serving in similar positions at comparable companies and in consultation with FW Cook, the Board concluded that these increases were reasonable in light of the increases in responsibility and work required of each role.</w:t>
      </w:r>
    </w:p>
    <w:p>
      <w:pPr>
        <w:spacing w:after="0" w:line="188" w:lineRule="exact"/>
        <w:rPr>
          <w:sz w:val="20"/>
          <w:szCs w:val="20"/>
          <w:color w:val="auto"/>
        </w:rPr>
      </w:pPr>
    </w:p>
    <w:p>
      <w:pPr>
        <w:ind w:left="200" w:right="120" w:firstLine="771"/>
        <w:spacing w:after="0" w:line="297" w:lineRule="auto"/>
        <w:rPr>
          <w:sz w:val="20"/>
          <w:szCs w:val="20"/>
          <w:color w:val="auto"/>
        </w:rPr>
      </w:pPr>
      <w:r>
        <w:rPr>
          <w:rFonts w:ascii="Arial" w:cs="Arial" w:eastAsia="Arial" w:hAnsi="Arial"/>
          <w:sz w:val="16"/>
          <w:szCs w:val="16"/>
          <w:color w:val="auto"/>
        </w:rPr>
        <w:t>The Board believes that a substantial portion of director compensation should consist of equity-based compensation to assist in aligning the long-term interests of our directors with those of our stockholders. On April 20, 2017, each of our independent directors received 6,050 restricted stock units (“RSUs”) under the AGNC Investment Corp. 2016 Equity and Incentive Compensation Plan (the “2016 Plan”), which is described in more detail below. The RSUs vest on May 20, 2018, subject to the director’s continued service on our Board of Directors through the vesting date. Each RSU represents the right to receive an equivalent number of shares of our common stock, plus dividend equivalents, subject to the terms of the 2016 Plan.</w:t>
      </w:r>
    </w:p>
    <w:p>
      <w:pPr>
        <w:spacing w:after="0" w:line="158" w:lineRule="exact"/>
        <w:rPr>
          <w:sz w:val="20"/>
          <w:szCs w:val="20"/>
          <w:color w:val="auto"/>
        </w:rPr>
      </w:pPr>
    </w:p>
    <w:p>
      <w:pPr>
        <w:ind w:left="980"/>
        <w:spacing w:after="0"/>
        <w:rPr>
          <w:sz w:val="20"/>
          <w:szCs w:val="20"/>
          <w:color w:val="auto"/>
        </w:rPr>
      </w:pPr>
      <w:r>
        <w:rPr>
          <w:rFonts w:ascii="Arial" w:cs="Arial" w:eastAsia="Arial" w:hAnsi="Arial"/>
          <w:sz w:val="18"/>
          <w:szCs w:val="18"/>
          <w:color w:val="auto"/>
        </w:rPr>
        <w:t>The following table sets forth the compensation received by each independent director during 2017:</w:t>
      </w:r>
    </w:p>
    <w:p>
      <w:pPr>
        <w:spacing w:after="0" w:line="247" w:lineRule="exact"/>
        <w:rPr>
          <w:sz w:val="20"/>
          <w:szCs w:val="20"/>
          <w:color w:val="auto"/>
        </w:rPr>
      </w:pPr>
    </w:p>
    <w:tbl>
      <w:tblPr>
        <w:tblLayout w:type="fixed"/>
        <w:tblInd w:w="1980" w:type="dxa"/>
        <w:tblCellMar>
          <w:top w:w="0" w:type="dxa"/>
          <w:left w:w="0" w:type="dxa"/>
          <w:bottom w:w="0" w:type="dxa"/>
          <w:right w:w="0" w:type="dxa"/>
        </w:tblCellMar>
      </w:tblPr>
      <w:tr>
        <w:trPr>
          <w:trHeight w:val="130"/>
        </w:trPr>
        <w:tc>
          <w:tcPr>
            <w:tcW w:w="2900" w:type="dxa"/>
            <w:vAlign w:val="bottom"/>
            <w:tcBorders>
              <w:top w:val="single" w:sz="8" w:color="407CCA"/>
            </w:tcBorders>
          </w:tcPr>
          <w:p>
            <w:pPr>
              <w:spacing w:after="0"/>
              <w:rPr>
                <w:sz w:val="11"/>
                <w:szCs w:val="11"/>
                <w:color w:val="auto"/>
              </w:rPr>
            </w:pPr>
          </w:p>
        </w:tc>
        <w:tc>
          <w:tcPr>
            <w:tcW w:w="2540" w:type="dxa"/>
            <w:vAlign w:val="bottom"/>
            <w:tcBorders>
              <w:top w:val="single" w:sz="8" w:color="407CCA"/>
            </w:tcBorders>
          </w:tcPr>
          <w:p>
            <w:pPr>
              <w:jc w:val="center"/>
              <w:ind w:left="1223"/>
              <w:spacing w:after="0" w:line="131" w:lineRule="exact"/>
              <w:rPr>
                <w:sz w:val="20"/>
                <w:szCs w:val="20"/>
                <w:color w:val="auto"/>
              </w:rPr>
            </w:pPr>
            <w:r>
              <w:rPr>
                <w:rFonts w:ascii="Arial" w:cs="Arial" w:eastAsia="Arial" w:hAnsi="Arial"/>
                <w:sz w:val="13"/>
                <w:szCs w:val="13"/>
                <w:b w:val="1"/>
                <w:bCs w:val="1"/>
                <w:color w:val="auto"/>
                <w:w w:val="87"/>
              </w:rPr>
              <w:t>Fees Earned</w:t>
            </w:r>
          </w:p>
        </w:tc>
        <w:tc>
          <w:tcPr>
            <w:tcW w:w="1120" w:type="dxa"/>
            <w:vAlign w:val="bottom"/>
            <w:tcBorders>
              <w:top w:val="single" w:sz="8" w:color="407CCA"/>
            </w:tcBorders>
          </w:tcPr>
          <w:p>
            <w:pPr>
              <w:spacing w:after="0"/>
              <w:rPr>
                <w:sz w:val="11"/>
                <w:szCs w:val="11"/>
                <w:color w:val="auto"/>
              </w:rPr>
            </w:pPr>
          </w:p>
        </w:tc>
        <w:tc>
          <w:tcPr>
            <w:tcW w:w="920" w:type="dxa"/>
            <w:vAlign w:val="bottom"/>
            <w:tcBorders>
              <w:top w:val="single" w:sz="8" w:color="407CCA"/>
            </w:tcBorders>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2900" w:type="dxa"/>
            <w:vAlign w:val="bottom"/>
          </w:tcPr>
          <w:p>
            <w:pPr>
              <w:spacing w:after="0"/>
              <w:rPr>
                <w:sz w:val="11"/>
                <w:szCs w:val="11"/>
                <w:color w:val="auto"/>
              </w:rPr>
            </w:pPr>
          </w:p>
        </w:tc>
        <w:tc>
          <w:tcPr>
            <w:tcW w:w="2540" w:type="dxa"/>
            <w:vAlign w:val="bottom"/>
          </w:tcPr>
          <w:p>
            <w:pPr>
              <w:jc w:val="center"/>
              <w:ind w:left="1223"/>
              <w:spacing w:after="0" w:line="135" w:lineRule="exact"/>
              <w:rPr>
                <w:sz w:val="20"/>
                <w:szCs w:val="20"/>
                <w:color w:val="auto"/>
              </w:rPr>
            </w:pPr>
            <w:r>
              <w:rPr>
                <w:rFonts w:ascii="Arial" w:cs="Arial" w:eastAsia="Arial" w:hAnsi="Arial"/>
                <w:sz w:val="13"/>
                <w:szCs w:val="13"/>
                <w:b w:val="1"/>
                <w:bCs w:val="1"/>
                <w:color w:val="auto"/>
                <w:w w:val="87"/>
              </w:rPr>
              <w:t>or Paid in</w:t>
            </w:r>
          </w:p>
        </w:tc>
        <w:tc>
          <w:tcPr>
            <w:tcW w:w="1120" w:type="dxa"/>
            <w:vAlign w:val="bottom"/>
          </w:tcPr>
          <w:p>
            <w:pPr>
              <w:jc w:val="center"/>
              <w:ind w:right="22"/>
              <w:spacing w:after="0" w:line="135" w:lineRule="exact"/>
              <w:rPr>
                <w:sz w:val="20"/>
                <w:szCs w:val="20"/>
                <w:color w:val="auto"/>
              </w:rPr>
            </w:pPr>
            <w:r>
              <w:rPr>
                <w:rFonts w:ascii="Arial" w:cs="Arial" w:eastAsia="Arial" w:hAnsi="Arial"/>
                <w:sz w:val="13"/>
                <w:szCs w:val="13"/>
                <w:b w:val="1"/>
                <w:bCs w:val="1"/>
                <w:color w:val="auto"/>
                <w:w w:val="84"/>
              </w:rPr>
              <w:t>Stock</w:t>
            </w:r>
          </w:p>
        </w:tc>
        <w:tc>
          <w:tcPr>
            <w:tcW w:w="9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2900" w:type="dxa"/>
            <w:vAlign w:val="bottom"/>
            <w:vMerge w:val="restart"/>
          </w:tcPr>
          <w:p>
            <w:pPr>
              <w:ind w:left="80"/>
              <w:spacing w:after="0"/>
              <w:rPr>
                <w:sz w:val="20"/>
                <w:szCs w:val="20"/>
                <w:color w:val="auto"/>
              </w:rPr>
            </w:pPr>
            <w:r>
              <w:rPr>
                <w:rFonts w:ascii="Arial" w:cs="Arial" w:eastAsia="Arial" w:hAnsi="Arial"/>
                <w:sz w:val="18"/>
                <w:szCs w:val="18"/>
                <w:b w:val="1"/>
                <w:bCs w:val="1"/>
                <w:color w:val="auto"/>
              </w:rPr>
              <w:t>Name</w:t>
            </w:r>
          </w:p>
        </w:tc>
        <w:tc>
          <w:tcPr>
            <w:tcW w:w="2540" w:type="dxa"/>
            <w:vAlign w:val="bottom"/>
          </w:tcPr>
          <w:p>
            <w:pPr>
              <w:jc w:val="center"/>
              <w:ind w:left="1223"/>
              <w:spacing w:after="0" w:line="135" w:lineRule="exact"/>
              <w:rPr>
                <w:sz w:val="20"/>
                <w:szCs w:val="20"/>
                <w:color w:val="auto"/>
              </w:rPr>
            </w:pPr>
            <w:r>
              <w:rPr>
                <w:rFonts w:ascii="Arial" w:cs="Arial" w:eastAsia="Arial" w:hAnsi="Arial"/>
                <w:sz w:val="13"/>
                <w:szCs w:val="13"/>
                <w:b w:val="1"/>
                <w:bCs w:val="1"/>
                <w:color w:val="auto"/>
                <w:w w:val="87"/>
              </w:rPr>
              <w:t>Cash</w:t>
            </w:r>
          </w:p>
        </w:tc>
        <w:tc>
          <w:tcPr>
            <w:tcW w:w="1120" w:type="dxa"/>
            <w:vAlign w:val="bottom"/>
          </w:tcPr>
          <w:p>
            <w:pPr>
              <w:jc w:val="center"/>
              <w:ind w:right="42"/>
              <w:spacing w:after="0" w:line="135" w:lineRule="exact"/>
              <w:rPr>
                <w:sz w:val="20"/>
                <w:szCs w:val="20"/>
                <w:color w:val="auto"/>
              </w:rPr>
            </w:pPr>
            <w:r>
              <w:rPr>
                <w:rFonts w:ascii="Arial" w:cs="Arial" w:eastAsia="Arial" w:hAnsi="Arial"/>
                <w:sz w:val="13"/>
                <w:szCs w:val="13"/>
                <w:b w:val="1"/>
                <w:bCs w:val="1"/>
                <w:color w:val="auto"/>
                <w:w w:val="85"/>
              </w:rPr>
              <w:t>Awards</w:t>
            </w:r>
          </w:p>
        </w:tc>
        <w:tc>
          <w:tcPr>
            <w:tcW w:w="920" w:type="dxa"/>
            <w:vAlign w:val="bottom"/>
          </w:tcPr>
          <w:p>
            <w:pPr>
              <w:jc w:val="right"/>
              <w:ind w:right="199"/>
              <w:spacing w:after="0" w:line="135" w:lineRule="exact"/>
              <w:rPr>
                <w:sz w:val="20"/>
                <w:szCs w:val="20"/>
                <w:color w:val="auto"/>
              </w:rPr>
            </w:pPr>
            <w:r>
              <w:rPr>
                <w:rFonts w:ascii="Arial" w:cs="Arial" w:eastAsia="Arial" w:hAnsi="Arial"/>
                <w:sz w:val="13"/>
                <w:szCs w:val="13"/>
                <w:b w:val="1"/>
                <w:bCs w:val="1"/>
                <w:color w:val="auto"/>
              </w:rPr>
              <w:t>Total</w:t>
            </w:r>
          </w:p>
        </w:tc>
        <w:tc>
          <w:tcPr>
            <w:tcW w:w="0" w:type="dxa"/>
            <w:vAlign w:val="bottom"/>
          </w:tcPr>
          <w:p>
            <w:pPr>
              <w:spacing w:after="0"/>
              <w:rPr>
                <w:sz w:val="1"/>
                <w:szCs w:val="1"/>
                <w:color w:val="auto"/>
              </w:rPr>
            </w:pPr>
          </w:p>
        </w:tc>
      </w:tr>
      <w:tr>
        <w:trPr>
          <w:trHeight w:val="153"/>
        </w:trPr>
        <w:tc>
          <w:tcPr>
            <w:tcW w:w="2900" w:type="dxa"/>
            <w:vAlign w:val="bottom"/>
            <w:tcBorders>
              <w:bottom w:val="single" w:sz="8" w:color="407CCA"/>
            </w:tcBorders>
            <w:vMerge w:val="continue"/>
          </w:tcPr>
          <w:p>
            <w:pPr>
              <w:spacing w:after="0"/>
              <w:rPr>
                <w:sz w:val="13"/>
                <w:szCs w:val="13"/>
                <w:color w:val="auto"/>
              </w:rPr>
            </w:pPr>
          </w:p>
        </w:tc>
        <w:tc>
          <w:tcPr>
            <w:tcW w:w="2540" w:type="dxa"/>
            <w:vAlign w:val="bottom"/>
            <w:tcBorders>
              <w:bottom w:val="single" w:sz="8" w:color="407CCA"/>
            </w:tcBorders>
          </w:tcPr>
          <w:p>
            <w:pPr>
              <w:jc w:val="center"/>
              <w:ind w:left="1223"/>
              <w:spacing w:after="0"/>
              <w:rPr>
                <w:sz w:val="20"/>
                <w:szCs w:val="20"/>
                <w:color w:val="auto"/>
              </w:rPr>
            </w:pPr>
            <w:r>
              <w:rPr>
                <w:rFonts w:ascii="Arial" w:cs="Arial" w:eastAsia="Arial" w:hAnsi="Arial"/>
                <w:sz w:val="13"/>
                <w:szCs w:val="13"/>
                <w:b w:val="1"/>
                <w:bCs w:val="1"/>
                <w:color w:val="auto"/>
              </w:rPr>
              <w:t>($)</w:t>
            </w:r>
          </w:p>
        </w:tc>
        <w:tc>
          <w:tcPr>
            <w:tcW w:w="1120" w:type="dxa"/>
            <w:vAlign w:val="bottom"/>
            <w:tcBorders>
              <w:bottom w:val="single" w:sz="8" w:color="407CCA"/>
            </w:tcBorders>
          </w:tcPr>
          <w:p>
            <w:pPr>
              <w:jc w:val="center"/>
              <w:ind w:right="42"/>
              <w:spacing w:after="0"/>
              <w:rPr>
                <w:sz w:val="20"/>
                <w:szCs w:val="20"/>
                <w:color w:val="auto"/>
              </w:rPr>
            </w:pPr>
            <w:r>
              <w:rPr>
                <w:rFonts w:ascii="Arial" w:cs="Arial" w:eastAsia="Arial" w:hAnsi="Arial"/>
                <w:sz w:val="13"/>
                <w:szCs w:val="13"/>
                <w:b w:val="1"/>
                <w:bCs w:val="1"/>
                <w:color w:val="auto"/>
                <w:w w:val="99"/>
              </w:rPr>
              <w:t>($)</w:t>
            </w:r>
            <w:r>
              <w:rPr>
                <w:rFonts w:ascii="Arial" w:cs="Arial" w:eastAsia="Arial" w:hAnsi="Arial"/>
                <w:sz w:val="10"/>
                <w:szCs w:val="10"/>
                <w:b w:val="1"/>
                <w:bCs w:val="1"/>
                <w:color w:val="auto"/>
                <w:w w:val="99"/>
              </w:rPr>
              <w:t>(1)</w:t>
            </w:r>
          </w:p>
        </w:tc>
        <w:tc>
          <w:tcPr>
            <w:tcW w:w="920" w:type="dxa"/>
            <w:vAlign w:val="bottom"/>
            <w:tcBorders>
              <w:bottom w:val="single" w:sz="8" w:color="407CCA"/>
            </w:tcBorders>
          </w:tcPr>
          <w:p>
            <w:pPr>
              <w:jc w:val="right"/>
              <w:ind w:right="279"/>
              <w:spacing w:after="0"/>
              <w:rPr>
                <w:sz w:val="20"/>
                <w:szCs w:val="20"/>
                <w:color w:val="auto"/>
              </w:rPr>
            </w:pPr>
            <w:r>
              <w:rPr>
                <w:rFonts w:ascii="Arial" w:cs="Arial" w:eastAsia="Arial" w:hAnsi="Arial"/>
                <w:sz w:val="13"/>
                <w:szCs w:val="13"/>
                <w:b w:val="1"/>
                <w:bCs w:val="1"/>
                <w:color w:val="auto"/>
              </w:rPr>
              <w:t>($)</w:t>
            </w:r>
          </w:p>
        </w:tc>
        <w:tc>
          <w:tcPr>
            <w:tcW w:w="0" w:type="dxa"/>
            <w:vAlign w:val="bottom"/>
          </w:tcPr>
          <w:p>
            <w:pPr>
              <w:spacing w:after="0"/>
              <w:rPr>
                <w:sz w:val="1"/>
                <w:szCs w:val="1"/>
                <w:color w:val="auto"/>
              </w:rPr>
            </w:pPr>
          </w:p>
        </w:tc>
      </w:tr>
      <w:tr>
        <w:trPr>
          <w:trHeight w:val="195"/>
        </w:trPr>
        <w:tc>
          <w:tcPr>
            <w:tcW w:w="2900" w:type="dxa"/>
            <w:vAlign w:val="bottom"/>
          </w:tcPr>
          <w:p>
            <w:pPr>
              <w:ind w:left="80"/>
              <w:spacing w:after="0" w:line="195" w:lineRule="exact"/>
              <w:rPr>
                <w:sz w:val="20"/>
                <w:szCs w:val="20"/>
                <w:color w:val="auto"/>
              </w:rPr>
            </w:pPr>
            <w:r>
              <w:rPr>
                <w:rFonts w:ascii="Arial" w:cs="Arial" w:eastAsia="Arial" w:hAnsi="Arial"/>
                <w:sz w:val="18"/>
                <w:szCs w:val="18"/>
                <w:color w:val="auto"/>
              </w:rPr>
              <w:t>Morris A. Davis</w:t>
            </w:r>
          </w:p>
        </w:tc>
        <w:tc>
          <w:tcPr>
            <w:tcW w:w="2540" w:type="dxa"/>
            <w:vAlign w:val="bottom"/>
          </w:tcPr>
          <w:p>
            <w:pPr>
              <w:jc w:val="right"/>
              <w:ind w:right="183"/>
              <w:spacing w:after="0" w:line="195" w:lineRule="exact"/>
              <w:rPr>
                <w:sz w:val="20"/>
                <w:szCs w:val="20"/>
                <w:color w:val="auto"/>
              </w:rPr>
            </w:pPr>
            <w:r>
              <w:rPr>
                <w:rFonts w:ascii="Arial" w:cs="Arial" w:eastAsia="Arial" w:hAnsi="Arial"/>
                <w:sz w:val="18"/>
                <w:szCs w:val="18"/>
                <w:color w:val="auto"/>
              </w:rPr>
              <w:t>117,500</w:t>
            </w:r>
          </w:p>
        </w:tc>
        <w:tc>
          <w:tcPr>
            <w:tcW w:w="1120" w:type="dxa"/>
            <w:vAlign w:val="bottom"/>
          </w:tcPr>
          <w:p>
            <w:pPr>
              <w:jc w:val="right"/>
              <w:ind w:right="202"/>
              <w:spacing w:after="0" w:line="195" w:lineRule="exact"/>
              <w:rPr>
                <w:sz w:val="20"/>
                <w:szCs w:val="20"/>
                <w:color w:val="auto"/>
              </w:rPr>
            </w:pPr>
            <w:r>
              <w:rPr>
                <w:rFonts w:ascii="Arial" w:cs="Arial" w:eastAsia="Arial" w:hAnsi="Arial"/>
                <w:sz w:val="18"/>
                <w:szCs w:val="18"/>
                <w:color w:val="auto"/>
              </w:rPr>
              <w:t>125,000</w:t>
            </w:r>
          </w:p>
        </w:tc>
        <w:tc>
          <w:tcPr>
            <w:tcW w:w="920" w:type="dxa"/>
            <w:vAlign w:val="bottom"/>
          </w:tcPr>
          <w:p>
            <w:pPr>
              <w:jc w:val="right"/>
              <w:spacing w:after="0" w:line="195" w:lineRule="exact"/>
              <w:rPr>
                <w:sz w:val="20"/>
                <w:szCs w:val="20"/>
                <w:color w:val="auto"/>
              </w:rPr>
            </w:pPr>
            <w:r>
              <w:rPr>
                <w:rFonts w:ascii="Arial" w:cs="Arial" w:eastAsia="Arial" w:hAnsi="Arial"/>
                <w:sz w:val="18"/>
                <w:szCs w:val="18"/>
                <w:color w:val="auto"/>
              </w:rPr>
              <w:t>242,500</w:t>
            </w:r>
          </w:p>
        </w:tc>
        <w:tc>
          <w:tcPr>
            <w:tcW w:w="0" w:type="dxa"/>
            <w:vAlign w:val="bottom"/>
          </w:tcPr>
          <w:p>
            <w:pPr>
              <w:spacing w:after="0"/>
              <w:rPr>
                <w:sz w:val="1"/>
                <w:szCs w:val="1"/>
                <w:color w:val="auto"/>
              </w:rPr>
            </w:pPr>
          </w:p>
        </w:tc>
      </w:tr>
      <w:tr>
        <w:trPr>
          <w:trHeight w:val="216"/>
        </w:trPr>
        <w:tc>
          <w:tcPr>
            <w:tcW w:w="2900" w:type="dxa"/>
            <w:vAlign w:val="bottom"/>
          </w:tcPr>
          <w:p>
            <w:pPr>
              <w:ind w:left="80"/>
              <w:spacing w:after="0"/>
              <w:rPr>
                <w:sz w:val="20"/>
                <w:szCs w:val="20"/>
                <w:color w:val="auto"/>
              </w:rPr>
            </w:pPr>
            <w:r>
              <w:rPr>
                <w:rFonts w:ascii="Arial" w:cs="Arial" w:eastAsia="Arial" w:hAnsi="Arial"/>
                <w:sz w:val="18"/>
                <w:szCs w:val="18"/>
                <w:color w:val="auto"/>
              </w:rPr>
              <w:t>Larry K. Harvey</w:t>
            </w:r>
          </w:p>
        </w:tc>
        <w:tc>
          <w:tcPr>
            <w:tcW w:w="2540" w:type="dxa"/>
            <w:vAlign w:val="bottom"/>
          </w:tcPr>
          <w:p>
            <w:pPr>
              <w:jc w:val="right"/>
              <w:ind w:right="183"/>
              <w:spacing w:after="0"/>
              <w:rPr>
                <w:sz w:val="20"/>
                <w:szCs w:val="20"/>
                <w:color w:val="auto"/>
              </w:rPr>
            </w:pPr>
            <w:r>
              <w:rPr>
                <w:rFonts w:ascii="Arial" w:cs="Arial" w:eastAsia="Arial" w:hAnsi="Arial"/>
                <w:sz w:val="18"/>
                <w:szCs w:val="18"/>
                <w:color w:val="auto"/>
              </w:rPr>
              <w:t>125,000</w:t>
            </w:r>
          </w:p>
        </w:tc>
        <w:tc>
          <w:tcPr>
            <w:tcW w:w="1120" w:type="dxa"/>
            <w:vAlign w:val="bottom"/>
          </w:tcPr>
          <w:p>
            <w:pPr>
              <w:jc w:val="right"/>
              <w:ind w:right="202"/>
              <w:spacing w:after="0"/>
              <w:rPr>
                <w:sz w:val="20"/>
                <w:szCs w:val="20"/>
                <w:color w:val="auto"/>
              </w:rPr>
            </w:pPr>
            <w:r>
              <w:rPr>
                <w:rFonts w:ascii="Arial" w:cs="Arial" w:eastAsia="Arial" w:hAnsi="Arial"/>
                <w:sz w:val="18"/>
                <w:szCs w:val="18"/>
                <w:color w:val="auto"/>
              </w:rPr>
              <w:t>125,000</w:t>
            </w:r>
          </w:p>
        </w:tc>
        <w:tc>
          <w:tcPr>
            <w:tcW w:w="920" w:type="dxa"/>
            <w:vAlign w:val="bottom"/>
          </w:tcPr>
          <w:p>
            <w:pPr>
              <w:jc w:val="right"/>
              <w:spacing w:after="0"/>
              <w:rPr>
                <w:sz w:val="20"/>
                <w:szCs w:val="20"/>
                <w:color w:val="auto"/>
              </w:rPr>
            </w:pPr>
            <w:r>
              <w:rPr>
                <w:rFonts w:ascii="Arial" w:cs="Arial" w:eastAsia="Arial" w:hAnsi="Arial"/>
                <w:sz w:val="18"/>
                <w:szCs w:val="18"/>
                <w:color w:val="auto"/>
              </w:rPr>
              <w:t>250,000</w:t>
            </w:r>
          </w:p>
        </w:tc>
        <w:tc>
          <w:tcPr>
            <w:tcW w:w="0" w:type="dxa"/>
            <w:vAlign w:val="bottom"/>
          </w:tcPr>
          <w:p>
            <w:pPr>
              <w:spacing w:after="0"/>
              <w:rPr>
                <w:sz w:val="1"/>
                <w:szCs w:val="1"/>
                <w:color w:val="auto"/>
              </w:rPr>
            </w:pPr>
          </w:p>
        </w:tc>
      </w:tr>
      <w:tr>
        <w:trPr>
          <w:trHeight w:val="216"/>
        </w:trPr>
        <w:tc>
          <w:tcPr>
            <w:tcW w:w="2900" w:type="dxa"/>
            <w:vAlign w:val="bottom"/>
          </w:tcPr>
          <w:p>
            <w:pPr>
              <w:ind w:left="80"/>
              <w:spacing w:after="0"/>
              <w:rPr>
                <w:sz w:val="20"/>
                <w:szCs w:val="20"/>
                <w:color w:val="auto"/>
              </w:rPr>
            </w:pPr>
            <w:r>
              <w:rPr>
                <w:rFonts w:ascii="Arial" w:cs="Arial" w:eastAsia="Arial" w:hAnsi="Arial"/>
                <w:sz w:val="18"/>
                <w:szCs w:val="18"/>
                <w:color w:val="auto"/>
              </w:rPr>
              <w:t>Prue B. Larocca</w:t>
            </w:r>
          </w:p>
        </w:tc>
        <w:tc>
          <w:tcPr>
            <w:tcW w:w="2540" w:type="dxa"/>
            <w:vAlign w:val="bottom"/>
          </w:tcPr>
          <w:p>
            <w:pPr>
              <w:jc w:val="right"/>
              <w:ind w:right="183"/>
              <w:spacing w:after="0"/>
              <w:rPr>
                <w:sz w:val="20"/>
                <w:szCs w:val="20"/>
                <w:color w:val="auto"/>
              </w:rPr>
            </w:pPr>
            <w:r>
              <w:rPr>
                <w:rFonts w:ascii="Arial" w:cs="Arial" w:eastAsia="Arial" w:hAnsi="Arial"/>
                <w:sz w:val="18"/>
                <w:szCs w:val="18"/>
                <w:color w:val="auto"/>
              </w:rPr>
              <w:t>130,000</w:t>
            </w:r>
          </w:p>
        </w:tc>
        <w:tc>
          <w:tcPr>
            <w:tcW w:w="1120" w:type="dxa"/>
            <w:vAlign w:val="bottom"/>
          </w:tcPr>
          <w:p>
            <w:pPr>
              <w:jc w:val="right"/>
              <w:ind w:right="202"/>
              <w:spacing w:after="0"/>
              <w:rPr>
                <w:sz w:val="20"/>
                <w:szCs w:val="20"/>
                <w:color w:val="auto"/>
              </w:rPr>
            </w:pPr>
            <w:r>
              <w:rPr>
                <w:rFonts w:ascii="Arial" w:cs="Arial" w:eastAsia="Arial" w:hAnsi="Arial"/>
                <w:sz w:val="18"/>
                <w:szCs w:val="18"/>
                <w:color w:val="auto"/>
              </w:rPr>
              <w:t>125,000</w:t>
            </w:r>
          </w:p>
        </w:tc>
        <w:tc>
          <w:tcPr>
            <w:tcW w:w="920" w:type="dxa"/>
            <w:vAlign w:val="bottom"/>
          </w:tcPr>
          <w:p>
            <w:pPr>
              <w:jc w:val="right"/>
              <w:spacing w:after="0"/>
              <w:rPr>
                <w:sz w:val="20"/>
                <w:szCs w:val="20"/>
                <w:color w:val="auto"/>
              </w:rPr>
            </w:pPr>
            <w:r>
              <w:rPr>
                <w:rFonts w:ascii="Arial" w:cs="Arial" w:eastAsia="Arial" w:hAnsi="Arial"/>
                <w:sz w:val="18"/>
                <w:szCs w:val="18"/>
                <w:color w:val="auto"/>
              </w:rPr>
              <w:t>255,000</w:t>
            </w:r>
          </w:p>
        </w:tc>
        <w:tc>
          <w:tcPr>
            <w:tcW w:w="0" w:type="dxa"/>
            <w:vAlign w:val="bottom"/>
          </w:tcPr>
          <w:p>
            <w:pPr>
              <w:spacing w:after="0"/>
              <w:rPr>
                <w:sz w:val="1"/>
                <w:szCs w:val="1"/>
                <w:color w:val="auto"/>
              </w:rPr>
            </w:pPr>
          </w:p>
        </w:tc>
      </w:tr>
      <w:tr>
        <w:trPr>
          <w:trHeight w:val="230"/>
        </w:trPr>
        <w:tc>
          <w:tcPr>
            <w:tcW w:w="2900" w:type="dxa"/>
            <w:vAlign w:val="bottom"/>
            <w:tcBorders>
              <w:bottom w:val="single" w:sz="8" w:color="407CCA"/>
            </w:tcBorders>
          </w:tcPr>
          <w:p>
            <w:pPr>
              <w:ind w:left="80"/>
              <w:spacing w:after="0"/>
              <w:rPr>
                <w:sz w:val="20"/>
                <w:szCs w:val="20"/>
                <w:color w:val="auto"/>
              </w:rPr>
            </w:pPr>
            <w:r>
              <w:rPr>
                <w:rFonts w:ascii="Arial" w:cs="Arial" w:eastAsia="Arial" w:hAnsi="Arial"/>
                <w:sz w:val="18"/>
                <w:szCs w:val="18"/>
                <w:color w:val="auto"/>
              </w:rPr>
              <w:t>Paul E. Mullings</w:t>
            </w:r>
          </w:p>
        </w:tc>
        <w:tc>
          <w:tcPr>
            <w:tcW w:w="2540" w:type="dxa"/>
            <w:vAlign w:val="bottom"/>
            <w:tcBorders>
              <w:bottom w:val="single" w:sz="8" w:color="407CCA"/>
            </w:tcBorders>
          </w:tcPr>
          <w:p>
            <w:pPr>
              <w:jc w:val="right"/>
              <w:ind w:right="183"/>
              <w:spacing w:after="0"/>
              <w:rPr>
                <w:sz w:val="20"/>
                <w:szCs w:val="20"/>
                <w:color w:val="auto"/>
              </w:rPr>
            </w:pPr>
            <w:r>
              <w:rPr>
                <w:rFonts w:ascii="Arial" w:cs="Arial" w:eastAsia="Arial" w:hAnsi="Arial"/>
                <w:sz w:val="18"/>
                <w:szCs w:val="18"/>
                <w:color w:val="auto"/>
              </w:rPr>
              <w:t>100,000</w:t>
            </w:r>
          </w:p>
        </w:tc>
        <w:tc>
          <w:tcPr>
            <w:tcW w:w="1120" w:type="dxa"/>
            <w:vAlign w:val="bottom"/>
            <w:tcBorders>
              <w:bottom w:val="single" w:sz="8" w:color="407CCA"/>
            </w:tcBorders>
          </w:tcPr>
          <w:p>
            <w:pPr>
              <w:jc w:val="right"/>
              <w:ind w:right="202"/>
              <w:spacing w:after="0"/>
              <w:rPr>
                <w:sz w:val="20"/>
                <w:szCs w:val="20"/>
                <w:color w:val="auto"/>
              </w:rPr>
            </w:pPr>
            <w:r>
              <w:rPr>
                <w:rFonts w:ascii="Arial" w:cs="Arial" w:eastAsia="Arial" w:hAnsi="Arial"/>
                <w:sz w:val="18"/>
                <w:szCs w:val="18"/>
                <w:color w:val="auto"/>
              </w:rPr>
              <w:t>125,000</w:t>
            </w:r>
          </w:p>
        </w:tc>
        <w:tc>
          <w:tcPr>
            <w:tcW w:w="920" w:type="dxa"/>
            <w:vAlign w:val="bottom"/>
            <w:tcBorders>
              <w:bottom w:val="single" w:sz="8" w:color="407CCA"/>
            </w:tcBorders>
          </w:tcPr>
          <w:p>
            <w:pPr>
              <w:jc w:val="right"/>
              <w:spacing w:after="0"/>
              <w:rPr>
                <w:sz w:val="20"/>
                <w:szCs w:val="20"/>
                <w:color w:val="auto"/>
              </w:rPr>
            </w:pPr>
            <w:r>
              <w:rPr>
                <w:rFonts w:ascii="Arial" w:cs="Arial" w:eastAsia="Arial" w:hAnsi="Arial"/>
                <w:sz w:val="18"/>
                <w:szCs w:val="18"/>
                <w:color w:val="auto"/>
              </w:rPr>
              <w:t>225,000</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85725</wp:posOffset>
            </wp:positionV>
            <wp:extent cx="2444115" cy="889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2444115" cy="8890"/>
                    </a:xfrm>
                    <a:prstGeom prst="rect">
                      <a:avLst/>
                    </a:prstGeom>
                    <a:noFill/>
                  </pic:spPr>
                </pic:pic>
              </a:graphicData>
            </a:graphic>
          </wp:anchor>
        </w:drawing>
      </w:r>
    </w:p>
    <w:p>
      <w:pPr>
        <w:spacing w:after="0" w:line="150" w:lineRule="exact"/>
        <w:rPr>
          <w:sz w:val="20"/>
          <w:szCs w:val="20"/>
          <w:color w:val="auto"/>
        </w:rPr>
      </w:pPr>
    </w:p>
    <w:p>
      <w:pPr>
        <w:ind w:left="860" w:right="20" w:hanging="656"/>
        <w:spacing w:after="0" w:line="231" w:lineRule="auto"/>
        <w:tabs>
          <w:tab w:leader="none" w:pos="860" w:val="left"/>
        </w:tabs>
        <w:numPr>
          <w:ilvl w:val="0"/>
          <w:numId w:val="17"/>
        </w:numPr>
        <w:rPr>
          <w:rFonts w:ascii="Arial" w:cs="Arial" w:eastAsia="Arial" w:hAnsi="Arial"/>
          <w:sz w:val="14"/>
          <w:szCs w:val="14"/>
          <w:color w:val="auto"/>
        </w:rPr>
      </w:pPr>
      <w:r>
        <w:rPr>
          <w:rFonts w:ascii="Arial" w:cs="Arial" w:eastAsia="Arial" w:hAnsi="Arial"/>
          <w:sz w:val="14"/>
          <w:szCs w:val="14"/>
          <w:color w:val="auto"/>
        </w:rPr>
        <w:t xml:space="preserve">The amounts reported in the “Stock Awards” column represent the grant date fair value of each award granted calculated in accordance with Financial Accounting Standards Board ASC Topic 718, </w:t>
      </w:r>
      <w:r>
        <w:rPr>
          <w:rFonts w:ascii="Arial" w:cs="Arial" w:eastAsia="Arial" w:hAnsi="Arial"/>
          <w:sz w:val="14"/>
          <w:szCs w:val="14"/>
          <w:i w:val="1"/>
          <w:iCs w:val="1"/>
          <w:color w:val="auto"/>
        </w:rPr>
        <w:t>Compensation-Stock Compensation</w:t>
      </w:r>
      <w:r>
        <w:rPr>
          <w:rFonts w:ascii="Arial" w:cs="Arial" w:eastAsia="Arial" w:hAnsi="Arial"/>
          <w:sz w:val="14"/>
          <w:szCs w:val="14"/>
          <w:color w:val="auto"/>
        </w:rPr>
        <w:t xml:space="preserve"> (“ASC 718”), as required by Securities and Exchange Commission (“SEC”) regulations. Each award represents the right to receive 6,050 shares of common stock (calculated by dividing the value of the award by the closing price of a share of common stock on the grant date, which was $20.66 on April 20, 2017). As of December 31, 2017, in connection with these awards, each of Ms. Larocca, Dr. Davis, and Messrs. Harvey and Mullings had unvested RSUs relating to 6,482 shares of common stock, including dividend equivalents on the RSUs.</w:t>
      </w:r>
    </w:p>
    <w:p>
      <w:pPr>
        <w:spacing w:after="0" w:line="188"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The 2016 Plan</w:t>
      </w:r>
    </w:p>
    <w:p>
      <w:pPr>
        <w:spacing w:after="0" w:line="117" w:lineRule="exact"/>
        <w:rPr>
          <w:sz w:val="20"/>
          <w:szCs w:val="20"/>
          <w:color w:val="auto"/>
        </w:rPr>
      </w:pPr>
    </w:p>
    <w:p>
      <w:pPr>
        <w:ind w:left="200" w:right="100" w:firstLine="771"/>
        <w:spacing w:after="0" w:line="273" w:lineRule="auto"/>
        <w:rPr>
          <w:sz w:val="20"/>
          <w:szCs w:val="20"/>
          <w:color w:val="auto"/>
        </w:rPr>
      </w:pPr>
      <w:r>
        <w:rPr>
          <w:rFonts w:ascii="Arial" w:cs="Arial" w:eastAsia="Arial" w:hAnsi="Arial"/>
          <w:sz w:val="17"/>
          <w:szCs w:val="17"/>
          <w:color w:val="auto"/>
        </w:rPr>
        <w:t>The 2016 Plan authorizes the Compensation Committee to provide equity-based compensation in the form of stock options, appreciation rights, restricted shares, restricted stock units, performance shares, performance units, dividend equivalents, and certain other awards denominated or payable in, or otherwise based on, shares of common stock, plus cash incentive awards, for the purpose of providing our non-employee directors, officers, and other employees, and those of our subsidiaries, incentives and rewards for service or performance. The 2016 Plan places a limit on the dollar value of awards that may be made to a director in any year. The grant agreements for grants awarded under the 2016 Plan permit members of our Board of Directors to defer distribution of their awards for a period of up to ten years.</w:t>
      </w:r>
    </w:p>
    <w:p>
      <w:pPr>
        <w:spacing w:after="0" w:line="178"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Independent Director Plan</w:t>
      </w:r>
    </w:p>
    <w:p>
      <w:pPr>
        <w:spacing w:after="0" w:line="117"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In connection with our IPO, we established the American Capital Agency Corp. Equity Incentive Plan for Independent Directors</w:t>
      </w:r>
    </w:p>
    <w:p>
      <w:pPr>
        <w:spacing w:after="0" w:line="23" w:lineRule="exact"/>
        <w:rPr>
          <w:sz w:val="20"/>
          <w:szCs w:val="20"/>
          <w:color w:val="auto"/>
        </w:rPr>
      </w:pPr>
    </w:p>
    <w:p>
      <w:pPr>
        <w:ind w:left="200" w:right="320"/>
        <w:spacing w:after="0" w:line="261" w:lineRule="auto"/>
        <w:rPr>
          <w:sz w:val="20"/>
          <w:szCs w:val="20"/>
          <w:color w:val="auto"/>
        </w:rPr>
      </w:pPr>
      <w:r>
        <w:rPr>
          <w:rFonts w:ascii="Arial" w:cs="Arial" w:eastAsia="Arial" w:hAnsi="Arial"/>
          <w:sz w:val="18"/>
          <w:szCs w:val="18"/>
          <w:color w:val="auto"/>
        </w:rPr>
        <w:t>(the “Independent Director Plan”), which provided for the issuance of equity-based awards, including stock options, restricted stock, restricted stock units, unrestricted stock awards, and other</w:t>
      </w:r>
    </w:p>
    <w:p>
      <w:pPr>
        <w:spacing w:after="0" w:line="112"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11</w:t>
      </w:r>
    </w:p>
    <w:p>
      <w:pPr>
        <w:sectPr>
          <w:pgSz w:w="11900" w:h="16838" w:orient="portrait"/>
          <w:cols w:equalWidth="0" w:num="1">
            <w:col w:w="11220"/>
          </w:cols>
          <w:pgMar w:left="240" w:top="459" w:right="439" w:bottom="1440" w:gutter="0" w:footer="0" w:header="0"/>
        </w:sectPr>
      </w:pPr>
    </w:p>
    <w:bookmarkStart w:id="15" w:name="page16"/>
    <w:bookmarkEnd w:id="1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200" w:right="220"/>
        <w:spacing w:after="0" w:line="273" w:lineRule="auto"/>
        <w:rPr>
          <w:sz w:val="20"/>
          <w:szCs w:val="20"/>
          <w:color w:val="auto"/>
        </w:rPr>
      </w:pPr>
      <w:r>
        <w:rPr>
          <w:rFonts w:ascii="Arial" w:cs="Arial" w:eastAsia="Arial" w:hAnsi="Arial"/>
          <w:sz w:val="17"/>
          <w:szCs w:val="17"/>
          <w:color w:val="auto"/>
        </w:rPr>
        <w:t>awards based on our common stock that may be made by us to our independent directors. The Independent Director Plan was terminated when our stockholders approved the 2016 Plan on December 9, 2016, except with respect to then outstanding awards. Restricted stock units awarded under the Independent Director Plan conferred to the participant the right to receive cash, common stock, or other property, as determined by the plan administrator, having a value equal to the number of shares of our common stock that were subject to the award. The holders of awards of restricted stock units were entitled to receive dividend equivalents, which in either case could be payable immediately or on a deferred basis, and could elect to defer distribution of their equity-based awards for a period of up to ten years.</w:t>
      </w:r>
    </w:p>
    <w:p>
      <w:pPr>
        <w:spacing w:after="0" w:line="283"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Stock Ownership Guidelines</w:t>
      </w:r>
    </w:p>
    <w:p>
      <w:pPr>
        <w:spacing w:after="0" w:line="121" w:lineRule="exact"/>
        <w:rPr>
          <w:sz w:val="20"/>
          <w:szCs w:val="20"/>
          <w:color w:val="auto"/>
        </w:rPr>
      </w:pPr>
    </w:p>
    <w:p>
      <w:pPr>
        <w:ind w:left="200" w:firstLine="771"/>
        <w:spacing w:after="0" w:line="293" w:lineRule="auto"/>
        <w:rPr>
          <w:sz w:val="20"/>
          <w:szCs w:val="20"/>
          <w:color w:val="auto"/>
        </w:rPr>
      </w:pPr>
      <w:r>
        <w:rPr>
          <w:rFonts w:ascii="Arial" w:cs="Arial" w:eastAsia="Arial" w:hAnsi="Arial"/>
          <w:sz w:val="16"/>
          <w:szCs w:val="16"/>
          <w:color w:val="auto"/>
        </w:rPr>
        <w:t>Our Board of Directors believes that directors more effectively represent the best interests of the Company if they are stockholders themselves. Thus, independent directors are encouraged to own shares of our common stock equal in value to three times the annual cash Board retainer (which is $100,000) within the later of five years of joining the Board or January 24, 2022. Shares of deferred or restricted stock or units (both vested and unvested, and including shares for which a deferral election was made) granted to directors under the Independent Director Plan and the 2016 Plan are included in determining the number of shares held for this purpose. Until the stated minimum is met, each independent director must retain at least 50% of the shares of common stock received upon vesting, net of any shares withheld or sold to pay or reimburse taxes on such income.</w:t>
      </w:r>
    </w:p>
    <w:p>
      <w:pPr>
        <w:spacing w:after="0" w:line="165" w:lineRule="exact"/>
        <w:rPr>
          <w:sz w:val="20"/>
          <w:szCs w:val="20"/>
          <w:color w:val="auto"/>
        </w:rPr>
      </w:pPr>
    </w:p>
    <w:p>
      <w:pPr>
        <w:ind w:left="200" w:right="140" w:firstLine="771"/>
        <w:spacing w:after="0" w:line="279" w:lineRule="auto"/>
        <w:rPr>
          <w:sz w:val="20"/>
          <w:szCs w:val="20"/>
          <w:color w:val="auto"/>
        </w:rPr>
      </w:pPr>
      <w:r>
        <w:rPr>
          <w:rFonts w:ascii="Arial" w:cs="Arial" w:eastAsia="Arial" w:hAnsi="Arial"/>
          <w:sz w:val="17"/>
          <w:szCs w:val="17"/>
          <w:color w:val="auto"/>
        </w:rPr>
        <w:t>In addition, our Board of Directors has adopted a policy prohibiting our directors and executive officers from any hedging, pledging or entering into margin loans with respect to any shares of our common stock (regardless of whether such stock is owned directly or indirectly, as such terms are used in the SEC rules promulgated under the Exchange Act) or from engaging in short sales of our common stock or otherwise entering into any other transaction or derivative agreement where he or she would earn a profit based on a decline of our stock price.</w:t>
      </w:r>
    </w:p>
    <w:p>
      <w:pPr>
        <w:spacing w:after="0" w:line="171" w:lineRule="exact"/>
        <w:rPr>
          <w:sz w:val="20"/>
          <w:szCs w:val="20"/>
          <w:color w:val="auto"/>
        </w:rPr>
      </w:pPr>
    </w:p>
    <w:p>
      <w:pPr>
        <w:ind w:left="980"/>
        <w:spacing w:after="0"/>
        <w:rPr>
          <w:sz w:val="20"/>
          <w:szCs w:val="20"/>
          <w:color w:val="auto"/>
        </w:rPr>
      </w:pPr>
      <w:r>
        <w:rPr>
          <w:rFonts w:ascii="Arial" w:cs="Arial" w:eastAsia="Arial" w:hAnsi="Arial"/>
          <w:sz w:val="16"/>
          <w:szCs w:val="16"/>
          <w:color w:val="auto"/>
        </w:rPr>
        <w:t>The following table sets forth the total stock ownership of our independent directors, including beneficially owned, unvested, and deferred</w:t>
      </w:r>
    </w:p>
    <w:p>
      <w:pPr>
        <w:spacing w:after="0" w:line="46" w:lineRule="exact"/>
        <w:rPr>
          <w:sz w:val="20"/>
          <w:szCs w:val="20"/>
          <w:color w:val="auto"/>
        </w:rPr>
      </w:pPr>
    </w:p>
    <w:tbl>
      <w:tblPr>
        <w:tblLayout w:type="fixed"/>
        <w:tblInd w:w="200" w:type="dxa"/>
        <w:tblCellMar>
          <w:top w:w="0" w:type="dxa"/>
          <w:left w:w="0" w:type="dxa"/>
          <w:bottom w:w="0" w:type="dxa"/>
          <w:right w:w="0" w:type="dxa"/>
        </w:tblCellMar>
      </w:tblPr>
      <w:tr>
        <w:trPr>
          <w:trHeight w:val="230"/>
        </w:trPr>
        <w:tc>
          <w:tcPr>
            <w:tcW w:w="5800" w:type="dxa"/>
            <w:vAlign w:val="bottom"/>
            <w:gridSpan w:val="2"/>
          </w:tcPr>
          <w:p>
            <w:pPr>
              <w:spacing w:after="0"/>
              <w:rPr>
                <w:sz w:val="20"/>
                <w:szCs w:val="20"/>
                <w:color w:val="auto"/>
              </w:rPr>
            </w:pPr>
            <w:r>
              <w:rPr>
                <w:rFonts w:ascii="Arial" w:cs="Arial" w:eastAsia="Arial" w:hAnsi="Arial"/>
                <w:sz w:val="18"/>
                <w:szCs w:val="18"/>
                <w:color w:val="auto"/>
                <w:w w:val="90"/>
              </w:rPr>
              <w:t>shares, as calculated pursuant to our stock ownership guidelines as of February</w:t>
            </w:r>
          </w:p>
        </w:tc>
        <w:tc>
          <w:tcPr>
            <w:tcW w:w="1260" w:type="dxa"/>
            <w:vAlign w:val="bottom"/>
          </w:tcPr>
          <w:p>
            <w:pPr>
              <w:jc w:val="right"/>
              <w:ind w:right="572"/>
              <w:spacing w:after="0"/>
              <w:rPr>
                <w:sz w:val="20"/>
                <w:szCs w:val="20"/>
                <w:color w:val="auto"/>
              </w:rPr>
            </w:pPr>
            <w:r>
              <w:rPr>
                <w:rFonts w:ascii="Arial" w:cs="Arial" w:eastAsia="Arial" w:hAnsi="Arial"/>
                <w:sz w:val="18"/>
                <w:szCs w:val="18"/>
                <w:color w:val="auto"/>
              </w:rPr>
              <w:t>, 2018:</w:t>
            </w:r>
          </w:p>
        </w:tc>
        <w:tc>
          <w:tcPr>
            <w:tcW w:w="1300" w:type="dxa"/>
            <w:vAlign w:val="bottom"/>
          </w:tcPr>
          <w:p>
            <w:pPr>
              <w:spacing w:after="0"/>
              <w:rPr>
                <w:sz w:val="20"/>
                <w:szCs w:val="20"/>
                <w:color w:val="auto"/>
              </w:rPr>
            </w:pPr>
          </w:p>
        </w:tc>
        <w:tc>
          <w:tcPr>
            <w:tcW w:w="9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29"/>
        </w:trPr>
        <w:tc>
          <w:tcPr>
            <w:tcW w:w="1780" w:type="dxa"/>
            <w:vAlign w:val="bottom"/>
          </w:tcPr>
          <w:p>
            <w:pPr>
              <w:spacing w:after="0"/>
              <w:rPr>
                <w:sz w:val="19"/>
                <w:szCs w:val="19"/>
                <w:color w:val="auto"/>
              </w:rPr>
            </w:pPr>
          </w:p>
        </w:tc>
        <w:tc>
          <w:tcPr>
            <w:tcW w:w="4020" w:type="dxa"/>
            <w:vAlign w:val="bottom"/>
            <w:tcBorders>
              <w:bottom w:val="single" w:sz="8" w:color="407CCA"/>
            </w:tcBorders>
          </w:tcPr>
          <w:p>
            <w:pPr>
              <w:spacing w:after="0"/>
              <w:rPr>
                <w:sz w:val="19"/>
                <w:szCs w:val="19"/>
                <w:color w:val="auto"/>
              </w:rPr>
            </w:pPr>
          </w:p>
        </w:tc>
        <w:tc>
          <w:tcPr>
            <w:tcW w:w="1260" w:type="dxa"/>
            <w:vAlign w:val="bottom"/>
            <w:tcBorders>
              <w:bottom w:val="single" w:sz="8" w:color="407CCA"/>
            </w:tcBorders>
          </w:tcPr>
          <w:p>
            <w:pPr>
              <w:spacing w:after="0"/>
              <w:rPr>
                <w:sz w:val="19"/>
                <w:szCs w:val="19"/>
                <w:color w:val="auto"/>
              </w:rPr>
            </w:pPr>
          </w:p>
        </w:tc>
        <w:tc>
          <w:tcPr>
            <w:tcW w:w="1300" w:type="dxa"/>
            <w:vAlign w:val="bottom"/>
            <w:tcBorders>
              <w:bottom w:val="single" w:sz="8" w:color="407CCA"/>
            </w:tcBorders>
          </w:tcPr>
          <w:p>
            <w:pPr>
              <w:spacing w:after="0"/>
              <w:rPr>
                <w:sz w:val="19"/>
                <w:szCs w:val="19"/>
                <w:color w:val="auto"/>
              </w:rPr>
            </w:pPr>
          </w:p>
        </w:tc>
        <w:tc>
          <w:tcPr>
            <w:tcW w:w="900" w:type="dxa"/>
            <w:vAlign w:val="bottom"/>
            <w:tcBorders>
              <w:bottom w:val="single" w:sz="8" w:color="407CCA"/>
            </w:tcBorders>
          </w:tcPr>
          <w:p>
            <w:pPr>
              <w:spacing w:after="0"/>
              <w:rPr>
                <w:sz w:val="19"/>
                <w:szCs w:val="19"/>
                <w:color w:val="auto"/>
              </w:rPr>
            </w:pPr>
          </w:p>
        </w:tc>
        <w:tc>
          <w:tcPr>
            <w:tcW w:w="0" w:type="dxa"/>
            <w:vAlign w:val="bottom"/>
          </w:tcPr>
          <w:p>
            <w:pPr>
              <w:spacing w:after="0"/>
              <w:rPr>
                <w:sz w:val="1"/>
                <w:szCs w:val="1"/>
                <w:color w:val="auto"/>
              </w:rPr>
            </w:pPr>
          </w:p>
        </w:tc>
      </w:tr>
      <w:tr>
        <w:trPr>
          <w:trHeight w:val="110"/>
        </w:trPr>
        <w:tc>
          <w:tcPr>
            <w:tcW w:w="1780" w:type="dxa"/>
            <w:vAlign w:val="bottom"/>
          </w:tcPr>
          <w:p>
            <w:pPr>
              <w:spacing w:after="0"/>
              <w:rPr>
                <w:sz w:val="9"/>
                <w:szCs w:val="9"/>
                <w:color w:val="auto"/>
              </w:rPr>
            </w:pPr>
          </w:p>
        </w:tc>
        <w:tc>
          <w:tcPr>
            <w:tcW w:w="4020" w:type="dxa"/>
            <w:vAlign w:val="bottom"/>
          </w:tcPr>
          <w:p>
            <w:pPr>
              <w:spacing w:after="0"/>
              <w:rPr>
                <w:sz w:val="9"/>
                <w:szCs w:val="9"/>
                <w:color w:val="auto"/>
              </w:rPr>
            </w:pPr>
          </w:p>
        </w:tc>
        <w:tc>
          <w:tcPr>
            <w:tcW w:w="1260" w:type="dxa"/>
            <w:vAlign w:val="bottom"/>
          </w:tcPr>
          <w:p>
            <w:pPr>
              <w:jc w:val="center"/>
              <w:ind w:right="132"/>
              <w:spacing w:after="0" w:line="110" w:lineRule="exact"/>
              <w:rPr>
                <w:sz w:val="20"/>
                <w:szCs w:val="20"/>
                <w:color w:val="auto"/>
              </w:rPr>
            </w:pPr>
            <w:r>
              <w:rPr>
                <w:rFonts w:ascii="Arial" w:cs="Arial" w:eastAsia="Arial" w:hAnsi="Arial"/>
                <w:sz w:val="12"/>
                <w:szCs w:val="12"/>
                <w:b w:val="1"/>
                <w:bCs w:val="1"/>
                <w:color w:val="auto"/>
                <w:w w:val="92"/>
              </w:rPr>
              <w:t>Beneficially</w:t>
            </w:r>
          </w:p>
        </w:tc>
        <w:tc>
          <w:tcPr>
            <w:tcW w:w="1300" w:type="dxa"/>
            <w:vAlign w:val="bottom"/>
          </w:tcPr>
          <w:p>
            <w:pPr>
              <w:jc w:val="center"/>
              <w:spacing w:after="0" w:line="110" w:lineRule="exact"/>
              <w:rPr>
                <w:sz w:val="20"/>
                <w:szCs w:val="20"/>
                <w:color w:val="auto"/>
              </w:rPr>
            </w:pPr>
            <w:r>
              <w:rPr>
                <w:rFonts w:ascii="Arial" w:cs="Arial" w:eastAsia="Arial" w:hAnsi="Arial"/>
                <w:sz w:val="12"/>
                <w:szCs w:val="12"/>
                <w:b w:val="1"/>
                <w:bCs w:val="1"/>
                <w:color w:val="auto"/>
                <w:w w:val="92"/>
              </w:rPr>
              <w:t>Unvested</w:t>
            </w:r>
          </w:p>
        </w:tc>
        <w:tc>
          <w:tcPr>
            <w:tcW w:w="900" w:type="dxa"/>
            <w:vAlign w:val="bottom"/>
          </w:tcPr>
          <w:p>
            <w:pPr>
              <w:jc w:val="center"/>
              <w:ind w:left="359"/>
              <w:spacing w:after="0" w:line="110" w:lineRule="exact"/>
              <w:rPr>
                <w:sz w:val="20"/>
                <w:szCs w:val="20"/>
                <w:color w:val="auto"/>
              </w:rPr>
            </w:pPr>
            <w:r>
              <w:rPr>
                <w:rFonts w:ascii="Arial" w:cs="Arial" w:eastAsia="Arial" w:hAnsi="Arial"/>
                <w:sz w:val="12"/>
                <w:szCs w:val="12"/>
                <w:b w:val="1"/>
                <w:bCs w:val="1"/>
                <w:color w:val="auto"/>
                <w:w w:val="97"/>
              </w:rPr>
              <w:t>Deferred</w:t>
            </w:r>
          </w:p>
        </w:tc>
        <w:tc>
          <w:tcPr>
            <w:tcW w:w="0" w:type="dxa"/>
            <w:vAlign w:val="bottom"/>
          </w:tcPr>
          <w:p>
            <w:pPr>
              <w:spacing w:after="0"/>
              <w:rPr>
                <w:sz w:val="1"/>
                <w:szCs w:val="1"/>
                <w:color w:val="auto"/>
              </w:rPr>
            </w:pPr>
          </w:p>
        </w:tc>
      </w:tr>
      <w:tr>
        <w:trPr>
          <w:trHeight w:val="135"/>
        </w:trPr>
        <w:tc>
          <w:tcPr>
            <w:tcW w:w="1780" w:type="dxa"/>
            <w:vAlign w:val="bottom"/>
          </w:tcPr>
          <w:p>
            <w:pPr>
              <w:spacing w:after="0"/>
              <w:rPr>
                <w:sz w:val="11"/>
                <w:szCs w:val="11"/>
                <w:color w:val="auto"/>
              </w:rPr>
            </w:pPr>
          </w:p>
        </w:tc>
        <w:tc>
          <w:tcPr>
            <w:tcW w:w="4020" w:type="dxa"/>
            <w:vAlign w:val="bottom"/>
            <w:vMerge w:val="restart"/>
          </w:tcPr>
          <w:p>
            <w:pPr>
              <w:ind w:left="80"/>
              <w:spacing w:after="0"/>
              <w:rPr>
                <w:sz w:val="20"/>
                <w:szCs w:val="20"/>
                <w:color w:val="auto"/>
              </w:rPr>
            </w:pPr>
            <w:r>
              <w:rPr>
                <w:rFonts w:ascii="Arial" w:cs="Arial" w:eastAsia="Arial" w:hAnsi="Arial"/>
                <w:sz w:val="18"/>
                <w:szCs w:val="18"/>
                <w:b w:val="1"/>
                <w:bCs w:val="1"/>
                <w:color w:val="auto"/>
              </w:rPr>
              <w:t>Name</w:t>
            </w:r>
          </w:p>
        </w:tc>
        <w:tc>
          <w:tcPr>
            <w:tcW w:w="1260" w:type="dxa"/>
            <w:vAlign w:val="bottom"/>
          </w:tcPr>
          <w:p>
            <w:pPr>
              <w:jc w:val="center"/>
              <w:ind w:right="132"/>
              <w:spacing w:after="0" w:line="135" w:lineRule="exact"/>
              <w:rPr>
                <w:sz w:val="20"/>
                <w:szCs w:val="20"/>
                <w:color w:val="auto"/>
              </w:rPr>
            </w:pPr>
            <w:r>
              <w:rPr>
                <w:rFonts w:ascii="Arial" w:cs="Arial" w:eastAsia="Arial" w:hAnsi="Arial"/>
                <w:sz w:val="13"/>
                <w:szCs w:val="13"/>
                <w:b w:val="1"/>
                <w:bCs w:val="1"/>
                <w:color w:val="auto"/>
                <w:w w:val="87"/>
              </w:rPr>
              <w:t>Owned</w:t>
            </w:r>
          </w:p>
        </w:tc>
        <w:tc>
          <w:tcPr>
            <w:tcW w:w="130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82"/>
              </w:rPr>
              <w:t>Shares</w:t>
            </w:r>
          </w:p>
        </w:tc>
        <w:tc>
          <w:tcPr>
            <w:tcW w:w="900" w:type="dxa"/>
            <w:vAlign w:val="bottom"/>
          </w:tcPr>
          <w:p>
            <w:pPr>
              <w:jc w:val="center"/>
              <w:ind w:left="359"/>
              <w:spacing w:after="0" w:line="135" w:lineRule="exact"/>
              <w:rPr>
                <w:sz w:val="20"/>
                <w:szCs w:val="20"/>
                <w:color w:val="auto"/>
              </w:rPr>
            </w:pPr>
            <w:r>
              <w:rPr>
                <w:rFonts w:ascii="Arial" w:cs="Arial" w:eastAsia="Arial" w:hAnsi="Arial"/>
                <w:sz w:val="13"/>
                <w:szCs w:val="13"/>
                <w:b w:val="1"/>
                <w:bCs w:val="1"/>
                <w:color w:val="auto"/>
                <w:w w:val="82"/>
              </w:rPr>
              <w:t>Shares</w:t>
            </w:r>
          </w:p>
        </w:tc>
        <w:tc>
          <w:tcPr>
            <w:tcW w:w="0" w:type="dxa"/>
            <w:vAlign w:val="bottom"/>
          </w:tcPr>
          <w:p>
            <w:pPr>
              <w:spacing w:after="0"/>
              <w:rPr>
                <w:sz w:val="1"/>
                <w:szCs w:val="1"/>
                <w:color w:val="auto"/>
              </w:rPr>
            </w:pPr>
          </w:p>
        </w:tc>
      </w:tr>
      <w:tr>
        <w:trPr>
          <w:trHeight w:val="153"/>
        </w:trPr>
        <w:tc>
          <w:tcPr>
            <w:tcW w:w="1780" w:type="dxa"/>
            <w:vAlign w:val="bottom"/>
          </w:tcPr>
          <w:p>
            <w:pPr>
              <w:spacing w:after="0"/>
              <w:rPr>
                <w:sz w:val="13"/>
                <w:szCs w:val="13"/>
                <w:color w:val="auto"/>
              </w:rPr>
            </w:pPr>
          </w:p>
        </w:tc>
        <w:tc>
          <w:tcPr>
            <w:tcW w:w="4020" w:type="dxa"/>
            <w:vAlign w:val="bottom"/>
            <w:tcBorders>
              <w:bottom w:val="single" w:sz="8" w:color="407CCA"/>
            </w:tcBorders>
            <w:vMerge w:val="continue"/>
          </w:tcPr>
          <w:p>
            <w:pPr>
              <w:spacing w:after="0"/>
              <w:rPr>
                <w:sz w:val="13"/>
                <w:szCs w:val="13"/>
                <w:color w:val="auto"/>
              </w:rPr>
            </w:pPr>
          </w:p>
        </w:tc>
        <w:tc>
          <w:tcPr>
            <w:tcW w:w="1260" w:type="dxa"/>
            <w:vAlign w:val="bottom"/>
            <w:tcBorders>
              <w:bottom w:val="single" w:sz="8" w:color="407CCA"/>
            </w:tcBorders>
          </w:tcPr>
          <w:p>
            <w:pPr>
              <w:jc w:val="center"/>
              <w:ind w:right="132"/>
              <w:spacing w:after="0"/>
              <w:rPr>
                <w:sz w:val="20"/>
                <w:szCs w:val="20"/>
                <w:color w:val="auto"/>
              </w:rPr>
            </w:pPr>
            <w:r>
              <w:rPr>
                <w:rFonts w:ascii="Arial" w:cs="Arial" w:eastAsia="Arial" w:hAnsi="Arial"/>
                <w:sz w:val="13"/>
                <w:szCs w:val="13"/>
                <w:b w:val="1"/>
                <w:bCs w:val="1"/>
                <w:color w:val="auto"/>
                <w:w w:val="85"/>
              </w:rPr>
              <w:t>Shares ($)</w:t>
            </w:r>
          </w:p>
        </w:tc>
        <w:tc>
          <w:tcPr>
            <w:tcW w:w="1300" w:type="dxa"/>
            <w:vAlign w:val="bottom"/>
            <w:tcBorders>
              <w:bottom w:val="single" w:sz="8" w:color="407CCA"/>
            </w:tcBorders>
          </w:tcPr>
          <w:p>
            <w:pPr>
              <w:jc w:val="center"/>
              <w:spacing w:after="0"/>
              <w:rPr>
                <w:sz w:val="20"/>
                <w:szCs w:val="20"/>
                <w:color w:val="auto"/>
              </w:rPr>
            </w:pPr>
            <w:r>
              <w:rPr>
                <w:rFonts w:ascii="Arial" w:cs="Arial" w:eastAsia="Arial" w:hAnsi="Arial"/>
                <w:sz w:val="13"/>
                <w:szCs w:val="13"/>
                <w:b w:val="1"/>
                <w:bCs w:val="1"/>
                <w:color w:val="auto"/>
                <w:w w:val="87"/>
              </w:rPr>
              <w:t>($)</w:t>
            </w:r>
          </w:p>
        </w:tc>
        <w:tc>
          <w:tcPr>
            <w:tcW w:w="900" w:type="dxa"/>
            <w:vAlign w:val="bottom"/>
            <w:tcBorders>
              <w:bottom w:val="single" w:sz="8" w:color="407CCA"/>
            </w:tcBorders>
          </w:tcPr>
          <w:p>
            <w:pPr>
              <w:jc w:val="center"/>
              <w:ind w:left="339"/>
              <w:spacing w:after="0"/>
              <w:rPr>
                <w:sz w:val="20"/>
                <w:szCs w:val="20"/>
                <w:color w:val="auto"/>
              </w:rPr>
            </w:pPr>
            <w:r>
              <w:rPr>
                <w:rFonts w:ascii="Arial" w:cs="Arial" w:eastAsia="Arial" w:hAnsi="Arial"/>
                <w:sz w:val="13"/>
                <w:szCs w:val="13"/>
                <w:b w:val="1"/>
                <w:bCs w:val="1"/>
                <w:color w:val="auto"/>
                <w:w w:val="87"/>
              </w:rPr>
              <w:t>($)</w:t>
            </w:r>
          </w:p>
        </w:tc>
        <w:tc>
          <w:tcPr>
            <w:tcW w:w="0" w:type="dxa"/>
            <w:vAlign w:val="bottom"/>
          </w:tcPr>
          <w:p>
            <w:pPr>
              <w:spacing w:after="0"/>
              <w:rPr>
                <w:sz w:val="1"/>
                <w:szCs w:val="1"/>
                <w:color w:val="auto"/>
              </w:rPr>
            </w:pPr>
          </w:p>
        </w:tc>
      </w:tr>
      <w:tr>
        <w:trPr>
          <w:trHeight w:val="210"/>
        </w:trPr>
        <w:tc>
          <w:tcPr>
            <w:tcW w:w="1780" w:type="dxa"/>
            <w:vAlign w:val="bottom"/>
          </w:tcPr>
          <w:p>
            <w:pPr>
              <w:spacing w:after="0"/>
              <w:rPr>
                <w:sz w:val="18"/>
                <w:szCs w:val="18"/>
                <w:color w:val="auto"/>
              </w:rPr>
            </w:pPr>
          </w:p>
        </w:tc>
        <w:tc>
          <w:tcPr>
            <w:tcW w:w="4020" w:type="dxa"/>
            <w:vAlign w:val="bottom"/>
            <w:shd w:val="clear" w:color="auto" w:fill="CCEEFF"/>
          </w:tcPr>
          <w:p>
            <w:pPr>
              <w:ind w:left="80"/>
              <w:spacing w:after="0"/>
              <w:rPr>
                <w:sz w:val="20"/>
                <w:szCs w:val="20"/>
                <w:color w:val="auto"/>
              </w:rPr>
            </w:pPr>
            <w:r>
              <w:rPr>
                <w:rFonts w:ascii="Arial" w:cs="Arial" w:eastAsia="Arial" w:hAnsi="Arial"/>
                <w:sz w:val="18"/>
                <w:szCs w:val="18"/>
                <w:color w:val="auto"/>
              </w:rPr>
              <w:t>Morris A. Davis</w:t>
            </w:r>
          </w:p>
        </w:tc>
        <w:tc>
          <w:tcPr>
            <w:tcW w:w="1260" w:type="dxa"/>
            <w:vAlign w:val="bottom"/>
            <w:shd w:val="clear" w:color="auto" w:fill="CCEEFF"/>
          </w:tcPr>
          <w:p>
            <w:pPr>
              <w:spacing w:after="0"/>
              <w:rPr>
                <w:sz w:val="18"/>
                <w:szCs w:val="18"/>
                <w:color w:val="auto"/>
              </w:rPr>
            </w:pPr>
          </w:p>
        </w:tc>
        <w:tc>
          <w:tcPr>
            <w:tcW w:w="1300" w:type="dxa"/>
            <w:vAlign w:val="bottom"/>
            <w:shd w:val="clear" w:color="auto" w:fill="CCEEFF"/>
          </w:tcPr>
          <w:p>
            <w:pPr>
              <w:spacing w:after="0"/>
              <w:rPr>
                <w:sz w:val="18"/>
                <w:szCs w:val="18"/>
                <w:color w:val="auto"/>
              </w:rPr>
            </w:pPr>
          </w:p>
        </w:tc>
        <w:tc>
          <w:tcPr>
            <w:tcW w:w="9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80" w:type="dxa"/>
            <w:vAlign w:val="bottom"/>
          </w:tcPr>
          <w:p>
            <w:pPr>
              <w:spacing w:after="0"/>
              <w:rPr>
                <w:sz w:val="18"/>
                <w:szCs w:val="18"/>
                <w:color w:val="auto"/>
              </w:rPr>
            </w:pPr>
          </w:p>
        </w:tc>
        <w:tc>
          <w:tcPr>
            <w:tcW w:w="4020" w:type="dxa"/>
            <w:vAlign w:val="bottom"/>
          </w:tcPr>
          <w:p>
            <w:pPr>
              <w:ind w:left="80"/>
              <w:spacing w:after="0"/>
              <w:rPr>
                <w:sz w:val="20"/>
                <w:szCs w:val="20"/>
                <w:color w:val="auto"/>
              </w:rPr>
            </w:pPr>
            <w:r>
              <w:rPr>
                <w:rFonts w:ascii="Arial" w:cs="Arial" w:eastAsia="Arial" w:hAnsi="Arial"/>
                <w:sz w:val="18"/>
                <w:szCs w:val="18"/>
                <w:color w:val="auto"/>
              </w:rPr>
              <w:t>Larry K. Harvey</w:t>
            </w:r>
          </w:p>
        </w:tc>
        <w:tc>
          <w:tcPr>
            <w:tcW w:w="1260" w:type="dxa"/>
            <w:vAlign w:val="bottom"/>
          </w:tcPr>
          <w:p>
            <w:pPr>
              <w:spacing w:after="0"/>
              <w:rPr>
                <w:sz w:val="18"/>
                <w:szCs w:val="18"/>
                <w:color w:val="auto"/>
              </w:rPr>
            </w:pPr>
          </w:p>
        </w:tc>
        <w:tc>
          <w:tcPr>
            <w:tcW w:w="130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80" w:type="dxa"/>
            <w:vAlign w:val="bottom"/>
          </w:tcPr>
          <w:p>
            <w:pPr>
              <w:spacing w:after="0"/>
              <w:rPr>
                <w:sz w:val="18"/>
                <w:szCs w:val="18"/>
                <w:color w:val="auto"/>
              </w:rPr>
            </w:pPr>
          </w:p>
        </w:tc>
        <w:tc>
          <w:tcPr>
            <w:tcW w:w="4020" w:type="dxa"/>
            <w:vAlign w:val="bottom"/>
            <w:shd w:val="clear" w:color="auto" w:fill="CCEEFF"/>
          </w:tcPr>
          <w:p>
            <w:pPr>
              <w:ind w:left="80"/>
              <w:spacing w:after="0"/>
              <w:rPr>
                <w:sz w:val="20"/>
                <w:szCs w:val="20"/>
                <w:color w:val="auto"/>
              </w:rPr>
            </w:pPr>
            <w:r>
              <w:rPr>
                <w:rFonts w:ascii="Arial" w:cs="Arial" w:eastAsia="Arial" w:hAnsi="Arial"/>
                <w:sz w:val="18"/>
                <w:szCs w:val="18"/>
                <w:color w:val="auto"/>
              </w:rPr>
              <w:t>Prue B. Larocca</w:t>
            </w:r>
          </w:p>
        </w:tc>
        <w:tc>
          <w:tcPr>
            <w:tcW w:w="1260" w:type="dxa"/>
            <w:vAlign w:val="bottom"/>
            <w:shd w:val="clear" w:color="auto" w:fill="CCEEFF"/>
          </w:tcPr>
          <w:p>
            <w:pPr>
              <w:spacing w:after="0"/>
              <w:rPr>
                <w:sz w:val="18"/>
                <w:szCs w:val="18"/>
                <w:color w:val="auto"/>
              </w:rPr>
            </w:pPr>
          </w:p>
        </w:tc>
        <w:tc>
          <w:tcPr>
            <w:tcW w:w="1300" w:type="dxa"/>
            <w:vAlign w:val="bottom"/>
            <w:shd w:val="clear" w:color="auto" w:fill="CCEEFF"/>
          </w:tcPr>
          <w:p>
            <w:pPr>
              <w:spacing w:after="0"/>
              <w:rPr>
                <w:sz w:val="18"/>
                <w:szCs w:val="18"/>
                <w:color w:val="auto"/>
              </w:rPr>
            </w:pPr>
          </w:p>
        </w:tc>
        <w:tc>
          <w:tcPr>
            <w:tcW w:w="9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80" w:type="dxa"/>
            <w:vAlign w:val="bottom"/>
          </w:tcPr>
          <w:p>
            <w:pPr>
              <w:spacing w:after="0"/>
              <w:rPr>
                <w:sz w:val="18"/>
                <w:szCs w:val="18"/>
                <w:color w:val="auto"/>
              </w:rPr>
            </w:pPr>
          </w:p>
        </w:tc>
        <w:tc>
          <w:tcPr>
            <w:tcW w:w="4020" w:type="dxa"/>
            <w:vAlign w:val="bottom"/>
            <w:tcBorders>
              <w:bottom w:val="single" w:sz="8" w:color="407CCA"/>
            </w:tcBorders>
          </w:tcPr>
          <w:p>
            <w:pPr>
              <w:ind w:left="80"/>
              <w:spacing w:after="0"/>
              <w:rPr>
                <w:sz w:val="20"/>
                <w:szCs w:val="20"/>
                <w:color w:val="auto"/>
              </w:rPr>
            </w:pPr>
            <w:r>
              <w:rPr>
                <w:rFonts w:ascii="Arial" w:cs="Arial" w:eastAsia="Arial" w:hAnsi="Arial"/>
                <w:sz w:val="18"/>
                <w:szCs w:val="18"/>
                <w:color w:val="auto"/>
              </w:rPr>
              <w:t>Paul E. Mullings</w:t>
            </w:r>
          </w:p>
        </w:tc>
        <w:tc>
          <w:tcPr>
            <w:tcW w:w="1260" w:type="dxa"/>
            <w:vAlign w:val="bottom"/>
            <w:tcBorders>
              <w:bottom w:val="single" w:sz="8" w:color="407CCA"/>
            </w:tcBorders>
          </w:tcPr>
          <w:p>
            <w:pPr>
              <w:spacing w:after="0"/>
              <w:rPr>
                <w:sz w:val="18"/>
                <w:szCs w:val="18"/>
                <w:color w:val="auto"/>
              </w:rPr>
            </w:pPr>
          </w:p>
        </w:tc>
        <w:tc>
          <w:tcPr>
            <w:tcW w:w="1300" w:type="dxa"/>
            <w:vAlign w:val="bottom"/>
            <w:tcBorders>
              <w:bottom w:val="single" w:sz="8" w:color="407CCA"/>
            </w:tcBorders>
          </w:tcPr>
          <w:p>
            <w:pPr>
              <w:spacing w:after="0"/>
              <w:rPr>
                <w:sz w:val="18"/>
                <w:szCs w:val="18"/>
                <w:color w:val="auto"/>
              </w:rPr>
            </w:pPr>
          </w:p>
        </w:tc>
        <w:tc>
          <w:tcPr>
            <w:tcW w:w="900" w:type="dxa"/>
            <w:vAlign w:val="bottom"/>
            <w:tcBorders>
              <w:bottom w:val="single" w:sz="8" w:color="407CCA"/>
            </w:tcBorders>
          </w:tcPr>
          <w:p>
            <w:pPr>
              <w:spacing w:after="0"/>
              <w:rPr>
                <w:sz w:val="18"/>
                <w:szCs w:val="18"/>
                <w:color w:val="auto"/>
              </w:rPr>
            </w:pPr>
          </w:p>
        </w:tc>
        <w:tc>
          <w:tcPr>
            <w:tcW w:w="0" w:type="dxa"/>
            <w:vAlign w:val="bottom"/>
          </w:tcPr>
          <w:p>
            <w:pPr>
              <w:spacing w:after="0"/>
              <w:rPr>
                <w:sz w:val="1"/>
                <w:szCs w:val="1"/>
                <w:color w:val="auto"/>
              </w:rPr>
            </w:pPr>
          </w:p>
        </w:tc>
      </w:tr>
    </w:tbl>
    <w:p>
      <w:pPr>
        <w:spacing w:after="0" w:line="306"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Director Nomination Process</w:t>
      </w:r>
    </w:p>
    <w:p>
      <w:pPr>
        <w:spacing w:after="0" w:line="121" w:lineRule="exact"/>
        <w:rPr>
          <w:sz w:val="20"/>
          <w:szCs w:val="20"/>
          <w:color w:val="auto"/>
        </w:rPr>
      </w:pPr>
    </w:p>
    <w:p>
      <w:pPr>
        <w:jc w:val="both"/>
        <w:ind w:left="200" w:firstLine="771"/>
        <w:spacing w:after="0" w:line="264" w:lineRule="auto"/>
        <w:rPr>
          <w:sz w:val="20"/>
          <w:szCs w:val="20"/>
          <w:color w:val="auto"/>
        </w:rPr>
      </w:pPr>
      <w:r>
        <w:rPr>
          <w:rFonts w:ascii="Arial" w:cs="Arial" w:eastAsia="Arial" w:hAnsi="Arial"/>
          <w:sz w:val="18"/>
          <w:szCs w:val="18"/>
          <w:color w:val="auto"/>
        </w:rPr>
        <w:t>Nominations for election to the Board of Directors may be made by the Compensation Committee or by any common stockholder entitled to vote for the election of directors. Candidates recommended by common stockholders will be evaluated by the Compensation Committee under the same criteria that are applied to other candidates.</w:t>
      </w:r>
    </w:p>
    <w:p>
      <w:pPr>
        <w:spacing w:after="0" w:line="109"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12</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60"/>
          </w:cols>
          <w:pgMar w:left="240" w:top="459" w:right="499" w:bottom="1440" w:gutter="0" w:footer="0" w:header="0"/>
        </w:sectPr>
      </w:pPr>
    </w:p>
    <w:bookmarkStart w:id="16" w:name="page17"/>
    <w:bookmarkEnd w:id="1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Board Membership Criteria</w:t>
      </w:r>
    </w:p>
    <w:p>
      <w:pPr>
        <w:spacing w:after="0" w:line="121" w:lineRule="exact"/>
        <w:rPr>
          <w:sz w:val="20"/>
          <w:szCs w:val="20"/>
          <w:color w:val="auto"/>
        </w:rPr>
      </w:pPr>
    </w:p>
    <w:p>
      <w:pPr>
        <w:ind w:left="200" w:right="40" w:firstLine="771"/>
        <w:spacing w:after="0" w:line="269" w:lineRule="auto"/>
        <w:rPr>
          <w:sz w:val="20"/>
          <w:szCs w:val="20"/>
          <w:color w:val="auto"/>
        </w:rPr>
      </w:pPr>
      <w:r>
        <w:rPr>
          <w:rFonts w:ascii="Arial" w:cs="Arial" w:eastAsia="Arial" w:hAnsi="Arial"/>
          <w:sz w:val="17"/>
          <w:szCs w:val="17"/>
          <w:color w:val="auto"/>
        </w:rPr>
        <w:t>Although there is not a formal list of qualifications, in discharging its responsibilities to nominate candidates for election to the Board of Directors, the Compensation Committee endeavors to identify, recruit, and nominate candidates based on the following eligibility and experience criteria: a candidate’s integrity and business ethics, strength of character, judgment, experience, and independence, as well as factors relating to the composition of the Board of Directors, including its size and structure, the relative strengths and experience of current directors, and principles of diversity, including diversity of experience, personal and professional backgrounds, race, gender, and age. Although the committee does not have formal objective criteria for diversity on our Board of Directors, it is one of the factors the committee considers in its evaluation. In nominating candidates to fill vacancies created by the expiration of the term of a member of the Board of Directors, the committee determines whether the incumbent director is willing to stand for re-election. If so, the committee evaluates his or her contributions to determine suitability for continued service, taking into consideration its criteria for Board candidates, the Board evaluation process and other perceived needs of the Board. The Company maintains a corporate membership in the NACD, which provides each director with access to continuing education, research materials, and publications relating to corporate governance, board leadership, and other topical information.</w:t>
      </w:r>
    </w:p>
    <w:p>
      <w:pPr>
        <w:spacing w:after="0" w:line="287"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Director Resignation Policy</w:t>
      </w:r>
    </w:p>
    <w:p>
      <w:pPr>
        <w:spacing w:after="0" w:line="121" w:lineRule="exact"/>
        <w:rPr>
          <w:sz w:val="20"/>
          <w:szCs w:val="20"/>
          <w:color w:val="auto"/>
        </w:rPr>
      </w:pPr>
    </w:p>
    <w:p>
      <w:pPr>
        <w:ind w:left="200" w:right="120" w:firstLine="771"/>
        <w:spacing w:after="0" w:line="253" w:lineRule="auto"/>
        <w:rPr>
          <w:sz w:val="20"/>
          <w:szCs w:val="20"/>
          <w:color w:val="auto"/>
        </w:rPr>
      </w:pPr>
      <w:r>
        <w:rPr>
          <w:rFonts w:ascii="Arial" w:cs="Arial" w:eastAsia="Arial" w:hAnsi="Arial"/>
          <w:sz w:val="18"/>
          <w:szCs w:val="18"/>
          <w:color w:val="auto"/>
        </w:rPr>
        <w:t>Our Bylaws require a candidate in an uncontested election for director to receive a majority of the votes cast in order to be elected as a director. Under this provision, each vote is specifically counted “for” or “against” the director’s election, unless a common stockholder abstains from voting with respect to the matter. Thus, a director nominee is required to receive more votes “for” than “against” to be elected. Pursuant to Delaware law, a director shall remain in office until his or her successor is elected and qualified even if the director has not received a vote sufficient for re-election. Thus, a corporation could have a “holdover” director. However, pursuant to our Board-approved director resignation policy, an incumbent director must tender his or her resignation to the Board of Directors if the director is nominated but not re-elected. The policy also requires the Compensation Committee to make a recommendation to the full Board of Directors on whether to accept or reject the resignation, and the full Board of Directors to make that determination. The Board of Directors would publicly disclose its decision within 90 days after receipt of the tendered resignation.</w:t>
      </w:r>
    </w:p>
    <w:p>
      <w:pPr>
        <w:spacing w:after="0" w:line="197" w:lineRule="exact"/>
        <w:rPr>
          <w:sz w:val="20"/>
          <w:szCs w:val="20"/>
          <w:color w:val="auto"/>
        </w:rPr>
      </w:pPr>
    </w:p>
    <w:p>
      <w:pPr>
        <w:ind w:left="200" w:right="20" w:firstLine="771"/>
        <w:spacing w:after="0" w:line="255" w:lineRule="auto"/>
        <w:rPr>
          <w:sz w:val="20"/>
          <w:szCs w:val="20"/>
          <w:color w:val="auto"/>
        </w:rPr>
      </w:pPr>
      <w:r>
        <w:rPr>
          <w:rFonts w:ascii="Arial" w:cs="Arial" w:eastAsia="Arial" w:hAnsi="Arial"/>
          <w:sz w:val="18"/>
          <w:szCs w:val="18"/>
          <w:color w:val="auto"/>
        </w:rPr>
        <w:t>Any director who tenders his or her resignation pursuant to this policy may not participate in the Compensation Committee recommendation or Board of Directors action regarding whether to accept the resignation offer. If each member of the Compensation Committee does not receive a vote sufficient for re-election, then the independent directors who did receive a sufficient vote shall appoint a committee amongst themselves to consider the resignation offers and recommend to the Board of Directors whether to accept them. If only three or fewer directors receive a sufficient vote for re-election, all directors (other than the director who tendered the resignation under review) may participate in the action regarding whether to accept the resignation offers.</w:t>
      </w:r>
    </w:p>
    <w:p>
      <w:pPr>
        <w:spacing w:after="0" w:line="297"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Certain Transactions with Related Persons</w:t>
      </w:r>
    </w:p>
    <w:p>
      <w:pPr>
        <w:spacing w:after="0" w:line="121"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Related Person Transaction Policies</w:t>
      </w:r>
    </w:p>
    <w:p>
      <w:pPr>
        <w:spacing w:after="0" w:line="117" w:lineRule="exact"/>
        <w:rPr>
          <w:sz w:val="20"/>
          <w:szCs w:val="20"/>
          <w:color w:val="auto"/>
        </w:rPr>
      </w:pPr>
    </w:p>
    <w:p>
      <w:pPr>
        <w:ind w:left="200" w:right="140" w:firstLine="771"/>
        <w:spacing w:after="0" w:line="277" w:lineRule="auto"/>
        <w:rPr>
          <w:sz w:val="20"/>
          <w:szCs w:val="20"/>
          <w:color w:val="auto"/>
        </w:rPr>
      </w:pPr>
      <w:r>
        <w:rPr>
          <w:rFonts w:ascii="Arial" w:cs="Arial" w:eastAsia="Arial" w:hAnsi="Arial"/>
          <w:sz w:val="18"/>
          <w:szCs w:val="18"/>
          <w:color w:val="auto"/>
        </w:rPr>
        <w:t>Our Board of Directors has adopted a policy regarding the approval of any “related person transaction,” which is any transaction or series of transactions in which we or any of our subsidiaries is or are to be a</w:t>
      </w:r>
    </w:p>
    <w:p>
      <w:pPr>
        <w:spacing w:after="0" w:line="99"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13</w:t>
      </w:r>
    </w:p>
    <w:p>
      <w:pPr>
        <w:sectPr>
          <w:pgSz w:w="11900" w:h="16838" w:orient="portrait"/>
          <w:cols w:equalWidth="0" w:num="1">
            <w:col w:w="11220"/>
          </w:cols>
          <w:pgMar w:left="240" w:top="459" w:right="439" w:bottom="1440" w:gutter="0" w:footer="0" w:header="0"/>
        </w:sectPr>
      </w:pPr>
    </w:p>
    <w:bookmarkStart w:id="17" w:name="page18"/>
    <w:bookmarkEnd w:id="1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200" w:right="120"/>
        <w:spacing w:after="0" w:line="271" w:lineRule="auto"/>
        <w:rPr>
          <w:sz w:val="20"/>
          <w:szCs w:val="20"/>
          <w:color w:val="auto"/>
        </w:rPr>
      </w:pPr>
      <w:r>
        <w:rPr>
          <w:rFonts w:ascii="Arial" w:cs="Arial" w:eastAsia="Arial" w:hAnsi="Arial"/>
          <w:sz w:val="17"/>
          <w:szCs w:val="17"/>
          <w:color w:val="auto"/>
        </w:rPr>
        <w:t>participant, the amount involved exceeds $120,000, and a “related person” (as defined under SEC rules) has a direct or indirect material interest. Under the policy, a related person would need to promptly disclose to our Secretary any related person transaction and all material facts about the transaction. Our Secretary would then assess and promptly communicate that information to the Compensation Committee. Based on its consideration of all of the relevant facts and circumstances, the Compensation Committee will decide whether or not to approve such transaction and will generally approve only those transactions that do not create a conflict of interest. If we become aware of an existing related person transaction that has not been pre-approved under this policy, the transaction will be referred to the Compensation Committee, which will evaluate all options available, including ratification, revision, or termination of such transaction. Our policy requires any director who may be interested in a related person transaction to recuse himself or herself from any consideration of such related person transaction.</w:t>
      </w:r>
    </w:p>
    <w:p>
      <w:pPr>
        <w:spacing w:after="0" w:line="179" w:lineRule="exact"/>
        <w:rPr>
          <w:sz w:val="20"/>
          <w:szCs w:val="20"/>
          <w:color w:val="auto"/>
        </w:rPr>
      </w:pPr>
    </w:p>
    <w:p>
      <w:pPr>
        <w:ind w:left="200" w:right="80" w:firstLine="771"/>
        <w:spacing w:after="0" w:line="269" w:lineRule="auto"/>
        <w:rPr>
          <w:sz w:val="20"/>
          <w:szCs w:val="20"/>
          <w:color w:val="auto"/>
        </w:rPr>
      </w:pPr>
      <w:r>
        <w:rPr>
          <w:rFonts w:ascii="Arial" w:cs="Arial" w:eastAsia="Arial" w:hAnsi="Arial"/>
          <w:sz w:val="17"/>
          <w:szCs w:val="17"/>
          <w:color w:val="auto"/>
        </w:rPr>
        <w:t xml:space="preserve">Our Code of Ethics, which is reviewed by our Board of Directors and provided to all of our directors, officers, and employees, requires that all such persons avoid any situations or relationships that involve actual or potential conflicts of interest, or perceived conflicts of interest, between an individual’s personal interests and the interests of AGNC. Pursuant to our Code of Ethics, each of these persons must disclose any conflicts of interest, or actions or relationships that might give rise to a conflict, to their supervisor or our chief compliance officer. If a conflict is determined to exist, the person must disengage from the conflict situation or terminate his or her provision of services to us. Our chief executive officer, chief financial officer, principal accounting officer, controller, directors and certain other persons who may be designated by our Board of Directors or its Audit Committee, whom we collectively refer to as our financial executives, must consult with our chief compliance officer with respect to any proposed actions or arrangements that are not clearly consistent with our Code of Ethics. In the event that a financial executive wishes to engage in a proposed action or arrangement that is not consistent with our Code of Ethics, the financial executive must obtain a waiver of the relevant provisions of our Code of Ethics in advance from our Audit Committee. We intend to post amendments to or waivers from the Code of Ethics (to the extent applicable to our financial executives) on our web site at </w:t>
      </w:r>
      <w:r>
        <w:rPr>
          <w:rFonts w:ascii="Arial" w:cs="Arial" w:eastAsia="Arial" w:hAnsi="Arial"/>
          <w:sz w:val="17"/>
          <w:szCs w:val="17"/>
          <w:i w:val="1"/>
          <w:iCs w:val="1"/>
          <w:color w:val="auto"/>
        </w:rPr>
        <w:t>www.AGNC.com</w:t>
      </w:r>
      <w:r>
        <w:rPr>
          <w:rFonts w:ascii="Arial" w:cs="Arial" w:eastAsia="Arial" w:hAnsi="Arial"/>
          <w:sz w:val="17"/>
          <w:szCs w:val="17"/>
          <w:color w:val="auto"/>
        </w:rPr>
        <w:t>.</w:t>
      </w:r>
    </w:p>
    <w:p>
      <w:pPr>
        <w:spacing w:after="0" w:line="183"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Related Person Transactions</w:t>
      </w:r>
    </w:p>
    <w:p>
      <w:pPr>
        <w:spacing w:after="0" w:line="117" w:lineRule="exact"/>
        <w:rPr>
          <w:sz w:val="20"/>
          <w:szCs w:val="20"/>
          <w:color w:val="auto"/>
        </w:rPr>
      </w:pPr>
    </w:p>
    <w:p>
      <w:pPr>
        <w:ind w:left="980"/>
        <w:spacing w:after="0"/>
        <w:rPr>
          <w:sz w:val="20"/>
          <w:szCs w:val="20"/>
          <w:color w:val="auto"/>
        </w:rPr>
      </w:pPr>
      <w:r>
        <w:rPr>
          <w:rFonts w:ascii="Arial" w:cs="Arial" w:eastAsia="Arial" w:hAnsi="Arial"/>
          <w:sz w:val="18"/>
          <w:szCs w:val="18"/>
          <w:color w:val="auto"/>
        </w:rPr>
        <w:t>On July 1, 2016, we acquired AGNC Mortgage Management, LLC (“AMM”) from American Capital, Ltd. (“American Capital”) and</w:t>
      </w:r>
    </w:p>
    <w:p>
      <w:pPr>
        <w:spacing w:after="0" w:line="23" w:lineRule="exact"/>
        <w:rPr>
          <w:sz w:val="20"/>
          <w:szCs w:val="20"/>
          <w:color w:val="auto"/>
        </w:rPr>
      </w:pPr>
    </w:p>
    <w:p>
      <w:pPr>
        <w:ind w:left="200"/>
        <w:spacing w:after="0"/>
        <w:rPr>
          <w:sz w:val="20"/>
          <w:szCs w:val="20"/>
          <w:color w:val="auto"/>
        </w:rPr>
      </w:pPr>
      <w:r>
        <w:rPr>
          <w:rFonts w:ascii="Arial" w:cs="Arial" w:eastAsia="Arial" w:hAnsi="Arial"/>
          <w:sz w:val="17"/>
          <w:szCs w:val="17"/>
          <w:color w:val="auto"/>
        </w:rPr>
        <w:t>American Capital’s wholly-owned subsidiary, American Capital Asset Management, LLC (“ACAM”) in the Internalization for a purchase price of</w:t>
      </w:r>
    </w:p>
    <w:p>
      <w:pPr>
        <w:spacing w:after="0" w:line="21" w:lineRule="exact"/>
        <w:rPr>
          <w:sz w:val="20"/>
          <w:szCs w:val="20"/>
          <w:color w:val="auto"/>
        </w:rPr>
      </w:pPr>
    </w:p>
    <w:p>
      <w:pPr>
        <w:ind w:left="200"/>
        <w:spacing w:after="0"/>
        <w:rPr>
          <w:sz w:val="20"/>
          <w:szCs w:val="20"/>
          <w:color w:val="auto"/>
        </w:rPr>
      </w:pPr>
      <w:r>
        <w:rPr>
          <w:rFonts w:ascii="Arial" w:cs="Arial" w:eastAsia="Arial" w:hAnsi="Arial"/>
          <w:sz w:val="16"/>
          <w:szCs w:val="16"/>
          <w:color w:val="auto"/>
        </w:rPr>
        <w:t>$562 million. AMM is the parent company of our former manager and MTGE Management, LLC, the manager of MTGE Investment Corp. As part of</w:t>
      </w:r>
    </w:p>
    <w:p>
      <w:pPr>
        <w:spacing w:after="0" w:line="32" w:lineRule="exact"/>
        <w:rPr>
          <w:sz w:val="20"/>
          <w:szCs w:val="20"/>
          <w:color w:val="auto"/>
        </w:rPr>
      </w:pPr>
    </w:p>
    <w:p>
      <w:pPr>
        <w:ind w:left="200"/>
        <w:spacing w:after="0"/>
        <w:rPr>
          <w:sz w:val="20"/>
          <w:szCs w:val="20"/>
          <w:color w:val="auto"/>
        </w:rPr>
      </w:pPr>
      <w:r>
        <w:rPr>
          <w:rFonts w:ascii="Arial" w:cs="Arial" w:eastAsia="Arial" w:hAnsi="Arial"/>
          <w:sz w:val="16"/>
          <w:szCs w:val="16"/>
          <w:color w:val="auto"/>
        </w:rPr>
        <w:t>the Internalization, we became internally-managed and ceased paying a management fee to a third-party manager. Certain of our former directors were</w:t>
      </w:r>
    </w:p>
    <w:p>
      <w:pPr>
        <w:spacing w:after="0" w:line="32" w:lineRule="exact"/>
        <w:rPr>
          <w:sz w:val="20"/>
          <w:szCs w:val="20"/>
          <w:color w:val="auto"/>
        </w:rPr>
      </w:pPr>
    </w:p>
    <w:p>
      <w:pPr>
        <w:ind w:left="200"/>
        <w:spacing w:after="0"/>
        <w:rPr>
          <w:sz w:val="20"/>
          <w:szCs w:val="20"/>
          <w:color w:val="auto"/>
        </w:rPr>
      </w:pPr>
      <w:r>
        <w:rPr>
          <w:rFonts w:ascii="Arial" w:cs="Arial" w:eastAsia="Arial" w:hAnsi="Arial"/>
          <w:sz w:val="18"/>
          <w:szCs w:val="18"/>
          <w:color w:val="auto"/>
        </w:rPr>
        <w:t>directors and/or officers of American Capital and ACAM.</w:t>
      </w:r>
    </w:p>
    <w:p>
      <w:pPr>
        <w:spacing w:after="0" w:line="211" w:lineRule="exact"/>
        <w:rPr>
          <w:sz w:val="20"/>
          <w:szCs w:val="20"/>
          <w:color w:val="auto"/>
        </w:rPr>
      </w:pPr>
    </w:p>
    <w:p>
      <w:pPr>
        <w:ind w:left="200" w:right="40" w:firstLine="771"/>
        <w:spacing w:after="0" w:line="276" w:lineRule="auto"/>
        <w:rPr>
          <w:sz w:val="20"/>
          <w:szCs w:val="20"/>
          <w:color w:val="auto"/>
        </w:rPr>
      </w:pPr>
      <w:r>
        <w:rPr>
          <w:rFonts w:ascii="Arial" w:cs="Arial" w:eastAsia="Arial" w:hAnsi="Arial"/>
          <w:sz w:val="17"/>
          <w:szCs w:val="17"/>
          <w:color w:val="auto"/>
        </w:rPr>
        <w:t>In connection with the Internalization, we entered into a Transition Services Agreement with American Capital, ACAM and AMM (the “Transition Services Agreement”). Most services under the Transition Services Agreement ended in 2016. However, American Capital’s provision of information technology software, hardware, and support services continued through June 30, 2017. The Company paid $783,500 to American Capital in 2017 for these IT-related services provided under the Transition Services Agreement. Other than these IT-related services, the Company received no other services in 2017 under the Transition Services Agreement, and the agreement was terminated on June 30, 2017.</w:t>
      </w:r>
    </w:p>
    <w:p>
      <w:pPr>
        <w:spacing w:after="0" w:line="173" w:lineRule="exact"/>
        <w:rPr>
          <w:sz w:val="20"/>
          <w:szCs w:val="20"/>
          <w:color w:val="auto"/>
        </w:rPr>
      </w:pPr>
    </w:p>
    <w:p>
      <w:pPr>
        <w:ind w:left="200" w:firstLine="771"/>
        <w:spacing w:after="0" w:line="264" w:lineRule="auto"/>
        <w:rPr>
          <w:sz w:val="20"/>
          <w:szCs w:val="20"/>
          <w:color w:val="auto"/>
        </w:rPr>
      </w:pPr>
      <w:r>
        <w:rPr>
          <w:rFonts w:ascii="Arial" w:cs="Arial" w:eastAsia="Arial" w:hAnsi="Arial"/>
          <w:sz w:val="18"/>
          <w:szCs w:val="18"/>
          <w:color w:val="auto"/>
        </w:rPr>
        <w:t>As a result of the Internalization, our subsidiary, MTGE Management, LLC serves as the investment manager of MTGE pursuant to a management agreement. In 2017, we received $13.7 million in management fees in addition to reimbursements of certain expenses from MTGE. Certain officers of AGNC also serve as</w:t>
      </w:r>
    </w:p>
    <w:p>
      <w:pPr>
        <w:spacing w:after="0" w:line="109"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14</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20"/>
          </w:cols>
          <w:pgMar w:left="240" w:top="459" w:right="439" w:bottom="1440" w:gutter="0" w:footer="0" w:header="0"/>
        </w:sectPr>
      </w:pPr>
    </w:p>
    <w:bookmarkStart w:id="18" w:name="page19"/>
    <w:bookmarkEnd w:id="1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200" w:right="140"/>
        <w:spacing w:after="0" w:line="342" w:lineRule="auto"/>
        <w:rPr>
          <w:sz w:val="20"/>
          <w:szCs w:val="20"/>
          <w:color w:val="auto"/>
        </w:rPr>
      </w:pPr>
      <w:r>
        <w:rPr>
          <w:rFonts w:ascii="Arial" w:cs="Arial" w:eastAsia="Arial" w:hAnsi="Arial"/>
          <w:sz w:val="16"/>
          <w:szCs w:val="16"/>
          <w:color w:val="auto"/>
        </w:rPr>
        <w:t>officers of MTGE and MTGE Management, LLC. In addition, Mr. Kain serves on the Board of Directors of MTGE. None of our officers receive any form of compensation from MTGE for their service as officers, and Mr. Kain receives no separate compensation for his service as a director of MTGE.</w:t>
      </w:r>
    </w:p>
    <w:p>
      <w:pPr>
        <w:spacing w:after="0" w:line="124" w:lineRule="exact"/>
        <w:rPr>
          <w:sz w:val="20"/>
          <w:szCs w:val="20"/>
          <w:color w:val="auto"/>
        </w:rPr>
      </w:pPr>
    </w:p>
    <w:p>
      <w:pPr>
        <w:ind w:left="980"/>
        <w:spacing w:after="0"/>
        <w:rPr>
          <w:sz w:val="20"/>
          <w:szCs w:val="20"/>
          <w:color w:val="auto"/>
        </w:rPr>
      </w:pPr>
      <w:r>
        <w:rPr>
          <w:rFonts w:ascii="Arial" w:cs="Arial" w:eastAsia="Arial" w:hAnsi="Arial"/>
          <w:sz w:val="18"/>
          <w:szCs w:val="18"/>
          <w:color w:val="auto"/>
        </w:rPr>
        <w:t>We have not entered into any other transactions in which any other related person of ours has any material interest.</w:t>
      </w:r>
    </w:p>
    <w:p>
      <w:pPr>
        <w:spacing w:after="0" w:line="329"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Compensation Committee Interlocks and Insider Participation</w:t>
      </w:r>
    </w:p>
    <w:p>
      <w:pPr>
        <w:spacing w:after="0" w:line="121" w:lineRule="exact"/>
        <w:rPr>
          <w:sz w:val="20"/>
          <w:szCs w:val="20"/>
          <w:color w:val="auto"/>
        </w:rPr>
      </w:pPr>
    </w:p>
    <w:p>
      <w:pPr>
        <w:jc w:val="both"/>
        <w:ind w:left="200" w:right="600" w:firstLine="771"/>
        <w:spacing w:after="0" w:line="264" w:lineRule="auto"/>
        <w:rPr>
          <w:sz w:val="20"/>
          <w:szCs w:val="20"/>
          <w:color w:val="auto"/>
        </w:rPr>
      </w:pPr>
      <w:r>
        <w:rPr>
          <w:rFonts w:ascii="Arial" w:cs="Arial" w:eastAsia="Arial" w:hAnsi="Arial"/>
          <w:sz w:val="18"/>
          <w:szCs w:val="18"/>
          <w:color w:val="auto"/>
        </w:rPr>
        <w:t>No member of the Compensation Committee during fiscal year 2017 served as an officer, former officer, or employee of ours or had a relationship disclosable under “Board and Governance Matters—Certain Transactions with Related Persons.” Further, during 2017, none of our executive officers served as:</w:t>
      </w:r>
    </w:p>
    <w:p>
      <w:pPr>
        <w:spacing w:after="0" w:line="87" w:lineRule="exact"/>
        <w:rPr>
          <w:sz w:val="20"/>
          <w:szCs w:val="20"/>
          <w:color w:val="auto"/>
        </w:rPr>
      </w:pPr>
    </w:p>
    <w:p>
      <w:pPr>
        <w:ind w:left="960" w:right="20" w:hanging="432"/>
        <w:spacing w:after="0" w:line="258" w:lineRule="auto"/>
        <w:tabs>
          <w:tab w:leader="none" w:pos="960" w:val="left"/>
        </w:tabs>
        <w:numPr>
          <w:ilvl w:val="0"/>
          <w:numId w:val="18"/>
        </w:numPr>
        <w:rPr>
          <w:rFonts w:ascii="Arial" w:cs="Arial" w:eastAsia="Arial" w:hAnsi="Arial"/>
          <w:sz w:val="18"/>
          <w:szCs w:val="18"/>
          <w:color w:val="auto"/>
        </w:rPr>
      </w:pPr>
      <w:r>
        <w:rPr>
          <w:rFonts w:ascii="Arial" w:cs="Arial" w:eastAsia="Arial" w:hAnsi="Arial"/>
          <w:sz w:val="18"/>
          <w:szCs w:val="18"/>
          <w:color w:val="auto"/>
        </w:rPr>
        <w:t>a member of the compensation committee (or equivalent) of any other entity, one of whose executive officers served as one of our directors or was an immediate family member of a director, or served on our Compensation Committee; or</w:t>
      </w:r>
    </w:p>
    <w:p>
      <w:pPr>
        <w:spacing w:after="0" w:line="1" w:lineRule="exact"/>
        <w:rPr>
          <w:rFonts w:ascii="Arial" w:cs="Arial" w:eastAsia="Arial" w:hAnsi="Arial"/>
          <w:sz w:val="18"/>
          <w:szCs w:val="18"/>
          <w:color w:val="auto"/>
        </w:rPr>
      </w:pPr>
    </w:p>
    <w:p>
      <w:pPr>
        <w:ind w:left="960" w:hanging="432"/>
        <w:spacing w:after="0"/>
        <w:tabs>
          <w:tab w:leader="none" w:pos="960" w:val="left"/>
        </w:tabs>
        <w:numPr>
          <w:ilvl w:val="0"/>
          <w:numId w:val="18"/>
        </w:numPr>
        <w:rPr>
          <w:rFonts w:ascii="Arial" w:cs="Arial" w:eastAsia="Arial" w:hAnsi="Arial"/>
          <w:sz w:val="16"/>
          <w:szCs w:val="16"/>
          <w:color w:val="auto"/>
        </w:rPr>
      </w:pPr>
      <w:r>
        <w:rPr>
          <w:rFonts w:ascii="Arial" w:cs="Arial" w:eastAsia="Arial" w:hAnsi="Arial"/>
          <w:sz w:val="16"/>
          <w:szCs w:val="16"/>
          <w:color w:val="auto"/>
        </w:rPr>
        <w:t>a director of any other entity, one of whose executive officers or their immediate family member served on our Compensation Committee.</w:t>
      </w:r>
    </w:p>
    <w:p>
      <w:pPr>
        <w:spacing w:after="0" w:line="162"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15</w:t>
      </w:r>
    </w:p>
    <w:p>
      <w:pPr>
        <w:sectPr>
          <w:pgSz w:w="11900" w:h="16838" w:orient="portrait"/>
          <w:cols w:equalWidth="0" w:num="1">
            <w:col w:w="11220"/>
          </w:cols>
          <w:pgMar w:left="240" w:top="459" w:right="439" w:bottom="1440" w:gutter="0" w:footer="0" w:header="0"/>
        </w:sectPr>
      </w:pPr>
    </w:p>
    <w:bookmarkStart w:id="19" w:name="page20"/>
    <w:bookmarkEnd w:id="1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PROPOSAL 1: ELECTION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15" w:lineRule="exact"/>
        <w:rPr>
          <w:sz w:val="20"/>
          <w:szCs w:val="20"/>
          <w:color w:val="auto"/>
        </w:rPr>
      </w:pPr>
    </w:p>
    <w:p>
      <w:pPr>
        <w:jc w:val="center"/>
        <w:ind w:right="-199"/>
        <w:spacing w:after="0"/>
        <w:rPr>
          <w:sz w:val="20"/>
          <w:szCs w:val="20"/>
          <w:color w:val="auto"/>
        </w:rPr>
      </w:pPr>
      <w:r>
        <w:rPr>
          <w:rFonts w:ascii="Arial" w:cs="Arial" w:eastAsia="Arial" w:hAnsi="Arial"/>
          <w:sz w:val="22"/>
          <w:szCs w:val="22"/>
          <w:b w:val="1"/>
          <w:bCs w:val="1"/>
          <w:color w:val="407CCA"/>
        </w:rPr>
        <w:t>PROPOSAL 1: ELECTION OF DIRECTORS</w:t>
      </w:r>
    </w:p>
    <w:p>
      <w:pPr>
        <w:spacing w:after="0" w:line="111" w:lineRule="exact"/>
        <w:rPr>
          <w:sz w:val="20"/>
          <w:szCs w:val="20"/>
          <w:color w:val="auto"/>
        </w:rPr>
      </w:pPr>
    </w:p>
    <w:p>
      <w:pPr>
        <w:ind w:left="200" w:firstLine="771"/>
        <w:spacing w:after="0" w:line="293" w:lineRule="auto"/>
        <w:rPr>
          <w:sz w:val="20"/>
          <w:szCs w:val="20"/>
          <w:color w:val="auto"/>
        </w:rPr>
      </w:pPr>
      <w:r>
        <w:rPr>
          <w:rFonts w:ascii="Arial" w:cs="Arial" w:eastAsia="Arial" w:hAnsi="Arial"/>
          <w:sz w:val="16"/>
          <w:szCs w:val="16"/>
          <w:color w:val="auto"/>
        </w:rPr>
        <w:t>Pursuant to our Certificate of Incorporation, our common stockholders elect each of the members of the Board of Directors annually. The term of each director will expire at the Annual Meeting. Each director has been nominated by the Compensation Committee of the Board of Directors, in accordance with our Bylaws, to stand for re-election at the Annual Meeting and to serve as a director until our Annual Meeting to be held in 2018 and until his or her successor is elected and qualified. It is expected that each of the nominees will be able to serve, but if any such nominee is unable to serve for any reason, the proxies reserve discretion to vote or refrain from voting for a substitute nominee or nominees. A common stockholder using the enclosed form of proxy can vote for or against any or all of the nominees or may abstain from voting for any or all of the nominees.</w:t>
      </w:r>
    </w:p>
    <w:p>
      <w:pPr>
        <w:spacing w:after="0" w:line="57" w:lineRule="exact"/>
        <w:rPr>
          <w:sz w:val="20"/>
          <w:szCs w:val="20"/>
          <w:color w:val="auto"/>
        </w:rPr>
      </w:pPr>
    </w:p>
    <w:p>
      <w:pPr>
        <w:ind w:left="200" w:right="20" w:firstLine="771"/>
        <w:spacing w:after="0" w:line="255" w:lineRule="auto"/>
        <w:rPr>
          <w:sz w:val="20"/>
          <w:szCs w:val="20"/>
          <w:color w:val="auto"/>
        </w:rPr>
      </w:pPr>
      <w:r>
        <w:rPr>
          <w:rFonts w:ascii="Arial" w:cs="Arial" w:eastAsia="Arial" w:hAnsi="Arial"/>
          <w:sz w:val="18"/>
          <w:szCs w:val="18"/>
          <w:color w:val="auto"/>
        </w:rPr>
        <w:t>We believe that all of our directors, each of whom is a nominee for re-election, possess the personal and professional qualifications necessary to serve as a member of our Board of Directors and collectively represent a balance of industry knowledge, skills and expertise. Our directors have been evaluated by the Compensation Committee pursuant to the guidelines described above under “Board and Governance Matters</w:t>
      </w:r>
      <w:r>
        <w:rPr>
          <w:rFonts w:ascii="Arial" w:cs="Arial" w:eastAsia="Arial" w:hAnsi="Arial"/>
          <w:sz w:val="18"/>
          <w:szCs w:val="18"/>
          <w:b w:val="1"/>
          <w:bCs w:val="1"/>
          <w:color w:val="auto"/>
        </w:rPr>
        <w:t>—</w:t>
      </w:r>
      <w:r>
        <w:rPr>
          <w:rFonts w:ascii="Arial" w:cs="Arial" w:eastAsia="Arial" w:hAnsi="Arial"/>
          <w:sz w:val="18"/>
          <w:szCs w:val="18"/>
          <w:color w:val="auto"/>
        </w:rPr>
        <w:t>Board Membership Criteria,” and the determination was made that each of them fulfills and exceeds the qualities that we look for in members of our Board of Directors. Mr. Kain is our Chief Executive Officer, President and Chief Investment Officer. Other than Mr. Kain, each of the nominees is independent as defined in the Nasdaq rules.</w:t>
      </w:r>
    </w:p>
    <w:p>
      <w:pPr>
        <w:spacing w:after="0" w:line="297"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Summary of Our Board’s Industry and Functional Expertise</w:t>
      </w:r>
    </w:p>
    <w:p>
      <w:pPr>
        <w:spacing w:after="0" w:line="121" w:lineRule="exact"/>
        <w:rPr>
          <w:sz w:val="20"/>
          <w:szCs w:val="20"/>
          <w:color w:val="auto"/>
        </w:rPr>
      </w:pPr>
    </w:p>
    <w:p>
      <w:pPr>
        <w:ind w:left="200" w:right="440" w:firstLine="771"/>
        <w:spacing w:after="0" w:line="286" w:lineRule="auto"/>
        <w:rPr>
          <w:sz w:val="20"/>
          <w:szCs w:val="20"/>
          <w:color w:val="auto"/>
        </w:rPr>
      </w:pPr>
      <w:r>
        <w:rPr>
          <w:rFonts w:ascii="Arial" w:cs="Arial" w:eastAsia="Arial" w:hAnsi="Arial"/>
          <w:sz w:val="17"/>
          <w:szCs w:val="17"/>
          <w:color w:val="auto"/>
        </w:rPr>
        <w:t>We believe that our Directors have a diversity of experience and a wide variety of skills and qualifications that strengthen their ability to provide guidance and oversight to the Company and management on behalf of stockholders. The following chart summarizes a number of the competencies currently represented by our Board members that we believe are important to their oversight of our operations.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294005</wp:posOffset>
            </wp:positionV>
            <wp:extent cx="6997700" cy="27432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6997700" cy="274320"/>
                    </a:xfrm>
                    <a:prstGeom prst="rect">
                      <a:avLst/>
                    </a:prstGeom>
                    <a:noFill/>
                  </pic:spPr>
                </pic:pic>
              </a:graphicData>
            </a:graphic>
          </wp:anchor>
        </w:drawing>
      </w:r>
    </w:p>
    <w:p>
      <w:pPr>
        <w:spacing w:after="0" w:line="200" w:lineRule="exact"/>
        <w:rPr>
          <w:sz w:val="20"/>
          <w:szCs w:val="20"/>
          <w:color w:val="auto"/>
        </w:rPr>
      </w:pPr>
    </w:p>
    <w:p>
      <w:pPr>
        <w:spacing w:after="0" w:line="347" w:lineRule="exact"/>
        <w:rPr>
          <w:sz w:val="20"/>
          <w:szCs w:val="20"/>
          <w:color w:val="auto"/>
        </w:rPr>
      </w:pPr>
    </w:p>
    <w:p>
      <w:pPr>
        <w:jc w:val="center"/>
        <w:ind w:right="-219"/>
        <w:spacing w:after="0"/>
        <w:rPr>
          <w:sz w:val="20"/>
          <w:szCs w:val="20"/>
          <w:color w:val="auto"/>
        </w:rPr>
      </w:pPr>
      <w:r>
        <w:rPr>
          <w:rFonts w:ascii="Arial" w:cs="Arial" w:eastAsia="Arial" w:hAnsi="Arial"/>
          <w:sz w:val="18"/>
          <w:szCs w:val="18"/>
          <w:b w:val="1"/>
          <w:bCs w:val="1"/>
          <w:color w:val="auto"/>
        </w:rPr>
        <w:t>Our Board’s Skills and Qualifications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1034415</wp:posOffset>
            </wp:positionH>
            <wp:positionV relativeFrom="paragraph">
              <wp:posOffset>231775</wp:posOffset>
            </wp:positionV>
            <wp:extent cx="5188585" cy="240093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5188585" cy="24009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16</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20"/>
          </w:cols>
          <w:pgMar w:left="240" w:top="459" w:right="439" w:bottom="1440" w:gutter="0" w:footer="0" w:header="0"/>
        </w:sectPr>
      </w:pPr>
    </w:p>
    <w:bookmarkStart w:id="20" w:name="page21"/>
    <w:bookmarkEnd w:id="2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PROPOSAL 1: ELECTION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200" w:right="120" w:firstLine="771"/>
        <w:spacing w:after="0" w:line="264" w:lineRule="auto"/>
        <w:rPr>
          <w:sz w:val="20"/>
          <w:szCs w:val="20"/>
          <w:color w:val="auto"/>
        </w:rPr>
      </w:pPr>
      <w:r>
        <w:rPr>
          <w:rFonts w:ascii="Arial" w:cs="Arial" w:eastAsia="Arial" w:hAnsi="Arial"/>
          <w:sz w:val="18"/>
          <w:szCs w:val="18"/>
          <w:color w:val="auto"/>
        </w:rPr>
        <w:t>The information set forth below with respect to each of our directors, each of whom is a nominee for election at the Annual Meeting, is as of February 26, 2018. The business address of each nominee is c/o AGNC Investment Corp., 2 Bethesda Metro Center, 12</w:t>
      </w:r>
      <w:r>
        <w:rPr>
          <w:rFonts w:ascii="Arial" w:cs="Arial" w:eastAsia="Arial" w:hAnsi="Arial"/>
          <w:sz w:val="15"/>
          <w:szCs w:val="15"/>
          <w:color w:val="auto"/>
        </w:rPr>
        <w:t>th</w:t>
      </w:r>
      <w:r>
        <w:rPr>
          <w:rFonts w:ascii="Arial" w:cs="Arial" w:eastAsia="Arial" w:hAnsi="Arial"/>
          <w:sz w:val="18"/>
          <w:szCs w:val="18"/>
          <w:color w:val="auto"/>
        </w:rPr>
        <w:t xml:space="preserve"> Floor, Bethesda, Maryland 20814. We have highlighted specific attributes for each Board member below.</w:t>
      </w:r>
    </w:p>
    <w:p>
      <w:pPr>
        <w:spacing w:after="0" w:line="69"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Director Nominee Biographies and Qualifications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94615</wp:posOffset>
            </wp:positionV>
            <wp:extent cx="6586220" cy="260731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6586220" cy="2607310"/>
                    </a:xfrm>
                    <a:prstGeom prst="rect">
                      <a:avLst/>
                    </a:prstGeom>
                    <a:noFill/>
                  </pic:spPr>
                </pic:pic>
              </a:graphicData>
            </a:graphic>
          </wp:anchor>
        </w:drawing>
      </w:r>
    </w:p>
    <w:p>
      <w:pPr>
        <w:spacing w:after="0" w:line="246"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MORRIS A. DAVIS, 46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17145</wp:posOffset>
            </wp:positionV>
            <wp:extent cx="5179695" cy="889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5179695" cy="8890"/>
                    </a:xfrm>
                    <a:prstGeom prst="rect">
                      <a:avLst/>
                    </a:prstGeom>
                    <a:noFill/>
                  </pic:spPr>
                </pic:pic>
              </a:graphicData>
            </a:graphic>
          </wp:anchor>
        </w:drawing>
      </w:r>
    </w:p>
    <w:p>
      <w:pPr>
        <w:spacing w:after="0" w:line="124"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407CCA"/>
        </w:rPr>
        <w:t>Professional Experience:</w:t>
      </w:r>
    </w:p>
    <w:p>
      <w:pPr>
        <w:spacing w:after="0" w:line="27" w:lineRule="exact"/>
        <w:rPr>
          <w:sz w:val="20"/>
          <w:szCs w:val="20"/>
          <w:color w:val="auto"/>
        </w:rPr>
      </w:pPr>
    </w:p>
    <w:p>
      <w:pPr>
        <w:ind w:left="200" w:right="2880"/>
        <w:spacing w:after="0" w:line="267" w:lineRule="auto"/>
        <w:rPr>
          <w:sz w:val="20"/>
          <w:szCs w:val="20"/>
          <w:color w:val="auto"/>
        </w:rPr>
      </w:pPr>
      <w:r>
        <w:rPr>
          <w:rFonts w:ascii="Arial" w:cs="Arial" w:eastAsia="Arial" w:hAnsi="Arial"/>
          <w:sz w:val="17"/>
          <w:szCs w:val="17"/>
          <w:color w:val="auto"/>
        </w:rPr>
        <w:t>Dr. Davis is the Paul V. Profeta Chair of Real Estate and Academic Director of the Center for Real Estate at Rutgers Business School, where he has worked since September 2014. Previously, Dr. Davis was the James A. Graaskamp Chair of Real Estate in the Department of Real Estate at the University of Wisconsin-Madison, where he worked from September 2006 through August 2014. Dr. Davis was also the Academic Director of the James A. Graaskamp Center for Real Estate at the University of Wisconsin-Madison. He was previously on the Academic Advisory Council of the Federal Reserve Bank of Chicago and served as a Research Associate at the Federal Reserve Bank of Cleveland. From July 2002 to August 2006, Dr. Davis was an economist at the Federal Reserve Board working in the Flow of Funds Section. From October 2001 to July 2002, he was Director of Yield Optimization at Return Buy, Inc. and from August 1998 to October 2001, Dr. Davis was an economist at the Macroeconomics and Quantitative Studies Section of the Federal Reserve Board. Dr. Davis is widely published on issues related to the U.S. housing markets and a frequent lecturer. He holds a Ph.D. in Economics from the University of Pennsylvania. Dr. Davis previously served on the board of directors of MTGE Investment Corp. (Nasdaq: MTGE) from August 2011 until May 2016.</w:t>
      </w:r>
    </w:p>
    <w:p>
      <w:pPr>
        <w:spacing w:after="0" w:line="207"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407CCA"/>
        </w:rPr>
        <w:t>Director Qualifications:</w:t>
      </w:r>
    </w:p>
    <w:p>
      <w:pPr>
        <w:spacing w:after="0" w:line="27" w:lineRule="exact"/>
        <w:rPr>
          <w:sz w:val="20"/>
          <w:szCs w:val="20"/>
          <w:color w:val="auto"/>
        </w:rPr>
      </w:pPr>
    </w:p>
    <w:p>
      <w:pPr>
        <w:ind w:left="200" w:right="3380"/>
        <w:spacing w:after="0" w:line="261" w:lineRule="auto"/>
        <w:rPr>
          <w:sz w:val="20"/>
          <w:szCs w:val="20"/>
          <w:color w:val="auto"/>
        </w:rPr>
      </w:pPr>
      <w:r>
        <w:rPr>
          <w:rFonts w:ascii="Arial" w:cs="Arial" w:eastAsia="Arial" w:hAnsi="Arial"/>
          <w:sz w:val="18"/>
          <w:szCs w:val="18"/>
          <w:color w:val="auto"/>
        </w:rPr>
        <w:t>Dr. Davis’s extensive expertise in economics, housing policy, and finance matters strengthens our Board’s collective qualifications, skills, experience, and viewpoints.</w:t>
      </w:r>
    </w:p>
    <w:p>
      <w:pPr>
        <w:spacing w:after="0" w:line="166"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17</w:t>
      </w:r>
    </w:p>
    <w:p>
      <w:pPr>
        <w:sectPr>
          <w:pgSz w:w="11900" w:h="16838" w:orient="portrait"/>
          <w:cols w:equalWidth="0" w:num="1">
            <w:col w:w="11220"/>
          </w:cols>
          <w:pgMar w:left="240" w:top="459" w:right="439" w:bottom="1440" w:gutter="0" w:footer="0" w:header="0"/>
        </w:sectPr>
      </w:pPr>
    </w:p>
    <w:bookmarkStart w:id="21" w:name="page22"/>
    <w:bookmarkEnd w:id="2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PROPOSAL 1: ELECTION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288988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6997700" cy="2889885"/>
                    </a:xfrm>
                    <a:prstGeom prst="rect">
                      <a:avLst/>
                    </a:prstGeom>
                    <a:noFill/>
                  </pic:spPr>
                </pic:pic>
              </a:graphicData>
            </a:graphic>
          </wp:anchor>
        </w:drawing>
      </w:r>
    </w:p>
    <w:p>
      <w:pPr>
        <w:spacing w:after="0" w:line="360" w:lineRule="exact"/>
        <w:rPr>
          <w:sz w:val="20"/>
          <w:szCs w:val="20"/>
          <w:color w:val="auto"/>
        </w:rPr>
      </w:pPr>
    </w:p>
    <w:p>
      <w:pPr>
        <w:ind w:left="2500"/>
        <w:spacing w:after="0"/>
        <w:rPr>
          <w:sz w:val="20"/>
          <w:szCs w:val="20"/>
          <w:color w:val="auto"/>
        </w:rPr>
      </w:pPr>
      <w:r>
        <w:rPr>
          <w:rFonts w:ascii="Arial" w:cs="Arial" w:eastAsia="Arial" w:hAnsi="Arial"/>
          <w:sz w:val="18"/>
          <w:szCs w:val="18"/>
          <w:b w:val="1"/>
          <w:bCs w:val="1"/>
          <w:color w:val="auto"/>
        </w:rPr>
        <w:t>LARRY K. HARVEY, 53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1531620</wp:posOffset>
            </wp:positionH>
            <wp:positionV relativeFrom="paragraph">
              <wp:posOffset>154940</wp:posOffset>
            </wp:positionV>
            <wp:extent cx="5600065" cy="889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5600065" cy="8890"/>
                    </a:xfrm>
                    <a:prstGeom prst="rect">
                      <a:avLst/>
                    </a:prstGeom>
                    <a:noFill/>
                  </pic:spPr>
                </pic:pic>
              </a:graphicData>
            </a:graphic>
          </wp:anchor>
        </w:drawing>
      </w:r>
    </w:p>
    <w:p>
      <w:pPr>
        <w:spacing w:after="0" w:line="340" w:lineRule="exact"/>
        <w:rPr>
          <w:sz w:val="20"/>
          <w:szCs w:val="20"/>
          <w:color w:val="auto"/>
        </w:rPr>
      </w:pPr>
    </w:p>
    <w:p>
      <w:pPr>
        <w:ind w:left="2500"/>
        <w:spacing w:after="0"/>
        <w:rPr>
          <w:sz w:val="20"/>
          <w:szCs w:val="20"/>
          <w:color w:val="auto"/>
        </w:rPr>
      </w:pPr>
      <w:r>
        <w:rPr>
          <w:rFonts w:ascii="Arial" w:cs="Arial" w:eastAsia="Arial" w:hAnsi="Arial"/>
          <w:sz w:val="18"/>
          <w:szCs w:val="18"/>
          <w:b w:val="1"/>
          <w:bCs w:val="1"/>
          <w:color w:val="407CCA"/>
        </w:rPr>
        <w:t>Professional Experience:</w:t>
      </w:r>
    </w:p>
    <w:p>
      <w:pPr>
        <w:spacing w:after="0" w:line="27" w:lineRule="exact"/>
        <w:rPr>
          <w:sz w:val="20"/>
          <w:szCs w:val="20"/>
          <w:color w:val="auto"/>
        </w:rPr>
      </w:pPr>
    </w:p>
    <w:p>
      <w:pPr>
        <w:ind w:left="2500"/>
        <w:spacing w:after="0"/>
        <w:rPr>
          <w:sz w:val="20"/>
          <w:szCs w:val="20"/>
          <w:color w:val="auto"/>
        </w:rPr>
      </w:pPr>
      <w:r>
        <w:rPr>
          <w:rFonts w:ascii="Arial" w:cs="Arial" w:eastAsia="Arial" w:hAnsi="Arial"/>
          <w:sz w:val="16"/>
          <w:szCs w:val="16"/>
          <w:color w:val="auto"/>
        </w:rPr>
        <w:t>Mr. Harvey is a recognized financial leader in the global real estate industry with over 20 years of experience in public</w:t>
      </w:r>
    </w:p>
    <w:p>
      <w:pPr>
        <w:spacing w:after="0" w:line="32" w:lineRule="exact"/>
        <w:rPr>
          <w:sz w:val="20"/>
          <w:szCs w:val="20"/>
          <w:color w:val="auto"/>
        </w:rPr>
      </w:pPr>
    </w:p>
    <w:p>
      <w:pPr>
        <w:ind w:left="2500"/>
        <w:spacing w:after="0"/>
        <w:rPr>
          <w:sz w:val="20"/>
          <w:szCs w:val="20"/>
          <w:color w:val="auto"/>
        </w:rPr>
      </w:pPr>
      <w:r>
        <w:rPr>
          <w:rFonts w:ascii="Arial" w:cs="Arial" w:eastAsia="Arial" w:hAnsi="Arial"/>
          <w:sz w:val="17"/>
          <w:szCs w:val="17"/>
          <w:color w:val="auto"/>
        </w:rPr>
        <w:t>company accounting and finance. Prior to his retirement, Mr. Harvey served as Chief Financial Officer of Playa</w:t>
      </w:r>
    </w:p>
    <w:p>
      <w:pPr>
        <w:spacing w:after="0" w:line="21" w:lineRule="exact"/>
        <w:rPr>
          <w:sz w:val="20"/>
          <w:szCs w:val="20"/>
          <w:color w:val="auto"/>
        </w:rPr>
      </w:pPr>
    </w:p>
    <w:p>
      <w:pPr>
        <w:ind w:left="2500"/>
        <w:spacing w:after="0"/>
        <w:rPr>
          <w:sz w:val="20"/>
          <w:szCs w:val="20"/>
          <w:color w:val="auto"/>
        </w:rPr>
      </w:pPr>
      <w:r>
        <w:rPr>
          <w:rFonts w:ascii="Arial" w:cs="Arial" w:eastAsia="Arial" w:hAnsi="Arial"/>
          <w:sz w:val="16"/>
          <w:szCs w:val="16"/>
          <w:color w:val="auto"/>
        </w:rPr>
        <w:t>Hotels &amp; Resorts B.V. from April 2015 until July 2017. Prior to joining Playa, he served as Executive Vice President and</w:t>
      </w:r>
    </w:p>
    <w:p>
      <w:pPr>
        <w:spacing w:after="0" w:line="32" w:lineRule="exact"/>
        <w:rPr>
          <w:sz w:val="20"/>
          <w:szCs w:val="20"/>
          <w:color w:val="auto"/>
        </w:rPr>
      </w:pPr>
    </w:p>
    <w:p>
      <w:pPr>
        <w:ind w:left="2500"/>
        <w:spacing w:after="0"/>
        <w:rPr>
          <w:sz w:val="20"/>
          <w:szCs w:val="20"/>
          <w:color w:val="auto"/>
        </w:rPr>
      </w:pPr>
      <w:r>
        <w:rPr>
          <w:rFonts w:ascii="Arial" w:cs="Arial" w:eastAsia="Arial" w:hAnsi="Arial"/>
          <w:sz w:val="17"/>
          <w:szCs w:val="17"/>
          <w:color w:val="auto"/>
        </w:rPr>
        <w:t>Chief Financial Officer of Host Hotels &amp; Resorts, Inc. (NYSE: HST) (“Host”) from 2007 to 2013 and served as its</w:t>
      </w:r>
    </w:p>
    <w:p>
      <w:pPr>
        <w:spacing w:after="0" w:line="21" w:lineRule="exact"/>
        <w:rPr>
          <w:sz w:val="20"/>
          <w:szCs w:val="20"/>
          <w:color w:val="auto"/>
        </w:rPr>
      </w:pPr>
    </w:p>
    <w:p>
      <w:pPr>
        <w:ind w:left="2500"/>
        <w:spacing w:after="0"/>
        <w:rPr>
          <w:sz w:val="20"/>
          <w:szCs w:val="20"/>
          <w:color w:val="auto"/>
        </w:rPr>
      </w:pPr>
      <w:r>
        <w:rPr>
          <w:rFonts w:ascii="Arial" w:cs="Arial" w:eastAsia="Arial" w:hAnsi="Arial"/>
          <w:sz w:val="16"/>
          <w:szCs w:val="16"/>
          <w:color w:val="auto"/>
        </w:rPr>
        <w:t>Treasurer from 2007 to 2010. From 2006 to 2007, Mr. Harvey served as Senior Vice President, Chief Accounting Officer</w:t>
      </w:r>
    </w:p>
    <w:p>
      <w:pPr>
        <w:spacing w:after="0" w:line="32" w:lineRule="exact"/>
        <w:rPr>
          <w:sz w:val="20"/>
          <w:szCs w:val="20"/>
          <w:color w:val="auto"/>
        </w:rPr>
      </w:pPr>
    </w:p>
    <w:p>
      <w:pPr>
        <w:ind w:left="2500"/>
        <w:spacing w:after="0"/>
        <w:rPr>
          <w:sz w:val="20"/>
          <w:szCs w:val="20"/>
          <w:color w:val="auto"/>
        </w:rPr>
      </w:pPr>
      <w:r>
        <w:rPr>
          <w:rFonts w:ascii="Arial" w:cs="Arial" w:eastAsia="Arial" w:hAnsi="Arial"/>
          <w:sz w:val="16"/>
          <w:szCs w:val="16"/>
          <w:color w:val="auto"/>
        </w:rPr>
        <w:t>of Host and from 2003 to 2006, he served as Host’s Senior Vice President and Corporate Controller. Prior to rejoining</w:t>
      </w:r>
    </w:p>
    <w:p>
      <w:pPr>
        <w:spacing w:after="0" w:line="32" w:lineRule="exact"/>
        <w:rPr>
          <w:sz w:val="20"/>
          <w:szCs w:val="20"/>
          <w:color w:val="auto"/>
        </w:rPr>
      </w:pPr>
    </w:p>
    <w:p>
      <w:pPr>
        <w:ind w:left="2500"/>
        <w:spacing w:after="0"/>
        <w:rPr>
          <w:sz w:val="20"/>
          <w:szCs w:val="20"/>
          <w:color w:val="auto"/>
        </w:rPr>
      </w:pPr>
      <w:r>
        <w:rPr>
          <w:rFonts w:ascii="Arial" w:cs="Arial" w:eastAsia="Arial" w:hAnsi="Arial"/>
          <w:sz w:val="18"/>
          <w:szCs w:val="18"/>
          <w:color w:val="auto"/>
        </w:rPr>
        <w:t>Host in 2003, he served as Chief Financial Officer of Barceló Crestline Corporation, formerly Crestline Capital</w:t>
      </w:r>
    </w:p>
    <w:p>
      <w:pPr>
        <w:spacing w:after="0" w:line="9" w:lineRule="exact"/>
        <w:rPr>
          <w:sz w:val="20"/>
          <w:szCs w:val="20"/>
          <w:color w:val="auto"/>
        </w:rPr>
      </w:pPr>
    </w:p>
    <w:p>
      <w:pPr>
        <w:ind w:left="2500"/>
        <w:spacing w:after="0"/>
        <w:rPr>
          <w:sz w:val="20"/>
          <w:szCs w:val="20"/>
          <w:color w:val="auto"/>
        </w:rPr>
      </w:pPr>
      <w:r>
        <w:rPr>
          <w:rFonts w:ascii="Arial" w:cs="Arial" w:eastAsia="Arial" w:hAnsi="Arial"/>
          <w:sz w:val="17"/>
          <w:szCs w:val="17"/>
          <w:color w:val="auto"/>
        </w:rPr>
        <w:t>Corporation. Prior to that, Mr. Harvey was Host’s Vice President of Corporate Accounting, before the spin-off of</w:t>
      </w:r>
    </w:p>
    <w:p>
      <w:pPr>
        <w:spacing w:after="0" w:line="21" w:lineRule="exact"/>
        <w:rPr>
          <w:sz w:val="20"/>
          <w:szCs w:val="20"/>
          <w:color w:val="auto"/>
        </w:rPr>
      </w:pPr>
    </w:p>
    <w:p>
      <w:pPr>
        <w:ind w:left="2500"/>
        <w:spacing w:after="0"/>
        <w:rPr>
          <w:sz w:val="20"/>
          <w:szCs w:val="20"/>
          <w:color w:val="auto"/>
        </w:rPr>
      </w:pPr>
      <w:r>
        <w:rPr>
          <w:rFonts w:ascii="Arial" w:cs="Arial" w:eastAsia="Arial" w:hAnsi="Arial"/>
          <w:sz w:val="16"/>
          <w:szCs w:val="16"/>
          <w:color w:val="auto"/>
        </w:rPr>
        <w:t>Crestline in 1998. Mr. Harvey also serves on the board of directors of American Capital Senior Floating, Ltd. (Nasdaq:</w:t>
      </w:r>
    </w:p>
    <w:p>
      <w:pPr>
        <w:spacing w:after="0" w:line="32" w:lineRule="exact"/>
        <w:rPr>
          <w:sz w:val="20"/>
          <w:szCs w:val="20"/>
          <w:color w:val="auto"/>
        </w:rPr>
      </w:pPr>
    </w:p>
    <w:p>
      <w:pPr>
        <w:ind w:left="2500"/>
        <w:spacing w:after="0"/>
        <w:rPr>
          <w:sz w:val="20"/>
          <w:szCs w:val="20"/>
          <w:color w:val="auto"/>
        </w:rPr>
      </w:pPr>
      <w:r>
        <w:rPr>
          <w:rFonts w:ascii="Arial" w:cs="Arial" w:eastAsia="Arial" w:hAnsi="Arial"/>
          <w:sz w:val="16"/>
          <w:szCs w:val="16"/>
          <w:color w:val="auto"/>
        </w:rPr>
        <w:t>ACSF) and previously served on the board of directors of MTGE Investment Corp. (Nasdaq: MTGE) from August 2011</w:t>
      </w:r>
    </w:p>
    <w:p>
      <w:pPr>
        <w:spacing w:after="0" w:line="32" w:lineRule="exact"/>
        <w:rPr>
          <w:sz w:val="20"/>
          <w:szCs w:val="20"/>
          <w:color w:val="auto"/>
        </w:rPr>
      </w:pPr>
    </w:p>
    <w:p>
      <w:pPr>
        <w:ind w:left="2500"/>
        <w:spacing w:after="0"/>
        <w:rPr>
          <w:sz w:val="20"/>
          <w:szCs w:val="20"/>
          <w:color w:val="auto"/>
        </w:rPr>
      </w:pPr>
      <w:r>
        <w:rPr>
          <w:rFonts w:ascii="Arial" w:cs="Arial" w:eastAsia="Arial" w:hAnsi="Arial"/>
          <w:sz w:val="17"/>
          <w:szCs w:val="17"/>
          <w:color w:val="auto"/>
        </w:rPr>
        <w:t>until May 2016. Mr. Harvey is an “audit committee financial expert” (as defined in Item 407 of Regulation S-K under</w:t>
      </w:r>
    </w:p>
    <w:p>
      <w:pPr>
        <w:spacing w:after="0" w:line="21" w:lineRule="exact"/>
        <w:rPr>
          <w:sz w:val="20"/>
          <w:szCs w:val="20"/>
          <w:color w:val="auto"/>
        </w:rPr>
      </w:pPr>
    </w:p>
    <w:p>
      <w:pPr>
        <w:ind w:left="2500"/>
        <w:spacing w:after="0"/>
        <w:rPr>
          <w:sz w:val="20"/>
          <w:szCs w:val="20"/>
          <w:color w:val="auto"/>
        </w:rPr>
      </w:pPr>
      <w:r>
        <w:rPr>
          <w:rFonts w:ascii="Arial" w:cs="Arial" w:eastAsia="Arial" w:hAnsi="Arial"/>
          <w:sz w:val="18"/>
          <w:szCs w:val="18"/>
          <w:color w:val="auto"/>
        </w:rPr>
        <w:t>the Securities Act).</w:t>
      </w:r>
    </w:p>
    <w:p>
      <w:pPr>
        <w:spacing w:after="0" w:line="234" w:lineRule="exact"/>
        <w:rPr>
          <w:sz w:val="20"/>
          <w:szCs w:val="20"/>
          <w:color w:val="auto"/>
        </w:rPr>
      </w:pPr>
    </w:p>
    <w:p>
      <w:pPr>
        <w:ind w:left="2500"/>
        <w:spacing w:after="0"/>
        <w:rPr>
          <w:sz w:val="20"/>
          <w:szCs w:val="20"/>
          <w:color w:val="auto"/>
        </w:rPr>
      </w:pPr>
      <w:r>
        <w:rPr>
          <w:rFonts w:ascii="Arial" w:cs="Arial" w:eastAsia="Arial" w:hAnsi="Arial"/>
          <w:sz w:val="18"/>
          <w:szCs w:val="18"/>
          <w:b w:val="1"/>
          <w:bCs w:val="1"/>
          <w:color w:val="407CCA"/>
        </w:rPr>
        <w:t>Director Qualifications:</w:t>
      </w:r>
    </w:p>
    <w:p>
      <w:pPr>
        <w:spacing w:after="0" w:line="27" w:lineRule="exact"/>
        <w:rPr>
          <w:sz w:val="20"/>
          <w:szCs w:val="20"/>
          <w:color w:val="auto"/>
        </w:rPr>
      </w:pPr>
    </w:p>
    <w:p>
      <w:pPr>
        <w:ind w:left="2500" w:right="20"/>
        <w:spacing w:after="0" w:line="255" w:lineRule="auto"/>
        <w:rPr>
          <w:sz w:val="20"/>
          <w:szCs w:val="20"/>
          <w:color w:val="auto"/>
        </w:rPr>
      </w:pPr>
      <w:r>
        <w:rPr>
          <w:rFonts w:ascii="Arial" w:cs="Arial" w:eastAsia="Arial" w:hAnsi="Arial"/>
          <w:sz w:val="18"/>
          <w:szCs w:val="18"/>
          <w:color w:val="auto"/>
        </w:rPr>
        <w:t>Mr. Harvey’s public company accounting, finance, and risk management expertise, including his extensive experience as a senior executive of a REIT responsible for the preparation of financial statements, strengthens our Board’s collective qualifications, skills, experience, and viewpoints.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155575</wp:posOffset>
            </wp:positionV>
            <wp:extent cx="6997700" cy="276987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6997700" cy="2769870"/>
                    </a:xfrm>
                    <a:prstGeom prst="rect">
                      <a:avLst/>
                    </a:prstGeom>
                    <a:noFill/>
                  </pic:spPr>
                </pic:pic>
              </a:graphicData>
            </a:graphic>
          </wp:anchor>
        </w:drawing>
      </w:r>
    </w:p>
    <w:p>
      <w:pPr>
        <w:spacing w:after="0" w:line="342" w:lineRule="exact"/>
        <w:rPr>
          <w:sz w:val="20"/>
          <w:szCs w:val="20"/>
          <w:color w:val="auto"/>
        </w:rPr>
      </w:pPr>
    </w:p>
    <w:p>
      <w:pPr>
        <w:ind w:left="2500"/>
        <w:spacing w:after="0"/>
        <w:rPr>
          <w:sz w:val="20"/>
          <w:szCs w:val="20"/>
          <w:color w:val="auto"/>
        </w:rPr>
      </w:pPr>
      <w:r>
        <w:rPr>
          <w:rFonts w:ascii="Arial" w:cs="Arial" w:eastAsia="Arial" w:hAnsi="Arial"/>
          <w:sz w:val="18"/>
          <w:szCs w:val="18"/>
          <w:b w:val="1"/>
          <w:bCs w:val="1"/>
          <w:color w:val="auto"/>
        </w:rPr>
        <w:t>PRUE B. LAROCCA, 66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1531620</wp:posOffset>
            </wp:positionH>
            <wp:positionV relativeFrom="paragraph">
              <wp:posOffset>154940</wp:posOffset>
            </wp:positionV>
            <wp:extent cx="5600065" cy="889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5600065" cy="8890"/>
                    </a:xfrm>
                    <a:prstGeom prst="rect">
                      <a:avLst/>
                    </a:prstGeom>
                    <a:noFill/>
                  </pic:spPr>
                </pic:pic>
              </a:graphicData>
            </a:graphic>
          </wp:anchor>
        </w:drawing>
      </w:r>
    </w:p>
    <w:p>
      <w:pPr>
        <w:spacing w:after="0" w:line="340" w:lineRule="exact"/>
        <w:rPr>
          <w:sz w:val="20"/>
          <w:szCs w:val="20"/>
          <w:color w:val="auto"/>
        </w:rPr>
      </w:pPr>
    </w:p>
    <w:p>
      <w:pPr>
        <w:ind w:left="2500"/>
        <w:spacing w:after="0"/>
        <w:rPr>
          <w:sz w:val="20"/>
          <w:szCs w:val="20"/>
          <w:color w:val="auto"/>
        </w:rPr>
      </w:pPr>
      <w:r>
        <w:rPr>
          <w:rFonts w:ascii="Arial" w:cs="Arial" w:eastAsia="Arial" w:hAnsi="Arial"/>
          <w:sz w:val="18"/>
          <w:szCs w:val="18"/>
          <w:b w:val="1"/>
          <w:bCs w:val="1"/>
          <w:color w:val="407CCA"/>
        </w:rPr>
        <w:t>Professional Experience:</w:t>
      </w:r>
    </w:p>
    <w:p>
      <w:pPr>
        <w:spacing w:after="0" w:line="27" w:lineRule="exact"/>
        <w:rPr>
          <w:sz w:val="20"/>
          <w:szCs w:val="20"/>
          <w:color w:val="auto"/>
        </w:rPr>
      </w:pPr>
    </w:p>
    <w:p>
      <w:pPr>
        <w:jc w:val="both"/>
        <w:ind w:left="2500" w:right="620"/>
        <w:spacing w:after="0" w:line="281" w:lineRule="auto"/>
        <w:rPr>
          <w:sz w:val="20"/>
          <w:szCs w:val="20"/>
          <w:color w:val="auto"/>
        </w:rPr>
      </w:pPr>
      <w:r>
        <w:rPr>
          <w:rFonts w:ascii="Arial" w:cs="Arial" w:eastAsia="Arial" w:hAnsi="Arial"/>
          <w:sz w:val="16"/>
          <w:szCs w:val="16"/>
          <w:color w:val="auto"/>
        </w:rPr>
        <w:t>Ms. Larocca has served as our Chair and Lead Independent Director since May 2016. She is a retired investment banking executive and a widely recognized expert in the areas of housing finance and securitization. In addition,</w:t>
      </w:r>
    </w:p>
    <w:p>
      <w:pPr>
        <w:spacing w:after="0" w:line="1" w:lineRule="exact"/>
        <w:rPr>
          <w:sz w:val="20"/>
          <w:szCs w:val="20"/>
          <w:color w:val="auto"/>
        </w:rPr>
      </w:pPr>
    </w:p>
    <w:p>
      <w:pPr>
        <w:ind w:left="2500" w:right="20"/>
        <w:spacing w:after="0" w:line="287" w:lineRule="auto"/>
        <w:rPr>
          <w:sz w:val="20"/>
          <w:szCs w:val="20"/>
          <w:color w:val="auto"/>
        </w:rPr>
      </w:pPr>
      <w:r>
        <w:rPr>
          <w:rFonts w:ascii="Arial" w:cs="Arial" w:eastAsia="Arial" w:hAnsi="Arial"/>
          <w:sz w:val="16"/>
          <w:szCs w:val="16"/>
          <w:color w:val="auto"/>
        </w:rPr>
        <w:t>Ms. Larocca is a member of the board of the Housing Preservation Foundation and the Washington School for Girls and previously served two terms on the board of the American Securitization Trade Association. Ms. Larocca was a Managing Director of Royal Bank of Scotland (“RBS”) in the Mortgage Backed and Asset Backed Finance Group from 1997 until her retirement from RBS in 2011. Prior to joining RBS, Ms. Larocca was a Senior Vice President at Lehman Brothers in the mortgage finance business, managed the consumer and single-family securitization business for the Resolution Trust Corporation and practiced law with the firms of Milbank, Tweed, Hadley and McCloy and Kutak Rock. She is a graduate of the Georgetown University Law Center and Indiana University. Ms. Larocca previously served on the board of directors of MTGE Investment Corp. (Nasdaq: MTGE) from February 2013 until May 2016.</w:t>
      </w:r>
    </w:p>
    <w:p>
      <w:pPr>
        <w:spacing w:after="0" w:line="193" w:lineRule="exact"/>
        <w:rPr>
          <w:sz w:val="20"/>
          <w:szCs w:val="20"/>
          <w:color w:val="auto"/>
        </w:rPr>
      </w:pPr>
    </w:p>
    <w:p>
      <w:pPr>
        <w:ind w:left="2500"/>
        <w:spacing w:after="0"/>
        <w:rPr>
          <w:sz w:val="20"/>
          <w:szCs w:val="20"/>
          <w:color w:val="auto"/>
        </w:rPr>
      </w:pPr>
      <w:r>
        <w:rPr>
          <w:rFonts w:ascii="Arial" w:cs="Arial" w:eastAsia="Arial" w:hAnsi="Arial"/>
          <w:sz w:val="18"/>
          <w:szCs w:val="18"/>
          <w:b w:val="1"/>
          <w:bCs w:val="1"/>
          <w:color w:val="407CCA"/>
        </w:rPr>
        <w:t>Director Qualifications:</w:t>
      </w:r>
    </w:p>
    <w:p>
      <w:pPr>
        <w:spacing w:after="0" w:line="27" w:lineRule="exact"/>
        <w:rPr>
          <w:sz w:val="20"/>
          <w:szCs w:val="20"/>
          <w:color w:val="auto"/>
        </w:rPr>
      </w:pPr>
    </w:p>
    <w:p>
      <w:pPr>
        <w:ind w:left="2500" w:right="400"/>
        <w:spacing w:after="0" w:line="261" w:lineRule="auto"/>
        <w:rPr>
          <w:sz w:val="20"/>
          <w:szCs w:val="20"/>
          <w:color w:val="auto"/>
        </w:rPr>
      </w:pPr>
      <w:r>
        <w:rPr>
          <w:rFonts w:ascii="Arial" w:cs="Arial" w:eastAsia="Arial" w:hAnsi="Arial"/>
          <w:sz w:val="18"/>
          <w:szCs w:val="18"/>
          <w:color w:val="auto"/>
        </w:rPr>
        <w:t>Ms. Larocca’s extensive and lengthy expertise in mortgage finance, and asset securitization strengthens our Board’s collective qualifications, skills, experience and viewpoints.</w:t>
      </w: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18</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20"/>
          </w:cols>
          <w:pgMar w:left="240" w:top="459" w:right="439" w:bottom="1440" w:gutter="0" w:footer="0" w:header="0"/>
        </w:sectPr>
      </w:pPr>
    </w:p>
    <w:bookmarkStart w:id="22" w:name="page23"/>
    <w:bookmarkEnd w:id="2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PROPOSAL 1: ELECTION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265874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6997700" cy="2658745"/>
                    </a:xfrm>
                    <a:prstGeom prst="rect">
                      <a:avLst/>
                    </a:prstGeom>
                    <a:noFill/>
                  </pic:spPr>
                </pic:pic>
              </a:graphicData>
            </a:graphic>
          </wp:anchor>
        </w:drawing>
      </w:r>
    </w:p>
    <w:p>
      <w:pPr>
        <w:spacing w:after="0" w:line="360" w:lineRule="exact"/>
        <w:rPr>
          <w:sz w:val="20"/>
          <w:szCs w:val="20"/>
          <w:color w:val="auto"/>
        </w:rPr>
      </w:pPr>
    </w:p>
    <w:p>
      <w:pPr>
        <w:ind w:left="2480"/>
        <w:spacing w:after="0"/>
        <w:rPr>
          <w:sz w:val="20"/>
          <w:szCs w:val="20"/>
          <w:color w:val="auto"/>
        </w:rPr>
      </w:pPr>
      <w:r>
        <w:rPr>
          <w:rFonts w:ascii="Arial" w:cs="Arial" w:eastAsia="Arial" w:hAnsi="Arial"/>
          <w:sz w:val="18"/>
          <w:szCs w:val="18"/>
          <w:b w:val="1"/>
          <w:bCs w:val="1"/>
          <w:color w:val="auto"/>
        </w:rPr>
        <w:t>PAUL E. MULLINGS, 67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1522730</wp:posOffset>
            </wp:positionH>
            <wp:positionV relativeFrom="paragraph">
              <wp:posOffset>26035</wp:posOffset>
            </wp:positionV>
            <wp:extent cx="5608320" cy="889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5608320" cy="8890"/>
                    </a:xfrm>
                    <a:prstGeom prst="rect">
                      <a:avLst/>
                    </a:prstGeom>
                    <a:noFill/>
                  </pic:spPr>
                </pic:pic>
              </a:graphicData>
            </a:graphic>
          </wp:anchor>
        </w:drawing>
      </w:r>
    </w:p>
    <w:p>
      <w:pPr>
        <w:spacing w:after="0" w:line="138" w:lineRule="exact"/>
        <w:rPr>
          <w:sz w:val="20"/>
          <w:szCs w:val="20"/>
          <w:color w:val="auto"/>
        </w:rPr>
      </w:pPr>
    </w:p>
    <w:p>
      <w:pPr>
        <w:ind w:left="2480"/>
        <w:spacing w:after="0"/>
        <w:rPr>
          <w:sz w:val="20"/>
          <w:szCs w:val="20"/>
          <w:color w:val="auto"/>
        </w:rPr>
      </w:pPr>
      <w:r>
        <w:rPr>
          <w:rFonts w:ascii="Arial" w:cs="Arial" w:eastAsia="Arial" w:hAnsi="Arial"/>
          <w:sz w:val="18"/>
          <w:szCs w:val="18"/>
          <w:b w:val="1"/>
          <w:bCs w:val="1"/>
          <w:color w:val="407CCA"/>
        </w:rPr>
        <w:t>Professional Experience:</w:t>
      </w:r>
    </w:p>
    <w:p>
      <w:pPr>
        <w:spacing w:after="0" w:line="27" w:lineRule="exact"/>
        <w:rPr>
          <w:sz w:val="20"/>
          <w:szCs w:val="20"/>
          <w:color w:val="auto"/>
        </w:rPr>
      </w:pPr>
    </w:p>
    <w:p>
      <w:pPr>
        <w:ind w:left="2480"/>
        <w:spacing w:after="0" w:line="267" w:lineRule="auto"/>
        <w:rPr>
          <w:sz w:val="20"/>
          <w:szCs w:val="20"/>
          <w:color w:val="auto"/>
        </w:rPr>
      </w:pPr>
      <w:r>
        <w:rPr>
          <w:rFonts w:ascii="Arial" w:cs="Arial" w:eastAsia="Arial" w:hAnsi="Arial"/>
          <w:sz w:val="17"/>
          <w:szCs w:val="17"/>
          <w:color w:val="auto"/>
        </w:rPr>
        <w:t>Mr. Mullings has 40 years’ experience in the mortgage banking sector. Mr. Mullings currently serves as a Managing Director of The Collingwood Group, a business advisory and risk management firm focused on the financial services industry, a position he has held since 2015. From 2005 to 2015, Mr. Mullings served as a Senior Vice President of Freddie Mac in the Single-Family Business division. While at Freddie Mac, he also served on the Operating, Management and Credit Risk Committees. Prior to joining Freddie Mac, Mr. Mullings was a Senior Vice President at J.P. Morgan Chase &amp; Co. from 1997 to 2005 in the home finance area. Previously, Mr. Mullings was the President and Chief Executive Officer of the Mortgage Electronic Registration Systems, Inc. (MERS) and the President and Chief Executive Officer of the Residential Mortgage Division of the First Interstate Bank in Los Angeles. Mr. Mullings received his Overseas Certificate in Business Studies from the College of Arts, Science and Technology in Kingston, Jamaica, following which he became a Member of The Institute of Accounting Staff in conjunction with the Association of Certified Accountants in London, England.</w:t>
      </w:r>
    </w:p>
    <w:p>
      <w:pPr>
        <w:spacing w:after="0" w:line="210" w:lineRule="exact"/>
        <w:rPr>
          <w:sz w:val="20"/>
          <w:szCs w:val="20"/>
          <w:color w:val="auto"/>
        </w:rPr>
      </w:pPr>
    </w:p>
    <w:p>
      <w:pPr>
        <w:ind w:left="2480"/>
        <w:spacing w:after="0"/>
        <w:rPr>
          <w:sz w:val="20"/>
          <w:szCs w:val="20"/>
          <w:color w:val="auto"/>
        </w:rPr>
      </w:pPr>
      <w:r>
        <w:rPr>
          <w:rFonts w:ascii="Arial" w:cs="Arial" w:eastAsia="Arial" w:hAnsi="Arial"/>
          <w:sz w:val="18"/>
          <w:szCs w:val="18"/>
          <w:b w:val="1"/>
          <w:bCs w:val="1"/>
          <w:color w:val="407CCA"/>
        </w:rPr>
        <w:t>Director Qualifications:</w:t>
      </w:r>
    </w:p>
    <w:p>
      <w:pPr>
        <w:spacing w:after="0" w:line="27" w:lineRule="exact"/>
        <w:rPr>
          <w:sz w:val="20"/>
          <w:szCs w:val="20"/>
          <w:color w:val="auto"/>
        </w:rPr>
      </w:pPr>
    </w:p>
    <w:p>
      <w:pPr>
        <w:ind w:left="2480" w:right="100"/>
        <w:spacing w:after="0" w:line="290" w:lineRule="auto"/>
        <w:rPr>
          <w:sz w:val="20"/>
          <w:szCs w:val="20"/>
          <w:color w:val="auto"/>
        </w:rPr>
      </w:pPr>
      <w:r>
        <w:rPr>
          <w:rFonts w:ascii="Arial" w:cs="Arial" w:eastAsia="Arial" w:hAnsi="Arial"/>
          <w:sz w:val="17"/>
          <w:szCs w:val="17"/>
          <w:color w:val="auto"/>
        </w:rPr>
        <w:t>Mr. Mullings’ extensive senior executive officer experience in the mortgage banking sector and the secondary mortgage market strengthens our Board’s collective qualifications, skills, experience, and viewpoints.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137160</wp:posOffset>
            </wp:positionV>
            <wp:extent cx="6997700" cy="237553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6997700" cy="2375535"/>
                    </a:xfrm>
                    <a:prstGeom prst="rect">
                      <a:avLst/>
                    </a:prstGeom>
                    <a:noFill/>
                  </pic:spPr>
                </pic:pic>
              </a:graphicData>
            </a:graphic>
          </wp:anchor>
        </w:drawing>
      </w:r>
    </w:p>
    <w:p>
      <w:pPr>
        <w:spacing w:after="0" w:line="313" w:lineRule="exact"/>
        <w:rPr>
          <w:sz w:val="20"/>
          <w:szCs w:val="20"/>
          <w:color w:val="auto"/>
        </w:rPr>
      </w:pPr>
    </w:p>
    <w:p>
      <w:pPr>
        <w:ind w:left="2480"/>
        <w:spacing w:after="0"/>
        <w:rPr>
          <w:sz w:val="20"/>
          <w:szCs w:val="20"/>
          <w:color w:val="auto"/>
        </w:rPr>
      </w:pPr>
      <w:r>
        <w:rPr>
          <w:rFonts w:ascii="Arial" w:cs="Arial" w:eastAsia="Arial" w:hAnsi="Arial"/>
          <w:sz w:val="18"/>
          <w:szCs w:val="18"/>
          <w:b w:val="1"/>
          <w:bCs w:val="1"/>
          <w:color w:val="auto"/>
        </w:rPr>
        <w:t>GARY D. KAIN, 53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1522730</wp:posOffset>
            </wp:positionH>
            <wp:positionV relativeFrom="paragraph">
              <wp:posOffset>26035</wp:posOffset>
            </wp:positionV>
            <wp:extent cx="5608320" cy="889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5608320" cy="8890"/>
                    </a:xfrm>
                    <a:prstGeom prst="rect">
                      <a:avLst/>
                    </a:prstGeom>
                    <a:noFill/>
                  </pic:spPr>
                </pic:pic>
              </a:graphicData>
            </a:graphic>
          </wp:anchor>
        </w:drawing>
      </w:r>
    </w:p>
    <w:p>
      <w:pPr>
        <w:spacing w:after="0" w:line="138" w:lineRule="exact"/>
        <w:rPr>
          <w:sz w:val="20"/>
          <w:szCs w:val="20"/>
          <w:color w:val="auto"/>
        </w:rPr>
      </w:pPr>
    </w:p>
    <w:p>
      <w:pPr>
        <w:ind w:left="2480"/>
        <w:spacing w:after="0"/>
        <w:rPr>
          <w:sz w:val="20"/>
          <w:szCs w:val="20"/>
          <w:color w:val="auto"/>
        </w:rPr>
      </w:pPr>
      <w:r>
        <w:rPr>
          <w:rFonts w:ascii="Arial" w:cs="Arial" w:eastAsia="Arial" w:hAnsi="Arial"/>
          <w:sz w:val="18"/>
          <w:szCs w:val="18"/>
          <w:b w:val="1"/>
          <w:bCs w:val="1"/>
          <w:color w:val="407CCA"/>
        </w:rPr>
        <w:t>Professional Experience:</w:t>
      </w:r>
    </w:p>
    <w:p>
      <w:pPr>
        <w:spacing w:after="0" w:line="27" w:lineRule="exact"/>
        <w:rPr>
          <w:sz w:val="20"/>
          <w:szCs w:val="20"/>
          <w:color w:val="auto"/>
        </w:rPr>
      </w:pPr>
    </w:p>
    <w:p>
      <w:pPr>
        <w:ind w:left="2480" w:right="100"/>
        <w:spacing w:after="0" w:line="255" w:lineRule="auto"/>
        <w:rPr>
          <w:sz w:val="20"/>
          <w:szCs w:val="20"/>
          <w:color w:val="auto"/>
        </w:rPr>
      </w:pPr>
      <w:r>
        <w:rPr>
          <w:rFonts w:ascii="Arial" w:cs="Arial" w:eastAsia="Arial" w:hAnsi="Arial"/>
          <w:sz w:val="18"/>
          <w:szCs w:val="18"/>
          <w:color w:val="auto"/>
        </w:rPr>
        <w:t>Mr. Kain has served as a Director and our Chief Executive Officer since March 2016, President since April 2011 and Chief Investment Officer since January 2009. In addition, Mr. Kain serves as the Chief Executive Officer, President and Chief Investment Officer of MTGE Investment Corp. (Nasdaq: MTGE).</w:t>
      </w:r>
    </w:p>
    <w:p>
      <w:pPr>
        <w:spacing w:after="0" w:line="217" w:lineRule="exact"/>
        <w:rPr>
          <w:sz w:val="20"/>
          <w:szCs w:val="20"/>
          <w:color w:val="auto"/>
        </w:rPr>
      </w:pPr>
    </w:p>
    <w:p>
      <w:pPr>
        <w:ind w:left="2480" w:right="20"/>
        <w:spacing w:after="0" w:line="253" w:lineRule="auto"/>
        <w:rPr>
          <w:sz w:val="20"/>
          <w:szCs w:val="20"/>
          <w:color w:val="auto"/>
        </w:rPr>
      </w:pPr>
      <w:r>
        <w:rPr>
          <w:rFonts w:ascii="Arial" w:cs="Arial" w:eastAsia="Arial" w:hAnsi="Arial"/>
          <w:sz w:val="18"/>
          <w:szCs w:val="18"/>
          <w:color w:val="auto"/>
        </w:rPr>
        <w:t>Prior to joining AGNC Investment Corp., Mr. Kain served as Senior Vice President of Investments and Capital Markets of Freddie Mac from May 2008 to January 2009. He also served as Senior Vice President of Mortgage Investments &amp; Structuring of Freddie Mac from February 2005 to April 2008, during which time he was responsible for managing all of Freddie Mac’s mortgage investment activities for the company’s $700 billion retained portfolio. From 2001 to 2005, Mr. Kain served as Vice President of Mortgage Portfolio Strategy at Freddie Mac. From 1995 to 2001, he served as head trader in Freddie Mac’s Securities Sales &amp; Trading Group, where he was responsible for managing all trading decisions including REMIC structuring and underwriting, hedging all mortgage positions, income generation, and risk management. Prior to that, he served as a senior trader, responsible for managing the adjustable-rate mortgage and REMIC sectors.</w:t>
      </w:r>
    </w:p>
    <w:p>
      <w:pPr>
        <w:spacing w:after="0" w:line="220" w:lineRule="exact"/>
        <w:rPr>
          <w:sz w:val="20"/>
          <w:szCs w:val="20"/>
          <w:color w:val="auto"/>
        </w:rPr>
      </w:pPr>
    </w:p>
    <w:p>
      <w:pPr>
        <w:ind w:left="2480"/>
        <w:spacing w:after="0"/>
        <w:rPr>
          <w:sz w:val="20"/>
          <w:szCs w:val="20"/>
          <w:color w:val="auto"/>
        </w:rPr>
      </w:pPr>
      <w:r>
        <w:rPr>
          <w:rFonts w:ascii="Arial" w:cs="Arial" w:eastAsia="Arial" w:hAnsi="Arial"/>
          <w:sz w:val="18"/>
          <w:szCs w:val="18"/>
          <w:b w:val="1"/>
          <w:bCs w:val="1"/>
          <w:color w:val="407CCA"/>
        </w:rPr>
        <w:t>Director Qualifications:</w:t>
      </w:r>
    </w:p>
    <w:p>
      <w:pPr>
        <w:spacing w:after="0" w:line="27" w:lineRule="exact"/>
        <w:rPr>
          <w:sz w:val="20"/>
          <w:szCs w:val="20"/>
          <w:color w:val="auto"/>
        </w:rPr>
      </w:pPr>
    </w:p>
    <w:p>
      <w:pPr>
        <w:jc w:val="both"/>
        <w:ind w:left="2480" w:right="20"/>
        <w:spacing w:after="0" w:line="255" w:lineRule="auto"/>
        <w:rPr>
          <w:sz w:val="20"/>
          <w:szCs w:val="20"/>
          <w:color w:val="auto"/>
        </w:rPr>
      </w:pPr>
      <w:r>
        <w:rPr>
          <w:rFonts w:ascii="Arial" w:cs="Arial" w:eastAsia="Arial" w:hAnsi="Arial"/>
          <w:sz w:val="18"/>
          <w:szCs w:val="18"/>
          <w:color w:val="auto"/>
        </w:rPr>
        <w:t>Mr. Kain’s extensive and lengthy expertise in the Agency mortgage sector and his deep knowledge of our business as our Chief Executive Officer, President and Chief Investment Officer strengthens our Board’s collective qualifications, skills, experience, and viewpoints.</w:t>
      </w:r>
    </w:p>
    <w:p>
      <w:pPr>
        <w:spacing w:after="0" w:line="321"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19</w:t>
      </w:r>
    </w:p>
    <w:p>
      <w:pPr>
        <w:sectPr>
          <w:pgSz w:w="11900" w:h="16838" w:orient="portrait"/>
          <w:cols w:equalWidth="0" w:num="1">
            <w:col w:w="11220"/>
          </w:cols>
          <w:pgMar w:left="240" w:top="459" w:right="439" w:bottom="1440" w:gutter="0" w:footer="0" w:header="0"/>
        </w:sectPr>
      </w:pPr>
    </w:p>
    <w:bookmarkStart w:id="23" w:name="page24"/>
    <w:bookmarkEnd w:id="2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PROPOSAL 1: ELECTION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Conclusion and Recommendation; Vote Required</w:t>
      </w:r>
    </w:p>
    <w:p>
      <w:pPr>
        <w:spacing w:after="0" w:line="121" w:lineRule="exact"/>
        <w:rPr>
          <w:sz w:val="20"/>
          <w:szCs w:val="20"/>
          <w:color w:val="auto"/>
        </w:rPr>
      </w:pPr>
    </w:p>
    <w:p>
      <w:pPr>
        <w:ind w:left="200" w:firstLine="771"/>
        <w:spacing w:after="0" w:line="297" w:lineRule="auto"/>
        <w:rPr>
          <w:sz w:val="20"/>
          <w:szCs w:val="20"/>
          <w:color w:val="auto"/>
        </w:rPr>
      </w:pPr>
      <w:r>
        <w:rPr>
          <w:rFonts w:ascii="Arial" w:cs="Arial" w:eastAsia="Arial" w:hAnsi="Arial"/>
          <w:sz w:val="16"/>
          <w:szCs w:val="16"/>
          <w:color w:val="auto"/>
        </w:rPr>
        <w:t xml:space="preserve">The election of directors nominated in Proposal 1 requires the affirmative vote of a majority of the votes cast by holders of our common stock at the Annual Meeting. The affirmative vote of a “majority” of the votes cast means that the number of votes cast “for” a director nominee must exceed the votes cast “against” that nominee. In the context of the election of five directors at the Annual Meeting, it will mean that each of the five candidates will be required to receive more votes “for” than “against” to be elected. Abstentions and broker non-votes will have no effect on the outcome of the proposal. THE BOARD OF DIRECTORS RECOMMENDS A VOTE </w:t>
      </w:r>
      <w:r>
        <w:rPr>
          <w:rFonts w:ascii="Arial" w:cs="Arial" w:eastAsia="Arial" w:hAnsi="Arial"/>
          <w:sz w:val="16"/>
          <w:szCs w:val="16"/>
          <w:b w:val="1"/>
          <w:bCs w:val="1"/>
          <w:color w:val="auto"/>
        </w:rPr>
        <w:t>FOR</w:t>
      </w:r>
      <w:r>
        <w:rPr>
          <w:rFonts w:ascii="Arial" w:cs="Arial" w:eastAsia="Arial" w:hAnsi="Arial"/>
          <w:sz w:val="16"/>
          <w:szCs w:val="16"/>
          <w:color w:val="auto"/>
        </w:rPr>
        <w:t xml:space="preserve"> THE ELECTION OF ALL THE NOMINEES NAMED ABOVE.</w:t>
      </w:r>
    </w:p>
    <w:p>
      <w:pPr>
        <w:spacing w:after="0" w:line="86"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20</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80"/>
          </w:cols>
          <w:pgMar w:left="240" w:top="459" w:right="479" w:bottom="1440" w:gutter="0" w:footer="0" w:header="0"/>
        </w:sectPr>
      </w:pPr>
    </w:p>
    <w:bookmarkStart w:id="24" w:name="page25"/>
    <w:bookmarkEnd w:id="2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ind w:left="520"/>
        <w:spacing w:after="0" w:line="253" w:lineRule="auto"/>
        <w:rPr>
          <w:sz w:val="20"/>
          <w:szCs w:val="20"/>
          <w:color w:val="auto"/>
        </w:rPr>
      </w:pPr>
      <w:r>
        <w:rPr>
          <w:rFonts w:ascii="Arial" w:cs="Arial" w:eastAsia="Arial" w:hAnsi="Arial"/>
          <w:sz w:val="14"/>
          <w:szCs w:val="14"/>
          <w:color w:val="407CCA"/>
        </w:rPr>
        <w:t>PROPOSAL 2: APPROVAL OF THE AMENDMENT TO OUR CERTIFICATE OF INCORPORATION TO INCREASE THE AUTHORIZED NUMBER OF SHARES OF 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27940</wp:posOffset>
            </wp:positionV>
            <wp:extent cx="6997700" cy="889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86" w:lineRule="exact"/>
        <w:rPr>
          <w:sz w:val="20"/>
          <w:szCs w:val="20"/>
          <w:color w:val="auto"/>
        </w:rPr>
      </w:pPr>
    </w:p>
    <w:p>
      <w:pPr>
        <w:jc w:val="center"/>
        <w:ind w:right="-199"/>
        <w:spacing w:after="0"/>
        <w:rPr>
          <w:sz w:val="20"/>
          <w:szCs w:val="20"/>
          <w:color w:val="auto"/>
        </w:rPr>
      </w:pPr>
      <w:r>
        <w:rPr>
          <w:rFonts w:ascii="Arial" w:cs="Arial" w:eastAsia="Arial" w:hAnsi="Arial"/>
          <w:sz w:val="22"/>
          <w:szCs w:val="22"/>
          <w:b w:val="1"/>
          <w:bCs w:val="1"/>
          <w:color w:val="407CCA"/>
        </w:rPr>
        <w:t>PROPOSAL 2:</w:t>
      </w:r>
    </w:p>
    <w:p>
      <w:pPr>
        <w:spacing w:after="0" w:line="14" w:lineRule="exact"/>
        <w:rPr>
          <w:sz w:val="20"/>
          <w:szCs w:val="20"/>
          <w:color w:val="auto"/>
        </w:rPr>
      </w:pPr>
    </w:p>
    <w:p>
      <w:pPr>
        <w:jc w:val="center"/>
        <w:ind w:left="440" w:right="360"/>
        <w:spacing w:after="0" w:line="237" w:lineRule="auto"/>
        <w:rPr>
          <w:sz w:val="20"/>
          <w:szCs w:val="20"/>
          <w:color w:val="auto"/>
        </w:rPr>
      </w:pPr>
      <w:r>
        <w:rPr>
          <w:rFonts w:ascii="Arial" w:cs="Arial" w:eastAsia="Arial" w:hAnsi="Arial"/>
          <w:sz w:val="22"/>
          <w:szCs w:val="22"/>
          <w:b w:val="1"/>
          <w:bCs w:val="1"/>
          <w:color w:val="407CCA"/>
        </w:rPr>
        <w:t>APPROVAL OF THE AMENDMENT TO OUR CERTIFICATE OF INCORPORATION TO INCREASE THE AUTHORIZED NUMBER OF SHARES OF COMMON STOCK</w:t>
      </w:r>
    </w:p>
    <w:p>
      <w:pPr>
        <w:spacing w:after="0" w:line="188"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General Information</w:t>
      </w:r>
    </w:p>
    <w:p>
      <w:pPr>
        <w:spacing w:after="0" w:line="121" w:lineRule="exact"/>
        <w:rPr>
          <w:sz w:val="20"/>
          <w:szCs w:val="20"/>
          <w:color w:val="auto"/>
        </w:rPr>
      </w:pPr>
    </w:p>
    <w:p>
      <w:pPr>
        <w:ind w:left="200" w:right="200" w:firstLine="771"/>
        <w:spacing w:after="0" w:line="259" w:lineRule="auto"/>
        <w:rPr>
          <w:sz w:val="20"/>
          <w:szCs w:val="20"/>
          <w:color w:val="auto"/>
        </w:rPr>
      </w:pPr>
      <w:r>
        <w:rPr>
          <w:rFonts w:ascii="Arial" w:cs="Arial" w:eastAsia="Arial" w:hAnsi="Arial"/>
          <w:sz w:val="18"/>
          <w:szCs w:val="18"/>
          <w:color w:val="auto"/>
        </w:rPr>
        <w:t>Our authorized capital stock consists of 600,000,000 shares of common stock and 10,000,000 shares of preferred stock, $0.01 par value per share. On January 25, 2018, the Board of Directors approved, and recommended that the stockholders adopt, an amendment to Article IV of our Certificate of Incorporation that would increase the authorized number of shares of our common stock from 600,000,000 to 900,000,000. If approved, Section 4.1 of the Certificate of Incorporation would read in its entirety as follows:</w:t>
      </w:r>
    </w:p>
    <w:p>
      <w:pPr>
        <w:spacing w:after="0" w:line="187" w:lineRule="exact"/>
        <w:rPr>
          <w:sz w:val="20"/>
          <w:szCs w:val="20"/>
          <w:color w:val="auto"/>
        </w:rPr>
      </w:pPr>
    </w:p>
    <w:p>
      <w:pPr>
        <w:ind w:left="1080" w:right="180"/>
        <w:spacing w:after="0" w:line="276" w:lineRule="auto"/>
        <w:rPr>
          <w:sz w:val="20"/>
          <w:szCs w:val="20"/>
          <w:color w:val="auto"/>
        </w:rPr>
      </w:pPr>
      <w:r>
        <w:rPr>
          <w:rFonts w:ascii="Arial" w:cs="Arial" w:eastAsia="Arial" w:hAnsi="Arial"/>
          <w:sz w:val="17"/>
          <w:szCs w:val="17"/>
          <w:color w:val="auto"/>
        </w:rPr>
        <w:t>“Section 4.1. Total Number of Shares of Capital Stock. The total number of shares of capital stock of all classes that the Corporation shall have authority to issue is 910,000,000 shares. The authorized stock is divided into 10,000,000 shares of preferred stock, with the par value of $0.01 each (the “Preferred Stock”), and 900,000,000 shares of common stock, with the par value of $0.01 each (the “Common Stock”). The Board of Directors of the Corporation (the “Board of Directors”) may classify any unissued shares of stock and reclassify any previously classified but unissued shares of stock from time to time, in one or more classes or series, of stock.”</w:t>
      </w:r>
    </w:p>
    <w:p>
      <w:pPr>
        <w:spacing w:after="0" w:line="173" w:lineRule="exact"/>
        <w:rPr>
          <w:sz w:val="20"/>
          <w:szCs w:val="20"/>
          <w:color w:val="auto"/>
        </w:rPr>
      </w:pPr>
    </w:p>
    <w:p>
      <w:pPr>
        <w:ind w:left="200" w:right="120" w:firstLine="771"/>
        <w:spacing w:after="0" w:line="277" w:lineRule="auto"/>
        <w:rPr>
          <w:sz w:val="20"/>
          <w:szCs w:val="20"/>
          <w:color w:val="auto"/>
        </w:rPr>
      </w:pPr>
      <w:r>
        <w:rPr>
          <w:rFonts w:ascii="Arial" w:cs="Arial" w:eastAsia="Arial" w:hAnsi="Arial"/>
          <w:sz w:val="18"/>
          <w:szCs w:val="18"/>
          <w:color w:val="auto"/>
        </w:rPr>
        <w:t>Assuming approval of this Proposal to amend our Certificate of Incorporation, the aggregate number of shares of common stock that we will have the authority to issue, at our discretion, will be 900,000,000.</w:t>
      </w:r>
    </w:p>
    <w:p>
      <w:pPr>
        <w:spacing w:after="0" w:line="58"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Background and Reasons</w:t>
      </w:r>
    </w:p>
    <w:p>
      <w:pPr>
        <w:spacing w:after="0" w:line="121" w:lineRule="exact"/>
        <w:rPr>
          <w:sz w:val="20"/>
          <w:szCs w:val="20"/>
          <w:color w:val="auto"/>
        </w:rPr>
      </w:pPr>
    </w:p>
    <w:p>
      <w:pPr>
        <w:ind w:left="200" w:right="100" w:firstLine="771"/>
        <w:spacing w:after="0" w:line="285" w:lineRule="auto"/>
        <w:rPr>
          <w:sz w:val="20"/>
          <w:szCs w:val="20"/>
          <w:color w:val="auto"/>
        </w:rPr>
      </w:pPr>
      <w:r>
        <w:rPr>
          <w:rFonts w:ascii="Arial" w:cs="Arial" w:eastAsia="Arial" w:hAnsi="Arial"/>
          <w:sz w:val="16"/>
          <w:szCs w:val="16"/>
          <w:color w:val="auto"/>
        </w:rPr>
        <w:t>The Board of Directors believes that the increased authorized number of shares of common stock contemplated by the proposed amendment to our Certificate of Incorporation is desirable to make additional unreserved shares of common stock available for issuance or reservation without further stockholder authorization, except as may be required by law or by the rules of The Nasdaq Global Select Market. The Board of Directors believes that having such additional shares authorized and available for issuance or reservation will provide greater flexibility to pursue potential future actions involving the issuance of stock to provide capital for general corporate purposes, investment activity, mergers and acquisitions, and/or stock</w:t>
      </w:r>
    </w:p>
    <w:p>
      <w:pPr>
        <w:spacing w:after="0" w:line="2" w:lineRule="exact"/>
        <w:rPr>
          <w:sz w:val="20"/>
          <w:szCs w:val="20"/>
          <w:color w:val="auto"/>
        </w:rPr>
      </w:pPr>
    </w:p>
    <w:p>
      <w:pPr>
        <w:ind w:left="200" w:right="40"/>
        <w:spacing w:after="0" w:line="253" w:lineRule="auto"/>
        <w:rPr>
          <w:sz w:val="20"/>
          <w:szCs w:val="20"/>
          <w:color w:val="auto"/>
        </w:rPr>
      </w:pPr>
      <w:r>
        <w:rPr>
          <w:rFonts w:ascii="Arial" w:cs="Arial" w:eastAsia="Arial" w:hAnsi="Arial"/>
          <w:sz w:val="18"/>
          <w:szCs w:val="18"/>
          <w:color w:val="auto"/>
        </w:rPr>
        <w:t>dividends or splits. As of , we had shares of issued and outstanding common stock and shares of common stock reserved for future issuance, including shares reserved for future issuance under our At-The-Market issuance program (“ATM”), in the event of conversion of shares of our outstanding preferred stock in accordance with their terms, and under the 2016 Plan. To the extent that our capital markets activity is consistent in 2018 with 2017 levels, when we completed two follow-on common stock offerings, one preferred stock issuance, and issuance of stock under our ATM, virtually all of our remaining authorized shares would be issued or reserved for issuance.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1304290</wp:posOffset>
            </wp:positionH>
            <wp:positionV relativeFrom="paragraph">
              <wp:posOffset>-580390</wp:posOffset>
            </wp:positionV>
            <wp:extent cx="342900" cy="889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342900" cy="8890"/>
                    </a:xfrm>
                    <a:prstGeom prst="rect">
                      <a:avLst/>
                    </a:prstGeom>
                    <a:noFill/>
                  </pic:spPr>
                </pic:pic>
              </a:graphicData>
            </a:graphic>
          </wp:anchor>
        </w:drawing>
        <w:drawing>
          <wp:anchor simplePos="0" relativeHeight="251657728" behindDoc="1" locked="0" layoutInCell="0" allowOverlap="1">
            <wp:simplePos x="0" y="0"/>
            <wp:positionH relativeFrom="column">
              <wp:posOffset>2059305</wp:posOffset>
            </wp:positionH>
            <wp:positionV relativeFrom="paragraph">
              <wp:posOffset>-580390</wp:posOffset>
            </wp:positionV>
            <wp:extent cx="342900" cy="889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342900" cy="8890"/>
                    </a:xfrm>
                    <a:prstGeom prst="rect">
                      <a:avLst/>
                    </a:prstGeom>
                    <a:noFill/>
                  </pic:spPr>
                </pic:pic>
              </a:graphicData>
            </a:graphic>
          </wp:anchor>
        </w:drawing>
        <w:drawing>
          <wp:anchor simplePos="0" relativeHeight="251657728" behindDoc="1" locked="0" layoutInCell="0" allowOverlap="1">
            <wp:simplePos x="0" y="0"/>
            <wp:positionH relativeFrom="column">
              <wp:posOffset>4831080</wp:posOffset>
            </wp:positionH>
            <wp:positionV relativeFrom="paragraph">
              <wp:posOffset>-580390</wp:posOffset>
            </wp:positionV>
            <wp:extent cx="342900" cy="889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342900" cy="8890"/>
                    </a:xfrm>
                    <a:prstGeom prst="rect">
                      <a:avLst/>
                    </a:prstGeom>
                    <a:noFill/>
                  </pic:spPr>
                </pic:pic>
              </a:graphicData>
            </a:graphic>
          </wp:anchor>
        </w:drawing>
      </w:r>
    </w:p>
    <w:p>
      <w:pPr>
        <w:spacing w:after="0" w:line="171" w:lineRule="exact"/>
        <w:rPr>
          <w:sz w:val="20"/>
          <w:szCs w:val="20"/>
          <w:color w:val="auto"/>
        </w:rPr>
      </w:pPr>
    </w:p>
    <w:p>
      <w:pPr>
        <w:ind w:left="200" w:right="120" w:firstLine="771"/>
        <w:spacing w:after="0" w:line="255" w:lineRule="auto"/>
        <w:rPr>
          <w:sz w:val="20"/>
          <w:szCs w:val="20"/>
          <w:color w:val="auto"/>
        </w:rPr>
      </w:pPr>
      <w:r>
        <w:rPr>
          <w:rFonts w:ascii="Arial" w:cs="Arial" w:eastAsia="Arial" w:hAnsi="Arial"/>
          <w:sz w:val="18"/>
          <w:szCs w:val="18"/>
          <w:color w:val="auto"/>
        </w:rPr>
        <w:t>We believe that increasing our authorized number of shares of common stock to facilitate additional capital raising activity is in our stockholders’ best interests. First and foremost, we would generally intend to issue additional shares of common stock in follow on offerings primarily when our net issuance price exceeds our tangible net book value or in other circumstances that are believed to be accretive to our stockholders. Further, as an internally-managed REIT, we do not pay a management fee based upon our equity, so an offering of additional common stock does not result in a proportional increase in our expenses. Our current infrastructure allows us to scale our operations with incremental equity capital without the increased cost associated with an</w:t>
      </w:r>
    </w:p>
    <w:p>
      <w:pPr>
        <w:spacing w:after="0" w:line="121"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21</w:t>
      </w:r>
    </w:p>
    <w:p>
      <w:pPr>
        <w:sectPr>
          <w:pgSz w:w="11900" w:h="16838" w:orient="portrait"/>
          <w:cols w:equalWidth="0" w:num="1">
            <w:col w:w="11220"/>
          </w:cols>
          <w:pgMar w:left="240" w:top="459" w:right="439" w:bottom="1440" w:gutter="0" w:footer="0" w:header="0"/>
        </w:sectPr>
      </w:pPr>
    </w:p>
    <w:bookmarkStart w:id="25" w:name="page26"/>
    <w:bookmarkEnd w:id="2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right="260"/>
        <w:spacing w:after="0" w:line="253" w:lineRule="auto"/>
        <w:rPr>
          <w:sz w:val="20"/>
          <w:szCs w:val="20"/>
          <w:color w:val="auto"/>
        </w:rPr>
      </w:pPr>
      <w:r>
        <w:rPr>
          <w:rFonts w:ascii="Arial" w:cs="Arial" w:eastAsia="Arial" w:hAnsi="Arial"/>
          <w:sz w:val="14"/>
          <w:szCs w:val="14"/>
          <w:color w:val="407CCA"/>
        </w:rPr>
        <w:t>PROPOSAL 2: APPROVAL OF THE AMENDMENT TO OUR CERTIFICATE OF INCORPORATION TO INCREASE THE AUTHORIZED NUMBER OF SHARES OF 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27940</wp:posOffset>
            </wp:positionV>
            <wp:extent cx="6997700" cy="889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99" w:lineRule="exact"/>
        <w:rPr>
          <w:sz w:val="20"/>
          <w:szCs w:val="20"/>
          <w:color w:val="auto"/>
        </w:rPr>
      </w:pPr>
    </w:p>
    <w:p>
      <w:pPr>
        <w:ind w:left="200" w:right="400"/>
        <w:spacing w:after="0" w:line="308" w:lineRule="auto"/>
        <w:rPr>
          <w:sz w:val="20"/>
          <w:szCs w:val="20"/>
          <w:color w:val="auto"/>
        </w:rPr>
      </w:pPr>
      <w:r>
        <w:rPr>
          <w:rFonts w:ascii="Arial" w:cs="Arial" w:eastAsia="Arial" w:hAnsi="Arial"/>
          <w:sz w:val="17"/>
          <w:szCs w:val="17"/>
          <w:color w:val="auto"/>
        </w:rPr>
        <w:t>asset management fee. Because we do not pay management fees based on our equity, additional capital raising activities enables us to leverage our operating costs over a larger equity base, benefitting our stockholders through decreased operating costs per share.</w:t>
      </w:r>
    </w:p>
    <w:p>
      <w:pPr>
        <w:spacing w:after="0" w:line="147" w:lineRule="exact"/>
        <w:rPr>
          <w:sz w:val="20"/>
          <w:szCs w:val="20"/>
          <w:color w:val="auto"/>
        </w:rPr>
      </w:pPr>
    </w:p>
    <w:p>
      <w:pPr>
        <w:ind w:left="200" w:firstLine="771"/>
        <w:spacing w:after="0" w:line="259" w:lineRule="auto"/>
        <w:rPr>
          <w:sz w:val="20"/>
          <w:szCs w:val="20"/>
          <w:color w:val="auto"/>
        </w:rPr>
      </w:pPr>
      <w:r>
        <w:rPr>
          <w:rFonts w:ascii="Arial" w:cs="Arial" w:eastAsia="Arial" w:hAnsi="Arial"/>
          <w:sz w:val="18"/>
          <w:szCs w:val="18"/>
          <w:color w:val="auto"/>
        </w:rPr>
        <w:t>As a REIT, we distribute substantially all of our taxable income to our stockholders in the form of dividends and do not currently retain a significant portion of our earnings for growth. In order to pursue new incremental investment opportunities, we raise additional capital through a variety of means, including common stock offerings. We believe that our historical track record of identifying attractive investment opportunities, in addition to accretive equity offerings, has been instrumental to our strong financial performance.</w:t>
      </w:r>
    </w:p>
    <w:p>
      <w:pPr>
        <w:spacing w:after="0" w:line="187" w:lineRule="exact"/>
        <w:rPr>
          <w:sz w:val="20"/>
          <w:szCs w:val="20"/>
          <w:color w:val="auto"/>
        </w:rPr>
      </w:pPr>
    </w:p>
    <w:p>
      <w:pPr>
        <w:ind w:left="200" w:right="60" w:firstLine="771"/>
        <w:spacing w:after="0" w:line="270" w:lineRule="auto"/>
        <w:rPr>
          <w:sz w:val="20"/>
          <w:szCs w:val="20"/>
          <w:color w:val="auto"/>
        </w:rPr>
      </w:pPr>
      <w:r>
        <w:rPr>
          <w:rFonts w:ascii="Arial" w:cs="Arial" w:eastAsia="Arial" w:hAnsi="Arial"/>
          <w:sz w:val="17"/>
          <w:szCs w:val="17"/>
          <w:color w:val="auto"/>
        </w:rPr>
        <w:t>We anticipate that 2018 and beyond could potentially provide compelling investment opportunities for AGNC. Over the past ten years, the Federal Reserve (the “Fed”) has become the single largest holder of Agency Mortgage-Backed Securities (“Agency MBS”) through its quantitative easing programs, accumulating over $1.7 trillion in Agency MBS assets. In the fourth quarter of 2017, the Fed began to taper its reinvestments of proceeds from its Agency MBS and will gradually reduce its position over the next several years. The Fed’s reduction of its demand for Agency MBS could, in turn, increase projected returns for Agency MBS and provide attractive levered investment opportunities for Agency MBS investors, such as the Company. In addition, Congress continues to contemplate potential housing reform, and possibilities for such legislation typically involve an increased role for private capital in housing finance. Although it is difficult to predict the likelihood that substantial housing reform legislation will be enacted, any such legislation that contemplates a more substantial role by private capital providers, such as the Company, could also generate favorable investment opportunities. Authorizing additional shares of common stock will provide the Company with the flexibility to raise incremental equity capital or issue common stock to benefit from such opportunities.</w:t>
      </w:r>
    </w:p>
    <w:p>
      <w:pPr>
        <w:spacing w:after="0" w:line="66"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Potential Effect</w:t>
      </w:r>
    </w:p>
    <w:p>
      <w:pPr>
        <w:spacing w:after="0" w:line="121" w:lineRule="exact"/>
        <w:rPr>
          <w:sz w:val="20"/>
          <w:szCs w:val="20"/>
          <w:color w:val="auto"/>
        </w:rPr>
      </w:pPr>
    </w:p>
    <w:p>
      <w:pPr>
        <w:ind w:left="200" w:right="20" w:firstLine="771"/>
        <w:spacing w:after="0" w:line="293" w:lineRule="auto"/>
        <w:rPr>
          <w:sz w:val="20"/>
          <w:szCs w:val="20"/>
          <w:color w:val="auto"/>
        </w:rPr>
      </w:pPr>
      <w:r>
        <w:rPr>
          <w:rFonts w:ascii="Arial" w:cs="Arial" w:eastAsia="Arial" w:hAnsi="Arial"/>
          <w:sz w:val="16"/>
          <w:szCs w:val="16"/>
          <w:color w:val="auto"/>
        </w:rPr>
        <w:t>Authorizing us to issue more shares of common stock than currently authorized by the Certificate of Incorporation will not affect materially any substantive rights, powers, or privileges of our stockholders. Our common stock does not have cumulative voting rights or preemptive rights for the purchase of additional shares of any class of capital stock. The additional shares of common stock for which authorization is sought are identical to the shares of our common stock now authorized. However, the issuance of additional shares of common stock may, among other things, have a dilutive effect on the earnings per share and on the equity and voting power of existing stockholders and may adversely affect the market price for our common stock. There can be no assurance that offerings of common stock will in fact be accretive to our stockholders.</w:t>
      </w:r>
    </w:p>
    <w:p>
      <w:pPr>
        <w:spacing w:after="0" w:line="165" w:lineRule="exact"/>
        <w:rPr>
          <w:sz w:val="20"/>
          <w:szCs w:val="20"/>
          <w:color w:val="auto"/>
        </w:rPr>
      </w:pPr>
    </w:p>
    <w:p>
      <w:pPr>
        <w:ind w:left="200" w:firstLine="771"/>
        <w:spacing w:after="0" w:line="312" w:lineRule="auto"/>
        <w:rPr>
          <w:sz w:val="20"/>
          <w:szCs w:val="20"/>
          <w:color w:val="auto"/>
        </w:rPr>
      </w:pPr>
      <w:r>
        <w:rPr>
          <w:rFonts w:ascii="Arial" w:cs="Arial" w:eastAsia="Arial" w:hAnsi="Arial"/>
          <w:sz w:val="16"/>
          <w:szCs w:val="16"/>
          <w:color w:val="auto"/>
        </w:rPr>
        <w:t>On the other hand, if we do not receive stockholder approval on this Proposal 2, we will be hindered in our ability to raise capital to pursue new investment opportunities that could be beneficial to us and our stockholders, or in certain circumstances from raising capital to reduce leverage, if market conditions warrant. This reduced flexibility would also put us at a competitive disadvantage to other mortgage REITs or Agency MBS investors.</w:t>
      </w:r>
    </w:p>
    <w:p>
      <w:pPr>
        <w:spacing w:after="0" w:line="147" w:lineRule="exact"/>
        <w:rPr>
          <w:sz w:val="20"/>
          <w:szCs w:val="20"/>
          <w:color w:val="auto"/>
        </w:rPr>
      </w:pPr>
    </w:p>
    <w:p>
      <w:pPr>
        <w:ind w:left="200" w:right="120" w:firstLine="771"/>
        <w:spacing w:after="0" w:line="264" w:lineRule="auto"/>
        <w:rPr>
          <w:sz w:val="20"/>
          <w:szCs w:val="20"/>
          <w:color w:val="auto"/>
        </w:rPr>
      </w:pPr>
      <w:r>
        <w:rPr>
          <w:rFonts w:ascii="Arial" w:cs="Arial" w:eastAsia="Arial" w:hAnsi="Arial"/>
          <w:sz w:val="18"/>
          <w:szCs w:val="18"/>
          <w:color w:val="auto"/>
        </w:rPr>
        <w:t>From the date of the proxy statement until the date of our Annual Meeting, we may offer to the public shares of our authorized but unissued common stock in one or more public offerings, including through underwriters, our ATM, or through our registered Amended and Restated Dividend Reinvestment and Direct Stock Purchase Plan.</w:t>
      </w:r>
    </w:p>
    <w:p>
      <w:pPr>
        <w:spacing w:after="0" w:line="109"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22</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60"/>
          </w:cols>
          <w:pgMar w:left="240" w:top="459" w:right="499" w:bottom="1440" w:gutter="0" w:footer="0" w:header="0"/>
        </w:sectPr>
      </w:pPr>
    </w:p>
    <w:bookmarkStart w:id="26" w:name="page27"/>
    <w:bookmarkEnd w:id="2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ind w:left="520"/>
        <w:spacing w:after="0" w:line="253" w:lineRule="auto"/>
        <w:rPr>
          <w:sz w:val="20"/>
          <w:szCs w:val="20"/>
          <w:color w:val="auto"/>
        </w:rPr>
      </w:pPr>
      <w:r>
        <w:rPr>
          <w:rFonts w:ascii="Arial" w:cs="Arial" w:eastAsia="Arial" w:hAnsi="Arial"/>
          <w:sz w:val="14"/>
          <w:szCs w:val="14"/>
          <w:color w:val="407CCA"/>
        </w:rPr>
        <w:t>PROPOSAL 2: APPROVAL OF THE AMENDMENT TO OUR CERTIFICATE OF INCORPORATION TO INCREASE THE AUTHORIZED NUMBER OF SHARES OF 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27940</wp:posOffset>
            </wp:positionV>
            <wp:extent cx="6997700" cy="889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9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Conclusion and Recommendation; Vote Required</w:t>
      </w:r>
    </w:p>
    <w:p>
      <w:pPr>
        <w:spacing w:after="0" w:line="121" w:lineRule="exact"/>
        <w:rPr>
          <w:sz w:val="20"/>
          <w:szCs w:val="20"/>
          <w:color w:val="auto"/>
        </w:rPr>
      </w:pPr>
    </w:p>
    <w:p>
      <w:pPr>
        <w:ind w:left="200" w:right="20" w:firstLine="771"/>
        <w:spacing w:after="0" w:line="291" w:lineRule="auto"/>
        <w:rPr>
          <w:sz w:val="20"/>
          <w:szCs w:val="20"/>
          <w:color w:val="auto"/>
        </w:rPr>
      </w:pPr>
      <w:r>
        <w:rPr>
          <w:rFonts w:ascii="Arial" w:cs="Arial" w:eastAsia="Arial" w:hAnsi="Arial"/>
          <w:sz w:val="16"/>
          <w:szCs w:val="16"/>
          <w:color w:val="auto"/>
        </w:rPr>
        <w:t xml:space="preserve">The Board of Directors is submitting and recommending the amendment to the Certificate of Incorporation to increase the total authorized number of shares of our common stock from 600,000,000 to 900,000,000. The approval of the amendment to the Certificate of Incorporation requires the affirmative vote by the holders of a majority of all shares of our common stock entitled to vote generally in the election of directors at the Annual Meeting. Abstentions have the same effect as voting against the proposal. The Board of Directors believes that the proposal is in our best interests and in the best interests of the stockholders and has unanimously approved the amendment to the Certificate of Incorporation. THE BOARD OF DIRECTORS RECOMMENDS A VOTE </w:t>
      </w:r>
      <w:r>
        <w:rPr>
          <w:rFonts w:ascii="Arial" w:cs="Arial" w:eastAsia="Arial" w:hAnsi="Arial"/>
          <w:sz w:val="16"/>
          <w:szCs w:val="16"/>
          <w:b w:val="1"/>
          <w:bCs w:val="1"/>
          <w:color w:val="auto"/>
        </w:rPr>
        <w:t>FOR</w:t>
      </w:r>
      <w:r>
        <w:rPr>
          <w:rFonts w:ascii="Arial" w:cs="Arial" w:eastAsia="Arial" w:hAnsi="Arial"/>
          <w:sz w:val="16"/>
          <w:szCs w:val="16"/>
          <w:color w:val="auto"/>
        </w:rPr>
        <w:t xml:space="preserve"> THE APPROVAL OF THE AMENDMENT TO THE CERTIFICATE OF INCORPORATION TO INCREASE THE TOTAL AUTHORIZED NUMBER OF SHARES OF OUR COMMON STOCK FROM 600,000,000 to 900,000,000.</w:t>
      </w:r>
    </w:p>
    <w:p>
      <w:pPr>
        <w:spacing w:after="0" w:line="95"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23</w:t>
      </w:r>
    </w:p>
    <w:p>
      <w:pPr>
        <w:sectPr>
          <w:pgSz w:w="11900" w:h="16838" w:orient="portrait"/>
          <w:cols w:equalWidth="0" w:num="1">
            <w:col w:w="11220"/>
          </w:cols>
          <w:pgMar w:left="240" w:top="459" w:right="439" w:bottom="1440" w:gutter="0" w:footer="0" w:header="0"/>
        </w:sectPr>
      </w:pPr>
    </w:p>
    <w:bookmarkStart w:id="27" w:name="page28"/>
    <w:bookmarkEnd w:id="2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PROPOSAL 3: ADVISORY RESOLUTION ON 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15" w:lineRule="exact"/>
        <w:rPr>
          <w:sz w:val="20"/>
          <w:szCs w:val="20"/>
          <w:color w:val="auto"/>
        </w:rPr>
      </w:pPr>
    </w:p>
    <w:p>
      <w:pPr>
        <w:jc w:val="center"/>
        <w:ind w:right="-219"/>
        <w:spacing w:after="0"/>
        <w:rPr>
          <w:sz w:val="20"/>
          <w:szCs w:val="20"/>
          <w:color w:val="auto"/>
        </w:rPr>
      </w:pPr>
      <w:r>
        <w:rPr>
          <w:rFonts w:ascii="Arial" w:cs="Arial" w:eastAsia="Arial" w:hAnsi="Arial"/>
          <w:sz w:val="22"/>
          <w:szCs w:val="22"/>
          <w:b w:val="1"/>
          <w:bCs w:val="1"/>
          <w:color w:val="407CCA"/>
        </w:rPr>
        <w:t>PROPOSAL 3:</w:t>
      </w:r>
    </w:p>
    <w:p>
      <w:pPr>
        <w:spacing w:after="0" w:line="14" w:lineRule="exact"/>
        <w:rPr>
          <w:sz w:val="20"/>
          <w:szCs w:val="20"/>
          <w:color w:val="auto"/>
        </w:rPr>
      </w:pPr>
    </w:p>
    <w:p>
      <w:pPr>
        <w:jc w:val="center"/>
        <w:ind w:right="-219"/>
        <w:spacing w:after="0"/>
        <w:rPr>
          <w:sz w:val="20"/>
          <w:szCs w:val="20"/>
          <w:color w:val="auto"/>
        </w:rPr>
      </w:pPr>
      <w:r>
        <w:rPr>
          <w:rFonts w:ascii="Arial" w:cs="Arial" w:eastAsia="Arial" w:hAnsi="Arial"/>
          <w:sz w:val="22"/>
          <w:szCs w:val="22"/>
          <w:b w:val="1"/>
          <w:bCs w:val="1"/>
          <w:color w:val="407CCA"/>
        </w:rPr>
        <w:t>ADVISORY RESOLUTION ON EXECUTIVE COMPENSATION</w:t>
      </w:r>
    </w:p>
    <w:p>
      <w:pPr>
        <w:spacing w:after="0" w:line="83"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General Information</w:t>
      </w:r>
    </w:p>
    <w:p>
      <w:pPr>
        <w:spacing w:after="0" w:line="121" w:lineRule="exact"/>
        <w:rPr>
          <w:sz w:val="20"/>
          <w:szCs w:val="20"/>
          <w:color w:val="auto"/>
        </w:rPr>
      </w:pPr>
    </w:p>
    <w:p>
      <w:pPr>
        <w:ind w:left="200" w:right="20" w:firstLine="771"/>
        <w:spacing w:after="0" w:line="257" w:lineRule="auto"/>
        <w:rPr>
          <w:sz w:val="20"/>
          <w:szCs w:val="20"/>
          <w:color w:val="auto"/>
        </w:rPr>
      </w:pPr>
      <w:r>
        <w:rPr>
          <w:rFonts w:ascii="Arial" w:cs="Arial" w:eastAsia="Arial" w:hAnsi="Arial"/>
          <w:sz w:val="18"/>
          <w:szCs w:val="18"/>
          <w:color w:val="auto"/>
        </w:rPr>
        <w:t>As required by Section 14A of the Securities Exchange Act of 1934, we are asking for your advisory vote on the compensation paid to our named executive officers as disclosed in this proxy statement. Our Board of Directors has determined to hold this “say-on-pay” vote every year. Our stockholders were first provided with the opportunity to cast a vote on the compensation of our named executive officers’ (“NEOs”) last year following our Internalization. This year, for the first time, stockholders will have the opportunity to review full year compensation of our NEOs, as the information provided last year was limited to the six-month period following the Internalization.</w:t>
      </w:r>
    </w:p>
    <w:p>
      <w:pPr>
        <w:spacing w:after="0" w:line="188" w:lineRule="exact"/>
        <w:rPr>
          <w:sz w:val="20"/>
          <w:szCs w:val="20"/>
          <w:color w:val="auto"/>
        </w:rPr>
      </w:pPr>
    </w:p>
    <w:p>
      <w:pPr>
        <w:jc w:val="center"/>
        <w:ind w:right="-259"/>
        <w:spacing w:after="0"/>
        <w:rPr>
          <w:sz w:val="20"/>
          <w:szCs w:val="20"/>
          <w:color w:val="auto"/>
        </w:rPr>
      </w:pPr>
      <w:r>
        <w:rPr>
          <w:rFonts w:ascii="Arial" w:cs="Arial" w:eastAsia="Arial" w:hAnsi="Arial"/>
          <w:sz w:val="18"/>
          <w:szCs w:val="18"/>
          <w:color w:val="auto"/>
        </w:rPr>
        <w:t>We urge you to review carefully our compensation policies and decisions regarding our named executive officers as presented in the</w:t>
      </w:r>
    </w:p>
    <w:p>
      <w:pPr>
        <w:spacing w:after="0" w:line="23" w:lineRule="exact"/>
        <w:rPr>
          <w:sz w:val="20"/>
          <w:szCs w:val="20"/>
          <w:color w:val="auto"/>
        </w:rPr>
      </w:pPr>
    </w:p>
    <w:p>
      <w:pPr>
        <w:jc w:val="center"/>
        <w:ind w:right="-199"/>
        <w:spacing w:after="0"/>
        <w:rPr>
          <w:sz w:val="20"/>
          <w:szCs w:val="20"/>
          <w:color w:val="auto"/>
        </w:rPr>
      </w:pPr>
      <w:r>
        <w:rPr>
          <w:rFonts w:ascii="Arial" w:cs="Arial" w:eastAsia="Arial" w:hAnsi="Arial"/>
          <w:sz w:val="16"/>
          <w:szCs w:val="16"/>
          <w:color w:val="auto"/>
        </w:rPr>
        <w:t>“Compensation Discussion and Analysis,” the accompanying compensation tables, and the related narrative disclosures section appearing on pages 30 to</w:t>
      </w:r>
    </w:p>
    <w:p>
      <w:pPr>
        <w:spacing w:after="0" w:line="32" w:lineRule="exact"/>
        <w:rPr>
          <w:sz w:val="20"/>
          <w:szCs w:val="20"/>
          <w:color w:val="auto"/>
        </w:rPr>
      </w:pPr>
    </w:p>
    <w:p>
      <w:pPr>
        <w:ind w:left="200" w:right="120" w:firstLine="4"/>
        <w:spacing w:after="0" w:line="255" w:lineRule="auto"/>
        <w:tabs>
          <w:tab w:leader="none" w:pos="470" w:val="left"/>
        </w:tabs>
        <w:numPr>
          <w:ilvl w:val="0"/>
          <w:numId w:val="19"/>
        </w:numPr>
        <w:rPr>
          <w:rFonts w:ascii="Arial" w:cs="Arial" w:eastAsia="Arial" w:hAnsi="Arial"/>
          <w:sz w:val="18"/>
          <w:szCs w:val="18"/>
          <w:color w:val="auto"/>
        </w:rPr>
      </w:pPr>
      <w:r>
        <w:rPr>
          <w:rFonts w:ascii="Arial" w:cs="Arial" w:eastAsia="Arial" w:hAnsi="Arial"/>
          <w:sz w:val="18"/>
          <w:szCs w:val="18"/>
          <w:color w:val="auto"/>
        </w:rPr>
        <w:t>As described in detail in this proxy statement, we believe that our executive compensation program applies a pay-for-performance philosophy that effectively aligns the interests of our NEOs with those of our stockholders and allows us to attract, retain, and appropriately incentivize executives with the skills and experience necessary to achieve our key business objectives.</w:t>
      </w:r>
    </w:p>
    <w:p>
      <w:pPr>
        <w:spacing w:after="0" w:line="190" w:lineRule="exact"/>
        <w:rPr>
          <w:sz w:val="20"/>
          <w:szCs w:val="20"/>
          <w:color w:val="auto"/>
        </w:rPr>
      </w:pPr>
    </w:p>
    <w:p>
      <w:pPr>
        <w:ind w:left="200" w:right="40" w:firstLine="771"/>
        <w:spacing w:after="0" w:line="308" w:lineRule="auto"/>
        <w:rPr>
          <w:sz w:val="20"/>
          <w:szCs w:val="20"/>
          <w:color w:val="auto"/>
        </w:rPr>
      </w:pPr>
      <w:r>
        <w:rPr>
          <w:rFonts w:ascii="Arial" w:cs="Arial" w:eastAsia="Arial" w:hAnsi="Arial"/>
          <w:sz w:val="17"/>
          <w:szCs w:val="17"/>
          <w:color w:val="auto"/>
        </w:rPr>
        <w:t>While the vote on this proposal is advisory in nature and not binding on the Board of Directors or the Compensation Committee, the Board of Directors and the Compensation Committee expect to take the results of the vote into account in making future compensation decisions.</w:t>
      </w:r>
    </w:p>
    <w:p>
      <w:pPr>
        <w:spacing w:after="0" w:line="147" w:lineRule="exact"/>
        <w:rPr>
          <w:sz w:val="20"/>
          <w:szCs w:val="20"/>
          <w:color w:val="auto"/>
        </w:rPr>
      </w:pPr>
    </w:p>
    <w:p>
      <w:pPr>
        <w:ind w:left="980"/>
        <w:spacing w:after="0"/>
        <w:rPr>
          <w:sz w:val="20"/>
          <w:szCs w:val="20"/>
          <w:color w:val="auto"/>
        </w:rPr>
      </w:pPr>
      <w:r>
        <w:rPr>
          <w:rFonts w:ascii="Arial" w:cs="Arial" w:eastAsia="Arial" w:hAnsi="Arial"/>
          <w:sz w:val="18"/>
          <w:szCs w:val="18"/>
          <w:color w:val="auto"/>
        </w:rPr>
        <w:t>We are requesting our stockholders to approve, in a non-binding, advisory vote, the following resolution:</w:t>
      </w:r>
    </w:p>
    <w:p>
      <w:pPr>
        <w:spacing w:after="0" w:line="117" w:lineRule="exact"/>
        <w:rPr>
          <w:sz w:val="20"/>
          <w:szCs w:val="20"/>
          <w:color w:val="auto"/>
        </w:rPr>
      </w:pPr>
    </w:p>
    <w:p>
      <w:pPr>
        <w:ind w:left="1080" w:right="60"/>
        <w:spacing w:after="0" w:line="259" w:lineRule="auto"/>
        <w:rPr>
          <w:sz w:val="20"/>
          <w:szCs w:val="20"/>
          <w:color w:val="auto"/>
        </w:rPr>
      </w:pPr>
      <w:r>
        <w:rPr>
          <w:rFonts w:ascii="Arial" w:cs="Arial" w:eastAsia="Arial" w:hAnsi="Arial"/>
          <w:sz w:val="18"/>
          <w:szCs w:val="18"/>
          <w:color w:val="auto"/>
        </w:rPr>
        <w:t>“RESOLVED, that the stockholders of the Company hereby approve the compensation paid to our named executive officers, as disclosed in the proxy statement for the 2018 Annual Meeting of Stockholders pursuant to the disclosure rules of the Securities and Exchange Commission, including the Compensation Discussion and Analysis, compensation tables, and related material disclosed in the proxy statement.”</w:t>
      </w:r>
    </w:p>
    <w:p>
      <w:pPr>
        <w:spacing w:after="0" w:line="7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Conclusion and Recommendation; Vote Required</w:t>
      </w:r>
    </w:p>
    <w:p>
      <w:pPr>
        <w:spacing w:after="0" w:line="121" w:lineRule="exact"/>
        <w:rPr>
          <w:sz w:val="20"/>
          <w:szCs w:val="20"/>
          <w:color w:val="auto"/>
        </w:rPr>
      </w:pPr>
    </w:p>
    <w:p>
      <w:pPr>
        <w:ind w:left="200" w:right="60" w:firstLine="771"/>
        <w:spacing w:after="0" w:line="286" w:lineRule="auto"/>
        <w:rPr>
          <w:sz w:val="20"/>
          <w:szCs w:val="20"/>
          <w:color w:val="auto"/>
        </w:rPr>
      </w:pPr>
      <w:r>
        <w:rPr>
          <w:rFonts w:ascii="Arial" w:cs="Arial" w:eastAsia="Arial" w:hAnsi="Arial"/>
          <w:sz w:val="17"/>
          <w:szCs w:val="17"/>
          <w:color w:val="auto"/>
        </w:rPr>
        <w:t xml:space="preserve">The affirmative vote of a majority of all shares of common stock present or represented and entitled to vote at the Annual Meeting is required for advisory approval of this proposal. Abstentions and broker non-votes will have no effect on the outcome of the proposal. THE BOARD OF DIRECTORS RECOMMENDS A VOTE </w:t>
      </w:r>
      <w:r>
        <w:rPr>
          <w:rFonts w:ascii="Arial" w:cs="Arial" w:eastAsia="Arial" w:hAnsi="Arial"/>
          <w:sz w:val="17"/>
          <w:szCs w:val="17"/>
          <w:b w:val="1"/>
          <w:bCs w:val="1"/>
          <w:color w:val="auto"/>
        </w:rPr>
        <w:t>FOR</w:t>
      </w:r>
      <w:r>
        <w:rPr>
          <w:rFonts w:ascii="Arial" w:cs="Arial" w:eastAsia="Arial" w:hAnsi="Arial"/>
          <w:sz w:val="17"/>
          <w:szCs w:val="17"/>
          <w:color w:val="auto"/>
        </w:rPr>
        <w:t xml:space="preserve"> APPROVAL OF THE ADVISORY RESOLUTION ON EXECUTIVE COMPENSATION.</w:t>
      </w:r>
    </w:p>
    <w:p>
      <w:pPr>
        <w:spacing w:after="0" w:line="94"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24</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20"/>
          </w:cols>
          <w:pgMar w:left="240" w:top="459" w:right="439" w:bottom="1440" w:gutter="0" w:footer="0" w:header="0"/>
        </w:sectPr>
      </w:pPr>
    </w:p>
    <w:bookmarkStart w:id="28" w:name="page29"/>
    <w:bookmarkEnd w:id="2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ind w:right="20"/>
        <w:spacing w:after="0"/>
        <w:rPr>
          <w:sz w:val="20"/>
          <w:szCs w:val="20"/>
          <w:color w:val="auto"/>
        </w:rPr>
      </w:pPr>
      <w:r>
        <w:rPr>
          <w:rFonts w:ascii="Arial" w:cs="Arial" w:eastAsia="Arial" w:hAnsi="Arial"/>
          <w:sz w:val="14"/>
          <w:szCs w:val="14"/>
          <w:color w:val="407CCA"/>
        </w:rPr>
        <w:t>PROPOSAL 4: RATIFICATION OF APPOINTMENT OF INDEPENDENT PUBLIC ACCOUNTANT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15" w:lineRule="exact"/>
        <w:rPr>
          <w:sz w:val="20"/>
          <w:szCs w:val="20"/>
          <w:color w:val="auto"/>
        </w:rPr>
      </w:pPr>
    </w:p>
    <w:p>
      <w:pPr>
        <w:jc w:val="center"/>
        <w:ind w:right="-179"/>
        <w:spacing w:after="0"/>
        <w:rPr>
          <w:sz w:val="20"/>
          <w:szCs w:val="20"/>
          <w:color w:val="auto"/>
        </w:rPr>
      </w:pPr>
      <w:r>
        <w:rPr>
          <w:rFonts w:ascii="Arial" w:cs="Arial" w:eastAsia="Arial" w:hAnsi="Arial"/>
          <w:sz w:val="22"/>
          <w:szCs w:val="22"/>
          <w:b w:val="1"/>
          <w:bCs w:val="1"/>
          <w:color w:val="407CCA"/>
        </w:rPr>
        <w:t>PROPOSAL 4:</w:t>
      </w:r>
    </w:p>
    <w:p>
      <w:pPr>
        <w:spacing w:after="0" w:line="14" w:lineRule="exact"/>
        <w:rPr>
          <w:sz w:val="20"/>
          <w:szCs w:val="20"/>
          <w:color w:val="auto"/>
        </w:rPr>
      </w:pPr>
    </w:p>
    <w:p>
      <w:pPr>
        <w:ind w:left="1680"/>
        <w:spacing w:after="0"/>
        <w:rPr>
          <w:sz w:val="20"/>
          <w:szCs w:val="20"/>
          <w:color w:val="auto"/>
        </w:rPr>
      </w:pPr>
      <w:r>
        <w:rPr>
          <w:rFonts w:ascii="Arial" w:cs="Arial" w:eastAsia="Arial" w:hAnsi="Arial"/>
          <w:sz w:val="22"/>
          <w:szCs w:val="22"/>
          <w:b w:val="1"/>
          <w:bCs w:val="1"/>
          <w:color w:val="407CCA"/>
        </w:rPr>
        <w:t>RATIFICATION OF APPOINTMENT OF INDEPENDENT PUBLIC ACCOUNTANT</w:t>
      </w:r>
    </w:p>
    <w:p>
      <w:pPr>
        <w:spacing w:after="0" w:line="195" w:lineRule="exact"/>
        <w:rPr>
          <w:sz w:val="20"/>
          <w:szCs w:val="20"/>
          <w:color w:val="auto"/>
        </w:rPr>
      </w:pPr>
    </w:p>
    <w:p>
      <w:pPr>
        <w:ind w:left="200" w:right="80" w:firstLine="771"/>
        <w:spacing w:after="0" w:line="302" w:lineRule="auto"/>
        <w:rPr>
          <w:sz w:val="20"/>
          <w:szCs w:val="20"/>
          <w:color w:val="auto"/>
        </w:rPr>
      </w:pPr>
      <w:r>
        <w:rPr>
          <w:rFonts w:ascii="Arial" w:cs="Arial" w:eastAsia="Arial" w:hAnsi="Arial"/>
          <w:sz w:val="16"/>
          <w:szCs w:val="16"/>
          <w:color w:val="auto"/>
        </w:rPr>
        <w:t>Ernst &amp; Young LLP has served as our independent public accountant since our IPO and, at a meeting on February 21, 2018, the Audit Committee approved the appointment of Ernst &amp; Young LLP to audit our financial statements for 2018. This appointment is subject to ratification or rejection by our common stockholders. A representative of Ernst &amp; Young LLP is expected to be present at the Annual Meeting. The representative will have an opportunity to make a statement if he or she so desires and is expected to be available to respond to appropriate questions.</w:t>
      </w:r>
    </w:p>
    <w:p>
      <w:pPr>
        <w:spacing w:after="0" w:line="42"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Independent Public Accountant’s Fees</w:t>
      </w:r>
    </w:p>
    <w:p>
      <w:pPr>
        <w:spacing w:after="0" w:line="121" w:lineRule="exact"/>
        <w:rPr>
          <w:sz w:val="20"/>
          <w:szCs w:val="20"/>
          <w:color w:val="auto"/>
        </w:rPr>
      </w:pPr>
    </w:p>
    <w:p>
      <w:pPr>
        <w:ind w:left="980"/>
        <w:spacing w:after="0"/>
        <w:rPr>
          <w:sz w:val="20"/>
          <w:szCs w:val="20"/>
          <w:color w:val="auto"/>
        </w:rPr>
      </w:pPr>
      <w:r>
        <w:rPr>
          <w:rFonts w:ascii="Arial" w:cs="Arial" w:eastAsia="Arial" w:hAnsi="Arial"/>
          <w:sz w:val="17"/>
          <w:szCs w:val="17"/>
          <w:color w:val="auto"/>
        </w:rPr>
        <w:t>Ernst &amp; Young LLP performed various audit and other services for us during 2017 and 2016. Fees for professional services provided by</w:t>
      </w:r>
    </w:p>
    <w:p>
      <w:pPr>
        <w:spacing w:after="0" w:line="35" w:lineRule="exact"/>
        <w:rPr>
          <w:sz w:val="20"/>
          <w:szCs w:val="20"/>
          <w:color w:val="auto"/>
        </w:rPr>
      </w:pPr>
    </w:p>
    <w:p>
      <w:pPr>
        <w:ind w:left="200"/>
        <w:spacing w:after="0"/>
        <w:rPr>
          <w:sz w:val="20"/>
          <w:szCs w:val="20"/>
          <w:color w:val="auto"/>
        </w:rPr>
      </w:pPr>
      <w:r>
        <w:rPr>
          <w:rFonts w:ascii="Arial" w:cs="Arial" w:eastAsia="Arial" w:hAnsi="Arial"/>
          <w:sz w:val="18"/>
          <w:szCs w:val="18"/>
          <w:color w:val="auto"/>
        </w:rPr>
        <w:t>Ernst &amp; Young LLP in 2017 and 2016 in each of the following categories were:</w:t>
      </w:r>
    </w:p>
    <w:p>
      <w:pPr>
        <w:spacing w:after="0" w:line="232" w:lineRule="exact"/>
        <w:rPr>
          <w:sz w:val="20"/>
          <w:szCs w:val="20"/>
          <w:color w:val="auto"/>
        </w:rPr>
      </w:pPr>
    </w:p>
    <w:tbl>
      <w:tblPr>
        <w:tblLayout w:type="fixed"/>
        <w:tblInd w:w="220" w:type="dxa"/>
        <w:tblCellMar>
          <w:top w:w="0" w:type="dxa"/>
          <w:left w:w="0" w:type="dxa"/>
          <w:bottom w:w="0" w:type="dxa"/>
          <w:right w:w="0" w:type="dxa"/>
        </w:tblCellMar>
      </w:tblPr>
      <w:tr>
        <w:trPr>
          <w:trHeight w:val="149"/>
        </w:trPr>
        <w:tc>
          <w:tcPr>
            <w:tcW w:w="5180" w:type="dxa"/>
            <w:vAlign w:val="bottom"/>
            <w:tcBorders>
              <w:top w:val="single" w:sz="8" w:color="407CCA"/>
              <w:bottom w:val="single" w:sz="8" w:color="407CCA"/>
            </w:tcBorders>
          </w:tcPr>
          <w:p>
            <w:pPr>
              <w:spacing w:after="0"/>
              <w:rPr>
                <w:sz w:val="12"/>
                <w:szCs w:val="12"/>
                <w:color w:val="auto"/>
              </w:rPr>
            </w:pPr>
          </w:p>
        </w:tc>
        <w:tc>
          <w:tcPr>
            <w:tcW w:w="4740" w:type="dxa"/>
            <w:vAlign w:val="bottom"/>
            <w:tcBorders>
              <w:top w:val="single" w:sz="8" w:color="407CCA"/>
              <w:bottom w:val="single" w:sz="8" w:color="407CCA"/>
            </w:tcBorders>
          </w:tcPr>
          <w:p>
            <w:pPr>
              <w:jc w:val="right"/>
              <w:ind w:right="394"/>
              <w:spacing w:after="0"/>
              <w:rPr>
                <w:sz w:val="20"/>
                <w:szCs w:val="20"/>
                <w:color w:val="auto"/>
              </w:rPr>
            </w:pPr>
            <w:r>
              <w:rPr>
                <w:rFonts w:ascii="Arial" w:cs="Arial" w:eastAsia="Arial" w:hAnsi="Arial"/>
                <w:sz w:val="13"/>
                <w:szCs w:val="13"/>
                <w:b w:val="1"/>
                <w:bCs w:val="1"/>
                <w:color w:val="auto"/>
              </w:rPr>
              <w:t>2017</w:t>
            </w:r>
          </w:p>
        </w:tc>
        <w:tc>
          <w:tcPr>
            <w:tcW w:w="1100" w:type="dxa"/>
            <w:vAlign w:val="bottom"/>
            <w:tcBorders>
              <w:top w:val="single" w:sz="8" w:color="407CCA"/>
              <w:bottom w:val="single" w:sz="8" w:color="407CCA"/>
            </w:tcBorders>
          </w:tcPr>
          <w:p>
            <w:pPr>
              <w:jc w:val="right"/>
              <w:ind w:right="294"/>
              <w:spacing w:after="0"/>
              <w:rPr>
                <w:sz w:val="20"/>
                <w:szCs w:val="20"/>
                <w:color w:val="auto"/>
              </w:rPr>
            </w:pPr>
            <w:r>
              <w:rPr>
                <w:rFonts w:ascii="Arial" w:cs="Arial" w:eastAsia="Arial" w:hAnsi="Arial"/>
                <w:sz w:val="13"/>
                <w:szCs w:val="13"/>
                <w:b w:val="1"/>
                <w:bCs w:val="1"/>
                <w:color w:val="auto"/>
              </w:rPr>
              <w:t>2016</w:t>
            </w:r>
          </w:p>
        </w:tc>
      </w:tr>
      <w:tr>
        <w:trPr>
          <w:trHeight w:val="210"/>
        </w:trPr>
        <w:tc>
          <w:tcPr>
            <w:tcW w:w="5180" w:type="dxa"/>
            <w:vAlign w:val="bottom"/>
            <w:shd w:val="clear" w:color="auto" w:fill="CCEEFF"/>
          </w:tcPr>
          <w:p>
            <w:pPr>
              <w:ind w:left="60"/>
              <w:spacing w:after="0"/>
              <w:rPr>
                <w:sz w:val="20"/>
                <w:szCs w:val="20"/>
                <w:color w:val="auto"/>
              </w:rPr>
            </w:pPr>
            <w:r>
              <w:rPr>
                <w:rFonts w:ascii="Arial" w:cs="Arial" w:eastAsia="Arial" w:hAnsi="Arial"/>
                <w:sz w:val="18"/>
                <w:szCs w:val="18"/>
                <w:color w:val="auto"/>
              </w:rPr>
              <w:t>Audit Fees</w:t>
            </w:r>
          </w:p>
        </w:tc>
        <w:tc>
          <w:tcPr>
            <w:tcW w:w="4740" w:type="dxa"/>
            <w:vAlign w:val="bottom"/>
            <w:shd w:val="clear" w:color="auto" w:fill="CCEEFF"/>
          </w:tcPr>
          <w:p>
            <w:pPr>
              <w:jc w:val="right"/>
              <w:ind w:right="114"/>
              <w:spacing w:after="0"/>
              <w:rPr>
                <w:sz w:val="20"/>
                <w:szCs w:val="20"/>
                <w:color w:val="auto"/>
              </w:rPr>
            </w:pPr>
            <w:r>
              <w:rPr>
                <w:rFonts w:ascii="Arial" w:cs="Arial" w:eastAsia="Arial" w:hAnsi="Arial"/>
                <w:sz w:val="18"/>
                <w:szCs w:val="18"/>
                <w:color w:val="auto"/>
              </w:rPr>
              <w:t>$1,734,500</w:t>
            </w:r>
          </w:p>
        </w:tc>
        <w:tc>
          <w:tcPr>
            <w:tcW w:w="11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$ 1,361,500</w:t>
            </w:r>
          </w:p>
        </w:tc>
      </w:tr>
      <w:tr>
        <w:trPr>
          <w:trHeight w:val="216"/>
        </w:trPr>
        <w:tc>
          <w:tcPr>
            <w:tcW w:w="5180" w:type="dxa"/>
            <w:vAlign w:val="bottom"/>
          </w:tcPr>
          <w:p>
            <w:pPr>
              <w:ind w:left="60"/>
              <w:spacing w:after="0"/>
              <w:rPr>
                <w:sz w:val="20"/>
                <w:szCs w:val="20"/>
                <w:color w:val="auto"/>
              </w:rPr>
            </w:pPr>
            <w:r>
              <w:rPr>
                <w:rFonts w:ascii="Arial" w:cs="Arial" w:eastAsia="Arial" w:hAnsi="Arial"/>
                <w:sz w:val="18"/>
                <w:szCs w:val="18"/>
                <w:color w:val="auto"/>
              </w:rPr>
              <w:t>Audit-Related Fees</w:t>
            </w:r>
          </w:p>
        </w:tc>
        <w:tc>
          <w:tcPr>
            <w:tcW w:w="4740" w:type="dxa"/>
            <w:vAlign w:val="bottom"/>
          </w:tcPr>
          <w:p>
            <w:pPr>
              <w:jc w:val="right"/>
              <w:ind w:right="434"/>
              <w:spacing w:after="0"/>
              <w:rPr>
                <w:sz w:val="20"/>
                <w:szCs w:val="20"/>
                <w:color w:val="auto"/>
              </w:rPr>
            </w:pPr>
            <w:r>
              <w:rPr>
                <w:rFonts w:ascii="Arial" w:cs="Arial" w:eastAsia="Arial" w:hAnsi="Arial"/>
                <w:sz w:val="18"/>
                <w:szCs w:val="18"/>
                <w:color w:val="auto"/>
              </w:rPr>
              <w:t>–</w:t>
            </w:r>
          </w:p>
        </w:tc>
        <w:tc>
          <w:tcPr>
            <w:tcW w:w="1100" w:type="dxa"/>
            <w:vAlign w:val="bottom"/>
          </w:tcPr>
          <w:p>
            <w:pPr>
              <w:jc w:val="right"/>
              <w:ind w:right="314"/>
              <w:spacing w:after="0"/>
              <w:rPr>
                <w:sz w:val="20"/>
                <w:szCs w:val="20"/>
                <w:color w:val="auto"/>
              </w:rPr>
            </w:pPr>
            <w:r>
              <w:rPr>
                <w:rFonts w:ascii="Arial" w:cs="Arial" w:eastAsia="Arial" w:hAnsi="Arial"/>
                <w:sz w:val="18"/>
                <w:szCs w:val="18"/>
                <w:color w:val="auto"/>
              </w:rPr>
              <w:t>–</w:t>
            </w:r>
          </w:p>
        </w:tc>
      </w:tr>
      <w:tr>
        <w:trPr>
          <w:trHeight w:val="216"/>
        </w:trPr>
        <w:tc>
          <w:tcPr>
            <w:tcW w:w="5180" w:type="dxa"/>
            <w:vAlign w:val="bottom"/>
            <w:shd w:val="clear" w:color="auto" w:fill="CCEEFF"/>
          </w:tcPr>
          <w:p>
            <w:pPr>
              <w:ind w:left="80"/>
              <w:spacing w:after="0"/>
              <w:rPr>
                <w:sz w:val="20"/>
                <w:szCs w:val="20"/>
                <w:color w:val="auto"/>
              </w:rPr>
            </w:pPr>
            <w:r>
              <w:rPr>
                <w:rFonts w:ascii="Arial" w:cs="Arial" w:eastAsia="Arial" w:hAnsi="Arial"/>
                <w:sz w:val="18"/>
                <w:szCs w:val="18"/>
                <w:color w:val="auto"/>
              </w:rPr>
              <w:t>Tax Fees</w:t>
            </w:r>
          </w:p>
        </w:tc>
        <w:tc>
          <w:tcPr>
            <w:tcW w:w="4740" w:type="dxa"/>
            <w:vAlign w:val="bottom"/>
            <w:shd w:val="clear" w:color="auto" w:fill="CCEEFF"/>
          </w:tcPr>
          <w:p>
            <w:pPr>
              <w:jc w:val="right"/>
              <w:ind w:right="114"/>
              <w:spacing w:after="0"/>
              <w:rPr>
                <w:sz w:val="20"/>
                <w:szCs w:val="20"/>
                <w:color w:val="auto"/>
              </w:rPr>
            </w:pPr>
            <w:r>
              <w:rPr>
                <w:rFonts w:ascii="Arial" w:cs="Arial" w:eastAsia="Arial" w:hAnsi="Arial"/>
                <w:sz w:val="18"/>
                <w:szCs w:val="18"/>
                <w:color w:val="auto"/>
              </w:rPr>
              <w:t>68,380</w:t>
            </w:r>
          </w:p>
        </w:tc>
        <w:tc>
          <w:tcPr>
            <w:tcW w:w="11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52,250</w:t>
            </w:r>
          </w:p>
        </w:tc>
      </w:tr>
      <w:tr>
        <w:trPr>
          <w:trHeight w:val="216"/>
        </w:trPr>
        <w:tc>
          <w:tcPr>
            <w:tcW w:w="5180" w:type="dxa"/>
            <w:vAlign w:val="bottom"/>
            <w:tcBorders>
              <w:bottom w:val="single" w:sz="8" w:color="407CCA"/>
            </w:tcBorders>
          </w:tcPr>
          <w:p>
            <w:pPr>
              <w:ind w:left="60"/>
              <w:spacing w:after="0"/>
              <w:rPr>
                <w:sz w:val="20"/>
                <w:szCs w:val="20"/>
                <w:color w:val="auto"/>
              </w:rPr>
            </w:pPr>
            <w:r>
              <w:rPr>
                <w:rFonts w:ascii="Arial" w:cs="Arial" w:eastAsia="Arial" w:hAnsi="Arial"/>
                <w:sz w:val="18"/>
                <w:szCs w:val="18"/>
                <w:color w:val="auto"/>
              </w:rPr>
              <w:t>All Other Fees</w:t>
            </w:r>
          </w:p>
        </w:tc>
        <w:tc>
          <w:tcPr>
            <w:tcW w:w="4740" w:type="dxa"/>
            <w:vAlign w:val="bottom"/>
            <w:tcBorders>
              <w:bottom w:val="single" w:sz="8" w:color="407CCA"/>
            </w:tcBorders>
          </w:tcPr>
          <w:p>
            <w:pPr>
              <w:jc w:val="right"/>
              <w:ind w:right="434"/>
              <w:spacing w:after="0"/>
              <w:rPr>
                <w:sz w:val="20"/>
                <w:szCs w:val="20"/>
                <w:color w:val="auto"/>
              </w:rPr>
            </w:pPr>
            <w:r>
              <w:rPr>
                <w:rFonts w:ascii="Arial" w:cs="Arial" w:eastAsia="Arial" w:hAnsi="Arial"/>
                <w:sz w:val="18"/>
                <w:szCs w:val="18"/>
                <w:color w:val="auto"/>
              </w:rPr>
              <w:t>–</w:t>
            </w:r>
          </w:p>
        </w:tc>
        <w:tc>
          <w:tcPr>
            <w:tcW w:w="1100" w:type="dxa"/>
            <w:vAlign w:val="bottom"/>
            <w:tcBorders>
              <w:bottom w:val="single" w:sz="8" w:color="407CCA"/>
            </w:tcBorders>
          </w:tcPr>
          <w:p>
            <w:pPr>
              <w:jc w:val="right"/>
              <w:ind w:right="314"/>
              <w:spacing w:after="0"/>
              <w:rPr>
                <w:sz w:val="20"/>
                <w:szCs w:val="20"/>
                <w:color w:val="auto"/>
              </w:rPr>
            </w:pPr>
            <w:r>
              <w:rPr>
                <w:rFonts w:ascii="Arial" w:cs="Arial" w:eastAsia="Arial" w:hAnsi="Arial"/>
                <w:sz w:val="18"/>
                <w:szCs w:val="18"/>
                <w:color w:val="auto"/>
              </w:rPr>
              <w:t>–</w:t>
            </w:r>
          </w:p>
        </w:tc>
      </w:tr>
      <w:tr>
        <w:trPr>
          <w:trHeight w:val="210"/>
        </w:trPr>
        <w:tc>
          <w:tcPr>
            <w:tcW w:w="5180" w:type="dxa"/>
            <w:vAlign w:val="bottom"/>
            <w:tcBorders>
              <w:bottom w:val="single" w:sz="8" w:color="407CCA"/>
            </w:tcBorders>
            <w:shd w:val="clear" w:color="auto" w:fill="CCEEFF"/>
          </w:tcPr>
          <w:p>
            <w:pPr>
              <w:ind w:left="80"/>
              <w:spacing w:after="0"/>
              <w:rPr>
                <w:sz w:val="20"/>
                <w:szCs w:val="20"/>
                <w:color w:val="auto"/>
              </w:rPr>
            </w:pPr>
            <w:r>
              <w:rPr>
                <w:rFonts w:ascii="Arial" w:cs="Arial" w:eastAsia="Arial" w:hAnsi="Arial"/>
                <w:sz w:val="18"/>
                <w:szCs w:val="18"/>
                <w:color w:val="auto"/>
              </w:rPr>
              <w:t>Total Fees</w:t>
            </w:r>
          </w:p>
        </w:tc>
        <w:tc>
          <w:tcPr>
            <w:tcW w:w="4740" w:type="dxa"/>
            <w:vAlign w:val="bottom"/>
            <w:tcBorders>
              <w:bottom w:val="single" w:sz="8" w:color="407CCA"/>
            </w:tcBorders>
            <w:shd w:val="clear" w:color="auto" w:fill="CCEEFF"/>
          </w:tcPr>
          <w:p>
            <w:pPr>
              <w:jc w:val="right"/>
              <w:ind w:right="114"/>
              <w:spacing w:after="0"/>
              <w:rPr>
                <w:sz w:val="20"/>
                <w:szCs w:val="20"/>
                <w:color w:val="auto"/>
              </w:rPr>
            </w:pPr>
            <w:r>
              <w:rPr>
                <w:rFonts w:ascii="Arial" w:cs="Arial" w:eastAsia="Arial" w:hAnsi="Arial"/>
                <w:sz w:val="18"/>
                <w:szCs w:val="18"/>
                <w:color w:val="auto"/>
              </w:rPr>
              <w:t>$1,802,880</w:t>
            </w:r>
          </w:p>
        </w:tc>
        <w:tc>
          <w:tcPr>
            <w:tcW w:w="1100" w:type="dxa"/>
            <w:vAlign w:val="bottom"/>
            <w:tcBorders>
              <w:bottom w:val="single" w:sz="8" w:color="407CCA"/>
            </w:tcBorders>
            <w:shd w:val="clear" w:color="auto" w:fill="CCEEFF"/>
          </w:tcPr>
          <w:p>
            <w:pPr>
              <w:jc w:val="right"/>
              <w:spacing w:after="0"/>
              <w:rPr>
                <w:sz w:val="20"/>
                <w:szCs w:val="20"/>
                <w:color w:val="auto"/>
              </w:rPr>
            </w:pPr>
            <w:r>
              <w:rPr>
                <w:rFonts w:ascii="Arial" w:cs="Arial" w:eastAsia="Arial" w:hAnsi="Arial"/>
                <w:sz w:val="18"/>
                <w:szCs w:val="18"/>
                <w:color w:val="auto"/>
              </w:rPr>
              <w:t>$ 1,413,750</w:t>
            </w:r>
          </w:p>
        </w:tc>
      </w:tr>
    </w:tbl>
    <w:p>
      <w:pPr>
        <w:spacing w:after="0" w:line="310"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Audit Fees</w:t>
      </w:r>
    </w:p>
    <w:p>
      <w:pPr>
        <w:spacing w:after="0" w:line="117" w:lineRule="exact"/>
        <w:rPr>
          <w:sz w:val="20"/>
          <w:szCs w:val="20"/>
          <w:color w:val="auto"/>
        </w:rPr>
      </w:pPr>
    </w:p>
    <w:p>
      <w:pPr>
        <w:ind w:left="200" w:right="40" w:firstLine="771"/>
        <w:spacing w:after="0" w:line="264" w:lineRule="auto"/>
        <w:rPr>
          <w:sz w:val="20"/>
          <w:szCs w:val="20"/>
          <w:color w:val="auto"/>
        </w:rPr>
      </w:pPr>
      <w:r>
        <w:rPr>
          <w:rFonts w:ascii="Arial" w:cs="Arial" w:eastAsia="Arial" w:hAnsi="Arial"/>
          <w:sz w:val="18"/>
          <w:szCs w:val="18"/>
          <w:color w:val="auto"/>
        </w:rPr>
        <w:t>“Audit Fees” relate to fees and expenses billed by Ernst &amp; Young LLP for the annual audit, including the audit of our financial statements, services required by statute and regulation, audit of internal control over financial reporting, review of our quarterly financial statements and for comfort letters, and consents related to stock issuances.</w:t>
      </w:r>
    </w:p>
    <w:p>
      <w:pPr>
        <w:spacing w:after="0" w:line="181"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Tax Fees</w:t>
      </w:r>
    </w:p>
    <w:p>
      <w:pPr>
        <w:spacing w:after="0" w:line="117" w:lineRule="exact"/>
        <w:rPr>
          <w:sz w:val="20"/>
          <w:szCs w:val="20"/>
          <w:color w:val="auto"/>
        </w:rPr>
      </w:pPr>
    </w:p>
    <w:p>
      <w:pPr>
        <w:ind w:left="980"/>
        <w:spacing w:after="0"/>
        <w:rPr>
          <w:sz w:val="20"/>
          <w:szCs w:val="20"/>
          <w:color w:val="auto"/>
        </w:rPr>
      </w:pPr>
      <w:r>
        <w:rPr>
          <w:rFonts w:ascii="Arial" w:cs="Arial" w:eastAsia="Arial" w:hAnsi="Arial"/>
          <w:sz w:val="18"/>
          <w:szCs w:val="18"/>
          <w:color w:val="auto"/>
        </w:rPr>
        <w:t>“Tax Fees” relate to fees billed for professional services for tax compliance and consulting on tax-related matters.</w:t>
      </w:r>
    </w:p>
    <w:p>
      <w:pPr>
        <w:spacing w:after="0" w:line="113"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Pre-Approval Policy</w:t>
      </w:r>
    </w:p>
    <w:p>
      <w:pPr>
        <w:spacing w:after="0" w:line="121" w:lineRule="exact"/>
        <w:rPr>
          <w:sz w:val="20"/>
          <w:szCs w:val="20"/>
          <w:color w:val="auto"/>
        </w:rPr>
      </w:pPr>
    </w:p>
    <w:p>
      <w:pPr>
        <w:ind w:left="200" w:right="40" w:firstLine="771"/>
        <w:spacing w:after="0" w:line="288" w:lineRule="auto"/>
        <w:rPr>
          <w:sz w:val="20"/>
          <w:szCs w:val="20"/>
          <w:color w:val="auto"/>
        </w:rPr>
      </w:pPr>
      <w:r>
        <w:rPr>
          <w:rFonts w:ascii="Arial" w:cs="Arial" w:eastAsia="Arial" w:hAnsi="Arial"/>
          <w:sz w:val="16"/>
          <w:szCs w:val="16"/>
          <w:color w:val="auto"/>
        </w:rPr>
        <w:t xml:space="preserve">All services rendered by Ernst &amp; Young LLP were permissible under applicable laws and regulations, and were pre-approved by the Audit Committee for 2017 in accordance with its pre-approval policy. The Audit Committee has established a policy regarding the pre-approval of all audit and permissible non-audit services provided by our independent public accountant. The policy requires the Audit Committee to approve each audit or non-audit engagement or accounting project involving the independent public accountant, and the related fees, prior to commencement of the engagement or project to make certain that the provision of such services does not impair the firm’s independence. The committee may delegate its pre-approval authority to one or more of its members, and such member(s) are required to report any pre-approval decisions to the Audit Committee at its next meeting. The Audit Committee has delegated authority to its Chair to pre-approve the engagement and related fees of the independent public accountant for any additional audit or permissible non-audit services. In addition, pursuant to the policy, pre-approval is not required for additional non-audit services if such services result in a </w:t>
      </w:r>
      <w:r>
        <w:rPr>
          <w:rFonts w:ascii="Arial" w:cs="Arial" w:eastAsia="Arial" w:hAnsi="Arial"/>
          <w:sz w:val="16"/>
          <w:szCs w:val="16"/>
          <w:i w:val="1"/>
          <w:iCs w:val="1"/>
          <w:color w:val="auto"/>
        </w:rPr>
        <w:t>de minimus</w:t>
      </w:r>
      <w:r>
        <w:rPr>
          <w:rFonts w:ascii="Arial" w:cs="Arial" w:eastAsia="Arial" w:hAnsi="Arial"/>
          <w:sz w:val="16"/>
          <w:szCs w:val="16"/>
          <w:color w:val="auto"/>
        </w:rPr>
        <w:t xml:space="preserve"> amount of less than 5% of the total annual fees paid by us to the independent public accountant during the fiscal year in which the non-audit services are provided, were not recognized by us at the</w:t>
      </w:r>
    </w:p>
    <w:p>
      <w:pPr>
        <w:spacing w:after="0" w:line="97" w:lineRule="exact"/>
        <w:rPr>
          <w:sz w:val="20"/>
          <w:szCs w:val="20"/>
          <w:color w:val="auto"/>
        </w:rPr>
      </w:pPr>
    </w:p>
    <w:p>
      <w:pPr>
        <w:ind w:left="8060"/>
        <w:spacing w:after="0"/>
        <w:tabs>
          <w:tab w:leader="none" w:pos="110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25</w:t>
      </w:r>
    </w:p>
    <w:p>
      <w:pPr>
        <w:sectPr>
          <w:pgSz w:w="11900" w:h="16838" w:orient="portrait"/>
          <w:cols w:equalWidth="0" w:num="1">
            <w:col w:w="11240"/>
          </w:cols>
          <w:pgMar w:left="240" w:top="459" w:right="419" w:bottom="1440" w:gutter="0" w:footer="0" w:header="0"/>
        </w:sectPr>
      </w:pPr>
    </w:p>
    <w:bookmarkStart w:id="29" w:name="page30"/>
    <w:bookmarkEnd w:id="2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PROPOSAL 4: RATIFICATION OF APPOINTMENT OF INDEPENDENT PUBLIC ACCOUNTANT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200" w:right="200"/>
        <w:spacing w:after="0" w:line="277" w:lineRule="auto"/>
        <w:rPr>
          <w:sz w:val="20"/>
          <w:szCs w:val="20"/>
          <w:color w:val="auto"/>
        </w:rPr>
      </w:pPr>
      <w:r>
        <w:rPr>
          <w:rFonts w:ascii="Arial" w:cs="Arial" w:eastAsia="Arial" w:hAnsi="Arial"/>
          <w:sz w:val="18"/>
          <w:szCs w:val="18"/>
          <w:color w:val="auto"/>
        </w:rPr>
        <w:t>time of engagement to be non-audit services, and are reported to the Audit Committee promptly thereafter and approved prior to the completion of the annual audit.</w:t>
      </w:r>
    </w:p>
    <w:p>
      <w:pPr>
        <w:spacing w:after="0" w:line="58"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Conclusion and Recommendation; Vote Required</w:t>
      </w:r>
    </w:p>
    <w:p>
      <w:pPr>
        <w:spacing w:after="0" w:line="121" w:lineRule="exact"/>
        <w:rPr>
          <w:sz w:val="20"/>
          <w:szCs w:val="20"/>
          <w:color w:val="auto"/>
        </w:rPr>
      </w:pPr>
    </w:p>
    <w:p>
      <w:pPr>
        <w:ind w:left="200" w:firstLine="771"/>
        <w:spacing w:after="0" w:line="259" w:lineRule="auto"/>
        <w:rPr>
          <w:sz w:val="20"/>
          <w:szCs w:val="20"/>
          <w:color w:val="auto"/>
        </w:rPr>
      </w:pPr>
      <w:r>
        <w:rPr>
          <w:rFonts w:ascii="Arial" w:cs="Arial" w:eastAsia="Arial" w:hAnsi="Arial"/>
          <w:sz w:val="18"/>
          <w:szCs w:val="18"/>
          <w:color w:val="auto"/>
        </w:rPr>
        <w:t xml:space="preserve">The affirmative vote of the holders of a majority of all shares of our common stock present or represented and entitled to vote at the Annual Meeting is required to ratify the appointment of our independent public accountant. Abstentions will have no effect on the outcome of the proposal. THE BOARD OF DIRECTORS RECOMMENDS A VOTE </w:t>
      </w:r>
      <w:r>
        <w:rPr>
          <w:rFonts w:ascii="Arial" w:cs="Arial" w:eastAsia="Arial" w:hAnsi="Arial"/>
          <w:sz w:val="18"/>
          <w:szCs w:val="18"/>
          <w:b w:val="1"/>
          <w:bCs w:val="1"/>
          <w:color w:val="auto"/>
        </w:rPr>
        <w:t>FOR</w:t>
      </w:r>
      <w:r>
        <w:rPr>
          <w:rFonts w:ascii="Arial" w:cs="Arial" w:eastAsia="Arial" w:hAnsi="Arial"/>
          <w:sz w:val="18"/>
          <w:szCs w:val="18"/>
          <w:color w:val="auto"/>
        </w:rPr>
        <w:t xml:space="preserve"> RATIFICATION OF THE APPOINTMENT OF ERNST &amp; YOUNG LLP AS OUR INDEPENDENT PUBLIC ACCOUNTANT FOR 2018.</w:t>
      </w:r>
    </w:p>
    <w:p>
      <w:pPr>
        <w:spacing w:after="0" w:line="115"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26</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20"/>
          </w:cols>
          <w:pgMar w:left="240" w:top="459" w:right="439" w:bottom="1440" w:gutter="0" w:footer="0" w:header="0"/>
        </w:sectPr>
      </w:pPr>
    </w:p>
    <w:bookmarkStart w:id="30" w:name="page31"/>
    <w:bookmarkEnd w:id="3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REPORT OF THE AUDIT COMMITTEE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15" w:lineRule="exact"/>
        <w:rPr>
          <w:sz w:val="20"/>
          <w:szCs w:val="20"/>
          <w:color w:val="auto"/>
        </w:rPr>
      </w:pPr>
    </w:p>
    <w:p>
      <w:pPr>
        <w:jc w:val="center"/>
        <w:ind w:right="-199"/>
        <w:spacing w:after="0"/>
        <w:rPr>
          <w:sz w:val="20"/>
          <w:szCs w:val="20"/>
          <w:color w:val="auto"/>
        </w:rPr>
      </w:pPr>
      <w:r>
        <w:rPr>
          <w:rFonts w:ascii="Arial" w:cs="Arial" w:eastAsia="Arial" w:hAnsi="Arial"/>
          <w:sz w:val="22"/>
          <w:szCs w:val="22"/>
          <w:b w:val="1"/>
          <w:bCs w:val="1"/>
          <w:color w:val="407CCA"/>
        </w:rPr>
        <w:t>REPORT OF THE AUDIT COMMITTEE</w:t>
      </w:r>
    </w:p>
    <w:p>
      <w:pPr>
        <w:spacing w:after="0" w:line="219" w:lineRule="exact"/>
        <w:rPr>
          <w:sz w:val="20"/>
          <w:szCs w:val="20"/>
          <w:color w:val="auto"/>
        </w:rPr>
      </w:pPr>
    </w:p>
    <w:p>
      <w:pPr>
        <w:ind w:left="200" w:right="80" w:firstLine="771"/>
        <w:spacing w:after="0" w:line="264" w:lineRule="auto"/>
        <w:rPr>
          <w:sz w:val="20"/>
          <w:szCs w:val="20"/>
          <w:color w:val="auto"/>
        </w:rPr>
      </w:pPr>
      <w:r>
        <w:rPr>
          <w:rFonts w:ascii="Arial" w:cs="Arial" w:eastAsia="Arial" w:hAnsi="Arial"/>
          <w:sz w:val="18"/>
          <w:szCs w:val="18"/>
          <w:color w:val="auto"/>
        </w:rPr>
        <w:t>The Board of Directors has appointed an Audit Committee presently composed of four directors, Ms. Larocca, Dr. Davis and Messrs. Harvey and Mullings. Each of the directors is independent as defined in the Nasdaq rules. The Board of Directors has determined that Mr. Harvey is an “audit committee financial expert” (as defined in Item 407 of Regulation S-K under the Securities Act).</w:t>
      </w:r>
    </w:p>
    <w:p>
      <w:pPr>
        <w:spacing w:after="0" w:line="181" w:lineRule="exact"/>
        <w:rPr>
          <w:sz w:val="20"/>
          <w:szCs w:val="20"/>
          <w:color w:val="auto"/>
        </w:rPr>
      </w:pPr>
    </w:p>
    <w:p>
      <w:pPr>
        <w:ind w:left="200" w:right="140" w:firstLine="771"/>
        <w:spacing w:after="0" w:line="273" w:lineRule="auto"/>
        <w:rPr>
          <w:sz w:val="20"/>
          <w:szCs w:val="20"/>
          <w:color w:val="auto"/>
        </w:rPr>
      </w:pPr>
      <w:r>
        <w:rPr>
          <w:rFonts w:ascii="Arial" w:cs="Arial" w:eastAsia="Arial" w:hAnsi="Arial"/>
          <w:sz w:val="17"/>
          <w:szCs w:val="17"/>
          <w:color w:val="auto"/>
        </w:rPr>
        <w:t xml:space="preserve">The Audit Committee’s responsibility is one of oversight as set forth in its charter, which is available in the Investors section of our web site at </w:t>
      </w:r>
      <w:r>
        <w:rPr>
          <w:rFonts w:ascii="Arial" w:cs="Arial" w:eastAsia="Arial" w:hAnsi="Arial"/>
          <w:sz w:val="17"/>
          <w:szCs w:val="17"/>
          <w:i w:val="1"/>
          <w:iCs w:val="1"/>
          <w:color w:val="auto"/>
        </w:rPr>
        <w:t>www.AGNC.com</w:t>
      </w:r>
      <w:r>
        <w:rPr>
          <w:rFonts w:ascii="Arial" w:cs="Arial" w:eastAsia="Arial" w:hAnsi="Arial"/>
          <w:sz w:val="17"/>
          <w:szCs w:val="17"/>
          <w:color w:val="auto"/>
        </w:rPr>
        <w:t>. It is not the duty of the Audit Committee to prepare our financial statements, to plan or conduct audits, or to determine that our financial statements are complete and accurate and are in accordance with U.S. generally accepted accounting principles. Our management is responsible for preparing our financial statements and for maintaining internal controls. The independent auditors are responsible for auditing the financial statements and for expressing an opinion as to whether those audited financial statements fairly present our financial position, results of operations, and cash flows in conformity with U.S. generally accepted accounting principles.</w:t>
      </w:r>
    </w:p>
    <w:p>
      <w:pPr>
        <w:spacing w:after="0" w:line="178" w:lineRule="exact"/>
        <w:rPr>
          <w:sz w:val="20"/>
          <w:szCs w:val="20"/>
          <w:color w:val="auto"/>
        </w:rPr>
      </w:pPr>
    </w:p>
    <w:p>
      <w:pPr>
        <w:ind w:left="200" w:right="220" w:firstLine="771"/>
        <w:spacing w:after="0" w:line="277" w:lineRule="auto"/>
        <w:rPr>
          <w:sz w:val="20"/>
          <w:szCs w:val="20"/>
          <w:color w:val="auto"/>
        </w:rPr>
      </w:pPr>
      <w:r>
        <w:rPr>
          <w:rFonts w:ascii="Arial" w:cs="Arial" w:eastAsia="Arial" w:hAnsi="Arial"/>
          <w:sz w:val="18"/>
          <w:szCs w:val="18"/>
          <w:color w:val="auto"/>
        </w:rPr>
        <w:t>The Audit Committee has reviewed and discussed our audited consolidated financial statements with management and with Ernst &amp; Young LLP, our independent auditors for 2017.</w:t>
      </w:r>
    </w:p>
    <w:p>
      <w:pPr>
        <w:spacing w:after="0" w:line="170" w:lineRule="exact"/>
        <w:rPr>
          <w:sz w:val="20"/>
          <w:szCs w:val="20"/>
          <w:color w:val="auto"/>
        </w:rPr>
      </w:pPr>
    </w:p>
    <w:p>
      <w:pPr>
        <w:ind w:left="200" w:right="180" w:firstLine="771"/>
        <w:spacing w:after="0" w:line="277" w:lineRule="auto"/>
        <w:rPr>
          <w:sz w:val="20"/>
          <w:szCs w:val="20"/>
          <w:color w:val="auto"/>
        </w:rPr>
      </w:pPr>
      <w:r>
        <w:rPr>
          <w:rFonts w:ascii="Arial" w:cs="Arial" w:eastAsia="Arial" w:hAnsi="Arial"/>
          <w:sz w:val="18"/>
          <w:szCs w:val="18"/>
          <w:color w:val="auto"/>
        </w:rPr>
        <w:t>The Audit Committee has discussed with Ernst &amp; Young LLP the matters required to be discussed by Auditing Standard No. 16, as adopted by the Public Company Accounting Oversight Board.</w:t>
      </w:r>
    </w:p>
    <w:p>
      <w:pPr>
        <w:spacing w:after="0" w:line="170" w:lineRule="exact"/>
        <w:rPr>
          <w:sz w:val="20"/>
          <w:szCs w:val="20"/>
          <w:color w:val="auto"/>
        </w:rPr>
      </w:pPr>
    </w:p>
    <w:p>
      <w:pPr>
        <w:ind w:left="200" w:firstLine="771"/>
        <w:spacing w:after="0" w:line="264" w:lineRule="auto"/>
        <w:rPr>
          <w:sz w:val="20"/>
          <w:szCs w:val="20"/>
          <w:color w:val="auto"/>
        </w:rPr>
      </w:pPr>
      <w:r>
        <w:rPr>
          <w:rFonts w:ascii="Arial" w:cs="Arial" w:eastAsia="Arial" w:hAnsi="Arial"/>
          <w:sz w:val="18"/>
          <w:szCs w:val="18"/>
          <w:color w:val="auto"/>
        </w:rPr>
        <w:t>The Audit Committee has received from Ernst &amp; Young LLP the written statements required by Public Company Accounting Oversight Board Rule No. 3526, “</w:t>
      </w:r>
      <w:r>
        <w:rPr>
          <w:rFonts w:ascii="Arial" w:cs="Arial" w:eastAsia="Arial" w:hAnsi="Arial"/>
          <w:sz w:val="18"/>
          <w:szCs w:val="18"/>
          <w:i w:val="1"/>
          <w:iCs w:val="1"/>
          <w:color w:val="auto"/>
        </w:rPr>
        <w:t>Communications with Audit Committees Concerning Independence</w:t>
      </w:r>
      <w:r>
        <w:rPr>
          <w:rFonts w:ascii="Arial" w:cs="Arial" w:eastAsia="Arial" w:hAnsi="Arial"/>
          <w:sz w:val="18"/>
          <w:szCs w:val="18"/>
          <w:color w:val="auto"/>
        </w:rPr>
        <w:t>,” and has discussed Ernst &amp; Young LLP’s independence with Ernst &amp; Young LLP, and has considered the compatibility of non-audit services with the auditor’s independence.</w:t>
      </w:r>
    </w:p>
    <w:p>
      <w:pPr>
        <w:spacing w:after="0" w:line="181" w:lineRule="exact"/>
        <w:rPr>
          <w:sz w:val="20"/>
          <w:szCs w:val="20"/>
          <w:color w:val="auto"/>
        </w:rPr>
      </w:pPr>
    </w:p>
    <w:p>
      <w:pPr>
        <w:ind w:left="200" w:right="660" w:firstLine="771"/>
        <w:spacing w:after="0" w:line="264" w:lineRule="auto"/>
        <w:rPr>
          <w:sz w:val="20"/>
          <w:szCs w:val="20"/>
          <w:color w:val="auto"/>
        </w:rPr>
      </w:pPr>
      <w:r>
        <w:rPr>
          <w:rFonts w:ascii="Arial" w:cs="Arial" w:eastAsia="Arial" w:hAnsi="Arial"/>
          <w:sz w:val="18"/>
          <w:szCs w:val="18"/>
          <w:color w:val="auto"/>
        </w:rPr>
        <w:t>Based on the review and discussions referred to above, the Audit Committee recommended to the Board of Directors that the audited consolidated financial statements for the year ended December 31, 2017 be included in our annual report on Form 10-K for the year ended December 31, 2017, for filing with the Securities and Exchange Commission.</w:t>
      </w:r>
    </w:p>
    <w:p>
      <w:pPr>
        <w:spacing w:after="0" w:line="181" w:lineRule="exact"/>
        <w:rPr>
          <w:sz w:val="20"/>
          <w:szCs w:val="20"/>
          <w:color w:val="auto"/>
        </w:rPr>
      </w:pPr>
    </w:p>
    <w:p>
      <w:pPr>
        <w:ind w:left="200" w:right="500" w:firstLine="771"/>
        <w:spacing w:after="0" w:line="342" w:lineRule="auto"/>
        <w:rPr>
          <w:sz w:val="20"/>
          <w:szCs w:val="20"/>
          <w:color w:val="auto"/>
        </w:rPr>
      </w:pPr>
      <w:r>
        <w:rPr>
          <w:rFonts w:ascii="Arial" w:cs="Arial" w:eastAsia="Arial" w:hAnsi="Arial"/>
          <w:sz w:val="16"/>
          <w:szCs w:val="16"/>
          <w:color w:val="auto"/>
        </w:rPr>
        <w:t>The Audit Committee has approved the appointment of Ernst &amp; Young LLP to serve as our independent public accountants for the year ending December 31, 2018 and has directed that the appointment of Ernst &amp; Young LLP be submitted to our stockholders for ratification.</w:t>
      </w:r>
    </w:p>
    <w:p>
      <w:pPr>
        <w:spacing w:after="0" w:line="124" w:lineRule="exact"/>
        <w:rPr>
          <w:sz w:val="20"/>
          <w:szCs w:val="20"/>
          <w:color w:val="auto"/>
        </w:rPr>
      </w:pPr>
    </w:p>
    <w:p>
      <w:pPr>
        <w:ind w:left="7280"/>
        <w:spacing w:after="0"/>
        <w:rPr>
          <w:sz w:val="20"/>
          <w:szCs w:val="20"/>
          <w:color w:val="auto"/>
        </w:rPr>
      </w:pPr>
      <w:r>
        <w:rPr>
          <w:rFonts w:ascii="Arial" w:cs="Arial" w:eastAsia="Arial" w:hAnsi="Arial"/>
          <w:sz w:val="18"/>
          <w:szCs w:val="18"/>
          <w:i w:val="1"/>
          <w:iCs w:val="1"/>
          <w:color w:val="auto"/>
        </w:rPr>
        <w:t>By the Audit Committee:</w:t>
      </w:r>
    </w:p>
    <w:p>
      <w:pPr>
        <w:spacing w:after="0" w:line="23" w:lineRule="exact"/>
        <w:rPr>
          <w:sz w:val="20"/>
          <w:szCs w:val="20"/>
          <w:color w:val="auto"/>
        </w:rPr>
      </w:pPr>
    </w:p>
    <w:p>
      <w:pPr>
        <w:ind w:left="7280"/>
        <w:spacing w:after="0"/>
        <w:rPr>
          <w:sz w:val="20"/>
          <w:szCs w:val="20"/>
          <w:color w:val="auto"/>
        </w:rPr>
      </w:pPr>
      <w:r>
        <w:rPr>
          <w:rFonts w:ascii="Arial" w:cs="Arial" w:eastAsia="Arial" w:hAnsi="Arial"/>
          <w:sz w:val="18"/>
          <w:szCs w:val="18"/>
          <w:color w:val="auto"/>
        </w:rPr>
        <w:t>Larry K. Harvey, Chair</w:t>
      </w:r>
    </w:p>
    <w:p>
      <w:pPr>
        <w:spacing w:after="0" w:line="9" w:lineRule="exact"/>
        <w:rPr>
          <w:sz w:val="20"/>
          <w:szCs w:val="20"/>
          <w:color w:val="auto"/>
        </w:rPr>
      </w:pPr>
    </w:p>
    <w:p>
      <w:pPr>
        <w:ind w:left="7280"/>
        <w:spacing w:after="0"/>
        <w:rPr>
          <w:sz w:val="20"/>
          <w:szCs w:val="20"/>
          <w:color w:val="auto"/>
        </w:rPr>
      </w:pPr>
      <w:r>
        <w:rPr>
          <w:rFonts w:ascii="Arial" w:cs="Arial" w:eastAsia="Arial" w:hAnsi="Arial"/>
          <w:sz w:val="18"/>
          <w:szCs w:val="18"/>
          <w:color w:val="auto"/>
        </w:rPr>
        <w:t>Morris A. Davis</w:t>
      </w:r>
    </w:p>
    <w:p>
      <w:pPr>
        <w:spacing w:after="0" w:line="9" w:lineRule="exact"/>
        <w:rPr>
          <w:sz w:val="20"/>
          <w:szCs w:val="20"/>
          <w:color w:val="auto"/>
        </w:rPr>
      </w:pPr>
    </w:p>
    <w:p>
      <w:pPr>
        <w:ind w:left="7280"/>
        <w:spacing w:after="0"/>
        <w:rPr>
          <w:sz w:val="20"/>
          <w:szCs w:val="20"/>
          <w:color w:val="auto"/>
        </w:rPr>
      </w:pPr>
      <w:r>
        <w:rPr>
          <w:rFonts w:ascii="Arial" w:cs="Arial" w:eastAsia="Arial" w:hAnsi="Arial"/>
          <w:sz w:val="18"/>
          <w:szCs w:val="18"/>
          <w:color w:val="auto"/>
        </w:rPr>
        <w:t>Prue B. Larocca</w:t>
      </w:r>
    </w:p>
    <w:p>
      <w:pPr>
        <w:spacing w:after="0" w:line="9" w:lineRule="exact"/>
        <w:rPr>
          <w:sz w:val="20"/>
          <w:szCs w:val="20"/>
          <w:color w:val="auto"/>
        </w:rPr>
      </w:pPr>
    </w:p>
    <w:p>
      <w:pPr>
        <w:ind w:left="7280"/>
        <w:spacing w:after="0"/>
        <w:rPr>
          <w:sz w:val="20"/>
          <w:szCs w:val="20"/>
          <w:color w:val="auto"/>
        </w:rPr>
      </w:pPr>
      <w:r>
        <w:rPr>
          <w:rFonts w:ascii="Arial" w:cs="Arial" w:eastAsia="Arial" w:hAnsi="Arial"/>
          <w:sz w:val="18"/>
          <w:szCs w:val="18"/>
          <w:color w:val="auto"/>
        </w:rPr>
        <w:t>Paul E. Mullings</w:t>
      </w:r>
    </w:p>
    <w:p>
      <w:pPr>
        <w:spacing w:after="0" w:line="31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Use of Report of the Audit Committee</w:t>
      </w:r>
    </w:p>
    <w:p>
      <w:pPr>
        <w:spacing w:after="0" w:line="121" w:lineRule="exact"/>
        <w:rPr>
          <w:sz w:val="20"/>
          <w:szCs w:val="20"/>
          <w:color w:val="auto"/>
        </w:rPr>
      </w:pPr>
    </w:p>
    <w:p>
      <w:pPr>
        <w:ind w:left="200" w:right="20" w:firstLine="771"/>
        <w:spacing w:after="0" w:line="342" w:lineRule="auto"/>
        <w:rPr>
          <w:sz w:val="20"/>
          <w:szCs w:val="20"/>
          <w:color w:val="auto"/>
        </w:rPr>
      </w:pPr>
      <w:r>
        <w:rPr>
          <w:rFonts w:ascii="Arial" w:cs="Arial" w:eastAsia="Arial" w:hAnsi="Arial"/>
          <w:sz w:val="16"/>
          <w:szCs w:val="16"/>
          <w:color w:val="auto"/>
        </w:rPr>
        <w:t>In accordance with and to the extent permitted by applicable law or regulation, the information contained in the foregoing Report of the Audit Committee is not “soliciting material” and is not to be incorporated by reference into any future filing under the Securities Act or the Exchange Act.</w:t>
      </w:r>
    </w:p>
    <w:p>
      <w:pPr>
        <w:spacing w:after="0" w:line="52"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27</w:t>
      </w:r>
    </w:p>
    <w:p>
      <w:pPr>
        <w:sectPr>
          <w:pgSz w:w="11900" w:h="16838" w:orient="portrait"/>
          <w:cols w:equalWidth="0" w:num="1">
            <w:col w:w="11220"/>
          </w:cols>
          <w:pgMar w:left="240" w:top="459" w:right="439" w:bottom="1440" w:gutter="0" w:footer="0" w:header="0"/>
        </w:sectPr>
      </w:pPr>
    </w:p>
    <w:bookmarkStart w:id="31" w:name="page32"/>
    <w:bookmarkEnd w:id="3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OFFICERS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15" w:lineRule="exact"/>
        <w:rPr>
          <w:sz w:val="20"/>
          <w:szCs w:val="20"/>
          <w:color w:val="auto"/>
        </w:rPr>
      </w:pPr>
    </w:p>
    <w:p>
      <w:pPr>
        <w:jc w:val="center"/>
        <w:ind w:right="-199"/>
        <w:spacing w:after="0"/>
        <w:rPr>
          <w:sz w:val="20"/>
          <w:szCs w:val="20"/>
          <w:color w:val="auto"/>
        </w:rPr>
      </w:pPr>
      <w:r>
        <w:rPr>
          <w:rFonts w:ascii="Arial" w:cs="Arial" w:eastAsia="Arial" w:hAnsi="Arial"/>
          <w:sz w:val="22"/>
          <w:szCs w:val="22"/>
          <w:b w:val="1"/>
          <w:bCs w:val="1"/>
          <w:color w:val="407CCA"/>
        </w:rPr>
        <w:t>EXECUTIVE OFFICERS</w:t>
      </w:r>
    </w:p>
    <w:p>
      <w:pPr>
        <w:spacing w:after="0" w:line="21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Executive Officer Biographies</w:t>
      </w:r>
    </w:p>
    <w:p>
      <w:pPr>
        <w:spacing w:after="0" w:line="121" w:lineRule="exact"/>
        <w:rPr>
          <w:sz w:val="20"/>
          <w:szCs w:val="20"/>
          <w:color w:val="auto"/>
        </w:rPr>
      </w:pPr>
    </w:p>
    <w:p>
      <w:pPr>
        <w:ind w:left="200" w:firstLine="771"/>
        <w:spacing w:after="0" w:line="286" w:lineRule="auto"/>
        <w:rPr>
          <w:sz w:val="20"/>
          <w:szCs w:val="20"/>
          <w:color w:val="auto"/>
        </w:rPr>
      </w:pPr>
      <w:r>
        <w:rPr>
          <w:rFonts w:ascii="Arial" w:cs="Arial" w:eastAsia="Arial" w:hAnsi="Arial"/>
          <w:sz w:val="17"/>
          <w:szCs w:val="17"/>
          <w:color w:val="auto"/>
        </w:rPr>
        <w:t>The Board of Directors generally elects officers annually following our annual meeting of stockholders to serve until the meeting of the Board following the next annual meeting. Set forth below is certain information about each executive officer as of February 26, 2018. The business address of each executive officer is c/o AGNC Investment Corp., 2 Bethesda Metro Center, 12</w:t>
      </w:r>
      <w:r>
        <w:rPr>
          <w:rFonts w:ascii="Arial" w:cs="Arial" w:eastAsia="Arial" w:hAnsi="Arial"/>
          <w:sz w:val="14"/>
          <w:szCs w:val="14"/>
          <w:color w:val="auto"/>
        </w:rPr>
        <w:t>th</w:t>
      </w:r>
      <w:r>
        <w:rPr>
          <w:rFonts w:ascii="Arial" w:cs="Arial" w:eastAsia="Arial" w:hAnsi="Arial"/>
          <w:sz w:val="17"/>
          <w:szCs w:val="17"/>
          <w:color w:val="auto"/>
        </w:rPr>
        <w:t xml:space="preserve"> Floor, Bethesda, Maryland 20814.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173990</wp:posOffset>
            </wp:positionV>
            <wp:extent cx="6997700" cy="889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77"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GARY D. KAIN, 53</w:t>
      </w:r>
    </w:p>
    <w:p>
      <w:pPr>
        <w:spacing w:after="0" w:line="27" w:lineRule="exact"/>
        <w:rPr>
          <w:sz w:val="20"/>
          <w:szCs w:val="20"/>
          <w:color w:val="auto"/>
        </w:rPr>
      </w:pPr>
    </w:p>
    <w:p>
      <w:pPr>
        <w:ind w:left="200"/>
        <w:spacing w:after="0"/>
        <w:rPr>
          <w:sz w:val="20"/>
          <w:szCs w:val="20"/>
          <w:color w:val="auto"/>
        </w:rPr>
      </w:pPr>
      <w:r>
        <w:rPr>
          <w:rFonts w:ascii="Arial" w:cs="Arial" w:eastAsia="Arial" w:hAnsi="Arial"/>
          <w:sz w:val="18"/>
          <w:szCs w:val="18"/>
          <w:i w:val="1"/>
          <w:iCs w:val="1"/>
          <w:color w:val="auto"/>
        </w:rPr>
        <w:t>Director, Chief Executive Officer, President and Chief Investment Officer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74295</wp:posOffset>
            </wp:positionV>
            <wp:extent cx="6997700" cy="889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312" w:lineRule="exact"/>
        <w:rPr>
          <w:sz w:val="20"/>
          <w:szCs w:val="20"/>
          <w:color w:val="auto"/>
        </w:rPr>
      </w:pPr>
    </w:p>
    <w:p>
      <w:pPr>
        <w:jc w:val="both"/>
        <w:ind w:left="200" w:right="260"/>
        <w:spacing w:after="0" w:line="312" w:lineRule="auto"/>
        <w:rPr>
          <w:sz w:val="20"/>
          <w:szCs w:val="20"/>
          <w:color w:val="auto"/>
        </w:rPr>
      </w:pPr>
      <w:r>
        <w:rPr>
          <w:rFonts w:ascii="Arial" w:cs="Arial" w:eastAsia="Arial" w:hAnsi="Arial"/>
          <w:sz w:val="16"/>
          <w:szCs w:val="16"/>
          <w:color w:val="auto"/>
        </w:rPr>
        <w:t>Mr. Kain has served as a Director and our Chief Executive Officer since March 2016, President since April 2011 and Chief Investment Officer since January 2009. Effective March 31, 2018, Mr. Kain will serve as our Chief Executive Officer and Chief Investment Officer. Further information about Mr. Kain may be found under “Proposal 1: Election of Directors-Director Nominee Biographies and Qualifications” of this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153670</wp:posOffset>
            </wp:positionV>
            <wp:extent cx="6997700" cy="889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58"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PETER J. FEDERICO, 51</w:t>
      </w:r>
    </w:p>
    <w:p>
      <w:pPr>
        <w:spacing w:after="0" w:line="27" w:lineRule="exact"/>
        <w:rPr>
          <w:sz w:val="20"/>
          <w:szCs w:val="20"/>
          <w:color w:val="auto"/>
        </w:rPr>
      </w:pPr>
    </w:p>
    <w:p>
      <w:pPr>
        <w:ind w:left="200"/>
        <w:spacing w:after="0"/>
        <w:rPr>
          <w:sz w:val="20"/>
          <w:szCs w:val="20"/>
          <w:color w:val="auto"/>
        </w:rPr>
      </w:pPr>
      <w:r>
        <w:rPr>
          <w:rFonts w:ascii="Arial" w:cs="Arial" w:eastAsia="Arial" w:hAnsi="Arial"/>
          <w:sz w:val="18"/>
          <w:szCs w:val="18"/>
          <w:i w:val="1"/>
          <w:iCs w:val="1"/>
          <w:color w:val="auto"/>
        </w:rPr>
        <w:t>Executive Vice President and Chief Financial Officer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48895</wp:posOffset>
            </wp:positionV>
            <wp:extent cx="6997700" cy="889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72" w:lineRule="exact"/>
        <w:rPr>
          <w:sz w:val="20"/>
          <w:szCs w:val="20"/>
          <w:color w:val="auto"/>
        </w:rPr>
      </w:pPr>
    </w:p>
    <w:p>
      <w:pPr>
        <w:ind w:left="200" w:right="20"/>
        <w:spacing w:after="0" w:line="259" w:lineRule="auto"/>
        <w:rPr>
          <w:sz w:val="20"/>
          <w:szCs w:val="20"/>
          <w:color w:val="auto"/>
        </w:rPr>
      </w:pPr>
      <w:r>
        <w:rPr>
          <w:rFonts w:ascii="Arial" w:cs="Arial" w:eastAsia="Arial" w:hAnsi="Arial"/>
          <w:sz w:val="18"/>
          <w:szCs w:val="18"/>
          <w:color w:val="auto"/>
        </w:rPr>
        <w:t>Mr. Federico has served as our Executive Vice President and Chief Financial Officer since July 2016 and will become our President and Chief Operating Officer effective March 31, 2018. He was previously our Senior Vice President and Chief Risk Officer from June 2011 until our Internalization in July 2016. Mr. Federico is also Executive Vice President and Chief Financial Officer of MTGE Investment Corp. (Nasdaq: MTGE) and will become the President and Chief Operating Officer of MTGE Investment Corp. effective March 31, 2018.</w:t>
      </w:r>
    </w:p>
    <w:p>
      <w:pPr>
        <w:spacing w:after="0" w:line="187" w:lineRule="exact"/>
        <w:rPr>
          <w:sz w:val="20"/>
          <w:szCs w:val="20"/>
          <w:color w:val="auto"/>
        </w:rPr>
      </w:pPr>
    </w:p>
    <w:p>
      <w:pPr>
        <w:ind w:left="200"/>
        <w:spacing w:after="0" w:line="276" w:lineRule="auto"/>
        <w:rPr>
          <w:sz w:val="20"/>
          <w:szCs w:val="20"/>
          <w:color w:val="auto"/>
        </w:rPr>
      </w:pPr>
      <w:r>
        <w:rPr>
          <w:rFonts w:ascii="Arial" w:cs="Arial" w:eastAsia="Arial" w:hAnsi="Arial"/>
          <w:sz w:val="17"/>
          <w:szCs w:val="17"/>
          <w:color w:val="auto"/>
        </w:rPr>
        <w:t>Prior to joining AGNC Investment Corp., Mr. Federico served as Executive Vice President and Treasurer of Freddie Mac from October 2010 through May 2011, where he was primarily responsible for managing the company’s investment activities for its retained portfolio and developing, implementing and managing risk mitigation strategies. He was also responsible for managing Freddie Mac’s $1.2 trillion interest rate derivative portfolio and short-and long-term debt issuance programs. Mr. Federico also served in a number of other capacities at Freddie Mac, including as Senior Vice President, Asset &amp; Liability Management, during his tenure with the company, which began in 1988.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135890</wp:posOffset>
            </wp:positionV>
            <wp:extent cx="6997700" cy="889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30"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CHRISTOPHER J. KUEHL, 44</w:t>
      </w:r>
    </w:p>
    <w:p>
      <w:pPr>
        <w:spacing w:after="0" w:line="27" w:lineRule="exact"/>
        <w:rPr>
          <w:sz w:val="20"/>
          <w:szCs w:val="20"/>
          <w:color w:val="auto"/>
        </w:rPr>
      </w:pPr>
    </w:p>
    <w:p>
      <w:pPr>
        <w:ind w:left="200"/>
        <w:spacing w:after="0"/>
        <w:rPr>
          <w:sz w:val="20"/>
          <w:szCs w:val="20"/>
          <w:color w:val="auto"/>
        </w:rPr>
      </w:pPr>
      <w:r>
        <w:rPr>
          <w:rFonts w:ascii="Arial" w:cs="Arial" w:eastAsia="Arial" w:hAnsi="Arial"/>
          <w:sz w:val="18"/>
          <w:szCs w:val="18"/>
          <w:i w:val="1"/>
          <w:iCs w:val="1"/>
          <w:color w:val="auto"/>
        </w:rPr>
        <w:t>Executive Vice President, Agency Portfolio Investments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22860</wp:posOffset>
            </wp:positionV>
            <wp:extent cx="6997700" cy="889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31" w:lineRule="exact"/>
        <w:rPr>
          <w:sz w:val="20"/>
          <w:szCs w:val="20"/>
          <w:color w:val="auto"/>
        </w:rPr>
      </w:pPr>
    </w:p>
    <w:p>
      <w:pPr>
        <w:ind w:left="200" w:right="440"/>
        <w:spacing w:after="0" w:line="277" w:lineRule="auto"/>
        <w:rPr>
          <w:sz w:val="20"/>
          <w:szCs w:val="20"/>
          <w:color w:val="auto"/>
        </w:rPr>
      </w:pPr>
      <w:r>
        <w:rPr>
          <w:rFonts w:ascii="Arial" w:cs="Arial" w:eastAsia="Arial" w:hAnsi="Arial"/>
          <w:sz w:val="18"/>
          <w:szCs w:val="18"/>
          <w:color w:val="auto"/>
        </w:rPr>
        <w:t>Mr. Kuehl has served as our Executive Vice President since November 2016. He was previously a Senior Vice President from March 2012 through October 2016. Mr. Kuehl is also an Executive Vice President of MTGE Investment Corp. (Nasdaq: MTGE).</w:t>
      </w:r>
    </w:p>
    <w:p>
      <w:pPr>
        <w:spacing w:after="0" w:line="170" w:lineRule="exact"/>
        <w:rPr>
          <w:sz w:val="20"/>
          <w:szCs w:val="20"/>
          <w:color w:val="auto"/>
        </w:rPr>
      </w:pPr>
    </w:p>
    <w:p>
      <w:pPr>
        <w:jc w:val="both"/>
        <w:ind w:left="200" w:right="120"/>
        <w:spacing w:after="0" w:line="286" w:lineRule="auto"/>
        <w:rPr>
          <w:sz w:val="20"/>
          <w:szCs w:val="20"/>
          <w:color w:val="auto"/>
        </w:rPr>
      </w:pPr>
      <w:r>
        <w:rPr>
          <w:rFonts w:ascii="Arial" w:cs="Arial" w:eastAsia="Arial" w:hAnsi="Arial"/>
          <w:sz w:val="17"/>
          <w:szCs w:val="17"/>
          <w:color w:val="auto"/>
        </w:rPr>
        <w:t>Prior to joining AGNC Investment Corp., Mr. Kuehl served as Vice President of Mortgage Investments &amp; Structuring of Freddie Mac. In this capacity, Mr. Kuehl was responsible for directing Freddie Mac’s purchases, sales and structuring activities for all MBS products, including fixed-rate mortgages, ARMs and CMOs. Prior to joining Freddie Mac in 2000, Mr. Kuehl was a Portfolio Manager with TeleBank/Etrade Bank.</w:t>
      </w:r>
    </w:p>
    <w:p>
      <w:pPr>
        <w:spacing w:after="0" w:line="94"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28</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20"/>
          </w:cols>
          <w:pgMar w:left="240" w:top="459" w:right="439" w:bottom="1440" w:gutter="0" w:footer="0" w:header="0"/>
        </w:sectPr>
      </w:pPr>
    </w:p>
    <w:bookmarkStart w:id="32" w:name="page33"/>
    <w:bookmarkEnd w:id="3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OFFICERS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38"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BERNICE E. BELL, 46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-127635</wp:posOffset>
            </wp:positionV>
            <wp:extent cx="6997700" cy="889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7" w:lineRule="exact"/>
        <w:rPr>
          <w:sz w:val="20"/>
          <w:szCs w:val="20"/>
          <w:color w:val="auto"/>
        </w:rPr>
      </w:pPr>
    </w:p>
    <w:p>
      <w:pPr>
        <w:ind w:left="200"/>
        <w:spacing w:after="0"/>
        <w:rPr>
          <w:sz w:val="20"/>
          <w:szCs w:val="20"/>
          <w:color w:val="auto"/>
        </w:rPr>
      </w:pPr>
      <w:r>
        <w:rPr>
          <w:rFonts w:ascii="Arial" w:cs="Arial" w:eastAsia="Arial" w:hAnsi="Arial"/>
          <w:sz w:val="18"/>
          <w:szCs w:val="18"/>
          <w:i w:val="1"/>
          <w:iCs w:val="1"/>
          <w:color w:val="auto"/>
        </w:rPr>
        <w:t>Senior Vice President and Chief Accounting Officer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22860</wp:posOffset>
            </wp:positionV>
            <wp:extent cx="6997700" cy="889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31" w:lineRule="exact"/>
        <w:rPr>
          <w:sz w:val="20"/>
          <w:szCs w:val="20"/>
          <w:color w:val="auto"/>
        </w:rPr>
      </w:pPr>
    </w:p>
    <w:p>
      <w:pPr>
        <w:ind w:left="200" w:right="180"/>
        <w:spacing w:after="0" w:line="264" w:lineRule="auto"/>
        <w:rPr>
          <w:sz w:val="20"/>
          <w:szCs w:val="20"/>
          <w:color w:val="auto"/>
        </w:rPr>
      </w:pPr>
      <w:r>
        <w:rPr>
          <w:rFonts w:ascii="Arial" w:cs="Arial" w:eastAsia="Arial" w:hAnsi="Arial"/>
          <w:sz w:val="18"/>
          <w:szCs w:val="18"/>
          <w:color w:val="auto"/>
        </w:rPr>
        <w:t>Ms. Bell has served as our Senior Vice President and Chief Accounting Officer since January 2016. Ms. Bell previously served as Vice President from April 2011 to January 2016 and as our Controller from 2008 through December 2015. Ms. Bell will become our Chief Financial Officer effective March 31, 2018.</w:t>
      </w:r>
    </w:p>
    <w:p>
      <w:pPr>
        <w:spacing w:after="0" w:line="181" w:lineRule="exact"/>
        <w:rPr>
          <w:sz w:val="20"/>
          <w:szCs w:val="20"/>
          <w:color w:val="auto"/>
        </w:rPr>
      </w:pPr>
    </w:p>
    <w:p>
      <w:pPr>
        <w:ind w:left="200" w:right="20"/>
        <w:spacing w:after="0" w:line="259" w:lineRule="auto"/>
        <w:rPr>
          <w:sz w:val="20"/>
          <w:szCs w:val="20"/>
          <w:color w:val="auto"/>
        </w:rPr>
      </w:pPr>
      <w:r>
        <w:rPr>
          <w:rFonts w:ascii="Arial" w:cs="Arial" w:eastAsia="Arial" w:hAnsi="Arial"/>
          <w:sz w:val="18"/>
          <w:szCs w:val="18"/>
          <w:color w:val="auto"/>
        </w:rPr>
        <w:t>Prior to joining AGNC Investment Corp., Ms. Bell served as the Vice President and Controller of American Capital, Ltd. from July 2003 to December 2009. Prior to joining American Capital, Ms. Bell was the Vice President and Controller of certain privately-held companies engaged in the business of telecommunications and software development from July 1998 to June 2003 and was with the accounting firm Price Waterhouse, LLP from July 1994 to June 1998.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144780</wp:posOffset>
            </wp:positionV>
            <wp:extent cx="6997700" cy="889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71"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AARON J. PAS, 37</w:t>
      </w:r>
    </w:p>
    <w:p>
      <w:pPr>
        <w:spacing w:after="0" w:line="27" w:lineRule="exact"/>
        <w:rPr>
          <w:sz w:val="20"/>
          <w:szCs w:val="20"/>
          <w:color w:val="auto"/>
        </w:rPr>
      </w:pPr>
    </w:p>
    <w:p>
      <w:pPr>
        <w:ind w:left="200"/>
        <w:spacing w:after="0"/>
        <w:rPr>
          <w:sz w:val="20"/>
          <w:szCs w:val="20"/>
          <w:color w:val="auto"/>
        </w:rPr>
      </w:pPr>
      <w:r>
        <w:rPr>
          <w:rFonts w:ascii="Arial" w:cs="Arial" w:eastAsia="Arial" w:hAnsi="Arial"/>
          <w:sz w:val="18"/>
          <w:szCs w:val="18"/>
          <w:i w:val="1"/>
          <w:iCs w:val="1"/>
          <w:color w:val="auto"/>
        </w:rPr>
        <w:t>Senior Vice President, Non-Agency Portfolio Investments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22860</wp:posOffset>
            </wp:positionV>
            <wp:extent cx="6997700" cy="889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31" w:lineRule="exact"/>
        <w:rPr>
          <w:sz w:val="20"/>
          <w:szCs w:val="20"/>
          <w:color w:val="auto"/>
        </w:rPr>
      </w:pPr>
    </w:p>
    <w:p>
      <w:pPr>
        <w:ind w:left="200" w:right="20"/>
        <w:spacing w:after="0" w:line="264" w:lineRule="auto"/>
        <w:rPr>
          <w:sz w:val="20"/>
          <w:szCs w:val="20"/>
          <w:color w:val="auto"/>
        </w:rPr>
      </w:pPr>
      <w:r>
        <w:rPr>
          <w:rFonts w:ascii="Arial" w:cs="Arial" w:eastAsia="Arial" w:hAnsi="Arial"/>
          <w:sz w:val="18"/>
          <w:szCs w:val="18"/>
          <w:color w:val="auto"/>
        </w:rPr>
        <w:t>Mr. Pas has served as our Senior Vice President since October 2016. He is also a Senior Vice President of MTGE Investment Corp. (Nasdaq: MTGE) and its manager since January 2014 and was previously Vice President, Non-Agency Portfolio Management, of the manager of MTGE from March 2011 to January 2014.</w:t>
      </w:r>
    </w:p>
    <w:p>
      <w:pPr>
        <w:spacing w:after="0" w:line="181" w:lineRule="exact"/>
        <w:rPr>
          <w:sz w:val="20"/>
          <w:szCs w:val="20"/>
          <w:color w:val="auto"/>
        </w:rPr>
      </w:pPr>
    </w:p>
    <w:p>
      <w:pPr>
        <w:ind w:left="200" w:right="60"/>
        <w:spacing w:after="0" w:line="277" w:lineRule="auto"/>
        <w:rPr>
          <w:sz w:val="20"/>
          <w:szCs w:val="20"/>
          <w:color w:val="auto"/>
        </w:rPr>
      </w:pPr>
      <w:r>
        <w:rPr>
          <w:rFonts w:ascii="Arial" w:cs="Arial" w:eastAsia="Arial" w:hAnsi="Arial"/>
          <w:sz w:val="18"/>
          <w:szCs w:val="18"/>
          <w:color w:val="auto"/>
        </w:rPr>
        <w:t>Mr. Pas was previously the Director of Non-Agency Portfolio Management at Freddie Mac, where he was primarily responsible for managing the firm’s non-Agency residential securities portfolio. Mr. Pas is a CFA charterholder.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134620</wp:posOffset>
            </wp:positionV>
            <wp:extent cx="6997700" cy="889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7"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KENNETH L. POLLACK, 50</w:t>
      </w:r>
    </w:p>
    <w:p>
      <w:pPr>
        <w:spacing w:after="0" w:line="27" w:lineRule="exact"/>
        <w:rPr>
          <w:sz w:val="20"/>
          <w:szCs w:val="20"/>
          <w:color w:val="auto"/>
        </w:rPr>
      </w:pPr>
    </w:p>
    <w:p>
      <w:pPr>
        <w:ind w:left="200"/>
        <w:spacing w:after="0"/>
        <w:rPr>
          <w:sz w:val="20"/>
          <w:szCs w:val="20"/>
          <w:color w:val="auto"/>
        </w:rPr>
      </w:pPr>
      <w:r>
        <w:rPr>
          <w:rFonts w:ascii="Arial" w:cs="Arial" w:eastAsia="Arial" w:hAnsi="Arial"/>
          <w:sz w:val="18"/>
          <w:szCs w:val="18"/>
          <w:i w:val="1"/>
          <w:iCs w:val="1"/>
          <w:color w:val="auto"/>
        </w:rPr>
        <w:t>Senior Vice President, General Counsel, Chief Compliance Officer and Secretary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22860</wp:posOffset>
            </wp:positionV>
            <wp:extent cx="6997700" cy="889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31" w:lineRule="exact"/>
        <w:rPr>
          <w:sz w:val="20"/>
          <w:szCs w:val="20"/>
          <w:color w:val="auto"/>
        </w:rPr>
      </w:pPr>
    </w:p>
    <w:p>
      <w:pPr>
        <w:ind w:left="200" w:right="400"/>
        <w:spacing w:after="0" w:line="277" w:lineRule="auto"/>
        <w:rPr>
          <w:sz w:val="20"/>
          <w:szCs w:val="20"/>
          <w:color w:val="auto"/>
        </w:rPr>
      </w:pPr>
      <w:r>
        <w:rPr>
          <w:rFonts w:ascii="Arial" w:cs="Arial" w:eastAsia="Arial" w:hAnsi="Arial"/>
          <w:sz w:val="18"/>
          <w:szCs w:val="18"/>
          <w:color w:val="auto"/>
        </w:rPr>
        <w:t>Mr. Pollack has served as our Senior Vice President, General Counsel, Secretary and Chief Compliance Officer since July 2016. Mr. Pollack is also Senior Vice President, Chief Compliance Officer and Secretary of MTGE Investment Corp. (Nasdaq: MTGE).</w:t>
      </w:r>
    </w:p>
    <w:p>
      <w:pPr>
        <w:spacing w:after="0" w:line="170" w:lineRule="exact"/>
        <w:rPr>
          <w:sz w:val="20"/>
          <w:szCs w:val="20"/>
          <w:color w:val="auto"/>
        </w:rPr>
      </w:pPr>
    </w:p>
    <w:p>
      <w:pPr>
        <w:ind w:left="200" w:right="20"/>
        <w:spacing w:after="0" w:line="302" w:lineRule="auto"/>
        <w:rPr>
          <w:sz w:val="20"/>
          <w:szCs w:val="20"/>
          <w:color w:val="auto"/>
        </w:rPr>
      </w:pPr>
      <w:r>
        <w:rPr>
          <w:rFonts w:ascii="Arial" w:cs="Arial" w:eastAsia="Arial" w:hAnsi="Arial"/>
          <w:sz w:val="16"/>
          <w:szCs w:val="16"/>
          <w:color w:val="auto"/>
        </w:rPr>
        <w:t>Prior to joining AGNC Investment Corp., Mr. Pollack was Senior Vice President and Deputy General Counsel of American Capital, Ltd. At American Capital, Mr. Pollack served as lead counsel for American Capital’s portfolio investment activities in the areas of Real Estate, U.S. Sponsor Finance, U.S. Buyouts, International Power, Special Situations, Operations and Financial Restructuring. Mr. Pollack joined American Capital in 2004. Prior to American Capital, Mr. Pollack was a member of the Corporate and Securities and Real Estate Practice Groups of Arnold &amp; Porter.</w:t>
      </w:r>
    </w:p>
    <w:p>
      <w:pPr>
        <w:spacing w:after="0" w:line="82"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29</w:t>
      </w:r>
    </w:p>
    <w:p>
      <w:pPr>
        <w:sectPr>
          <w:pgSz w:w="11900" w:h="16838" w:orient="portrait"/>
          <w:cols w:equalWidth="0" w:num="1">
            <w:col w:w="11220"/>
          </w:cols>
          <w:pgMar w:left="240" w:top="459" w:right="439" w:bottom="1440" w:gutter="0" w:footer="0" w:header="0"/>
        </w:sectPr>
      </w:pPr>
    </w:p>
    <w:bookmarkStart w:id="33" w:name="page34"/>
    <w:bookmarkEnd w:id="3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15" w:lineRule="exact"/>
        <w:rPr>
          <w:sz w:val="20"/>
          <w:szCs w:val="20"/>
          <w:color w:val="auto"/>
        </w:rPr>
      </w:pPr>
    </w:p>
    <w:p>
      <w:pPr>
        <w:jc w:val="center"/>
        <w:ind w:right="-219"/>
        <w:spacing w:after="0"/>
        <w:rPr>
          <w:sz w:val="20"/>
          <w:szCs w:val="20"/>
          <w:color w:val="auto"/>
        </w:rPr>
      </w:pPr>
      <w:r>
        <w:rPr>
          <w:rFonts w:ascii="Arial" w:cs="Arial" w:eastAsia="Arial" w:hAnsi="Arial"/>
          <w:sz w:val="22"/>
          <w:szCs w:val="22"/>
          <w:b w:val="1"/>
          <w:bCs w:val="1"/>
          <w:color w:val="407CCA"/>
        </w:rPr>
        <w:t>EXECUTIVE COMPENSATION</w:t>
      </w:r>
    </w:p>
    <w:p>
      <w:pPr>
        <w:spacing w:after="0" w:line="107" w:lineRule="exact"/>
        <w:rPr>
          <w:sz w:val="20"/>
          <w:szCs w:val="20"/>
          <w:color w:val="auto"/>
        </w:rPr>
      </w:pPr>
    </w:p>
    <w:p>
      <w:pPr>
        <w:jc w:val="center"/>
        <w:ind w:right="-219"/>
        <w:spacing w:after="0"/>
        <w:rPr>
          <w:sz w:val="20"/>
          <w:szCs w:val="20"/>
          <w:color w:val="auto"/>
        </w:rPr>
      </w:pPr>
      <w:r>
        <w:rPr>
          <w:rFonts w:ascii="Arial" w:cs="Arial" w:eastAsia="Arial" w:hAnsi="Arial"/>
          <w:sz w:val="18"/>
          <w:szCs w:val="18"/>
          <w:b w:val="1"/>
          <w:bCs w:val="1"/>
          <w:color w:val="auto"/>
        </w:rPr>
        <w:t>Compensation Discussion and Analysis</w:t>
      </w:r>
    </w:p>
    <w:p>
      <w:pPr>
        <w:spacing w:after="0" w:line="117"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Executive Summary</w:t>
      </w:r>
    </w:p>
    <w:p>
      <w:pPr>
        <w:spacing w:after="0" w:line="121" w:lineRule="exact"/>
        <w:rPr>
          <w:sz w:val="20"/>
          <w:szCs w:val="20"/>
          <w:color w:val="auto"/>
        </w:rPr>
      </w:pPr>
    </w:p>
    <w:p>
      <w:pPr>
        <w:ind w:left="200" w:right="140" w:firstLine="771"/>
        <w:spacing w:after="0" w:line="286" w:lineRule="auto"/>
        <w:rPr>
          <w:sz w:val="20"/>
          <w:szCs w:val="20"/>
          <w:color w:val="auto"/>
        </w:rPr>
      </w:pPr>
      <w:r>
        <w:rPr>
          <w:rFonts w:ascii="Arial" w:cs="Arial" w:eastAsia="Arial" w:hAnsi="Arial"/>
          <w:sz w:val="17"/>
          <w:szCs w:val="17"/>
          <w:color w:val="auto"/>
        </w:rPr>
        <w:t>This Compensation Discussion and Analysis provides information to assist with understanding our executive compensation philosophy, objectives, and structure, and our process for setting compensation for our named executive officers, or NEOs, in each case, for the first full fiscal year following the internalization of the management of our Company (the “Internalization”), which closed on July 1, 2016.</w:t>
      </w:r>
    </w:p>
    <w:p>
      <w:pPr>
        <w:spacing w:after="0" w:line="202" w:lineRule="exact"/>
        <w:rPr>
          <w:sz w:val="20"/>
          <w:szCs w:val="20"/>
          <w:color w:val="auto"/>
        </w:rPr>
      </w:pPr>
    </w:p>
    <w:p>
      <w:pPr>
        <w:jc w:val="center"/>
        <w:ind w:right="-359"/>
        <w:spacing w:after="0"/>
        <w:rPr>
          <w:sz w:val="20"/>
          <w:szCs w:val="20"/>
          <w:color w:val="auto"/>
        </w:rPr>
      </w:pPr>
      <w:r>
        <w:rPr>
          <w:rFonts w:ascii="Arial" w:cs="Arial" w:eastAsia="Arial" w:hAnsi="Arial"/>
          <w:sz w:val="18"/>
          <w:szCs w:val="18"/>
          <w:b w:val="1"/>
          <w:bCs w:val="1"/>
          <w:color w:val="407CCA"/>
        </w:rPr>
        <w:t>Performance Highlights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-127635</wp:posOffset>
            </wp:positionV>
            <wp:extent cx="7006590" cy="294132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7006590" cy="2941320"/>
                    </a:xfrm>
                    <a:prstGeom prst="rect">
                      <a:avLst/>
                    </a:prstGeom>
                    <a:noFill/>
                  </pic:spPr>
                </pic:pic>
              </a:graphicData>
            </a:graphic>
          </wp:anchor>
        </w:drawing>
      </w:r>
    </w:p>
    <w:p>
      <w:pPr>
        <w:spacing w:after="0" w:line="7" w:lineRule="exact"/>
        <w:rPr>
          <w:sz w:val="20"/>
          <w:szCs w:val="20"/>
          <w:color w:val="auto"/>
        </w:rPr>
      </w:pPr>
    </w:p>
    <w:p>
      <w:pPr>
        <w:ind w:left="720" w:right="220" w:hanging="359"/>
        <w:spacing w:after="0" w:line="263" w:lineRule="auto"/>
        <w:tabs>
          <w:tab w:leader="none" w:pos="704" w:val="left"/>
        </w:tabs>
        <w:numPr>
          <w:ilvl w:val="0"/>
          <w:numId w:val="20"/>
        </w:numPr>
        <w:rPr>
          <w:rFonts w:ascii="Arial" w:cs="Arial" w:eastAsia="Arial" w:hAnsi="Arial"/>
          <w:sz w:val="18"/>
          <w:szCs w:val="18"/>
          <w:color w:val="auto"/>
        </w:rPr>
      </w:pPr>
      <w:r>
        <w:rPr>
          <w:rFonts w:ascii="Arial" w:cs="Arial" w:eastAsia="Arial" w:hAnsi="Arial"/>
          <w:sz w:val="18"/>
          <w:szCs w:val="18"/>
          <w:color w:val="auto"/>
        </w:rPr>
        <w:t>In 2017, we generated a total stock return for our common stockholders of 23.7%, assuming reinvestment of dividends, exceeding the 17.5% average total stock return of the Agency REIT Peer Group.</w:t>
      </w:r>
      <w:r>
        <w:rPr>
          <w:rFonts w:ascii="Arial" w:cs="Arial" w:eastAsia="Arial" w:hAnsi="Arial"/>
          <w:sz w:val="15"/>
          <w:szCs w:val="15"/>
          <w:color w:val="auto"/>
        </w:rPr>
        <w:t>1,2</w:t>
      </w:r>
      <w:r>
        <w:rPr>
          <w:rFonts w:ascii="Arial" w:cs="Arial" w:eastAsia="Arial" w:hAnsi="Arial"/>
          <w:sz w:val="18"/>
          <w:szCs w:val="18"/>
          <w:color w:val="auto"/>
        </w:rPr>
        <w:t xml:space="preserve"> Since our 2008 IPO, we have generated an annualized total stock return of 17%, versus 9% for the Agency REIT Peer Group.</w:t>
      </w:r>
      <w:r>
        <w:rPr>
          <w:rFonts w:ascii="Arial" w:cs="Arial" w:eastAsia="Arial" w:hAnsi="Arial"/>
          <w:sz w:val="15"/>
          <w:szCs w:val="15"/>
          <w:color w:val="auto"/>
        </w:rPr>
        <w:t>1,2</w:t>
      </w:r>
    </w:p>
    <w:p>
      <w:pPr>
        <w:spacing w:after="0" w:line="183" w:lineRule="exact"/>
        <w:rPr>
          <w:rFonts w:ascii="Arial" w:cs="Arial" w:eastAsia="Arial" w:hAnsi="Arial"/>
          <w:sz w:val="18"/>
          <w:szCs w:val="18"/>
          <w:color w:val="auto"/>
        </w:rPr>
      </w:pPr>
    </w:p>
    <w:p>
      <w:pPr>
        <w:ind w:left="720" w:right="20" w:hanging="359"/>
        <w:spacing w:after="0" w:line="257" w:lineRule="auto"/>
        <w:tabs>
          <w:tab w:leader="none" w:pos="701" w:val="left"/>
        </w:tabs>
        <w:numPr>
          <w:ilvl w:val="0"/>
          <w:numId w:val="20"/>
        </w:numPr>
        <w:rPr>
          <w:rFonts w:ascii="Arial" w:cs="Arial" w:eastAsia="Arial" w:hAnsi="Arial"/>
          <w:sz w:val="18"/>
          <w:szCs w:val="18"/>
          <w:color w:val="auto"/>
        </w:rPr>
      </w:pPr>
      <w:r>
        <w:rPr>
          <w:rFonts w:ascii="Arial" w:cs="Arial" w:eastAsia="Arial" w:hAnsi="Arial"/>
          <w:sz w:val="18"/>
          <w:szCs w:val="18"/>
          <w:color w:val="auto"/>
        </w:rPr>
        <w:t>We produced a 12.1% economic return for our common stockholders in 2017, consisting of $2.16 in common stock dividends declared per common share and a $0.19 increase in tangible net book value per common share. Our 12.1% economic return was higher than the 10% target return set by the Compensation Committee in our corporate scorecard (the “Corporate Scorecard”).</w:t>
      </w:r>
      <w:r>
        <w:rPr>
          <w:rFonts w:ascii="Arial" w:cs="Arial" w:eastAsia="Arial" w:hAnsi="Arial"/>
          <w:sz w:val="15"/>
          <w:szCs w:val="15"/>
          <w:color w:val="auto"/>
        </w:rPr>
        <w:t>3</w:t>
      </w:r>
      <w:r>
        <w:rPr>
          <w:rFonts w:ascii="Arial" w:cs="Arial" w:eastAsia="Arial" w:hAnsi="Arial"/>
          <w:sz w:val="18"/>
          <w:szCs w:val="18"/>
          <w:color w:val="auto"/>
        </w:rPr>
        <w:t xml:space="preserve"> For purposes of our Corporate Scorecard, our relative economic return was 30 basis points (0.30%) lower than the Agency REIT Peer Group, as our more Agency-focused portfolio under-performed credit assets in Q1 2017.</w:t>
      </w:r>
      <w:r>
        <w:rPr>
          <w:rFonts w:ascii="Arial" w:cs="Arial" w:eastAsia="Arial" w:hAnsi="Arial"/>
          <w:sz w:val="15"/>
          <w:szCs w:val="15"/>
          <w:color w:val="auto"/>
        </w:rPr>
        <w:t>2,3,4,5</w:t>
      </w:r>
    </w:p>
    <w:p>
      <w:pPr>
        <w:spacing w:after="0" w:line="188" w:lineRule="exact"/>
        <w:rPr>
          <w:rFonts w:ascii="Arial" w:cs="Arial" w:eastAsia="Arial" w:hAnsi="Arial"/>
          <w:sz w:val="18"/>
          <w:szCs w:val="18"/>
          <w:color w:val="auto"/>
        </w:rPr>
      </w:pPr>
    </w:p>
    <w:p>
      <w:pPr>
        <w:ind w:left="720" w:right="180" w:hanging="359"/>
        <w:spacing w:after="0" w:line="277" w:lineRule="auto"/>
        <w:tabs>
          <w:tab w:leader="none" w:pos="704" w:val="left"/>
        </w:tabs>
        <w:numPr>
          <w:ilvl w:val="0"/>
          <w:numId w:val="20"/>
        </w:numPr>
        <w:rPr>
          <w:rFonts w:ascii="Arial" w:cs="Arial" w:eastAsia="Arial" w:hAnsi="Arial"/>
          <w:sz w:val="18"/>
          <w:szCs w:val="18"/>
          <w:color w:val="auto"/>
        </w:rPr>
      </w:pPr>
      <w:r>
        <w:rPr>
          <w:rFonts w:ascii="Arial" w:cs="Arial" w:eastAsia="Arial" w:hAnsi="Arial"/>
          <w:sz w:val="18"/>
          <w:szCs w:val="18"/>
          <w:color w:val="auto"/>
        </w:rPr>
        <w:t>Since our IPO through September 30, 2017, we have produced an annualized economic return of 13.5% —double the 6.6% average annualized economic return of the Agency REIT Peer Group over the same period.</w:t>
      </w:r>
      <w:r>
        <w:rPr>
          <w:rFonts w:ascii="Arial" w:cs="Arial" w:eastAsia="Arial" w:hAnsi="Arial"/>
          <w:sz w:val="15"/>
          <w:szCs w:val="15"/>
          <w:color w:val="auto"/>
        </w:rPr>
        <w:t>4,6</w:t>
      </w:r>
    </w:p>
    <w:p>
      <w:pPr>
        <w:spacing w:after="0" w:line="170" w:lineRule="exact"/>
        <w:rPr>
          <w:rFonts w:ascii="Arial" w:cs="Arial" w:eastAsia="Arial" w:hAnsi="Arial"/>
          <w:sz w:val="18"/>
          <w:szCs w:val="18"/>
          <w:color w:val="auto"/>
        </w:rPr>
      </w:pPr>
    </w:p>
    <w:p>
      <w:pPr>
        <w:ind w:left="720" w:right="580" w:hanging="359"/>
        <w:spacing w:after="0" w:line="308" w:lineRule="auto"/>
        <w:tabs>
          <w:tab w:leader="none" w:pos="704" w:val="left"/>
        </w:tabs>
        <w:numPr>
          <w:ilvl w:val="0"/>
          <w:numId w:val="20"/>
        </w:numPr>
        <w:rPr>
          <w:rFonts w:ascii="Arial" w:cs="Arial" w:eastAsia="Arial" w:hAnsi="Arial"/>
          <w:sz w:val="17"/>
          <w:szCs w:val="17"/>
          <w:color w:val="auto"/>
        </w:rPr>
      </w:pPr>
      <w:r>
        <w:rPr>
          <w:rFonts w:ascii="Arial" w:cs="Arial" w:eastAsia="Arial" w:hAnsi="Arial"/>
          <w:sz w:val="17"/>
          <w:szCs w:val="17"/>
          <w:color w:val="auto"/>
        </w:rPr>
        <w:t>Our relative price-to-tangible book ratio for 2017 was on average 9.1% higher than the average relative price-to-tangible book ratio of the common stock of the Agency REIT Peer Group over the same period as determined under our Corporate Scorecard.</w:t>
      </w:r>
      <w:r>
        <w:rPr>
          <w:rFonts w:ascii="Arial" w:cs="Arial" w:eastAsia="Arial" w:hAnsi="Arial"/>
          <w:sz w:val="14"/>
          <w:szCs w:val="14"/>
          <w:color w:val="auto"/>
        </w:rPr>
        <w:t>1,3,4</w:t>
      </w:r>
    </w:p>
    <w:p>
      <w:pPr>
        <w:spacing w:after="0" w:line="146" w:lineRule="exact"/>
        <w:rPr>
          <w:rFonts w:ascii="Arial" w:cs="Arial" w:eastAsia="Arial" w:hAnsi="Arial"/>
          <w:sz w:val="17"/>
          <w:szCs w:val="17"/>
          <w:color w:val="auto"/>
        </w:rPr>
      </w:pPr>
    </w:p>
    <w:p>
      <w:pPr>
        <w:ind w:left="720" w:right="160" w:hanging="359"/>
        <w:spacing w:after="0" w:line="259" w:lineRule="auto"/>
        <w:tabs>
          <w:tab w:leader="none" w:pos="704" w:val="left"/>
        </w:tabs>
        <w:numPr>
          <w:ilvl w:val="0"/>
          <w:numId w:val="20"/>
        </w:numPr>
        <w:rPr>
          <w:rFonts w:ascii="Arial" w:cs="Arial" w:eastAsia="Arial" w:hAnsi="Arial"/>
          <w:sz w:val="18"/>
          <w:szCs w:val="18"/>
          <w:color w:val="auto"/>
        </w:rPr>
      </w:pPr>
      <w:r>
        <w:rPr>
          <w:rFonts w:ascii="Arial" w:cs="Arial" w:eastAsia="Arial" w:hAnsi="Arial"/>
          <w:sz w:val="18"/>
          <w:szCs w:val="18"/>
          <w:color w:val="auto"/>
        </w:rPr>
        <w:t>Our net operating expense ratio as a percentage of average stockholders’ equity in 2017 was 72 basis points, after taking into account the management fee income received from MTGE, and 68 basis points if non-cash amortization expenses are also excluded, which was one of the lowest operating expense ratios among all 23 residential mortgage REITs based on historically available data.</w:t>
      </w:r>
      <w:r>
        <w:rPr>
          <w:rFonts w:ascii="Arial" w:cs="Arial" w:eastAsia="Arial" w:hAnsi="Arial"/>
          <w:sz w:val="15"/>
          <w:szCs w:val="15"/>
          <w:color w:val="auto"/>
        </w:rPr>
        <w:t>7</w:t>
      </w:r>
      <w:r>
        <w:rPr>
          <w:rFonts w:ascii="Arial" w:cs="Arial" w:eastAsia="Arial" w:hAnsi="Arial"/>
          <w:sz w:val="18"/>
          <w:szCs w:val="18"/>
          <w:color w:val="auto"/>
        </w:rPr>
        <w:t xml:space="preserve"> We outperformed our Corporate Scorecard target for operating expenses by 12 basis points.</w:t>
      </w:r>
      <w:r>
        <w:rPr>
          <w:rFonts w:ascii="Arial" w:cs="Arial" w:eastAsia="Arial" w:hAnsi="Arial"/>
          <w:sz w:val="15"/>
          <w:szCs w:val="15"/>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119380</wp:posOffset>
            </wp:positionV>
            <wp:extent cx="694690" cy="889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694690" cy="8890"/>
                    </a:xfrm>
                    <a:prstGeom prst="rect">
                      <a:avLst/>
                    </a:prstGeom>
                    <a:noFill/>
                  </pic:spPr>
                </pic:pic>
              </a:graphicData>
            </a:graphic>
          </wp:anchor>
        </w:drawing>
      </w:r>
    </w:p>
    <w:p>
      <w:pPr>
        <w:spacing w:after="0" w:line="203" w:lineRule="exact"/>
        <w:rPr>
          <w:sz w:val="20"/>
          <w:szCs w:val="20"/>
          <w:color w:val="auto"/>
        </w:rPr>
      </w:pPr>
    </w:p>
    <w:p>
      <w:pPr>
        <w:ind w:left="320" w:hanging="116"/>
        <w:spacing w:after="0"/>
        <w:tabs>
          <w:tab w:leader="none" w:pos="320" w:val="left"/>
        </w:tabs>
        <w:numPr>
          <w:ilvl w:val="0"/>
          <w:numId w:val="21"/>
        </w:numPr>
        <w:rPr>
          <w:rFonts w:ascii="Arial" w:cs="Arial" w:eastAsia="Arial" w:hAnsi="Arial"/>
          <w:sz w:val="12"/>
          <w:szCs w:val="12"/>
          <w:color w:val="auto"/>
        </w:rPr>
      </w:pPr>
      <w:r>
        <w:rPr>
          <w:rFonts w:ascii="Arial" w:cs="Arial" w:eastAsia="Arial" w:hAnsi="Arial"/>
          <w:sz w:val="14"/>
          <w:szCs w:val="14"/>
          <w:color w:val="auto"/>
        </w:rPr>
        <w:t>Source: S&amp;P Global Market Intelligence.</w:t>
      </w:r>
    </w:p>
    <w:p>
      <w:pPr>
        <w:ind w:left="320" w:right="120" w:hanging="116"/>
        <w:spacing w:after="0" w:line="258" w:lineRule="auto"/>
        <w:tabs>
          <w:tab w:leader="none" w:pos="320" w:val="left"/>
        </w:tabs>
        <w:numPr>
          <w:ilvl w:val="0"/>
          <w:numId w:val="22"/>
        </w:numPr>
        <w:rPr>
          <w:rFonts w:ascii="Arial" w:cs="Arial" w:eastAsia="Arial" w:hAnsi="Arial"/>
          <w:sz w:val="11"/>
          <w:szCs w:val="11"/>
          <w:color w:val="auto"/>
        </w:rPr>
      </w:pPr>
      <w:r>
        <w:rPr>
          <w:rFonts w:ascii="Arial" w:cs="Arial" w:eastAsia="Arial" w:hAnsi="Arial"/>
          <w:sz w:val="12"/>
          <w:szCs w:val="12"/>
          <w:color w:val="auto"/>
        </w:rPr>
        <w:t>Total stock return over a period includes price appreciation and dividend reinvestment; dividends are assumed to be reinvested at the closing price of the security on the ex-dividend date. Total stock return was calculated from AGNC’s IPO date through December 31, 2017. As CYS and ARR did not exist as public entities at the time of AGNC’s IPO, CYS and ARR results have been annualized based on actual total stock returns throughout the period beginning with the respective date that each became publicly traded. Average total stock return or economic</w:t>
      </w:r>
    </w:p>
    <w:p>
      <w:pPr>
        <w:ind w:left="320"/>
        <w:spacing w:after="0" w:line="222" w:lineRule="auto"/>
        <w:rPr>
          <w:sz w:val="20"/>
          <w:szCs w:val="20"/>
          <w:color w:val="auto"/>
        </w:rPr>
      </w:pPr>
      <w:r>
        <w:rPr>
          <w:rFonts w:ascii="Arial" w:cs="Arial" w:eastAsia="Arial" w:hAnsi="Arial"/>
          <w:sz w:val="14"/>
          <w:szCs w:val="14"/>
          <w:color w:val="auto"/>
        </w:rPr>
        <w:t>return, as applicable, is based upon a simple average of the Agency REIT Peer Group.</w:t>
      </w:r>
    </w:p>
    <w:p>
      <w:pPr>
        <w:ind w:left="320" w:hanging="116"/>
        <w:spacing w:after="0" w:line="221" w:lineRule="auto"/>
        <w:tabs>
          <w:tab w:leader="none" w:pos="320" w:val="left"/>
        </w:tabs>
        <w:numPr>
          <w:ilvl w:val="0"/>
          <w:numId w:val="23"/>
        </w:numPr>
        <w:rPr>
          <w:rFonts w:ascii="Arial" w:cs="Arial" w:eastAsia="Arial" w:hAnsi="Arial"/>
          <w:sz w:val="12"/>
          <w:szCs w:val="12"/>
          <w:color w:val="auto"/>
        </w:rPr>
      </w:pPr>
      <w:r>
        <w:rPr>
          <w:rFonts w:ascii="Arial" w:cs="Arial" w:eastAsia="Arial" w:hAnsi="Arial"/>
          <w:sz w:val="14"/>
          <w:szCs w:val="14"/>
          <w:color w:val="auto"/>
        </w:rPr>
        <w:t>See “Annual Scorecard for Calculating Incentive Compensation” below for detail on how we calculate our Corporate Scorecard.</w:t>
      </w:r>
    </w:p>
    <w:p>
      <w:pPr>
        <w:ind w:left="200"/>
        <w:spacing w:after="0" w:line="221" w:lineRule="auto"/>
        <w:rPr>
          <w:rFonts w:ascii="Arial" w:cs="Arial" w:eastAsia="Arial" w:hAnsi="Arial"/>
          <w:sz w:val="12"/>
          <w:szCs w:val="12"/>
          <w:color w:val="auto"/>
        </w:rPr>
      </w:pPr>
      <w:r>
        <w:rPr>
          <w:rFonts w:ascii="Arial" w:cs="Arial" w:eastAsia="Arial" w:hAnsi="Arial"/>
          <w:sz w:val="12"/>
          <w:szCs w:val="12"/>
          <w:color w:val="auto"/>
        </w:rPr>
        <w:t xml:space="preserve">4 </w:t>
      </w:r>
      <w:r>
        <w:rPr>
          <w:rFonts w:ascii="Arial" w:cs="Arial" w:eastAsia="Arial" w:hAnsi="Arial"/>
          <w:sz w:val="14"/>
          <w:szCs w:val="14"/>
          <w:color w:val="auto"/>
        </w:rPr>
        <w:t>Source: Public filings.</w:t>
      </w:r>
    </w:p>
    <w:p>
      <w:pPr>
        <w:ind w:left="200"/>
        <w:spacing w:after="0" w:line="221" w:lineRule="auto"/>
        <w:rPr>
          <w:rFonts w:ascii="Arial" w:cs="Arial" w:eastAsia="Arial" w:hAnsi="Arial"/>
          <w:sz w:val="12"/>
          <w:szCs w:val="12"/>
          <w:color w:val="auto"/>
        </w:rPr>
      </w:pPr>
      <w:r>
        <w:rPr>
          <w:rFonts w:ascii="Arial" w:cs="Arial" w:eastAsia="Arial" w:hAnsi="Arial"/>
          <w:sz w:val="12"/>
          <w:szCs w:val="12"/>
          <w:color w:val="auto"/>
        </w:rPr>
        <w:t xml:space="preserve">5 </w:t>
      </w:r>
      <w:r>
        <w:rPr>
          <w:rFonts w:ascii="Arial" w:cs="Arial" w:eastAsia="Arial" w:hAnsi="Arial"/>
          <w:sz w:val="14"/>
          <w:szCs w:val="14"/>
          <w:color w:val="auto"/>
        </w:rPr>
        <w:t>Our relative economic return measure is calculated on an October 1 – September 30 year basis due to availability of comparative data.</w:t>
      </w:r>
    </w:p>
    <w:p>
      <w:pPr>
        <w:ind w:left="320" w:hanging="108"/>
        <w:spacing w:after="0" w:line="221" w:lineRule="auto"/>
        <w:rPr>
          <w:rFonts w:ascii="Arial" w:cs="Arial" w:eastAsia="Arial" w:hAnsi="Arial"/>
          <w:sz w:val="12"/>
          <w:szCs w:val="12"/>
          <w:color w:val="auto"/>
        </w:rPr>
      </w:pPr>
      <w:r>
        <w:rPr>
          <w:rFonts w:ascii="Arial" w:cs="Arial" w:eastAsia="Arial" w:hAnsi="Arial"/>
          <w:sz w:val="12"/>
          <w:szCs w:val="12"/>
          <w:color w:val="auto"/>
        </w:rPr>
        <w:t xml:space="preserve">6 </w:t>
      </w:r>
      <w:r>
        <w:rPr>
          <w:rFonts w:ascii="Arial" w:cs="Arial" w:eastAsia="Arial" w:hAnsi="Arial"/>
          <w:sz w:val="14"/>
          <w:szCs w:val="14"/>
          <w:color w:val="auto"/>
        </w:rPr>
        <w:t>Economic return represents the change in net book value per common share and dividends declared on common stock during the period over the beginning net book value per common</w:t>
      </w:r>
      <w:r>
        <w:rPr>
          <w:rFonts w:ascii="Arial" w:cs="Arial" w:eastAsia="Arial" w:hAnsi="Arial"/>
          <w:sz w:val="12"/>
          <w:szCs w:val="12"/>
          <w:color w:val="auto"/>
        </w:rPr>
        <w:t xml:space="preserve"> </w:t>
      </w:r>
      <w:r>
        <w:rPr>
          <w:rFonts w:ascii="Arial" w:cs="Arial" w:eastAsia="Arial" w:hAnsi="Arial"/>
          <w:sz w:val="14"/>
          <w:szCs w:val="14"/>
          <w:color w:val="auto"/>
        </w:rPr>
        <w:t>share. Economic return was calculated from June 30, 2008, the first quarter end after AGNC’s IPO, through December 31, 2017. As CYS and ARR did not exist as public entities at the time of AGNC’s IPO, CYS, and ARR results have been annualized throughout the period based on actual economic returns for which public data is available. Average total stock return or economic return, as applicable, is based upon a simple average of the Agency REIT Peer Group.</w:t>
      </w:r>
    </w:p>
    <w:p>
      <w:pPr>
        <w:spacing w:after="0" w:line="1" w:lineRule="exact"/>
        <w:rPr>
          <w:rFonts w:ascii="Arial" w:cs="Arial" w:eastAsia="Arial" w:hAnsi="Arial"/>
          <w:sz w:val="12"/>
          <w:szCs w:val="12"/>
          <w:color w:val="auto"/>
        </w:rPr>
      </w:pPr>
    </w:p>
    <w:p>
      <w:pPr>
        <w:ind w:left="320" w:right="100" w:hanging="108"/>
        <w:spacing w:after="0" w:line="237" w:lineRule="auto"/>
        <w:rPr>
          <w:rFonts w:ascii="Arial" w:cs="Arial" w:eastAsia="Arial" w:hAnsi="Arial"/>
          <w:sz w:val="12"/>
          <w:szCs w:val="12"/>
          <w:color w:val="auto"/>
        </w:rPr>
      </w:pPr>
      <w:r>
        <w:rPr>
          <w:rFonts w:ascii="Arial" w:cs="Arial" w:eastAsia="Arial" w:hAnsi="Arial"/>
          <w:sz w:val="12"/>
          <w:szCs w:val="12"/>
          <w:color w:val="auto"/>
        </w:rPr>
        <w:t xml:space="preserve">7 </w:t>
      </w:r>
      <w:r>
        <w:rPr>
          <w:rFonts w:ascii="Arial" w:cs="Arial" w:eastAsia="Arial" w:hAnsi="Arial"/>
          <w:sz w:val="14"/>
          <w:szCs w:val="14"/>
          <w:color w:val="auto"/>
        </w:rPr>
        <w:t>Operating expense ratios of the Resi mREIT Universe were calculated from public filings for the period from October 1, 2016 through September 30, 2017 due to the public availability of</w:t>
      </w:r>
      <w:r>
        <w:rPr>
          <w:rFonts w:ascii="Arial" w:cs="Arial" w:eastAsia="Arial" w:hAnsi="Arial"/>
          <w:sz w:val="12"/>
          <w:szCs w:val="12"/>
          <w:color w:val="auto"/>
        </w:rPr>
        <w:t xml:space="preserve"> </w:t>
      </w:r>
      <w:r>
        <w:rPr>
          <w:rFonts w:ascii="Arial" w:cs="Arial" w:eastAsia="Arial" w:hAnsi="Arial"/>
          <w:sz w:val="14"/>
          <w:szCs w:val="14"/>
          <w:color w:val="auto"/>
        </w:rPr>
        <w:t>information.</w:t>
      </w:r>
    </w:p>
    <w:p>
      <w:pPr>
        <w:spacing w:after="0" w:line="116"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30</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00"/>
          </w:cols>
          <w:pgMar w:left="240" w:top="459" w:right="459" w:bottom="1440" w:gutter="0" w:footer="0" w:header="0"/>
        </w:sectPr>
      </w:pPr>
    </w:p>
    <w:bookmarkStart w:id="34" w:name="page35"/>
    <w:bookmarkEnd w:id="3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7006590" cy="184404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7006590" cy="1844040"/>
                    </a:xfrm>
                    <a:prstGeom prst="rect">
                      <a:avLst/>
                    </a:prstGeom>
                    <a:noFill/>
                  </pic:spPr>
                </pic:pic>
              </a:graphicData>
            </a:graphic>
          </wp:anchor>
        </w:drawing>
      </w:r>
    </w:p>
    <w:p>
      <w:pPr>
        <w:spacing w:after="0" w:line="200" w:lineRule="exact"/>
        <w:rPr>
          <w:sz w:val="20"/>
          <w:szCs w:val="20"/>
          <w:color w:val="auto"/>
        </w:rPr>
      </w:pPr>
    </w:p>
    <w:p>
      <w:pPr>
        <w:spacing w:after="0" w:line="258" w:lineRule="exact"/>
        <w:rPr>
          <w:sz w:val="20"/>
          <w:szCs w:val="20"/>
          <w:color w:val="auto"/>
        </w:rPr>
      </w:pPr>
    </w:p>
    <w:p>
      <w:pPr>
        <w:ind w:left="720" w:right="240" w:hanging="359"/>
        <w:spacing w:after="0" w:line="264" w:lineRule="auto"/>
        <w:tabs>
          <w:tab w:leader="none" w:pos="704" w:val="left"/>
        </w:tabs>
        <w:numPr>
          <w:ilvl w:val="0"/>
          <w:numId w:val="24"/>
        </w:numPr>
        <w:rPr>
          <w:rFonts w:ascii="Arial" w:cs="Arial" w:eastAsia="Arial" w:hAnsi="Arial"/>
          <w:sz w:val="18"/>
          <w:szCs w:val="18"/>
          <w:color w:val="auto"/>
        </w:rPr>
      </w:pPr>
      <w:r>
        <w:rPr>
          <w:rFonts w:ascii="Arial" w:cs="Arial" w:eastAsia="Arial" w:hAnsi="Arial"/>
          <w:sz w:val="18"/>
          <w:szCs w:val="18"/>
          <w:color w:val="auto"/>
        </w:rPr>
        <w:t>During 2017, we raised $1.4 billion in incremental capital, net of the redemption of our Series A Redeemable Preferred Stock, at a premium to tangible net asset value, providing accretive benefits to our stockholders and further improving operating efficiency by leveraging our largely fixed cost infrastructure across a greater capital base.</w:t>
      </w:r>
    </w:p>
    <w:p>
      <w:pPr>
        <w:spacing w:after="0" w:line="181" w:lineRule="exact"/>
        <w:rPr>
          <w:rFonts w:ascii="Arial" w:cs="Arial" w:eastAsia="Arial" w:hAnsi="Arial"/>
          <w:sz w:val="18"/>
          <w:szCs w:val="18"/>
          <w:color w:val="auto"/>
        </w:rPr>
      </w:pPr>
    </w:p>
    <w:p>
      <w:pPr>
        <w:ind w:left="700" w:hanging="339"/>
        <w:spacing w:after="0"/>
        <w:tabs>
          <w:tab w:leader="none" w:pos="700" w:val="left"/>
        </w:tabs>
        <w:numPr>
          <w:ilvl w:val="0"/>
          <w:numId w:val="24"/>
        </w:numPr>
        <w:rPr>
          <w:rFonts w:ascii="Arial" w:cs="Arial" w:eastAsia="Arial" w:hAnsi="Arial"/>
          <w:sz w:val="17"/>
          <w:szCs w:val="17"/>
          <w:color w:val="auto"/>
        </w:rPr>
      </w:pPr>
      <w:r>
        <w:rPr>
          <w:rFonts w:ascii="Arial" w:cs="Arial" w:eastAsia="Arial" w:hAnsi="Arial"/>
          <w:sz w:val="17"/>
          <w:szCs w:val="17"/>
          <w:color w:val="auto"/>
        </w:rPr>
        <w:t>We continued to expand our funding through our captive broker-dealer Bethesda Securities, LLC, from $4.7 billion at December 31, 2016 to</w:t>
      </w:r>
    </w:p>
    <w:p>
      <w:pPr>
        <w:spacing w:after="0" w:line="34" w:lineRule="exact"/>
        <w:rPr>
          <w:rFonts w:ascii="Arial" w:cs="Arial" w:eastAsia="Arial" w:hAnsi="Arial"/>
          <w:sz w:val="17"/>
          <w:szCs w:val="17"/>
          <w:color w:val="auto"/>
        </w:rPr>
      </w:pPr>
    </w:p>
    <w:p>
      <w:pPr>
        <w:ind w:left="720" w:right="180"/>
        <w:spacing w:after="0" w:line="255" w:lineRule="auto"/>
        <w:rPr>
          <w:rFonts w:ascii="Arial" w:cs="Arial" w:eastAsia="Arial" w:hAnsi="Arial"/>
          <w:sz w:val="17"/>
          <w:szCs w:val="17"/>
          <w:color w:val="auto"/>
        </w:rPr>
      </w:pPr>
      <w:r>
        <w:rPr>
          <w:rFonts w:ascii="Arial" w:cs="Arial" w:eastAsia="Arial" w:hAnsi="Arial"/>
          <w:sz w:val="18"/>
          <w:szCs w:val="18"/>
          <w:color w:val="auto"/>
        </w:rPr>
        <w:t>$16.6 billion at December 31, 2017, providing material interest expense savings and substantial liquidity through reduced collateral haircuts. In addition, we are able to clear TBA trades at Bethesda Securities, LLC, which reduced the aggregate level of cash collateral required in connection with our TBA holdings.</w:t>
      </w:r>
    </w:p>
    <w:p>
      <w:pPr>
        <w:spacing w:after="0" w:line="190" w:lineRule="exact"/>
        <w:rPr>
          <w:rFonts w:ascii="Arial" w:cs="Arial" w:eastAsia="Arial" w:hAnsi="Arial"/>
          <w:sz w:val="17"/>
          <w:szCs w:val="17"/>
          <w:color w:val="auto"/>
        </w:rPr>
      </w:pPr>
    </w:p>
    <w:p>
      <w:pPr>
        <w:ind w:left="720" w:right="680" w:hanging="359"/>
        <w:spacing w:after="0" w:line="277" w:lineRule="auto"/>
        <w:tabs>
          <w:tab w:leader="none" w:pos="701" w:val="left"/>
        </w:tabs>
        <w:numPr>
          <w:ilvl w:val="0"/>
          <w:numId w:val="24"/>
        </w:numPr>
        <w:rPr>
          <w:rFonts w:ascii="Arial" w:cs="Arial" w:eastAsia="Arial" w:hAnsi="Arial"/>
          <w:sz w:val="18"/>
          <w:szCs w:val="18"/>
          <w:color w:val="auto"/>
        </w:rPr>
      </w:pPr>
      <w:r>
        <w:rPr>
          <w:rFonts w:ascii="Arial" w:cs="Arial" w:eastAsia="Arial" w:hAnsi="Arial"/>
          <w:sz w:val="18"/>
          <w:szCs w:val="18"/>
          <w:color w:val="auto"/>
        </w:rPr>
        <w:t>We completed the separation of our operational infrastructure from our former external manager and associated strategic and operational initiatives in 2017.</w:t>
      </w:r>
    </w:p>
    <w:p>
      <w:pPr>
        <w:spacing w:after="0" w:line="279" w:lineRule="exact"/>
        <w:rPr>
          <w:sz w:val="20"/>
          <w:szCs w:val="20"/>
          <w:color w:val="auto"/>
        </w:rPr>
      </w:pPr>
    </w:p>
    <w:p>
      <w:pPr>
        <w:ind w:left="200" w:right="40" w:firstLine="771"/>
        <w:spacing w:after="0" w:line="272" w:lineRule="auto"/>
        <w:rPr>
          <w:sz w:val="20"/>
          <w:szCs w:val="20"/>
          <w:color w:val="auto"/>
        </w:rPr>
      </w:pPr>
      <w:r>
        <w:rPr>
          <w:rFonts w:ascii="Arial" w:cs="Arial" w:eastAsia="Arial" w:hAnsi="Arial"/>
          <w:sz w:val="17"/>
          <w:szCs w:val="17"/>
          <w:color w:val="auto"/>
        </w:rPr>
        <w:t>AGNC is an internally-managed REIT that invests predominantly in Agency residential mortgage-backed securities on a leveraged basis. Our principal investment objective is to provide our stockholders with attractive risk-adjusted returns over a wide range of market scenarios through a combination of monthly dividends and tangible net asset value accretion, while maintaining one of the lowest net operating costs as a percentage of stockholders’ equity of REITs in the Resi mREIT Universe. As of December 31, 2017, we had a $72.8 billion investment portfolio, including forward purchases of Agency securities in the TBA market, and stockholders’ equity of $8.8 billion. We generate income from the interest earned on our investment assets, net of associated borrowing and hedging costs, and net realized gains and losses on our investments and hedging activities. As such, our business operations are similar in nature to a levered fixed income investment fund.</w:t>
      </w:r>
    </w:p>
    <w:p>
      <w:pPr>
        <w:spacing w:after="0" w:line="106"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31</w:t>
      </w:r>
    </w:p>
    <w:p>
      <w:pPr>
        <w:sectPr>
          <w:pgSz w:w="11900" w:h="16838" w:orient="portrait"/>
          <w:cols w:equalWidth="0" w:num="1">
            <w:col w:w="11220"/>
          </w:cols>
          <w:pgMar w:left="240" w:top="459" w:right="439" w:bottom="1440" w:gutter="0" w:footer="0" w:header="0"/>
        </w:sectPr>
      </w:pPr>
    </w:p>
    <w:bookmarkStart w:id="35" w:name="page36"/>
    <w:bookmarkEnd w:id="3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200" w:right="160" w:firstLine="771"/>
        <w:spacing w:after="0" w:line="277" w:lineRule="auto"/>
        <w:rPr>
          <w:sz w:val="20"/>
          <w:szCs w:val="20"/>
          <w:color w:val="auto"/>
        </w:rPr>
      </w:pPr>
      <w:r>
        <w:rPr>
          <w:rFonts w:ascii="Arial" w:cs="Arial" w:eastAsia="Arial" w:hAnsi="Arial"/>
          <w:sz w:val="18"/>
          <w:szCs w:val="18"/>
          <w:color w:val="auto"/>
        </w:rPr>
        <w:t>Since our Internalization, AGNC has established itself as a residential mortgage REIT with one of the lowest cost structures as a percentage of stockholders’ equity, as shown in the following chart.</w:t>
      </w:r>
    </w:p>
    <w:p>
      <w:pPr>
        <w:spacing w:after="0" w:line="193" w:lineRule="exact"/>
        <w:rPr>
          <w:sz w:val="20"/>
          <w:szCs w:val="20"/>
          <w:color w:val="auto"/>
        </w:rPr>
      </w:pPr>
    </w:p>
    <w:p>
      <w:pPr>
        <w:ind w:left="3060"/>
        <w:spacing w:after="0"/>
        <w:rPr>
          <w:sz w:val="20"/>
          <w:szCs w:val="20"/>
          <w:color w:val="auto"/>
        </w:rPr>
      </w:pPr>
      <w:r>
        <w:rPr>
          <w:rFonts w:ascii="Arial" w:cs="Arial" w:eastAsia="Arial" w:hAnsi="Arial"/>
          <w:sz w:val="18"/>
          <w:szCs w:val="18"/>
          <w:b w:val="1"/>
          <w:bCs w:val="1"/>
          <w:color w:val="auto"/>
        </w:rPr>
        <w:t>Residential Mortgage REIT Operating Cost Structure Comparison</w:t>
      </w:r>
      <w:r>
        <w:rPr>
          <w:rFonts w:ascii="Arial" w:cs="Arial" w:eastAsia="Arial" w:hAnsi="Arial"/>
          <w:sz w:val="15"/>
          <w:szCs w:val="15"/>
          <w:b w:val="1"/>
          <w:bCs w:val="1"/>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-119380</wp:posOffset>
            </wp:positionV>
            <wp:extent cx="6997700" cy="13716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6997700" cy="137160"/>
                    </a:xfrm>
                    <a:prstGeom prst="rect">
                      <a:avLst/>
                    </a:prstGeom>
                    <a:noFill/>
                  </pic:spPr>
                </pic:pic>
              </a:graphicData>
            </a:graphic>
          </wp:anchor>
        </w:drawing>
      </w:r>
    </w:p>
    <w:p>
      <w:pPr>
        <w:spacing w:after="0" w:line="29" w:lineRule="exact"/>
        <w:rPr>
          <w:sz w:val="20"/>
          <w:szCs w:val="20"/>
          <w:color w:val="auto"/>
        </w:rPr>
      </w:pPr>
    </w:p>
    <w:p>
      <w:pPr>
        <w:ind w:left="200"/>
        <w:spacing w:after="0"/>
        <w:rPr>
          <w:sz w:val="20"/>
          <w:szCs w:val="20"/>
          <w:color w:val="auto"/>
        </w:rPr>
      </w:pPr>
      <w:r>
        <w:rPr>
          <w:rFonts w:ascii="Arial" w:cs="Arial" w:eastAsia="Arial" w:hAnsi="Arial"/>
          <w:sz w:val="14"/>
          <w:szCs w:val="14"/>
          <w:color w:val="auto"/>
        </w:rPr>
        <w:t>(Operating expenses as a percentage of stockholders’ equity, in basis points)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1025525</wp:posOffset>
            </wp:positionH>
            <wp:positionV relativeFrom="paragraph">
              <wp:posOffset>81280</wp:posOffset>
            </wp:positionV>
            <wp:extent cx="5205730" cy="280416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5205730" cy="28041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ind w:left="860" w:hanging="656"/>
        <w:spacing w:after="0" w:line="247" w:lineRule="auto"/>
        <w:tabs>
          <w:tab w:leader="none" w:pos="860" w:val="left"/>
        </w:tabs>
        <w:numPr>
          <w:ilvl w:val="0"/>
          <w:numId w:val="25"/>
        </w:numPr>
        <w:rPr>
          <w:rFonts w:ascii="Arial" w:cs="Arial" w:eastAsia="Arial" w:hAnsi="Arial"/>
          <w:sz w:val="13"/>
          <w:szCs w:val="13"/>
          <w:color w:val="auto"/>
        </w:rPr>
      </w:pPr>
      <w:r>
        <w:rPr>
          <w:rFonts w:ascii="Arial" w:cs="Arial" w:eastAsia="Arial" w:hAnsi="Arial"/>
          <w:sz w:val="13"/>
          <w:szCs w:val="13"/>
          <w:color w:val="auto"/>
        </w:rPr>
        <w:t>For all mortgage REITs in the Resi mREIT Universe other than AGNC, cost structures are based on operating expenses and average stockholders’ equity (excluding noncontrolling interests, as applicable) over the trailing twelve-month period ended September 30, 2017 as publicly reported by such REITs. Operating costs include expenses for compensation and benefits, management fees, incentive fees (if applicable), and G&amp;A and may include one-time or nonrecurring expenses. Operating costs exclude direct costs associated with operating activities, such as loan acquisition costs, securitization costs, servicing expenses, etc. to the extent publicly disclosed by such REITs. AGNC’s cost structure is based on operating expenses for the year ended December 31, 2017 and average month-end stockholders’ equity from December 31, 2016 through December 31, 2017. AGNC’s net operating expense ratio includes compensation and benefits and G&amp;A, excludes non-cash amortization charges associated with the Internalization, and is net of management fee income from MTGE. Source: Company SEC filings and S&amp;P Global Market Intelligence.</w:t>
      </w:r>
    </w:p>
    <w:p>
      <w:pPr>
        <w:spacing w:after="0" w:line="291"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Our Industry</w:t>
      </w:r>
    </w:p>
    <w:p>
      <w:pPr>
        <w:spacing w:after="0" w:line="117" w:lineRule="exact"/>
        <w:rPr>
          <w:sz w:val="20"/>
          <w:szCs w:val="20"/>
          <w:color w:val="auto"/>
        </w:rPr>
      </w:pPr>
    </w:p>
    <w:p>
      <w:pPr>
        <w:ind w:left="200" w:right="80" w:firstLine="771"/>
        <w:spacing w:after="0" w:line="259" w:lineRule="auto"/>
        <w:rPr>
          <w:sz w:val="20"/>
          <w:szCs w:val="20"/>
          <w:color w:val="auto"/>
        </w:rPr>
      </w:pPr>
      <w:r>
        <w:rPr>
          <w:rFonts w:ascii="Arial" w:cs="Arial" w:eastAsia="Arial" w:hAnsi="Arial"/>
          <w:sz w:val="18"/>
          <w:szCs w:val="18"/>
          <w:color w:val="auto"/>
        </w:rPr>
        <w:t>The Bloomberg Mortgage REIT Index (BBREMTG) includes 23 residential mortgage REITs, which we refer to as the “Resi mREIT Universe.” As noted on page two, we have produced favorable returns compared to the Resi mREIT Universe, our Agency REIT Peer Group, and the S&amp;P 500 since our IPO in 2008. We are the second largest residential mortgage REIT and the largest internally managed residential mortgage REIT, by market capitalization, total assets, and total equity.</w:t>
      </w:r>
    </w:p>
    <w:p>
      <w:pPr>
        <w:spacing w:after="0" w:line="187" w:lineRule="exact"/>
        <w:rPr>
          <w:sz w:val="20"/>
          <w:szCs w:val="20"/>
          <w:color w:val="auto"/>
        </w:rPr>
      </w:pPr>
    </w:p>
    <w:p>
      <w:pPr>
        <w:jc w:val="both"/>
        <w:ind w:left="200" w:right="300" w:firstLine="771"/>
        <w:spacing w:after="0" w:line="279" w:lineRule="auto"/>
        <w:rPr>
          <w:sz w:val="20"/>
          <w:szCs w:val="20"/>
          <w:color w:val="auto"/>
        </w:rPr>
      </w:pPr>
      <w:r>
        <w:rPr>
          <w:rFonts w:ascii="Arial" w:cs="Arial" w:eastAsia="Arial" w:hAnsi="Arial"/>
          <w:sz w:val="17"/>
          <w:szCs w:val="17"/>
          <w:color w:val="auto"/>
        </w:rPr>
        <w:t>REITs in the Resi mREIT Universe pursue a wide variety of strategies and invest in a broad range of assets with different risk and return characteristics. Many of these REITs pursue investments that are weighted more heavily toward credit sensitive assets rather than Agency securities. AGNC and the REITs in our Agency REIT Peer Group are invested principally in Agency securities, although even among these REITs, investment portfolios may vary significantly, with some of these REITs being invested more heavily in credit sensitive assets.</w:t>
      </w:r>
    </w:p>
    <w:p>
      <w:pPr>
        <w:spacing w:after="0" w:line="100"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32</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00"/>
          </w:cols>
          <w:pgMar w:left="240" w:top="459" w:right="459" w:bottom="1440" w:gutter="0" w:footer="0" w:header="0"/>
        </w:sectPr>
      </w:pPr>
    </w:p>
    <w:bookmarkStart w:id="36" w:name="page37"/>
    <w:bookmarkEnd w:id="3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200" w:right="320" w:firstLine="771"/>
        <w:spacing w:after="0" w:line="286" w:lineRule="auto"/>
        <w:rPr>
          <w:sz w:val="20"/>
          <w:szCs w:val="20"/>
          <w:color w:val="auto"/>
        </w:rPr>
      </w:pPr>
      <w:r>
        <w:rPr>
          <w:rFonts w:ascii="Arial" w:cs="Arial" w:eastAsia="Arial" w:hAnsi="Arial"/>
          <w:sz w:val="17"/>
          <w:szCs w:val="17"/>
          <w:color w:val="auto"/>
        </w:rPr>
        <w:t>Of the 23 REITs in the Resi mREIT Universe, only eight are internally-managed, which means the REIT itself is directly responsible for determining executive compensation. We are the largest internally-managed residential mortgage REIT and were more than two times the size of the next largest internally-managed residential mortgage REIT by market capitalization as of December 31, 2017.</w:t>
      </w:r>
    </w:p>
    <w:p>
      <w:pPr>
        <w:spacing w:after="0" w:line="166" w:lineRule="exact"/>
        <w:rPr>
          <w:sz w:val="20"/>
          <w:szCs w:val="20"/>
          <w:color w:val="auto"/>
        </w:rPr>
      </w:pPr>
    </w:p>
    <w:p>
      <w:pPr>
        <w:ind w:left="200" w:right="20" w:firstLine="771"/>
        <w:spacing w:after="0" w:line="290" w:lineRule="auto"/>
        <w:rPr>
          <w:sz w:val="20"/>
          <w:szCs w:val="20"/>
          <w:color w:val="auto"/>
        </w:rPr>
      </w:pPr>
      <w:r>
        <w:rPr>
          <w:rFonts w:ascii="Arial" w:cs="Arial" w:eastAsia="Arial" w:hAnsi="Arial"/>
          <w:sz w:val="16"/>
          <w:szCs w:val="16"/>
          <w:color w:val="auto"/>
        </w:rPr>
        <w:t>The remaining 15 REITs in the Resi mREIT Universe are externally-managed by a third party and pay a third-party a management fee as a set percentage of equity in lieu of compensating employees directly. In addition to paying a management fee to a third-party, externally-managed REITs also typically bear most, if not all, of their non-employee general and administrative expenses. Thus, the management fee is used to pay the compensation and benefits for the manager’s executives and other employees, and compensation decisions regarding the manager’s executives are generally determined by the manager rather than the REIT’s board of directors. In addition, some externally-managed mortgage REITs also award stock compensation to their executive officers, reimburse their manager for cost allocations of certain functions (such as a chief financial officer, general counsel, or other accounting and legal functions), and pay an additional incentive fee based on performance. For these externally-managed REITs, the executive compensation arrangements are not fully disclosed to investors and may not be based on the REIT’s performance.</w:t>
      </w:r>
    </w:p>
    <w:p>
      <w:pPr>
        <w:spacing w:after="0" w:line="189" w:lineRule="exact"/>
        <w:rPr>
          <w:sz w:val="20"/>
          <w:szCs w:val="20"/>
          <w:color w:val="auto"/>
        </w:rPr>
      </w:pPr>
    </w:p>
    <w:p>
      <w:pPr>
        <w:jc w:val="center"/>
        <w:ind w:right="-199"/>
        <w:spacing w:after="0"/>
        <w:rPr>
          <w:sz w:val="20"/>
          <w:szCs w:val="20"/>
          <w:color w:val="auto"/>
        </w:rPr>
      </w:pPr>
      <w:r>
        <w:rPr>
          <w:rFonts w:ascii="Arial" w:cs="Arial" w:eastAsia="Arial" w:hAnsi="Arial"/>
          <w:sz w:val="18"/>
          <w:szCs w:val="18"/>
          <w:b w:val="1"/>
          <w:bCs w:val="1"/>
          <w:color w:val="auto"/>
        </w:rPr>
        <w:t>Comparison of Internally-Managed and Externally-Managed Structures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-119380</wp:posOffset>
            </wp:positionV>
            <wp:extent cx="6997700" cy="250444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6997700" cy="25044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7"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Our Compensation Approach</w:t>
      </w:r>
    </w:p>
    <w:p>
      <w:pPr>
        <w:spacing w:after="0" w:line="117" w:lineRule="exact"/>
        <w:rPr>
          <w:sz w:val="20"/>
          <w:szCs w:val="20"/>
          <w:color w:val="auto"/>
        </w:rPr>
      </w:pPr>
    </w:p>
    <w:p>
      <w:pPr>
        <w:ind w:left="200" w:firstLine="771"/>
        <w:spacing w:after="0" w:line="279" w:lineRule="auto"/>
        <w:rPr>
          <w:sz w:val="20"/>
          <w:szCs w:val="20"/>
          <w:color w:val="auto"/>
        </w:rPr>
      </w:pPr>
      <w:r>
        <w:rPr>
          <w:rFonts w:ascii="Arial" w:cs="Arial" w:eastAsia="Arial" w:hAnsi="Arial"/>
          <w:sz w:val="17"/>
          <w:szCs w:val="17"/>
          <w:color w:val="auto"/>
        </w:rPr>
        <w:t>Compared to externally-managed mortgage REITs, AGNC provides transparency into its compensation programs as well as the actual amount of compensation paid to its named executive officers, as detailed below. Our Compensation Committee has adopted a robust governance process to implement and oversee our compensation programs, including engagement with FW Cook, its independent compensation consultant. Using this process, our Compensation Committee designed compensation programs to align with our strategic objectives. These programs:</w:t>
      </w:r>
    </w:p>
    <w:p>
      <w:pPr>
        <w:spacing w:after="0" w:line="77" w:lineRule="exact"/>
        <w:rPr>
          <w:sz w:val="20"/>
          <w:szCs w:val="20"/>
          <w:color w:val="auto"/>
        </w:rPr>
      </w:pPr>
    </w:p>
    <w:p>
      <w:pPr>
        <w:ind w:left="960" w:right="400" w:hanging="432"/>
        <w:spacing w:after="0" w:line="258" w:lineRule="auto"/>
        <w:tabs>
          <w:tab w:leader="none" w:pos="960" w:val="left"/>
        </w:tabs>
        <w:numPr>
          <w:ilvl w:val="0"/>
          <w:numId w:val="26"/>
        </w:numPr>
        <w:rPr>
          <w:rFonts w:ascii="Arial" w:cs="Arial" w:eastAsia="Arial" w:hAnsi="Arial"/>
          <w:sz w:val="18"/>
          <w:szCs w:val="18"/>
          <w:color w:val="auto"/>
        </w:rPr>
      </w:pPr>
      <w:r>
        <w:rPr>
          <w:rFonts w:ascii="Arial" w:cs="Arial" w:eastAsia="Arial" w:hAnsi="Arial"/>
          <w:sz w:val="18"/>
          <w:szCs w:val="18"/>
          <w:color w:val="auto"/>
        </w:rPr>
        <w:t>Promote the retention of our high-quality management team, which has a strong track-record of out-performing our industry peers, while maintaining a low-cost operating structure.</w:t>
      </w:r>
    </w:p>
    <w:p>
      <w:pPr>
        <w:spacing w:after="0" w:line="1" w:lineRule="exact"/>
        <w:rPr>
          <w:rFonts w:ascii="Arial" w:cs="Arial" w:eastAsia="Arial" w:hAnsi="Arial"/>
          <w:sz w:val="18"/>
          <w:szCs w:val="18"/>
          <w:color w:val="auto"/>
        </w:rPr>
      </w:pPr>
    </w:p>
    <w:p>
      <w:pPr>
        <w:ind w:left="960" w:right="500" w:hanging="432"/>
        <w:spacing w:after="0" w:line="261" w:lineRule="auto"/>
        <w:tabs>
          <w:tab w:leader="none" w:pos="960" w:val="left"/>
        </w:tabs>
        <w:numPr>
          <w:ilvl w:val="0"/>
          <w:numId w:val="26"/>
        </w:numPr>
        <w:rPr>
          <w:rFonts w:ascii="Arial" w:cs="Arial" w:eastAsia="Arial" w:hAnsi="Arial"/>
          <w:sz w:val="18"/>
          <w:szCs w:val="18"/>
          <w:color w:val="auto"/>
        </w:rPr>
      </w:pPr>
      <w:r>
        <w:rPr>
          <w:rFonts w:ascii="Arial" w:cs="Arial" w:eastAsia="Arial" w:hAnsi="Arial"/>
          <w:sz w:val="18"/>
          <w:szCs w:val="18"/>
          <w:color w:val="auto"/>
        </w:rPr>
        <w:t>Emphasize pay-for-performance, with short-term incentives linked to a Corporate Scorecard comprised of measures that emphasize our interest in strong economic returns, a favorable stock price relative to</w:t>
      </w:r>
    </w:p>
    <w:p>
      <w:pPr>
        <w:spacing w:after="0" w:line="112"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33</w:t>
      </w:r>
    </w:p>
    <w:p>
      <w:pPr>
        <w:sectPr>
          <w:pgSz w:w="11900" w:h="16838" w:orient="portrait"/>
          <w:cols w:equalWidth="0" w:num="1">
            <w:col w:w="11220"/>
          </w:cols>
          <w:pgMar w:left="240" w:top="459" w:right="439" w:bottom="1440" w:gutter="0" w:footer="0" w:header="0"/>
        </w:sectPr>
      </w:pPr>
    </w:p>
    <w:bookmarkStart w:id="37" w:name="page38"/>
    <w:bookmarkEnd w:id="3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980"/>
        <w:spacing w:after="0" w:line="258" w:lineRule="auto"/>
        <w:rPr>
          <w:sz w:val="20"/>
          <w:szCs w:val="20"/>
          <w:color w:val="auto"/>
        </w:rPr>
      </w:pPr>
      <w:r>
        <w:rPr>
          <w:rFonts w:ascii="Arial" w:cs="Arial" w:eastAsia="Arial" w:hAnsi="Arial"/>
          <w:sz w:val="18"/>
          <w:szCs w:val="18"/>
          <w:color w:val="auto"/>
        </w:rPr>
        <w:t>our tangible book value, and low-cost operating structure, in addition to important strategic and operational measures that promote our quality financial disclosure and risk management discipline.</w:t>
      </w:r>
    </w:p>
    <w:p>
      <w:pPr>
        <w:spacing w:after="0" w:line="1" w:lineRule="exact"/>
        <w:rPr>
          <w:sz w:val="20"/>
          <w:szCs w:val="20"/>
          <w:color w:val="auto"/>
        </w:rPr>
      </w:pPr>
    </w:p>
    <w:p>
      <w:pPr>
        <w:ind w:left="960" w:right="140" w:hanging="432"/>
        <w:spacing w:after="0" w:line="250" w:lineRule="auto"/>
        <w:tabs>
          <w:tab w:leader="none" w:pos="960" w:val="left"/>
        </w:tabs>
        <w:numPr>
          <w:ilvl w:val="0"/>
          <w:numId w:val="27"/>
        </w:numPr>
        <w:rPr>
          <w:rFonts w:ascii="Arial" w:cs="Arial" w:eastAsia="Arial" w:hAnsi="Arial"/>
          <w:sz w:val="18"/>
          <w:szCs w:val="18"/>
          <w:color w:val="auto"/>
        </w:rPr>
      </w:pPr>
      <w:r>
        <w:rPr>
          <w:rFonts w:ascii="Arial" w:cs="Arial" w:eastAsia="Arial" w:hAnsi="Arial"/>
          <w:sz w:val="18"/>
          <w:szCs w:val="18"/>
          <w:color w:val="auto"/>
        </w:rPr>
        <w:t>Enhance the alignment of our NEOs with our stockholders through service-based and performance-based stock awards vesting over a multi-year period and stock ownership guidelines for our most senior NEOs.</w:t>
      </w:r>
    </w:p>
    <w:p>
      <w:pPr>
        <w:ind w:left="960" w:hanging="432"/>
        <w:spacing w:after="0"/>
        <w:tabs>
          <w:tab w:leader="none" w:pos="960" w:val="left"/>
        </w:tabs>
        <w:numPr>
          <w:ilvl w:val="0"/>
          <w:numId w:val="27"/>
        </w:numPr>
        <w:rPr>
          <w:rFonts w:ascii="Arial" w:cs="Arial" w:eastAsia="Arial" w:hAnsi="Arial"/>
          <w:sz w:val="18"/>
          <w:szCs w:val="18"/>
          <w:color w:val="auto"/>
        </w:rPr>
      </w:pPr>
      <w:r>
        <w:rPr>
          <w:rFonts w:ascii="Arial" w:cs="Arial" w:eastAsia="Arial" w:hAnsi="Arial"/>
          <w:sz w:val="18"/>
          <w:szCs w:val="18"/>
          <w:color w:val="auto"/>
        </w:rPr>
        <w:t>Maintain our operating expense structure as one of the lowest in the industry.</w:t>
      </w:r>
    </w:p>
    <w:p>
      <w:pPr>
        <w:spacing w:after="0" w:line="211" w:lineRule="exact"/>
        <w:rPr>
          <w:sz w:val="20"/>
          <w:szCs w:val="20"/>
          <w:color w:val="auto"/>
        </w:rPr>
      </w:pPr>
    </w:p>
    <w:p>
      <w:pPr>
        <w:ind w:left="200" w:right="40" w:firstLine="771"/>
        <w:spacing w:after="0" w:line="264" w:lineRule="auto"/>
        <w:rPr>
          <w:sz w:val="20"/>
          <w:szCs w:val="20"/>
          <w:color w:val="auto"/>
        </w:rPr>
      </w:pPr>
      <w:r>
        <w:rPr>
          <w:rFonts w:ascii="Arial" w:cs="Arial" w:eastAsia="Arial" w:hAnsi="Arial"/>
          <w:sz w:val="18"/>
          <w:szCs w:val="18"/>
          <w:color w:val="auto"/>
        </w:rPr>
        <w:t>In 2017, AGNC continued to migrate our compensation policies and practices to our post-Internalization pay structure, with a greater emphasis on short- and long-term incentive compensation. We also performed significant stockholder outreach efforts to engage major stockholders and understand their perspectives on key compensation and governance issues.</w:t>
      </w:r>
    </w:p>
    <w:p>
      <w:pPr>
        <w:spacing w:after="0" w:line="181"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Our Internalization</w:t>
      </w:r>
    </w:p>
    <w:p>
      <w:pPr>
        <w:spacing w:after="0" w:line="117" w:lineRule="exact"/>
        <w:rPr>
          <w:sz w:val="20"/>
          <w:szCs w:val="20"/>
          <w:color w:val="auto"/>
        </w:rPr>
      </w:pPr>
    </w:p>
    <w:p>
      <w:pPr>
        <w:ind w:left="200" w:right="180" w:firstLine="771"/>
        <w:spacing w:after="0" w:line="279" w:lineRule="auto"/>
        <w:rPr>
          <w:sz w:val="20"/>
          <w:szCs w:val="20"/>
          <w:color w:val="auto"/>
        </w:rPr>
      </w:pPr>
      <w:r>
        <w:rPr>
          <w:rFonts w:ascii="Arial" w:cs="Arial" w:eastAsia="Arial" w:hAnsi="Arial"/>
          <w:sz w:val="17"/>
          <w:szCs w:val="17"/>
          <w:color w:val="auto"/>
        </w:rPr>
        <w:t>From our formation in January 2008 through June 30, 2016, we were externally-managed by an affiliate of American Capital, Ltd. (“American Capital”). During this period, AGNC paid no compensation to our executive officers, each of whom was an employee of our external manager, and we instead paid a monthly management fee to our manager based on a fixed percentage of our month-end stockholders’ equity. As such, AGNC had no say in compensation-related matters for our executives or other employees of the manager providing services to AGNC.</w:t>
      </w:r>
    </w:p>
    <w:p>
      <w:pPr>
        <w:spacing w:after="0" w:line="171" w:lineRule="exact"/>
        <w:rPr>
          <w:sz w:val="20"/>
          <w:szCs w:val="20"/>
          <w:color w:val="auto"/>
        </w:rPr>
      </w:pPr>
    </w:p>
    <w:p>
      <w:pPr>
        <w:ind w:left="200" w:right="220" w:firstLine="771"/>
        <w:spacing w:after="0" w:line="297" w:lineRule="auto"/>
        <w:rPr>
          <w:sz w:val="20"/>
          <w:szCs w:val="20"/>
          <w:color w:val="auto"/>
        </w:rPr>
      </w:pPr>
      <w:r>
        <w:rPr>
          <w:rFonts w:ascii="Arial" w:cs="Arial" w:eastAsia="Arial" w:hAnsi="Arial"/>
          <w:sz w:val="16"/>
          <w:szCs w:val="16"/>
          <w:color w:val="auto"/>
        </w:rPr>
        <w:t>In 2016, American Capital pursued a sale of its business, which resulted in our Internalization through our acquisition of the parent of our external manager from American Capital on July 1, 2016. As a result, AGNC was able to internalize the management team that had delivered strong historical returns. Prior to the American Capital sale process, AGNC did not have a unilateral ability to force a sale of its manager or hire its portfolio management team or other of its manager’s employees directly because of “no hire” restrictions in the management agreement and noncompetition restrictions in our most senior NEOs’ employment agreements. As part of the acquisition, AGNC also acquired the manager of MTGE.</w:t>
      </w:r>
    </w:p>
    <w:p>
      <w:pPr>
        <w:spacing w:after="0" w:line="158" w:lineRule="exact"/>
        <w:rPr>
          <w:sz w:val="20"/>
          <w:szCs w:val="20"/>
          <w:color w:val="auto"/>
        </w:rPr>
      </w:pPr>
    </w:p>
    <w:p>
      <w:pPr>
        <w:ind w:left="200" w:right="40" w:firstLine="771"/>
        <w:spacing w:after="0" w:line="276" w:lineRule="auto"/>
        <w:rPr>
          <w:sz w:val="20"/>
          <w:szCs w:val="20"/>
          <w:color w:val="auto"/>
        </w:rPr>
      </w:pPr>
      <w:r>
        <w:rPr>
          <w:rFonts w:ascii="Arial" w:cs="Arial" w:eastAsia="Arial" w:hAnsi="Arial"/>
          <w:sz w:val="17"/>
          <w:szCs w:val="17"/>
          <w:color w:val="auto"/>
        </w:rPr>
        <w:t>The Internalization also provided significant cost savings through the elimination of the management fee and the direct retention of employees. For example, in the six-month period prior to the Internalization, our operating expenses were 1.66% of our average stockholders’ equity on an annualized basis compared to our net operating expense ratio for 2017 of 0.68% of our average stockholders’ equity (after taking into account management fee income from MTGE and excluding non-cash amortization charges associated with the Internalization). The Internalization thus established AGNC as a residential mortgage REIT with one of the lowest cost structures as a percentage of equity.</w:t>
      </w:r>
    </w:p>
    <w:p>
      <w:pPr>
        <w:spacing w:after="0" w:line="173" w:lineRule="exact"/>
        <w:rPr>
          <w:sz w:val="20"/>
          <w:szCs w:val="20"/>
          <w:color w:val="auto"/>
        </w:rPr>
      </w:pPr>
    </w:p>
    <w:p>
      <w:pPr>
        <w:ind w:left="200" w:right="100" w:firstLine="771"/>
        <w:spacing w:after="0" w:line="308" w:lineRule="auto"/>
        <w:rPr>
          <w:sz w:val="20"/>
          <w:szCs w:val="20"/>
          <w:color w:val="auto"/>
        </w:rPr>
      </w:pPr>
      <w:r>
        <w:rPr>
          <w:rFonts w:ascii="Arial" w:cs="Arial" w:eastAsia="Arial" w:hAnsi="Arial"/>
          <w:sz w:val="17"/>
          <w:szCs w:val="17"/>
          <w:color w:val="auto"/>
        </w:rPr>
        <w:t>The Internalization also allowed us to maintain the continuity of our operations, as AGNC retained its entire portfolio management team and individuals providing support functions, including operations, accounting, treasury, investor relations, and internal audit.</w:t>
      </w:r>
    </w:p>
    <w:p>
      <w:pPr>
        <w:spacing w:after="0" w:line="147" w:lineRule="exact"/>
        <w:rPr>
          <w:sz w:val="20"/>
          <w:szCs w:val="20"/>
          <w:color w:val="auto"/>
        </w:rPr>
      </w:pPr>
    </w:p>
    <w:p>
      <w:pPr>
        <w:ind w:left="200" w:right="20" w:firstLine="771"/>
        <w:spacing w:after="0" w:line="279" w:lineRule="auto"/>
        <w:rPr>
          <w:sz w:val="20"/>
          <w:szCs w:val="20"/>
          <w:color w:val="auto"/>
        </w:rPr>
      </w:pPr>
      <w:r>
        <w:rPr>
          <w:rFonts w:ascii="Arial" w:cs="Arial" w:eastAsia="Arial" w:hAnsi="Arial"/>
          <w:sz w:val="17"/>
          <w:szCs w:val="17"/>
          <w:color w:val="auto"/>
        </w:rPr>
        <w:t>AGNC’s former manager had existing employment agreements or arrangements in place with AGNC’s portfolio management team, which had been negotiated at arm’s length with American Capital. Although AGNC did not have a unilateral right to amend these employment agreements, the Compensation Committee, with assistance from an experienced compensation consultant and the support of our NEOs, negotiated the terms of new agreements as part of the process of redesigning the executive compensation program to better support our</w:t>
      </w:r>
    </w:p>
    <w:p>
      <w:pPr>
        <w:spacing w:after="0" w:line="100"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34</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00"/>
          </w:cols>
          <w:pgMar w:left="240" w:top="459" w:right="459" w:bottom="1440" w:gutter="0" w:footer="0" w:header="0"/>
        </w:sectPr>
      </w:pPr>
    </w:p>
    <w:bookmarkStart w:id="38" w:name="page39"/>
    <w:bookmarkEnd w:id="3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ind w:right="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200"/>
        <w:spacing w:after="0"/>
        <w:rPr>
          <w:sz w:val="20"/>
          <w:szCs w:val="20"/>
          <w:color w:val="auto"/>
        </w:rPr>
      </w:pPr>
      <w:r>
        <w:rPr>
          <w:rFonts w:ascii="Arial" w:cs="Arial" w:eastAsia="Arial" w:hAnsi="Arial"/>
          <w:sz w:val="18"/>
          <w:szCs w:val="18"/>
          <w:color w:val="auto"/>
        </w:rPr>
        <w:t>financial and strategic objectives while also retaining the portfolio management team it had in place. Specifically, these changes included:</w:t>
      </w:r>
    </w:p>
    <w:p>
      <w:pPr>
        <w:spacing w:after="0" w:line="131" w:lineRule="exact"/>
        <w:rPr>
          <w:sz w:val="20"/>
          <w:szCs w:val="20"/>
          <w:color w:val="auto"/>
        </w:rPr>
      </w:pPr>
    </w:p>
    <w:p>
      <w:pPr>
        <w:ind w:left="960" w:right="240" w:hanging="432"/>
        <w:spacing w:after="0" w:line="258" w:lineRule="auto"/>
        <w:tabs>
          <w:tab w:leader="none" w:pos="960" w:val="left"/>
        </w:tabs>
        <w:numPr>
          <w:ilvl w:val="0"/>
          <w:numId w:val="28"/>
        </w:numPr>
        <w:rPr>
          <w:rFonts w:ascii="Arial" w:cs="Arial" w:eastAsia="Arial" w:hAnsi="Arial"/>
          <w:sz w:val="18"/>
          <w:szCs w:val="18"/>
          <w:color w:val="auto"/>
        </w:rPr>
      </w:pPr>
      <w:r>
        <w:rPr>
          <w:rFonts w:ascii="Arial" w:cs="Arial" w:eastAsia="Arial" w:hAnsi="Arial"/>
          <w:sz w:val="18"/>
          <w:szCs w:val="18"/>
          <w:color w:val="auto"/>
        </w:rPr>
        <w:t>The transition of base salary and target equity awards tied to equity assets under management in favor of fixed base salary and target equity award eligibility;</w:t>
      </w:r>
    </w:p>
    <w:p>
      <w:pPr>
        <w:spacing w:after="0" w:line="1" w:lineRule="exact"/>
        <w:rPr>
          <w:rFonts w:ascii="Arial" w:cs="Arial" w:eastAsia="Arial" w:hAnsi="Arial"/>
          <w:sz w:val="18"/>
          <w:szCs w:val="18"/>
          <w:color w:val="auto"/>
        </w:rPr>
      </w:pPr>
    </w:p>
    <w:p>
      <w:pPr>
        <w:ind w:left="960" w:hanging="432"/>
        <w:spacing w:after="0"/>
        <w:tabs>
          <w:tab w:leader="none" w:pos="960" w:val="left"/>
        </w:tabs>
        <w:numPr>
          <w:ilvl w:val="0"/>
          <w:numId w:val="28"/>
        </w:numPr>
        <w:rPr>
          <w:rFonts w:ascii="Arial" w:cs="Arial" w:eastAsia="Arial" w:hAnsi="Arial"/>
          <w:sz w:val="18"/>
          <w:szCs w:val="18"/>
          <w:color w:val="auto"/>
        </w:rPr>
      </w:pPr>
      <w:r>
        <w:rPr>
          <w:rFonts w:ascii="Arial" w:cs="Arial" w:eastAsia="Arial" w:hAnsi="Arial"/>
          <w:sz w:val="18"/>
          <w:szCs w:val="18"/>
          <w:color w:val="auto"/>
        </w:rPr>
        <w:t>Effective January 1, 2018, a 59% reduction in our CEO’s base salary from levels in effect immediately prior to the Internalization;</w:t>
      </w:r>
    </w:p>
    <w:p>
      <w:pPr>
        <w:spacing w:after="0" w:line="9" w:lineRule="exact"/>
        <w:rPr>
          <w:rFonts w:ascii="Arial" w:cs="Arial" w:eastAsia="Arial" w:hAnsi="Arial"/>
          <w:sz w:val="18"/>
          <w:szCs w:val="18"/>
          <w:color w:val="auto"/>
        </w:rPr>
      </w:pPr>
    </w:p>
    <w:p>
      <w:pPr>
        <w:ind w:left="960" w:right="140" w:hanging="432"/>
        <w:spacing w:after="0" w:line="250" w:lineRule="auto"/>
        <w:tabs>
          <w:tab w:leader="none" w:pos="960" w:val="left"/>
        </w:tabs>
        <w:numPr>
          <w:ilvl w:val="0"/>
          <w:numId w:val="28"/>
        </w:numPr>
        <w:rPr>
          <w:rFonts w:ascii="Arial" w:cs="Arial" w:eastAsia="Arial" w:hAnsi="Arial"/>
          <w:sz w:val="18"/>
          <w:szCs w:val="18"/>
          <w:color w:val="auto"/>
        </w:rPr>
      </w:pPr>
      <w:r>
        <w:rPr>
          <w:rFonts w:ascii="Arial" w:cs="Arial" w:eastAsia="Arial" w:hAnsi="Arial"/>
          <w:sz w:val="18"/>
          <w:szCs w:val="18"/>
          <w:color w:val="auto"/>
        </w:rPr>
        <w:t>A reduction in the proportion of fixed compensation (primarily base salary) and increase in the proportion of incentive compensation subject to Company performance; and</w:t>
      </w:r>
    </w:p>
    <w:p>
      <w:pPr>
        <w:ind w:left="960" w:hanging="432"/>
        <w:spacing w:after="0"/>
        <w:tabs>
          <w:tab w:leader="none" w:pos="960" w:val="left"/>
        </w:tabs>
        <w:numPr>
          <w:ilvl w:val="0"/>
          <w:numId w:val="28"/>
        </w:numPr>
        <w:rPr>
          <w:rFonts w:ascii="Arial" w:cs="Arial" w:eastAsia="Arial" w:hAnsi="Arial"/>
          <w:sz w:val="18"/>
          <w:szCs w:val="18"/>
          <w:color w:val="auto"/>
        </w:rPr>
      </w:pPr>
      <w:r>
        <w:rPr>
          <w:rFonts w:ascii="Arial" w:cs="Arial" w:eastAsia="Arial" w:hAnsi="Arial"/>
          <w:sz w:val="18"/>
          <w:szCs w:val="18"/>
          <w:color w:val="auto"/>
        </w:rPr>
        <w:t>Implementation of multi-year performance-based vesting criteria for a significant portion of long-term incentive awards to NEOs.</w:t>
      </w:r>
    </w:p>
    <w:p>
      <w:pPr>
        <w:spacing w:after="0" w:line="211" w:lineRule="exact"/>
        <w:rPr>
          <w:sz w:val="20"/>
          <w:szCs w:val="20"/>
          <w:color w:val="auto"/>
        </w:rPr>
      </w:pPr>
    </w:p>
    <w:p>
      <w:pPr>
        <w:ind w:left="200" w:right="520" w:firstLine="881"/>
        <w:spacing w:after="0" w:line="342" w:lineRule="auto"/>
        <w:rPr>
          <w:sz w:val="20"/>
          <w:szCs w:val="20"/>
          <w:color w:val="auto"/>
        </w:rPr>
      </w:pPr>
      <w:r>
        <w:rPr>
          <w:rFonts w:ascii="Arial" w:cs="Arial" w:eastAsia="Arial" w:hAnsi="Arial"/>
          <w:sz w:val="16"/>
          <w:szCs w:val="16"/>
          <w:color w:val="auto"/>
        </w:rPr>
        <w:t>Following the Internalization and the restructuring of the NEO employment arrangements, AGNC implemented a comprehensive compensation plan, described in greater detail below, for all employees, including NEOs. In addition to base salary, all AGNC employees receive:</w:t>
      </w:r>
    </w:p>
    <w:p>
      <w:pPr>
        <w:spacing w:after="0" w:line="29" w:lineRule="exact"/>
        <w:rPr>
          <w:sz w:val="20"/>
          <w:szCs w:val="20"/>
          <w:color w:val="auto"/>
        </w:rPr>
      </w:pPr>
    </w:p>
    <w:p>
      <w:pPr>
        <w:ind w:left="960" w:right="520" w:hanging="432"/>
        <w:spacing w:after="0" w:line="274" w:lineRule="auto"/>
        <w:tabs>
          <w:tab w:leader="none" w:pos="960" w:val="left"/>
        </w:tabs>
        <w:numPr>
          <w:ilvl w:val="0"/>
          <w:numId w:val="29"/>
        </w:numPr>
        <w:rPr>
          <w:rFonts w:ascii="Arial" w:cs="Arial" w:eastAsia="Arial" w:hAnsi="Arial"/>
          <w:sz w:val="17"/>
          <w:szCs w:val="17"/>
          <w:color w:val="auto"/>
        </w:rPr>
      </w:pPr>
      <w:r>
        <w:rPr>
          <w:rFonts w:ascii="Arial" w:cs="Arial" w:eastAsia="Arial" w:hAnsi="Arial"/>
          <w:sz w:val="17"/>
          <w:szCs w:val="17"/>
          <w:color w:val="auto"/>
        </w:rPr>
        <w:t>An annual cash bonus linked to performance against Company-wide objectives set by the Compensation Committee including financial metrics and strategic and operational goals that we believe are most important to the pillars of our success; and</w:t>
      </w:r>
    </w:p>
    <w:p>
      <w:pPr>
        <w:ind w:left="960" w:right="360" w:hanging="432"/>
        <w:spacing w:after="0" w:line="261" w:lineRule="auto"/>
        <w:tabs>
          <w:tab w:leader="none" w:pos="960" w:val="left"/>
        </w:tabs>
        <w:numPr>
          <w:ilvl w:val="0"/>
          <w:numId w:val="29"/>
        </w:numPr>
        <w:rPr>
          <w:rFonts w:ascii="Arial" w:cs="Arial" w:eastAsia="Arial" w:hAnsi="Arial"/>
          <w:sz w:val="18"/>
          <w:szCs w:val="18"/>
          <w:color w:val="auto"/>
        </w:rPr>
      </w:pPr>
      <w:r>
        <w:rPr>
          <w:rFonts w:ascii="Arial" w:cs="Arial" w:eastAsia="Arial" w:hAnsi="Arial"/>
          <w:sz w:val="18"/>
          <w:szCs w:val="18"/>
          <w:color w:val="auto"/>
        </w:rPr>
        <w:t>Grants of AGNC restricted stock units under the 2016 Plan, in effect making all of our employees also stockholders of AGNC and further aligning the interests of our work force with our stockholders.</w:t>
      </w:r>
    </w:p>
    <w:p>
      <w:pPr>
        <w:spacing w:after="0" w:line="183" w:lineRule="exact"/>
        <w:rPr>
          <w:rFonts w:ascii="Arial" w:cs="Arial" w:eastAsia="Arial" w:hAnsi="Arial"/>
          <w:sz w:val="18"/>
          <w:szCs w:val="18"/>
          <w:color w:val="auto"/>
        </w:rPr>
      </w:pPr>
    </w:p>
    <w:p>
      <w:pPr>
        <w:ind w:left="980"/>
        <w:spacing w:after="0"/>
        <w:rPr>
          <w:rFonts w:ascii="Arial" w:cs="Arial" w:eastAsia="Arial" w:hAnsi="Arial"/>
          <w:sz w:val="18"/>
          <w:szCs w:val="18"/>
          <w:color w:val="auto"/>
        </w:rPr>
      </w:pPr>
      <w:r>
        <w:rPr>
          <w:rFonts w:ascii="Arial" w:cs="Arial" w:eastAsia="Arial" w:hAnsi="Arial"/>
          <w:sz w:val="18"/>
          <w:szCs w:val="18"/>
          <w:color w:val="auto"/>
        </w:rPr>
        <w:t>From a governance perspective, the Internalization also provided us additional benefits:</w:t>
      </w:r>
    </w:p>
    <w:p>
      <w:pPr>
        <w:spacing w:after="0" w:line="130" w:lineRule="exact"/>
        <w:rPr>
          <w:rFonts w:ascii="Arial" w:cs="Arial" w:eastAsia="Arial" w:hAnsi="Arial"/>
          <w:sz w:val="18"/>
          <w:szCs w:val="18"/>
          <w:color w:val="auto"/>
        </w:rPr>
      </w:pPr>
    </w:p>
    <w:p>
      <w:pPr>
        <w:ind w:left="960" w:hanging="432"/>
        <w:spacing w:after="0"/>
        <w:tabs>
          <w:tab w:leader="none" w:pos="960" w:val="left"/>
        </w:tabs>
        <w:numPr>
          <w:ilvl w:val="0"/>
          <w:numId w:val="29"/>
        </w:numPr>
        <w:rPr>
          <w:rFonts w:ascii="Arial" w:cs="Arial" w:eastAsia="Arial" w:hAnsi="Arial"/>
          <w:sz w:val="18"/>
          <w:szCs w:val="18"/>
          <w:color w:val="auto"/>
        </w:rPr>
      </w:pPr>
      <w:r>
        <w:rPr>
          <w:rFonts w:ascii="Arial" w:cs="Arial" w:eastAsia="Arial" w:hAnsi="Arial"/>
          <w:sz w:val="18"/>
          <w:szCs w:val="18"/>
          <w:color w:val="auto"/>
        </w:rPr>
        <w:t>Our Compensation Committee now has direct control over the way our NEOs are compensated and incentivized; and</w:t>
      </w:r>
    </w:p>
    <w:p>
      <w:pPr>
        <w:spacing w:after="0" w:line="23" w:lineRule="exact"/>
        <w:rPr>
          <w:rFonts w:ascii="Arial" w:cs="Arial" w:eastAsia="Arial" w:hAnsi="Arial"/>
          <w:sz w:val="18"/>
          <w:szCs w:val="18"/>
          <w:color w:val="auto"/>
        </w:rPr>
      </w:pPr>
    </w:p>
    <w:p>
      <w:pPr>
        <w:ind w:left="960" w:right="80" w:hanging="432"/>
        <w:spacing w:after="0" w:line="255" w:lineRule="auto"/>
        <w:tabs>
          <w:tab w:leader="none" w:pos="960" w:val="left"/>
        </w:tabs>
        <w:numPr>
          <w:ilvl w:val="0"/>
          <w:numId w:val="29"/>
        </w:numPr>
        <w:rPr>
          <w:rFonts w:ascii="Arial" w:cs="Arial" w:eastAsia="Arial" w:hAnsi="Arial"/>
          <w:sz w:val="18"/>
          <w:szCs w:val="18"/>
          <w:color w:val="auto"/>
        </w:rPr>
      </w:pPr>
      <w:r>
        <w:rPr>
          <w:rFonts w:ascii="Arial" w:cs="Arial" w:eastAsia="Arial" w:hAnsi="Arial"/>
          <w:sz w:val="18"/>
          <w:szCs w:val="18"/>
          <w:color w:val="auto"/>
        </w:rPr>
        <w:t>All compensation that our NEOs receive in connection with their service to the Company in 2017 is disclosed to our stockholders in this Compensation Discussion and Analysis and corresponding tables. Our NEOs do not have separate ownership interests in an external manager providing a separate source of undisclosed income.</w:t>
      </w:r>
    </w:p>
    <w:p>
      <w:pPr>
        <w:spacing w:after="0" w:line="190" w:lineRule="exact"/>
        <w:rPr>
          <w:sz w:val="20"/>
          <w:szCs w:val="20"/>
          <w:color w:val="auto"/>
        </w:rPr>
      </w:pPr>
    </w:p>
    <w:p>
      <w:pPr>
        <w:ind w:left="200" w:right="80" w:firstLine="771"/>
        <w:spacing w:after="0" w:line="264" w:lineRule="auto"/>
        <w:rPr>
          <w:sz w:val="20"/>
          <w:szCs w:val="20"/>
          <w:color w:val="auto"/>
        </w:rPr>
      </w:pPr>
      <w:r>
        <w:rPr>
          <w:rFonts w:ascii="Arial" w:cs="Arial" w:eastAsia="Arial" w:hAnsi="Arial"/>
          <w:sz w:val="18"/>
          <w:szCs w:val="18"/>
          <w:color w:val="auto"/>
        </w:rPr>
        <w:t>The Compensation Committee will continue to evaluate our compensation programs in light of market conditions and the Company’s operations and performance. Following its review of 2017 performance, the Compensation Committee has adjusted the Corporate Scorecard for 2018 as discussed in greater detail on page 45 of this proxy statement.</w:t>
      </w:r>
    </w:p>
    <w:p>
      <w:pPr>
        <w:spacing w:after="0" w:line="28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2017 Named Executive Officers</w:t>
      </w:r>
    </w:p>
    <w:p>
      <w:pPr>
        <w:spacing w:after="0" w:line="121" w:lineRule="exact"/>
        <w:rPr>
          <w:sz w:val="20"/>
          <w:szCs w:val="20"/>
          <w:color w:val="auto"/>
        </w:rPr>
      </w:pPr>
    </w:p>
    <w:p>
      <w:pPr>
        <w:ind w:left="980"/>
        <w:spacing w:after="0"/>
        <w:rPr>
          <w:sz w:val="20"/>
          <w:szCs w:val="20"/>
          <w:color w:val="auto"/>
        </w:rPr>
      </w:pPr>
      <w:r>
        <w:rPr>
          <w:rFonts w:ascii="Arial" w:cs="Arial" w:eastAsia="Arial" w:hAnsi="Arial"/>
          <w:sz w:val="18"/>
          <w:szCs w:val="18"/>
          <w:color w:val="auto"/>
        </w:rPr>
        <w:t>Our NEOs for 2017 are:</w:t>
      </w:r>
    </w:p>
    <w:p>
      <w:pPr>
        <w:spacing w:after="0" w:line="247" w:lineRule="exact"/>
        <w:rPr>
          <w:sz w:val="20"/>
          <w:szCs w:val="20"/>
          <w:color w:val="auto"/>
        </w:rPr>
      </w:pPr>
    </w:p>
    <w:tbl>
      <w:tblPr>
        <w:tblLayout w:type="fixed"/>
        <w:tblInd w:w="220" w:type="dxa"/>
        <w:tblCellMar>
          <w:top w:w="0" w:type="dxa"/>
          <w:left w:w="0" w:type="dxa"/>
          <w:bottom w:w="0" w:type="dxa"/>
          <w:right w:w="0" w:type="dxa"/>
        </w:tblCellMar>
      </w:tblPr>
      <w:tr>
        <w:trPr>
          <w:trHeight w:val="230"/>
        </w:trPr>
        <w:tc>
          <w:tcPr>
            <w:tcW w:w="2980" w:type="dxa"/>
            <w:vAlign w:val="bottom"/>
            <w:tcBorders>
              <w:top w:val="single" w:sz="8" w:color="auto"/>
              <w:bottom w:val="single" w:sz="8" w:color="auto"/>
            </w:tcBorders>
          </w:tcPr>
          <w:p>
            <w:pPr>
              <w:ind w:left="20"/>
              <w:spacing w:after="0"/>
              <w:rPr>
                <w:sz w:val="20"/>
                <w:szCs w:val="20"/>
                <w:color w:val="auto"/>
              </w:rPr>
            </w:pPr>
            <w:r>
              <w:rPr>
                <w:rFonts w:ascii="Arial" w:cs="Arial" w:eastAsia="Arial" w:hAnsi="Arial"/>
                <w:sz w:val="18"/>
                <w:szCs w:val="18"/>
                <w:b w:val="1"/>
                <w:bCs w:val="1"/>
                <w:color w:val="auto"/>
              </w:rPr>
              <w:t>Name</w:t>
            </w:r>
          </w:p>
        </w:tc>
        <w:tc>
          <w:tcPr>
            <w:tcW w:w="8040" w:type="dxa"/>
            <w:vAlign w:val="bottom"/>
            <w:tcBorders>
              <w:top w:val="single" w:sz="8" w:color="auto"/>
              <w:bottom w:val="single" w:sz="8" w:color="auto"/>
            </w:tcBorders>
          </w:tcPr>
          <w:p>
            <w:pPr>
              <w:jc w:val="center"/>
              <w:ind w:right="270"/>
              <w:spacing w:after="0"/>
              <w:rPr>
                <w:sz w:val="20"/>
                <w:szCs w:val="20"/>
                <w:color w:val="auto"/>
              </w:rPr>
            </w:pPr>
            <w:r>
              <w:rPr>
                <w:rFonts w:ascii="Arial" w:cs="Arial" w:eastAsia="Arial" w:hAnsi="Arial"/>
                <w:sz w:val="18"/>
                <w:szCs w:val="18"/>
                <w:b w:val="1"/>
                <w:bCs w:val="1"/>
                <w:color w:val="auto"/>
                <w:w w:val="92"/>
              </w:rPr>
              <w:t>2017 Title</w:t>
            </w:r>
          </w:p>
        </w:tc>
      </w:tr>
      <w:tr>
        <w:trPr>
          <w:trHeight w:val="195"/>
        </w:trPr>
        <w:tc>
          <w:tcPr>
            <w:tcW w:w="2980" w:type="dxa"/>
            <w:vAlign w:val="bottom"/>
          </w:tcPr>
          <w:p>
            <w:pPr>
              <w:ind w:left="20"/>
              <w:spacing w:after="0" w:line="195" w:lineRule="exact"/>
              <w:rPr>
                <w:sz w:val="20"/>
                <w:szCs w:val="20"/>
                <w:color w:val="auto"/>
              </w:rPr>
            </w:pPr>
            <w:r>
              <w:rPr>
                <w:rFonts w:ascii="Arial" w:cs="Arial" w:eastAsia="Arial" w:hAnsi="Arial"/>
                <w:sz w:val="18"/>
                <w:szCs w:val="18"/>
                <w:color w:val="auto"/>
              </w:rPr>
              <w:t>Gary D. Kain</w:t>
            </w:r>
          </w:p>
        </w:tc>
        <w:tc>
          <w:tcPr>
            <w:tcW w:w="8040" w:type="dxa"/>
            <w:vAlign w:val="bottom"/>
          </w:tcPr>
          <w:p>
            <w:pPr>
              <w:jc w:val="center"/>
              <w:ind w:right="270"/>
              <w:spacing w:after="0" w:line="195" w:lineRule="exact"/>
              <w:rPr>
                <w:sz w:val="20"/>
                <w:szCs w:val="20"/>
                <w:color w:val="auto"/>
              </w:rPr>
            </w:pPr>
            <w:r>
              <w:rPr>
                <w:rFonts w:ascii="Arial" w:cs="Arial" w:eastAsia="Arial" w:hAnsi="Arial"/>
                <w:sz w:val="18"/>
                <w:szCs w:val="18"/>
                <w:color w:val="auto"/>
                <w:w w:val="92"/>
              </w:rPr>
              <w:t>Chief Executive Officer, President and Chief Investment Officer*</w:t>
            </w:r>
          </w:p>
        </w:tc>
      </w:tr>
      <w:tr>
        <w:trPr>
          <w:trHeight w:val="216"/>
        </w:trPr>
        <w:tc>
          <w:tcPr>
            <w:tcW w:w="2980" w:type="dxa"/>
            <w:vAlign w:val="bottom"/>
          </w:tcPr>
          <w:p>
            <w:pPr>
              <w:ind w:left="20"/>
              <w:spacing w:after="0"/>
              <w:rPr>
                <w:sz w:val="20"/>
                <w:szCs w:val="20"/>
                <w:color w:val="auto"/>
              </w:rPr>
            </w:pPr>
            <w:r>
              <w:rPr>
                <w:rFonts w:ascii="Arial" w:cs="Arial" w:eastAsia="Arial" w:hAnsi="Arial"/>
                <w:sz w:val="18"/>
                <w:szCs w:val="18"/>
                <w:color w:val="auto"/>
              </w:rPr>
              <w:t>Peter J. Federico</w:t>
            </w:r>
          </w:p>
        </w:tc>
        <w:tc>
          <w:tcPr>
            <w:tcW w:w="8040" w:type="dxa"/>
            <w:vAlign w:val="bottom"/>
          </w:tcPr>
          <w:p>
            <w:pPr>
              <w:jc w:val="center"/>
              <w:ind w:right="270"/>
              <w:spacing w:after="0"/>
              <w:rPr>
                <w:sz w:val="20"/>
                <w:szCs w:val="20"/>
                <w:color w:val="auto"/>
              </w:rPr>
            </w:pPr>
            <w:r>
              <w:rPr>
                <w:rFonts w:ascii="Arial" w:cs="Arial" w:eastAsia="Arial" w:hAnsi="Arial"/>
                <w:sz w:val="18"/>
                <w:szCs w:val="18"/>
                <w:color w:val="auto"/>
                <w:w w:val="92"/>
              </w:rPr>
              <w:t>Executive Vice President and Chief Financial Officer*</w:t>
            </w:r>
          </w:p>
        </w:tc>
      </w:tr>
      <w:tr>
        <w:trPr>
          <w:trHeight w:val="216"/>
        </w:trPr>
        <w:tc>
          <w:tcPr>
            <w:tcW w:w="2980" w:type="dxa"/>
            <w:vAlign w:val="bottom"/>
          </w:tcPr>
          <w:p>
            <w:pPr>
              <w:ind w:left="20"/>
              <w:spacing w:after="0"/>
              <w:rPr>
                <w:sz w:val="20"/>
                <w:szCs w:val="20"/>
                <w:color w:val="auto"/>
              </w:rPr>
            </w:pPr>
            <w:r>
              <w:rPr>
                <w:rFonts w:ascii="Arial" w:cs="Arial" w:eastAsia="Arial" w:hAnsi="Arial"/>
                <w:sz w:val="18"/>
                <w:szCs w:val="18"/>
                <w:color w:val="auto"/>
              </w:rPr>
              <w:t>Christopher J. Kuehl</w:t>
            </w:r>
          </w:p>
        </w:tc>
        <w:tc>
          <w:tcPr>
            <w:tcW w:w="8040" w:type="dxa"/>
            <w:vAlign w:val="bottom"/>
          </w:tcPr>
          <w:p>
            <w:pPr>
              <w:jc w:val="center"/>
              <w:ind w:right="290"/>
              <w:spacing w:after="0"/>
              <w:rPr>
                <w:sz w:val="20"/>
                <w:szCs w:val="20"/>
                <w:color w:val="auto"/>
              </w:rPr>
            </w:pPr>
            <w:r>
              <w:rPr>
                <w:rFonts w:ascii="Arial" w:cs="Arial" w:eastAsia="Arial" w:hAnsi="Arial"/>
                <w:sz w:val="18"/>
                <w:szCs w:val="18"/>
                <w:color w:val="auto"/>
                <w:w w:val="91"/>
              </w:rPr>
              <w:t>Executive Vice President, Agency Portfolio Investments</w:t>
            </w:r>
          </w:p>
        </w:tc>
      </w:tr>
      <w:tr>
        <w:trPr>
          <w:trHeight w:val="216"/>
        </w:trPr>
        <w:tc>
          <w:tcPr>
            <w:tcW w:w="2980" w:type="dxa"/>
            <w:vAlign w:val="bottom"/>
          </w:tcPr>
          <w:p>
            <w:pPr>
              <w:ind w:left="20"/>
              <w:spacing w:after="0"/>
              <w:rPr>
                <w:sz w:val="20"/>
                <w:szCs w:val="20"/>
                <w:color w:val="auto"/>
              </w:rPr>
            </w:pPr>
            <w:r>
              <w:rPr>
                <w:rFonts w:ascii="Arial" w:cs="Arial" w:eastAsia="Arial" w:hAnsi="Arial"/>
                <w:sz w:val="18"/>
                <w:szCs w:val="18"/>
                <w:color w:val="auto"/>
              </w:rPr>
              <w:t>Aaron J. Pas</w:t>
            </w:r>
          </w:p>
        </w:tc>
        <w:tc>
          <w:tcPr>
            <w:tcW w:w="8040" w:type="dxa"/>
            <w:vAlign w:val="bottom"/>
          </w:tcPr>
          <w:p>
            <w:pPr>
              <w:jc w:val="center"/>
              <w:ind w:right="290"/>
              <w:spacing w:after="0"/>
              <w:rPr>
                <w:sz w:val="20"/>
                <w:szCs w:val="20"/>
                <w:color w:val="auto"/>
              </w:rPr>
            </w:pPr>
            <w:r>
              <w:rPr>
                <w:rFonts w:ascii="Arial" w:cs="Arial" w:eastAsia="Arial" w:hAnsi="Arial"/>
                <w:sz w:val="18"/>
                <w:szCs w:val="18"/>
                <w:color w:val="auto"/>
                <w:w w:val="91"/>
              </w:rPr>
              <w:t>Senior Vice President, Non-Agency Portfolio Investments</w:t>
            </w:r>
          </w:p>
        </w:tc>
      </w:tr>
      <w:tr>
        <w:trPr>
          <w:trHeight w:val="230"/>
        </w:trPr>
        <w:tc>
          <w:tcPr>
            <w:tcW w:w="2980" w:type="dxa"/>
            <w:vAlign w:val="bottom"/>
          </w:tcPr>
          <w:p>
            <w:pPr>
              <w:ind w:left="20"/>
              <w:spacing w:after="0"/>
              <w:rPr>
                <w:sz w:val="20"/>
                <w:szCs w:val="20"/>
                <w:color w:val="auto"/>
              </w:rPr>
            </w:pPr>
            <w:r>
              <w:rPr>
                <w:rFonts w:ascii="Arial" w:cs="Arial" w:eastAsia="Arial" w:hAnsi="Arial"/>
                <w:sz w:val="18"/>
                <w:szCs w:val="18"/>
                <w:color w:val="auto"/>
              </w:rPr>
              <w:t>Kenneth L. Pollack</w:t>
            </w:r>
          </w:p>
        </w:tc>
        <w:tc>
          <w:tcPr>
            <w:tcW w:w="8040" w:type="dxa"/>
            <w:vAlign w:val="bottom"/>
          </w:tcPr>
          <w:p>
            <w:pPr>
              <w:ind w:left="2180"/>
              <w:spacing w:after="0"/>
              <w:rPr>
                <w:sz w:val="20"/>
                <w:szCs w:val="20"/>
                <w:color w:val="auto"/>
              </w:rPr>
            </w:pPr>
            <w:r>
              <w:rPr>
                <w:rFonts w:ascii="Arial" w:cs="Arial" w:eastAsia="Arial" w:hAnsi="Arial"/>
                <w:sz w:val="18"/>
                <w:szCs w:val="18"/>
                <w:color w:val="auto"/>
                <w:w w:val="90"/>
              </w:rPr>
              <w:t>Senior Vice President, General Counsel, Chief Compliance Officer and Secretary</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240030</wp:posOffset>
            </wp:positionV>
            <wp:extent cx="2444115" cy="889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2444115" cy="8890"/>
                    </a:xfrm>
                    <a:prstGeom prst="rect">
                      <a:avLst/>
                    </a:prstGeom>
                    <a:noFill/>
                  </pic:spPr>
                </pic:pic>
              </a:graphicData>
            </a:graphic>
          </wp:anchor>
        </w:drawing>
      </w:r>
    </w:p>
    <w:p>
      <w:pPr>
        <w:spacing w:after="0" w:line="393" w:lineRule="exact"/>
        <w:rPr>
          <w:sz w:val="20"/>
          <w:szCs w:val="20"/>
          <w:color w:val="auto"/>
        </w:rPr>
      </w:pPr>
    </w:p>
    <w:p>
      <w:pPr>
        <w:ind w:left="860" w:right="560" w:hanging="656"/>
        <w:spacing w:after="0" w:line="253" w:lineRule="auto"/>
        <w:tabs>
          <w:tab w:leader="none" w:pos="860" w:val="left"/>
        </w:tabs>
        <w:numPr>
          <w:ilvl w:val="0"/>
          <w:numId w:val="30"/>
        </w:numPr>
        <w:rPr>
          <w:rFonts w:ascii="Arial" w:cs="Arial" w:eastAsia="Arial" w:hAnsi="Arial"/>
          <w:sz w:val="14"/>
          <w:szCs w:val="14"/>
          <w:color w:val="auto"/>
        </w:rPr>
      </w:pPr>
      <w:r>
        <w:rPr>
          <w:rFonts w:ascii="Arial" w:cs="Arial" w:eastAsia="Arial" w:hAnsi="Arial"/>
          <w:sz w:val="14"/>
          <w:szCs w:val="14"/>
          <w:color w:val="auto"/>
        </w:rPr>
        <w:t>Mr. Federico was appointed to the office of President and Chief Operating Officer on December 12, 2017, effective as of March 31, 2018. Mr. Kain will serve as our Chief Executive Officer and Chief Investment Officer effective March 31, 2018.</w:t>
      </w:r>
    </w:p>
    <w:p>
      <w:pPr>
        <w:spacing w:after="0" w:line="106" w:lineRule="exact"/>
        <w:rPr>
          <w:sz w:val="20"/>
          <w:szCs w:val="20"/>
          <w:color w:val="auto"/>
        </w:rPr>
      </w:pPr>
    </w:p>
    <w:p>
      <w:pPr>
        <w:jc w:val="right"/>
        <w:ind w:right="20"/>
        <w:spacing w:after="0"/>
        <w:tabs>
          <w:tab w:leader="none" w:pos="1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35</w:t>
      </w:r>
    </w:p>
    <w:p>
      <w:pPr>
        <w:sectPr>
          <w:pgSz w:w="11900" w:h="16838" w:orient="portrait"/>
          <w:cols w:equalWidth="0" w:num="1">
            <w:col w:w="11240"/>
          </w:cols>
          <w:pgMar w:left="240" w:top="459" w:right="419" w:bottom="1440" w:gutter="0" w:footer="0" w:header="0"/>
        </w:sectPr>
      </w:pPr>
    </w:p>
    <w:bookmarkStart w:id="39" w:name="page40"/>
    <w:bookmarkEnd w:id="3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Compensation Philosophy and Objectives</w:t>
      </w:r>
    </w:p>
    <w:p>
      <w:pPr>
        <w:spacing w:after="0" w:line="121" w:lineRule="exact"/>
        <w:rPr>
          <w:sz w:val="20"/>
          <w:szCs w:val="20"/>
          <w:color w:val="auto"/>
        </w:rPr>
      </w:pPr>
    </w:p>
    <w:p>
      <w:pPr>
        <w:ind w:left="200" w:right="260" w:firstLine="771"/>
        <w:spacing w:after="0" w:line="276" w:lineRule="auto"/>
        <w:rPr>
          <w:sz w:val="20"/>
          <w:szCs w:val="20"/>
          <w:color w:val="auto"/>
        </w:rPr>
      </w:pPr>
      <w:r>
        <w:rPr>
          <w:rFonts w:ascii="Arial" w:cs="Arial" w:eastAsia="Arial" w:hAnsi="Arial"/>
          <w:sz w:val="17"/>
          <w:szCs w:val="17"/>
          <w:color w:val="auto"/>
        </w:rPr>
        <w:t>We believe that our continued success depends on creating, implementing, and maintaining an appropriate and competitive compensation program that incentivizes our key employees both in the short- and long-term. We also believe that as an internally-managed public company, our compensation program should align the interests of our executive officers and other employees with those of our stockholders. We provide compensation in the forms and at levels that we believe will allow us to retain and motivate our existing executives and will enable us to attract new executives with the skills and attributes that we need to deliver outstanding stockholder value.</w:t>
      </w:r>
    </w:p>
    <w:p>
      <w:pPr>
        <w:spacing w:after="0" w:line="173"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What We Do; What We Don’t Do</w:t>
      </w:r>
    </w:p>
    <w:p>
      <w:pPr>
        <w:spacing w:after="0" w:line="117" w:lineRule="exact"/>
        <w:rPr>
          <w:sz w:val="20"/>
          <w:szCs w:val="20"/>
          <w:color w:val="auto"/>
        </w:rPr>
      </w:pPr>
    </w:p>
    <w:p>
      <w:pPr>
        <w:ind w:left="200" w:right="560" w:firstLine="771"/>
        <w:spacing w:after="0" w:line="277" w:lineRule="auto"/>
        <w:rPr>
          <w:sz w:val="20"/>
          <w:szCs w:val="20"/>
          <w:color w:val="auto"/>
        </w:rPr>
      </w:pPr>
      <w:r>
        <w:rPr>
          <w:rFonts w:ascii="Arial" w:cs="Arial" w:eastAsia="Arial" w:hAnsi="Arial"/>
          <w:sz w:val="18"/>
          <w:szCs w:val="18"/>
          <w:color w:val="auto"/>
        </w:rPr>
        <w:t>Below are certain important aspects of our compensation programs and practices, which we believe illustrate the alignment of NEOs’ compensation with the interests of our stockholders.</w:t>
      </w:r>
    </w:p>
    <w:p>
      <w:pPr>
        <w:spacing w:after="0" w:line="170"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What We Do</w:t>
      </w:r>
    </w:p>
    <w:p>
      <w:pPr>
        <w:spacing w:after="0" w:line="127" w:lineRule="exact"/>
        <w:rPr>
          <w:sz w:val="20"/>
          <w:szCs w:val="20"/>
          <w:color w:val="auto"/>
        </w:rPr>
      </w:pPr>
    </w:p>
    <w:p>
      <w:pPr>
        <w:ind w:left="960" w:hanging="432"/>
        <w:spacing w:after="0"/>
        <w:tabs>
          <w:tab w:leader="none" w:pos="960" w:val="left"/>
        </w:tabs>
        <w:numPr>
          <w:ilvl w:val="0"/>
          <w:numId w:val="31"/>
        </w:numPr>
        <w:rPr>
          <w:rFonts w:ascii="MS PGothic" w:cs="MS PGothic" w:eastAsia="MS PGothic" w:hAnsi="MS PGothic"/>
          <w:sz w:val="18"/>
          <w:szCs w:val="18"/>
          <w:color w:val="auto"/>
        </w:rPr>
      </w:pPr>
      <w:r>
        <w:rPr>
          <w:rFonts w:ascii="Arial" w:cs="Arial" w:eastAsia="Arial" w:hAnsi="Arial"/>
          <w:sz w:val="18"/>
          <w:szCs w:val="18"/>
          <w:b w:val="1"/>
          <w:bCs w:val="1"/>
          <w:color w:val="auto"/>
        </w:rPr>
        <w:t>Focus on retention of a high-performing team</w:t>
      </w:r>
    </w:p>
    <w:p>
      <w:pPr>
        <w:spacing w:after="0" w:line="29" w:lineRule="exact"/>
        <w:rPr>
          <w:rFonts w:ascii="MS PGothic" w:cs="MS PGothic" w:eastAsia="MS PGothic" w:hAnsi="MS PGothic"/>
          <w:sz w:val="18"/>
          <w:szCs w:val="18"/>
          <w:color w:val="auto"/>
        </w:rPr>
      </w:pPr>
    </w:p>
    <w:p>
      <w:pPr>
        <w:ind w:left="960" w:hanging="432"/>
        <w:spacing w:after="0"/>
        <w:tabs>
          <w:tab w:leader="none" w:pos="960" w:val="left"/>
        </w:tabs>
        <w:numPr>
          <w:ilvl w:val="0"/>
          <w:numId w:val="31"/>
        </w:numPr>
        <w:rPr>
          <w:rFonts w:ascii="MS PGothic" w:cs="MS PGothic" w:eastAsia="MS PGothic" w:hAnsi="MS PGothic"/>
          <w:sz w:val="18"/>
          <w:szCs w:val="18"/>
          <w:color w:val="auto"/>
        </w:rPr>
      </w:pPr>
      <w:r>
        <w:rPr>
          <w:rFonts w:ascii="Arial" w:cs="Arial" w:eastAsia="Arial" w:hAnsi="Arial"/>
          <w:sz w:val="18"/>
          <w:szCs w:val="18"/>
          <w:b w:val="1"/>
          <w:bCs w:val="1"/>
          <w:color w:val="auto"/>
        </w:rPr>
        <w:t>Compensate based upon performance</w:t>
      </w:r>
    </w:p>
    <w:p>
      <w:pPr>
        <w:spacing w:after="0" w:line="9" w:lineRule="exact"/>
        <w:rPr>
          <w:rFonts w:ascii="MS PGothic" w:cs="MS PGothic" w:eastAsia="MS PGothic" w:hAnsi="MS PGothic"/>
          <w:sz w:val="18"/>
          <w:szCs w:val="18"/>
          <w:color w:val="auto"/>
        </w:rPr>
      </w:pPr>
    </w:p>
    <w:p>
      <w:pPr>
        <w:ind w:left="960" w:hanging="432"/>
        <w:spacing w:after="0"/>
        <w:tabs>
          <w:tab w:leader="none" w:pos="960" w:val="left"/>
        </w:tabs>
        <w:numPr>
          <w:ilvl w:val="0"/>
          <w:numId w:val="31"/>
        </w:numPr>
        <w:rPr>
          <w:rFonts w:ascii="MS PGothic" w:cs="MS PGothic" w:eastAsia="MS PGothic" w:hAnsi="MS PGothic"/>
          <w:sz w:val="18"/>
          <w:szCs w:val="18"/>
          <w:color w:val="auto"/>
        </w:rPr>
      </w:pPr>
      <w:r>
        <w:rPr>
          <w:rFonts w:ascii="Arial" w:cs="Arial" w:eastAsia="Arial" w:hAnsi="Arial"/>
          <w:sz w:val="18"/>
          <w:szCs w:val="18"/>
          <w:b w:val="1"/>
          <w:bCs w:val="1"/>
          <w:color w:val="auto"/>
        </w:rPr>
        <w:t>Align executive and stockholder interests</w:t>
      </w:r>
    </w:p>
    <w:p>
      <w:pPr>
        <w:spacing w:after="0" w:line="9" w:lineRule="exact"/>
        <w:rPr>
          <w:rFonts w:ascii="MS PGothic" w:cs="MS PGothic" w:eastAsia="MS PGothic" w:hAnsi="MS PGothic"/>
          <w:sz w:val="18"/>
          <w:szCs w:val="18"/>
          <w:color w:val="auto"/>
        </w:rPr>
      </w:pPr>
    </w:p>
    <w:p>
      <w:pPr>
        <w:ind w:left="960" w:hanging="432"/>
        <w:spacing w:after="0"/>
        <w:tabs>
          <w:tab w:leader="none" w:pos="960" w:val="left"/>
        </w:tabs>
        <w:numPr>
          <w:ilvl w:val="0"/>
          <w:numId w:val="31"/>
        </w:numPr>
        <w:rPr>
          <w:rFonts w:ascii="MS PGothic" w:cs="MS PGothic" w:eastAsia="MS PGothic" w:hAnsi="MS PGothic"/>
          <w:sz w:val="18"/>
          <w:szCs w:val="18"/>
          <w:color w:val="auto"/>
        </w:rPr>
      </w:pPr>
      <w:r>
        <w:rPr>
          <w:rFonts w:ascii="Arial" w:cs="Arial" w:eastAsia="Arial" w:hAnsi="Arial"/>
          <w:sz w:val="18"/>
          <w:szCs w:val="18"/>
          <w:b w:val="1"/>
          <w:bCs w:val="1"/>
          <w:color w:val="auto"/>
        </w:rPr>
        <w:t>Strive to have the lowest operating cost structure in the industry</w:t>
      </w:r>
    </w:p>
    <w:p>
      <w:pPr>
        <w:spacing w:after="0" w:line="9" w:lineRule="exact"/>
        <w:rPr>
          <w:rFonts w:ascii="MS PGothic" w:cs="MS PGothic" w:eastAsia="MS PGothic" w:hAnsi="MS PGothic"/>
          <w:sz w:val="18"/>
          <w:szCs w:val="18"/>
          <w:color w:val="auto"/>
        </w:rPr>
      </w:pPr>
    </w:p>
    <w:p>
      <w:pPr>
        <w:ind w:left="960" w:hanging="432"/>
        <w:spacing w:after="0"/>
        <w:tabs>
          <w:tab w:leader="none" w:pos="960" w:val="left"/>
        </w:tabs>
        <w:numPr>
          <w:ilvl w:val="0"/>
          <w:numId w:val="31"/>
        </w:numPr>
        <w:rPr>
          <w:rFonts w:ascii="MS PGothic" w:cs="MS PGothic" w:eastAsia="MS PGothic" w:hAnsi="MS PGothic"/>
          <w:sz w:val="18"/>
          <w:szCs w:val="18"/>
          <w:color w:val="auto"/>
        </w:rPr>
      </w:pPr>
      <w:r>
        <w:rPr>
          <w:rFonts w:ascii="Arial" w:cs="Arial" w:eastAsia="Arial" w:hAnsi="Arial"/>
          <w:sz w:val="18"/>
          <w:szCs w:val="18"/>
          <w:b w:val="1"/>
          <w:bCs w:val="1"/>
          <w:color w:val="auto"/>
        </w:rPr>
        <w:t>Maintain stock ownership guidelines for our most senior NEOs</w:t>
      </w:r>
    </w:p>
    <w:p>
      <w:pPr>
        <w:spacing w:after="0" w:line="9" w:lineRule="exact"/>
        <w:rPr>
          <w:rFonts w:ascii="MS PGothic" w:cs="MS PGothic" w:eastAsia="MS PGothic" w:hAnsi="MS PGothic"/>
          <w:sz w:val="18"/>
          <w:szCs w:val="18"/>
          <w:color w:val="auto"/>
        </w:rPr>
      </w:pPr>
    </w:p>
    <w:p>
      <w:pPr>
        <w:ind w:left="960" w:hanging="432"/>
        <w:spacing w:after="0"/>
        <w:tabs>
          <w:tab w:leader="none" w:pos="960" w:val="left"/>
        </w:tabs>
        <w:numPr>
          <w:ilvl w:val="0"/>
          <w:numId w:val="31"/>
        </w:numPr>
        <w:rPr>
          <w:rFonts w:ascii="MS PGothic" w:cs="MS PGothic" w:eastAsia="MS PGothic" w:hAnsi="MS PGothic"/>
          <w:sz w:val="18"/>
          <w:szCs w:val="18"/>
          <w:color w:val="auto"/>
        </w:rPr>
      </w:pPr>
      <w:r>
        <w:rPr>
          <w:rFonts w:ascii="Arial" w:cs="Arial" w:eastAsia="Arial" w:hAnsi="Arial"/>
          <w:sz w:val="18"/>
          <w:szCs w:val="18"/>
          <w:b w:val="1"/>
          <w:bCs w:val="1"/>
          <w:color w:val="auto"/>
        </w:rPr>
        <w:t>Engage an independent compensation consultant</w:t>
      </w:r>
    </w:p>
    <w:p>
      <w:pPr>
        <w:spacing w:after="0" w:line="9" w:lineRule="exact"/>
        <w:rPr>
          <w:rFonts w:ascii="MS PGothic" w:cs="MS PGothic" w:eastAsia="MS PGothic" w:hAnsi="MS PGothic"/>
          <w:sz w:val="18"/>
          <w:szCs w:val="18"/>
          <w:color w:val="auto"/>
        </w:rPr>
      </w:pPr>
    </w:p>
    <w:p>
      <w:pPr>
        <w:ind w:left="960" w:hanging="432"/>
        <w:spacing w:after="0"/>
        <w:tabs>
          <w:tab w:leader="none" w:pos="960" w:val="left"/>
        </w:tabs>
        <w:numPr>
          <w:ilvl w:val="0"/>
          <w:numId w:val="31"/>
        </w:numPr>
        <w:rPr>
          <w:rFonts w:ascii="MS PGothic" w:cs="MS PGothic" w:eastAsia="MS PGothic" w:hAnsi="MS PGothic"/>
          <w:sz w:val="18"/>
          <w:szCs w:val="18"/>
          <w:color w:val="auto"/>
        </w:rPr>
      </w:pPr>
      <w:r>
        <w:rPr>
          <w:rFonts w:ascii="Arial" w:cs="Arial" w:eastAsia="Arial" w:hAnsi="Arial"/>
          <w:sz w:val="18"/>
          <w:szCs w:val="18"/>
          <w:b w:val="1"/>
          <w:bCs w:val="1"/>
          <w:color w:val="auto"/>
        </w:rPr>
        <w:t>Maintain a clawback policy</w:t>
      </w:r>
    </w:p>
    <w:p>
      <w:pPr>
        <w:spacing w:after="0" w:line="9" w:lineRule="exact"/>
        <w:rPr>
          <w:rFonts w:ascii="MS PGothic" w:cs="MS PGothic" w:eastAsia="MS PGothic" w:hAnsi="MS PGothic"/>
          <w:sz w:val="18"/>
          <w:szCs w:val="18"/>
          <w:color w:val="auto"/>
        </w:rPr>
      </w:pPr>
    </w:p>
    <w:p>
      <w:pPr>
        <w:ind w:left="980" w:right="5540" w:hanging="452"/>
        <w:spacing w:after="0" w:line="372" w:lineRule="auto"/>
        <w:tabs>
          <w:tab w:leader="none" w:pos="965" w:val="left"/>
        </w:tabs>
        <w:numPr>
          <w:ilvl w:val="0"/>
          <w:numId w:val="31"/>
        </w:numPr>
        <w:rPr>
          <w:rFonts w:ascii="MS PGothic" w:cs="MS PGothic" w:eastAsia="MS PGothic" w:hAnsi="MS PGothic"/>
          <w:sz w:val="18"/>
          <w:szCs w:val="18"/>
          <w:color w:val="auto"/>
        </w:rPr>
      </w:pPr>
      <w:r>
        <w:rPr>
          <w:rFonts w:ascii="Arial" w:cs="Arial" w:eastAsia="Arial" w:hAnsi="Arial"/>
          <w:sz w:val="18"/>
          <w:szCs w:val="18"/>
          <w:b w:val="1"/>
          <w:bCs w:val="1"/>
          <w:color w:val="auto"/>
        </w:rPr>
        <w:t xml:space="preserve">Conduct an annual advisory vote on executive compensation </w:t>
      </w:r>
      <w:r>
        <w:rPr>
          <w:rFonts w:ascii="Arial" w:cs="Arial" w:eastAsia="Arial" w:hAnsi="Arial"/>
          <w:sz w:val="18"/>
          <w:szCs w:val="18"/>
          <w:i w:val="1"/>
          <w:iCs w:val="1"/>
          <w:color w:val="407CCA"/>
        </w:rPr>
        <w:t>What We Don’t Do</w:t>
      </w:r>
    </w:p>
    <w:p>
      <w:pPr>
        <w:ind w:left="960" w:hanging="432"/>
        <w:spacing w:after="0"/>
        <w:tabs>
          <w:tab w:leader="none" w:pos="960" w:val="left"/>
        </w:tabs>
        <w:numPr>
          <w:ilvl w:val="0"/>
          <w:numId w:val="32"/>
        </w:numPr>
        <w:rPr>
          <w:rFonts w:ascii="Arial" w:cs="Arial" w:eastAsia="Arial" w:hAnsi="Arial"/>
          <w:sz w:val="18"/>
          <w:szCs w:val="18"/>
          <w:b w:val="1"/>
          <w:bCs w:val="1"/>
          <w:i w:val="1"/>
          <w:iCs w:val="1"/>
          <w:color w:val="auto"/>
        </w:rPr>
      </w:pPr>
      <w:r>
        <w:rPr>
          <w:rFonts w:ascii="Arial" w:cs="Arial" w:eastAsia="Arial" w:hAnsi="Arial"/>
          <w:sz w:val="18"/>
          <w:szCs w:val="18"/>
          <w:b w:val="1"/>
          <w:bCs w:val="1"/>
          <w:color w:val="auto"/>
        </w:rPr>
        <w:t>No pay based on a percentage of equity assets under management</w:t>
      </w:r>
    </w:p>
    <w:p>
      <w:pPr>
        <w:spacing w:after="0" w:line="27" w:lineRule="exact"/>
        <w:rPr>
          <w:rFonts w:ascii="Arial" w:cs="Arial" w:eastAsia="Arial" w:hAnsi="Arial"/>
          <w:sz w:val="18"/>
          <w:szCs w:val="18"/>
          <w:b w:val="1"/>
          <w:bCs w:val="1"/>
          <w:i w:val="1"/>
          <w:iCs w:val="1"/>
          <w:color w:val="auto"/>
        </w:rPr>
      </w:pPr>
    </w:p>
    <w:p>
      <w:pPr>
        <w:ind w:left="960" w:hanging="432"/>
        <w:spacing w:after="0"/>
        <w:tabs>
          <w:tab w:leader="none" w:pos="960" w:val="left"/>
        </w:tabs>
        <w:numPr>
          <w:ilvl w:val="0"/>
          <w:numId w:val="32"/>
        </w:numPr>
        <w:rPr>
          <w:rFonts w:ascii="Arial" w:cs="Arial" w:eastAsia="Arial" w:hAnsi="Arial"/>
          <w:sz w:val="18"/>
          <w:szCs w:val="18"/>
          <w:b w:val="1"/>
          <w:bCs w:val="1"/>
          <w:i w:val="1"/>
          <w:iCs w:val="1"/>
          <w:color w:val="auto"/>
        </w:rPr>
      </w:pPr>
      <w:r>
        <w:rPr>
          <w:rFonts w:ascii="Arial" w:cs="Arial" w:eastAsia="Arial" w:hAnsi="Arial"/>
          <w:sz w:val="18"/>
          <w:szCs w:val="18"/>
          <w:b w:val="1"/>
          <w:bCs w:val="1"/>
          <w:color w:val="auto"/>
        </w:rPr>
        <w:t>No tax gross-ups</w:t>
      </w:r>
    </w:p>
    <w:p>
      <w:pPr>
        <w:spacing w:after="0" w:line="9" w:lineRule="exact"/>
        <w:rPr>
          <w:rFonts w:ascii="Arial" w:cs="Arial" w:eastAsia="Arial" w:hAnsi="Arial"/>
          <w:sz w:val="18"/>
          <w:szCs w:val="18"/>
          <w:b w:val="1"/>
          <w:bCs w:val="1"/>
          <w:i w:val="1"/>
          <w:iCs w:val="1"/>
          <w:color w:val="auto"/>
        </w:rPr>
      </w:pPr>
    </w:p>
    <w:p>
      <w:pPr>
        <w:ind w:left="960" w:hanging="432"/>
        <w:spacing w:after="0"/>
        <w:tabs>
          <w:tab w:leader="none" w:pos="960" w:val="left"/>
        </w:tabs>
        <w:numPr>
          <w:ilvl w:val="0"/>
          <w:numId w:val="32"/>
        </w:numPr>
        <w:rPr>
          <w:rFonts w:ascii="Arial" w:cs="Arial" w:eastAsia="Arial" w:hAnsi="Arial"/>
          <w:sz w:val="18"/>
          <w:szCs w:val="18"/>
          <w:b w:val="1"/>
          <w:bCs w:val="1"/>
          <w:i w:val="1"/>
          <w:iCs w:val="1"/>
          <w:color w:val="auto"/>
        </w:rPr>
      </w:pPr>
      <w:r>
        <w:rPr>
          <w:rFonts w:ascii="Arial" w:cs="Arial" w:eastAsia="Arial" w:hAnsi="Arial"/>
          <w:sz w:val="18"/>
          <w:szCs w:val="18"/>
          <w:b w:val="1"/>
          <w:bCs w:val="1"/>
          <w:color w:val="auto"/>
        </w:rPr>
        <w:t>No special perquisites</w:t>
      </w:r>
    </w:p>
    <w:p>
      <w:pPr>
        <w:spacing w:after="0" w:line="9" w:lineRule="exact"/>
        <w:rPr>
          <w:rFonts w:ascii="Arial" w:cs="Arial" w:eastAsia="Arial" w:hAnsi="Arial"/>
          <w:sz w:val="18"/>
          <w:szCs w:val="18"/>
          <w:b w:val="1"/>
          <w:bCs w:val="1"/>
          <w:i w:val="1"/>
          <w:iCs w:val="1"/>
          <w:color w:val="auto"/>
        </w:rPr>
      </w:pPr>
    </w:p>
    <w:p>
      <w:pPr>
        <w:ind w:left="960" w:hanging="432"/>
        <w:spacing w:after="0"/>
        <w:tabs>
          <w:tab w:leader="none" w:pos="960" w:val="left"/>
        </w:tabs>
        <w:numPr>
          <w:ilvl w:val="0"/>
          <w:numId w:val="32"/>
        </w:numPr>
        <w:rPr>
          <w:rFonts w:ascii="Arial" w:cs="Arial" w:eastAsia="Arial" w:hAnsi="Arial"/>
          <w:sz w:val="18"/>
          <w:szCs w:val="18"/>
          <w:b w:val="1"/>
          <w:bCs w:val="1"/>
          <w:i w:val="1"/>
          <w:iCs w:val="1"/>
          <w:color w:val="auto"/>
        </w:rPr>
      </w:pPr>
      <w:r>
        <w:rPr>
          <w:rFonts w:ascii="Arial" w:cs="Arial" w:eastAsia="Arial" w:hAnsi="Arial"/>
          <w:sz w:val="18"/>
          <w:szCs w:val="18"/>
          <w:b w:val="1"/>
          <w:bCs w:val="1"/>
          <w:color w:val="auto"/>
        </w:rPr>
        <w:t>No supplemental retirement benefits</w:t>
      </w:r>
    </w:p>
    <w:p>
      <w:pPr>
        <w:spacing w:after="0" w:line="9" w:lineRule="exact"/>
        <w:rPr>
          <w:rFonts w:ascii="Arial" w:cs="Arial" w:eastAsia="Arial" w:hAnsi="Arial"/>
          <w:sz w:val="18"/>
          <w:szCs w:val="18"/>
          <w:b w:val="1"/>
          <w:bCs w:val="1"/>
          <w:i w:val="1"/>
          <w:iCs w:val="1"/>
          <w:color w:val="auto"/>
        </w:rPr>
      </w:pPr>
    </w:p>
    <w:p>
      <w:pPr>
        <w:ind w:left="960" w:hanging="432"/>
        <w:spacing w:after="0"/>
        <w:tabs>
          <w:tab w:leader="none" w:pos="960" w:val="left"/>
        </w:tabs>
        <w:numPr>
          <w:ilvl w:val="0"/>
          <w:numId w:val="32"/>
        </w:numPr>
        <w:rPr>
          <w:rFonts w:ascii="Arial" w:cs="Arial" w:eastAsia="Arial" w:hAnsi="Arial"/>
          <w:sz w:val="18"/>
          <w:szCs w:val="18"/>
          <w:b w:val="1"/>
          <w:bCs w:val="1"/>
          <w:i w:val="1"/>
          <w:iCs w:val="1"/>
          <w:color w:val="auto"/>
        </w:rPr>
      </w:pPr>
      <w:r>
        <w:rPr>
          <w:rFonts w:ascii="Arial" w:cs="Arial" w:eastAsia="Arial" w:hAnsi="Arial"/>
          <w:sz w:val="18"/>
          <w:szCs w:val="18"/>
          <w:b w:val="1"/>
          <w:bCs w:val="1"/>
          <w:color w:val="auto"/>
        </w:rPr>
        <w:t>No short selling or hedging Company stock</w:t>
      </w:r>
    </w:p>
    <w:p>
      <w:pPr>
        <w:spacing w:after="0" w:line="9" w:lineRule="exact"/>
        <w:rPr>
          <w:rFonts w:ascii="Arial" w:cs="Arial" w:eastAsia="Arial" w:hAnsi="Arial"/>
          <w:sz w:val="18"/>
          <w:szCs w:val="18"/>
          <w:b w:val="1"/>
          <w:bCs w:val="1"/>
          <w:i w:val="1"/>
          <w:iCs w:val="1"/>
          <w:color w:val="auto"/>
        </w:rPr>
      </w:pPr>
    </w:p>
    <w:p>
      <w:pPr>
        <w:ind w:left="960" w:hanging="432"/>
        <w:spacing w:after="0"/>
        <w:tabs>
          <w:tab w:leader="none" w:pos="960" w:val="left"/>
        </w:tabs>
        <w:numPr>
          <w:ilvl w:val="0"/>
          <w:numId w:val="32"/>
        </w:numPr>
        <w:rPr>
          <w:rFonts w:ascii="Arial" w:cs="Arial" w:eastAsia="Arial" w:hAnsi="Arial"/>
          <w:sz w:val="18"/>
          <w:szCs w:val="18"/>
          <w:b w:val="1"/>
          <w:bCs w:val="1"/>
          <w:i w:val="1"/>
          <w:iCs w:val="1"/>
          <w:color w:val="auto"/>
        </w:rPr>
      </w:pPr>
      <w:r>
        <w:rPr>
          <w:rFonts w:ascii="Arial" w:cs="Arial" w:eastAsia="Arial" w:hAnsi="Arial"/>
          <w:sz w:val="18"/>
          <w:szCs w:val="18"/>
          <w:b w:val="1"/>
          <w:bCs w:val="1"/>
          <w:color w:val="auto"/>
        </w:rPr>
        <w:t>No option grants below fair market value</w:t>
      </w:r>
    </w:p>
    <w:p>
      <w:pPr>
        <w:spacing w:after="0" w:line="9" w:lineRule="exact"/>
        <w:rPr>
          <w:rFonts w:ascii="Arial" w:cs="Arial" w:eastAsia="Arial" w:hAnsi="Arial"/>
          <w:sz w:val="18"/>
          <w:szCs w:val="18"/>
          <w:b w:val="1"/>
          <w:bCs w:val="1"/>
          <w:i w:val="1"/>
          <w:iCs w:val="1"/>
          <w:color w:val="auto"/>
        </w:rPr>
      </w:pPr>
    </w:p>
    <w:p>
      <w:pPr>
        <w:ind w:left="960" w:hanging="432"/>
        <w:spacing w:after="0"/>
        <w:tabs>
          <w:tab w:leader="none" w:pos="960" w:val="left"/>
        </w:tabs>
        <w:numPr>
          <w:ilvl w:val="0"/>
          <w:numId w:val="32"/>
        </w:numPr>
        <w:rPr>
          <w:rFonts w:ascii="Arial" w:cs="Arial" w:eastAsia="Arial" w:hAnsi="Arial"/>
          <w:sz w:val="18"/>
          <w:szCs w:val="18"/>
          <w:b w:val="1"/>
          <w:bCs w:val="1"/>
          <w:i w:val="1"/>
          <w:iCs w:val="1"/>
          <w:color w:val="auto"/>
        </w:rPr>
      </w:pPr>
      <w:r>
        <w:rPr>
          <w:rFonts w:ascii="Arial" w:cs="Arial" w:eastAsia="Arial" w:hAnsi="Arial"/>
          <w:sz w:val="18"/>
          <w:szCs w:val="18"/>
          <w:b w:val="1"/>
          <w:bCs w:val="1"/>
          <w:color w:val="auto"/>
        </w:rPr>
        <w:t>No repricing of stock options</w:t>
      </w:r>
    </w:p>
    <w:p>
      <w:pPr>
        <w:spacing w:after="0" w:line="9" w:lineRule="exact"/>
        <w:rPr>
          <w:rFonts w:ascii="Arial" w:cs="Arial" w:eastAsia="Arial" w:hAnsi="Arial"/>
          <w:sz w:val="18"/>
          <w:szCs w:val="18"/>
          <w:b w:val="1"/>
          <w:bCs w:val="1"/>
          <w:i w:val="1"/>
          <w:iCs w:val="1"/>
          <w:color w:val="auto"/>
        </w:rPr>
      </w:pPr>
    </w:p>
    <w:p>
      <w:pPr>
        <w:ind w:left="960" w:hanging="432"/>
        <w:spacing w:after="0"/>
        <w:tabs>
          <w:tab w:leader="none" w:pos="960" w:val="left"/>
        </w:tabs>
        <w:numPr>
          <w:ilvl w:val="0"/>
          <w:numId w:val="32"/>
        </w:numPr>
        <w:rPr>
          <w:rFonts w:ascii="Arial" w:cs="Arial" w:eastAsia="Arial" w:hAnsi="Arial"/>
          <w:sz w:val="18"/>
          <w:szCs w:val="18"/>
          <w:b w:val="1"/>
          <w:bCs w:val="1"/>
          <w:i w:val="1"/>
          <w:iCs w:val="1"/>
          <w:color w:val="auto"/>
        </w:rPr>
      </w:pPr>
      <w:r>
        <w:rPr>
          <w:rFonts w:ascii="Arial" w:cs="Arial" w:eastAsia="Arial" w:hAnsi="Arial"/>
          <w:sz w:val="18"/>
          <w:szCs w:val="18"/>
          <w:b w:val="1"/>
          <w:bCs w:val="1"/>
          <w:color w:val="auto"/>
        </w:rPr>
        <w:t>No “single-trigger” severance or vesting acceleration</w:t>
      </w:r>
    </w:p>
    <w:p>
      <w:pPr>
        <w:spacing w:after="0" w:line="99"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Determining Compensation</w:t>
      </w:r>
    </w:p>
    <w:p>
      <w:pPr>
        <w:spacing w:after="0" w:line="121"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Role of the Compensation and Corporate Governance Committee</w:t>
      </w:r>
    </w:p>
    <w:p>
      <w:pPr>
        <w:spacing w:after="0" w:line="117" w:lineRule="exact"/>
        <w:rPr>
          <w:sz w:val="20"/>
          <w:szCs w:val="20"/>
          <w:color w:val="auto"/>
        </w:rPr>
      </w:pPr>
    </w:p>
    <w:p>
      <w:pPr>
        <w:ind w:left="200" w:firstLine="771"/>
        <w:spacing w:after="0" w:line="271" w:lineRule="auto"/>
        <w:rPr>
          <w:sz w:val="20"/>
          <w:szCs w:val="20"/>
          <w:color w:val="auto"/>
        </w:rPr>
      </w:pPr>
      <w:r>
        <w:rPr>
          <w:rFonts w:ascii="Arial" w:cs="Arial" w:eastAsia="Arial" w:hAnsi="Arial"/>
          <w:sz w:val="17"/>
          <w:szCs w:val="17"/>
          <w:color w:val="auto"/>
        </w:rPr>
        <w:t>Our Compensation Committee, which is comprised entirely of independent directors, is responsible for establishing and overseeing our philosophy regarding executive compensation and makes all decisions relating to the compensation of our NEOs. The Compensation Committee is also responsible for ensuring that the total compensation offered to our executive officers is fair, competitive, and motivates high performance. The terms of any employment agreements with our NEOs and actions on compensation under the employment agreements are also under the primary direction of the Compensation Committee. As required by its charter, the Compensation Committee periodically reviews the Company’s compensation policies and programs and makes any modifications that the Committee deems necessary or advisable, subject to the terms of such policies or programs. The Compensation Committee also annually reviews and approves the Company’s goals and objectives relevant to the compensation of the NEOs and other employees of the Company. Our Compensation</w:t>
      </w:r>
    </w:p>
    <w:p>
      <w:pPr>
        <w:spacing w:after="0" w:line="107"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36</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40"/>
          </w:cols>
          <w:pgMar w:left="240" w:top="459" w:right="519" w:bottom="1440" w:gutter="0" w:footer="0" w:header="0"/>
        </w:sectPr>
      </w:pPr>
    </w:p>
    <w:bookmarkStart w:id="40" w:name="page41"/>
    <w:bookmarkEnd w:id="4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200" w:right="440"/>
        <w:spacing w:after="0" w:line="277" w:lineRule="auto"/>
        <w:rPr>
          <w:sz w:val="20"/>
          <w:szCs w:val="20"/>
          <w:color w:val="auto"/>
        </w:rPr>
      </w:pPr>
      <w:r>
        <w:rPr>
          <w:rFonts w:ascii="Arial" w:cs="Arial" w:eastAsia="Arial" w:hAnsi="Arial"/>
          <w:sz w:val="18"/>
          <w:szCs w:val="18"/>
          <w:color w:val="auto"/>
        </w:rPr>
        <w:t>Committee focuses on implementing an overall compensation program that emphasizes retention of key personnel, pay based on performance, and alignment of interests with stockholders.</w:t>
      </w:r>
    </w:p>
    <w:p>
      <w:pPr>
        <w:spacing w:after="0" w:line="170"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Role of the Independent Compensation Consultant</w:t>
      </w:r>
    </w:p>
    <w:p>
      <w:pPr>
        <w:spacing w:after="0" w:line="117" w:lineRule="exact"/>
        <w:rPr>
          <w:sz w:val="20"/>
          <w:szCs w:val="20"/>
          <w:color w:val="auto"/>
        </w:rPr>
      </w:pPr>
    </w:p>
    <w:p>
      <w:pPr>
        <w:ind w:left="200" w:right="60" w:firstLine="771"/>
        <w:spacing w:after="0" w:line="253" w:lineRule="auto"/>
        <w:rPr>
          <w:sz w:val="20"/>
          <w:szCs w:val="20"/>
          <w:color w:val="auto"/>
        </w:rPr>
      </w:pPr>
      <w:r>
        <w:rPr>
          <w:rFonts w:ascii="Arial" w:cs="Arial" w:eastAsia="Arial" w:hAnsi="Arial"/>
          <w:sz w:val="18"/>
          <w:szCs w:val="18"/>
          <w:color w:val="auto"/>
        </w:rPr>
        <w:t xml:space="preserve">Under its charter, the Compensation Committee has the authority to select, retain, and terminate compensation consultants. In 2017, the Compensation Committee retained FW Cook to provide advice and counsel on executive compensation opportunities and program design and structure. Representatives of FW Cook attended certain meetings of the Compensation Committee, including meeting with members of the Compensation Committee without members of management present. FW Cook assisted the Compensation Committee in its analysis and evaluation of our initial executive compensation program, practices, and communications, and provided the Compensation Committee with certain market data and analysis of certain comparator companies who hire personnel and executives with similar skills and experience as our executive management team. FW Cook also provided assistance with our Corporate Scorecard, our long-term incentive awards, the setting of measures for performance-based incentive compensation, and other work that has informed executive compensation decisions. </w:t>
      </w:r>
      <w:r>
        <w:rPr>
          <w:rFonts w:ascii="Arial" w:cs="Arial" w:eastAsia="Arial" w:hAnsi="Arial"/>
          <w:sz w:val="18"/>
          <w:szCs w:val="18"/>
          <w:i w:val="1"/>
          <w:iCs w:val="1"/>
          <w:color w:val="auto"/>
        </w:rPr>
        <w:t>See</w:t>
      </w:r>
      <w:r>
        <w:rPr>
          <w:rFonts w:ascii="Arial" w:cs="Arial" w:eastAsia="Arial" w:hAnsi="Arial"/>
          <w:sz w:val="18"/>
          <w:szCs w:val="18"/>
          <w:color w:val="auto"/>
        </w:rPr>
        <w:t xml:space="preserve"> “Use of Peer Group Data” and “2017 Executive Compensation Decisions” below.</w:t>
      </w:r>
    </w:p>
    <w:p>
      <w:pPr>
        <w:spacing w:after="0" w:line="197"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Role of Management</w:t>
      </w:r>
    </w:p>
    <w:p>
      <w:pPr>
        <w:spacing w:after="0" w:line="117" w:lineRule="exact"/>
        <w:rPr>
          <w:sz w:val="20"/>
          <w:szCs w:val="20"/>
          <w:color w:val="auto"/>
        </w:rPr>
      </w:pPr>
    </w:p>
    <w:p>
      <w:pPr>
        <w:ind w:left="200" w:right="80" w:firstLine="771"/>
        <w:spacing w:after="0" w:line="272" w:lineRule="auto"/>
        <w:rPr>
          <w:sz w:val="20"/>
          <w:szCs w:val="20"/>
          <w:color w:val="auto"/>
        </w:rPr>
      </w:pPr>
      <w:r>
        <w:rPr>
          <w:rFonts w:ascii="Arial" w:cs="Arial" w:eastAsia="Arial" w:hAnsi="Arial"/>
          <w:sz w:val="17"/>
          <w:szCs w:val="17"/>
          <w:color w:val="auto"/>
        </w:rPr>
        <w:t>Our management provides material support to the Compensation Committee, but all compensation decisions related to our executive officers remain at the discretion of the Compensation Committee. The Compensation Committee considers the advice and counsel of the CEO when evaluating compensation of the other NEOs given his direct day-to-day working and supervisory relationship with those executives. Taking this feedback into consideration, the Compensation Committee engages in discussions and either determines the compensation of our NEOs or, at its option, makes a final recommendation to the Board of Directors related to compensation paid to NEOs, consistent with the requirements of their employment agreements where applicable. Our CEO is not present and does not participate in the portions of meetings of the Compensation Committee or of the Board of Directors at which his performance is evaluated and his compensation is discussed and determined.</w:t>
      </w:r>
    </w:p>
    <w:p>
      <w:pPr>
        <w:spacing w:after="0" w:line="106"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37</w:t>
      </w:r>
    </w:p>
    <w:p>
      <w:pPr>
        <w:sectPr>
          <w:pgSz w:w="11900" w:h="16838" w:orient="portrait"/>
          <w:cols w:equalWidth="0" w:num="1">
            <w:col w:w="11220"/>
          </w:cols>
          <w:pgMar w:left="240" w:top="459" w:right="439" w:bottom="1440" w:gutter="0" w:footer="0" w:header="0"/>
        </w:sectPr>
      </w:pPr>
    </w:p>
    <w:bookmarkStart w:id="41" w:name="page42"/>
    <w:bookmarkEnd w:id="4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Use of Peer Group Data</w:t>
      </w:r>
    </w:p>
    <w:p>
      <w:pPr>
        <w:spacing w:after="0" w:line="117" w:lineRule="exact"/>
        <w:rPr>
          <w:sz w:val="20"/>
          <w:szCs w:val="20"/>
          <w:color w:val="auto"/>
        </w:rPr>
      </w:pPr>
    </w:p>
    <w:p>
      <w:pPr>
        <w:ind w:left="200" w:right="100" w:firstLine="771"/>
        <w:spacing w:after="0" w:line="257" w:lineRule="auto"/>
        <w:rPr>
          <w:sz w:val="20"/>
          <w:szCs w:val="20"/>
          <w:color w:val="auto"/>
        </w:rPr>
      </w:pPr>
      <w:r>
        <w:rPr>
          <w:rFonts w:ascii="Arial" w:cs="Arial" w:eastAsia="Arial" w:hAnsi="Arial"/>
          <w:sz w:val="18"/>
          <w:szCs w:val="18"/>
          <w:color w:val="auto"/>
        </w:rPr>
        <w:t>The Compensation Committee has not adopted a policy to benchmark compensation levels against comparative companies. However, the Compensation Committee, with the assistance of FW Cook, reviewed compensation levels and practices at the group of 19 companies listed below, solely to obtain a general understanding of current compensation practices. This comparator group includes several internally-managed publicly-traded mortgage REITs as well as 12 publicly-traded asset management companies and non-bank financial services companies deemed reasonably comparable to the Company.</w:t>
      </w:r>
    </w:p>
    <w:p>
      <w:pPr>
        <w:spacing w:after="0" w:line="210" w:lineRule="exact"/>
        <w:rPr>
          <w:sz w:val="20"/>
          <w:szCs w:val="20"/>
          <w:color w:val="auto"/>
        </w:rPr>
      </w:pPr>
    </w:p>
    <w:tbl>
      <w:tblPr>
        <w:tblLayout w:type="fixed"/>
        <w:tblInd w:w="220" w:type="dxa"/>
        <w:tblCellMar>
          <w:top w:w="0" w:type="dxa"/>
          <w:left w:w="0" w:type="dxa"/>
          <w:bottom w:w="0" w:type="dxa"/>
          <w:right w:w="0" w:type="dxa"/>
        </w:tblCellMar>
      </w:tblPr>
      <w:tr>
        <w:trPr>
          <w:trHeight w:val="230"/>
        </w:trPr>
        <w:tc>
          <w:tcPr>
            <w:tcW w:w="3760" w:type="dxa"/>
            <w:vAlign w:val="bottom"/>
            <w:tcBorders>
              <w:top w:val="single" w:sz="8" w:color="407CCA"/>
              <w:bottom w:val="single" w:sz="8" w:color="407CCA"/>
            </w:tcBorders>
          </w:tcPr>
          <w:p>
            <w:pPr>
              <w:ind w:left="80"/>
              <w:spacing w:after="0"/>
              <w:rPr>
                <w:sz w:val="20"/>
                <w:szCs w:val="20"/>
                <w:color w:val="auto"/>
              </w:rPr>
            </w:pPr>
            <w:r>
              <w:rPr>
                <w:rFonts w:ascii="Arial" w:cs="Arial" w:eastAsia="Arial" w:hAnsi="Arial"/>
                <w:sz w:val="18"/>
                <w:szCs w:val="18"/>
                <w:b w:val="1"/>
                <w:bCs w:val="1"/>
                <w:color w:val="auto"/>
              </w:rPr>
              <w:t>Mortgage REITs:</w:t>
            </w:r>
          </w:p>
        </w:tc>
        <w:tc>
          <w:tcPr>
            <w:tcW w:w="7260" w:type="dxa"/>
            <w:vAlign w:val="bottom"/>
            <w:tcBorders>
              <w:top w:val="single" w:sz="8" w:color="407CCA"/>
              <w:bottom w:val="single" w:sz="8" w:color="407CCA"/>
            </w:tcBorders>
          </w:tcPr>
          <w:p>
            <w:pPr>
              <w:ind w:left="1300"/>
              <w:spacing w:after="0"/>
              <w:rPr>
                <w:sz w:val="20"/>
                <w:szCs w:val="20"/>
                <w:color w:val="auto"/>
              </w:rPr>
            </w:pPr>
            <w:r>
              <w:rPr>
                <w:rFonts w:ascii="Arial" w:cs="Arial" w:eastAsia="Arial" w:hAnsi="Arial"/>
                <w:sz w:val="18"/>
                <w:szCs w:val="18"/>
                <w:b w:val="1"/>
                <w:bCs w:val="1"/>
                <w:color w:val="auto"/>
              </w:rPr>
              <w:t>Asset Management and Financial Services Companies:</w:t>
            </w:r>
          </w:p>
        </w:tc>
      </w:tr>
      <w:tr>
        <w:trPr>
          <w:trHeight w:val="195"/>
        </w:trPr>
        <w:tc>
          <w:tcPr>
            <w:tcW w:w="3760" w:type="dxa"/>
            <w:vAlign w:val="bottom"/>
          </w:tcPr>
          <w:p>
            <w:pPr>
              <w:ind w:left="80"/>
              <w:spacing w:after="0" w:line="195" w:lineRule="exact"/>
              <w:rPr>
                <w:sz w:val="20"/>
                <w:szCs w:val="20"/>
                <w:color w:val="auto"/>
              </w:rPr>
            </w:pPr>
            <w:r>
              <w:rPr>
                <w:rFonts w:ascii="Arial" w:cs="Arial" w:eastAsia="Arial" w:hAnsi="Arial"/>
                <w:sz w:val="18"/>
                <w:szCs w:val="18"/>
                <w:color w:val="auto"/>
              </w:rPr>
              <w:t>Capstead Mortgage Corporation</w:t>
            </w:r>
          </w:p>
        </w:tc>
        <w:tc>
          <w:tcPr>
            <w:tcW w:w="7260" w:type="dxa"/>
            <w:vAlign w:val="bottom"/>
          </w:tcPr>
          <w:p>
            <w:pPr>
              <w:ind w:left="1300"/>
              <w:spacing w:after="0" w:line="195" w:lineRule="exact"/>
              <w:rPr>
                <w:sz w:val="20"/>
                <w:szCs w:val="20"/>
                <w:color w:val="auto"/>
              </w:rPr>
            </w:pPr>
            <w:r>
              <w:rPr>
                <w:rFonts w:ascii="Arial" w:cs="Arial" w:eastAsia="Arial" w:hAnsi="Arial"/>
                <w:sz w:val="18"/>
                <w:szCs w:val="18"/>
                <w:color w:val="auto"/>
              </w:rPr>
              <w:t>Affiliated Managers Group, Inc.</w:t>
            </w:r>
          </w:p>
        </w:tc>
      </w:tr>
      <w:tr>
        <w:trPr>
          <w:trHeight w:val="216"/>
        </w:trPr>
        <w:tc>
          <w:tcPr>
            <w:tcW w:w="3760" w:type="dxa"/>
            <w:vAlign w:val="bottom"/>
          </w:tcPr>
          <w:p>
            <w:pPr>
              <w:ind w:left="80"/>
              <w:spacing w:after="0"/>
              <w:rPr>
                <w:sz w:val="20"/>
                <w:szCs w:val="20"/>
                <w:color w:val="auto"/>
              </w:rPr>
            </w:pPr>
            <w:r>
              <w:rPr>
                <w:rFonts w:ascii="Arial" w:cs="Arial" w:eastAsia="Arial" w:hAnsi="Arial"/>
                <w:sz w:val="18"/>
                <w:szCs w:val="18"/>
                <w:color w:val="auto"/>
              </w:rPr>
              <w:t>Chimera Investment Corporation</w:t>
            </w:r>
          </w:p>
        </w:tc>
        <w:tc>
          <w:tcPr>
            <w:tcW w:w="7260" w:type="dxa"/>
            <w:vAlign w:val="bottom"/>
          </w:tcPr>
          <w:p>
            <w:pPr>
              <w:ind w:left="1300"/>
              <w:spacing w:after="0"/>
              <w:rPr>
                <w:sz w:val="20"/>
                <w:szCs w:val="20"/>
                <w:color w:val="auto"/>
              </w:rPr>
            </w:pPr>
            <w:r>
              <w:rPr>
                <w:rFonts w:ascii="Arial" w:cs="Arial" w:eastAsia="Arial" w:hAnsi="Arial"/>
                <w:sz w:val="18"/>
                <w:szCs w:val="18"/>
                <w:color w:val="auto"/>
              </w:rPr>
              <w:t>Ameriprise Financial, Inc.</w:t>
            </w:r>
          </w:p>
        </w:tc>
      </w:tr>
      <w:tr>
        <w:trPr>
          <w:trHeight w:val="216"/>
        </w:trPr>
        <w:tc>
          <w:tcPr>
            <w:tcW w:w="3760" w:type="dxa"/>
            <w:vAlign w:val="bottom"/>
          </w:tcPr>
          <w:p>
            <w:pPr>
              <w:ind w:left="80"/>
              <w:spacing w:after="0"/>
              <w:rPr>
                <w:sz w:val="20"/>
                <w:szCs w:val="20"/>
                <w:color w:val="auto"/>
              </w:rPr>
            </w:pPr>
            <w:r>
              <w:rPr>
                <w:rFonts w:ascii="Arial" w:cs="Arial" w:eastAsia="Arial" w:hAnsi="Arial"/>
                <w:sz w:val="18"/>
                <w:szCs w:val="18"/>
                <w:color w:val="auto"/>
              </w:rPr>
              <w:t>Colony Northstar, Inc.</w:t>
            </w:r>
          </w:p>
        </w:tc>
        <w:tc>
          <w:tcPr>
            <w:tcW w:w="7260" w:type="dxa"/>
            <w:vAlign w:val="bottom"/>
          </w:tcPr>
          <w:p>
            <w:pPr>
              <w:ind w:left="1300"/>
              <w:spacing w:after="0"/>
              <w:rPr>
                <w:sz w:val="20"/>
                <w:szCs w:val="20"/>
                <w:color w:val="auto"/>
              </w:rPr>
            </w:pPr>
            <w:r>
              <w:rPr>
                <w:rFonts w:ascii="Arial" w:cs="Arial" w:eastAsia="Arial" w:hAnsi="Arial"/>
                <w:sz w:val="18"/>
                <w:szCs w:val="18"/>
                <w:color w:val="auto"/>
              </w:rPr>
              <w:t>Apollo Global Management LLC</w:t>
            </w:r>
          </w:p>
        </w:tc>
      </w:tr>
      <w:tr>
        <w:trPr>
          <w:trHeight w:val="216"/>
        </w:trPr>
        <w:tc>
          <w:tcPr>
            <w:tcW w:w="3760" w:type="dxa"/>
            <w:vAlign w:val="bottom"/>
          </w:tcPr>
          <w:p>
            <w:pPr>
              <w:ind w:left="80"/>
              <w:spacing w:after="0"/>
              <w:rPr>
                <w:sz w:val="20"/>
                <w:szCs w:val="20"/>
                <w:color w:val="auto"/>
              </w:rPr>
            </w:pPr>
            <w:r>
              <w:rPr>
                <w:rFonts w:ascii="Arial" w:cs="Arial" w:eastAsia="Arial" w:hAnsi="Arial"/>
                <w:sz w:val="18"/>
                <w:szCs w:val="18"/>
                <w:color w:val="auto"/>
              </w:rPr>
              <w:t>CYS Investments, Inc.</w:t>
            </w:r>
          </w:p>
        </w:tc>
        <w:tc>
          <w:tcPr>
            <w:tcW w:w="7260" w:type="dxa"/>
            <w:vAlign w:val="bottom"/>
          </w:tcPr>
          <w:p>
            <w:pPr>
              <w:ind w:left="1300"/>
              <w:spacing w:after="0"/>
              <w:rPr>
                <w:sz w:val="20"/>
                <w:szCs w:val="20"/>
                <w:color w:val="auto"/>
              </w:rPr>
            </w:pPr>
            <w:r>
              <w:rPr>
                <w:rFonts w:ascii="Arial" w:cs="Arial" w:eastAsia="Arial" w:hAnsi="Arial"/>
                <w:sz w:val="18"/>
                <w:szCs w:val="18"/>
                <w:color w:val="auto"/>
              </w:rPr>
              <w:t>Ares Management LP</w:t>
            </w:r>
          </w:p>
        </w:tc>
      </w:tr>
      <w:tr>
        <w:trPr>
          <w:trHeight w:val="216"/>
        </w:trPr>
        <w:tc>
          <w:tcPr>
            <w:tcW w:w="3760" w:type="dxa"/>
            <w:vAlign w:val="bottom"/>
          </w:tcPr>
          <w:p>
            <w:pPr>
              <w:ind w:left="80"/>
              <w:spacing w:after="0"/>
              <w:rPr>
                <w:sz w:val="20"/>
                <w:szCs w:val="20"/>
                <w:color w:val="auto"/>
              </w:rPr>
            </w:pPr>
            <w:r>
              <w:rPr>
                <w:rFonts w:ascii="Arial" w:cs="Arial" w:eastAsia="Arial" w:hAnsi="Arial"/>
                <w:sz w:val="18"/>
                <w:szCs w:val="18"/>
                <w:color w:val="auto"/>
              </w:rPr>
              <w:t>Ladder Capital Corp.</w:t>
            </w:r>
          </w:p>
        </w:tc>
        <w:tc>
          <w:tcPr>
            <w:tcW w:w="7260" w:type="dxa"/>
            <w:vAlign w:val="bottom"/>
          </w:tcPr>
          <w:p>
            <w:pPr>
              <w:ind w:left="1300"/>
              <w:spacing w:after="0"/>
              <w:rPr>
                <w:sz w:val="20"/>
                <w:szCs w:val="20"/>
                <w:color w:val="auto"/>
              </w:rPr>
            </w:pPr>
            <w:r>
              <w:rPr>
                <w:rFonts w:ascii="Arial" w:cs="Arial" w:eastAsia="Arial" w:hAnsi="Arial"/>
                <w:sz w:val="18"/>
                <w:szCs w:val="18"/>
                <w:color w:val="auto"/>
              </w:rPr>
              <w:t>Eaton Vance Corp.</w:t>
            </w:r>
          </w:p>
        </w:tc>
      </w:tr>
      <w:tr>
        <w:trPr>
          <w:trHeight w:val="216"/>
        </w:trPr>
        <w:tc>
          <w:tcPr>
            <w:tcW w:w="3760" w:type="dxa"/>
            <w:vAlign w:val="bottom"/>
          </w:tcPr>
          <w:p>
            <w:pPr>
              <w:ind w:left="80"/>
              <w:spacing w:after="0"/>
              <w:rPr>
                <w:sz w:val="20"/>
                <w:szCs w:val="20"/>
                <w:color w:val="auto"/>
              </w:rPr>
            </w:pPr>
            <w:r>
              <w:rPr>
                <w:rFonts w:ascii="Arial" w:cs="Arial" w:eastAsia="Arial" w:hAnsi="Arial"/>
                <w:sz w:val="18"/>
                <w:szCs w:val="18"/>
                <w:color w:val="auto"/>
              </w:rPr>
              <w:t>MFA Financial, Inc.</w:t>
            </w:r>
          </w:p>
        </w:tc>
        <w:tc>
          <w:tcPr>
            <w:tcW w:w="7260" w:type="dxa"/>
            <w:vAlign w:val="bottom"/>
          </w:tcPr>
          <w:p>
            <w:pPr>
              <w:ind w:left="1300"/>
              <w:spacing w:after="0"/>
              <w:rPr>
                <w:sz w:val="20"/>
                <w:szCs w:val="20"/>
                <w:color w:val="auto"/>
              </w:rPr>
            </w:pPr>
            <w:r>
              <w:rPr>
                <w:rFonts w:ascii="Arial" w:cs="Arial" w:eastAsia="Arial" w:hAnsi="Arial"/>
                <w:sz w:val="18"/>
                <w:szCs w:val="18"/>
                <w:color w:val="auto"/>
              </w:rPr>
              <w:t>Fortress Investment Group LLC</w:t>
            </w:r>
          </w:p>
        </w:tc>
      </w:tr>
      <w:tr>
        <w:trPr>
          <w:trHeight w:val="216"/>
        </w:trPr>
        <w:tc>
          <w:tcPr>
            <w:tcW w:w="3760" w:type="dxa"/>
            <w:vAlign w:val="bottom"/>
          </w:tcPr>
          <w:p>
            <w:pPr>
              <w:ind w:left="80"/>
              <w:spacing w:after="0"/>
              <w:rPr>
                <w:sz w:val="20"/>
                <w:szCs w:val="20"/>
                <w:color w:val="auto"/>
              </w:rPr>
            </w:pPr>
            <w:r>
              <w:rPr>
                <w:rFonts w:ascii="Arial" w:cs="Arial" w:eastAsia="Arial" w:hAnsi="Arial"/>
                <w:sz w:val="18"/>
                <w:szCs w:val="18"/>
                <w:color w:val="auto"/>
              </w:rPr>
              <w:t>Redwood Trust, Inc.</w:t>
            </w:r>
          </w:p>
        </w:tc>
        <w:tc>
          <w:tcPr>
            <w:tcW w:w="7260" w:type="dxa"/>
            <w:vAlign w:val="bottom"/>
          </w:tcPr>
          <w:p>
            <w:pPr>
              <w:ind w:left="1300"/>
              <w:spacing w:after="0"/>
              <w:rPr>
                <w:sz w:val="20"/>
                <w:szCs w:val="20"/>
                <w:color w:val="auto"/>
              </w:rPr>
            </w:pPr>
            <w:r>
              <w:rPr>
                <w:rFonts w:ascii="Arial" w:cs="Arial" w:eastAsia="Arial" w:hAnsi="Arial"/>
                <w:sz w:val="18"/>
                <w:szCs w:val="18"/>
                <w:color w:val="auto"/>
              </w:rPr>
              <w:t>Invesco Ltd.</w:t>
            </w:r>
          </w:p>
        </w:tc>
      </w:tr>
      <w:tr>
        <w:trPr>
          <w:trHeight w:val="216"/>
        </w:trPr>
        <w:tc>
          <w:tcPr>
            <w:tcW w:w="3760" w:type="dxa"/>
            <w:vAlign w:val="bottom"/>
          </w:tcPr>
          <w:p>
            <w:pPr>
              <w:spacing w:after="0"/>
              <w:rPr>
                <w:sz w:val="18"/>
                <w:szCs w:val="18"/>
                <w:color w:val="auto"/>
              </w:rPr>
            </w:pPr>
          </w:p>
        </w:tc>
        <w:tc>
          <w:tcPr>
            <w:tcW w:w="7260" w:type="dxa"/>
            <w:vAlign w:val="bottom"/>
          </w:tcPr>
          <w:p>
            <w:pPr>
              <w:ind w:left="1300"/>
              <w:spacing w:after="0"/>
              <w:rPr>
                <w:sz w:val="20"/>
                <w:szCs w:val="20"/>
                <w:color w:val="auto"/>
              </w:rPr>
            </w:pPr>
            <w:r>
              <w:rPr>
                <w:rFonts w:ascii="Arial" w:cs="Arial" w:eastAsia="Arial" w:hAnsi="Arial"/>
                <w:sz w:val="18"/>
                <w:szCs w:val="18"/>
                <w:color w:val="auto"/>
              </w:rPr>
              <w:t>KKR &amp; Co. L.P.</w:t>
            </w:r>
          </w:p>
        </w:tc>
      </w:tr>
      <w:tr>
        <w:trPr>
          <w:trHeight w:val="216"/>
        </w:trPr>
        <w:tc>
          <w:tcPr>
            <w:tcW w:w="3760" w:type="dxa"/>
            <w:vAlign w:val="bottom"/>
          </w:tcPr>
          <w:p>
            <w:pPr>
              <w:spacing w:after="0"/>
              <w:rPr>
                <w:sz w:val="18"/>
                <w:szCs w:val="18"/>
                <w:color w:val="auto"/>
              </w:rPr>
            </w:pPr>
          </w:p>
        </w:tc>
        <w:tc>
          <w:tcPr>
            <w:tcW w:w="7260" w:type="dxa"/>
            <w:vAlign w:val="bottom"/>
          </w:tcPr>
          <w:p>
            <w:pPr>
              <w:ind w:left="1300"/>
              <w:spacing w:after="0"/>
              <w:rPr>
                <w:sz w:val="20"/>
                <w:szCs w:val="20"/>
                <w:color w:val="auto"/>
              </w:rPr>
            </w:pPr>
            <w:r>
              <w:rPr>
                <w:rFonts w:ascii="Arial" w:cs="Arial" w:eastAsia="Arial" w:hAnsi="Arial"/>
                <w:sz w:val="18"/>
                <w:szCs w:val="18"/>
                <w:color w:val="auto"/>
              </w:rPr>
              <w:t>Legg Mason, Inc.</w:t>
            </w:r>
          </w:p>
        </w:tc>
      </w:tr>
      <w:tr>
        <w:trPr>
          <w:trHeight w:val="216"/>
        </w:trPr>
        <w:tc>
          <w:tcPr>
            <w:tcW w:w="3760" w:type="dxa"/>
            <w:vAlign w:val="bottom"/>
          </w:tcPr>
          <w:p>
            <w:pPr>
              <w:spacing w:after="0"/>
              <w:rPr>
                <w:sz w:val="18"/>
                <w:szCs w:val="18"/>
                <w:color w:val="auto"/>
              </w:rPr>
            </w:pPr>
          </w:p>
        </w:tc>
        <w:tc>
          <w:tcPr>
            <w:tcW w:w="7260" w:type="dxa"/>
            <w:vAlign w:val="bottom"/>
          </w:tcPr>
          <w:p>
            <w:pPr>
              <w:ind w:left="1300"/>
              <w:spacing w:after="0"/>
              <w:rPr>
                <w:sz w:val="20"/>
                <w:szCs w:val="20"/>
                <w:color w:val="auto"/>
              </w:rPr>
            </w:pPr>
            <w:r>
              <w:rPr>
                <w:rFonts w:ascii="Arial" w:cs="Arial" w:eastAsia="Arial" w:hAnsi="Arial"/>
                <w:sz w:val="18"/>
                <w:szCs w:val="18"/>
                <w:color w:val="auto"/>
              </w:rPr>
              <w:t>Oaktree Capital Group LLC</w:t>
            </w:r>
          </w:p>
        </w:tc>
      </w:tr>
      <w:tr>
        <w:trPr>
          <w:trHeight w:val="216"/>
        </w:trPr>
        <w:tc>
          <w:tcPr>
            <w:tcW w:w="3760" w:type="dxa"/>
            <w:vAlign w:val="bottom"/>
          </w:tcPr>
          <w:p>
            <w:pPr>
              <w:spacing w:after="0"/>
              <w:rPr>
                <w:sz w:val="18"/>
                <w:szCs w:val="18"/>
                <w:color w:val="auto"/>
              </w:rPr>
            </w:pPr>
          </w:p>
        </w:tc>
        <w:tc>
          <w:tcPr>
            <w:tcW w:w="7260" w:type="dxa"/>
            <w:vAlign w:val="bottom"/>
          </w:tcPr>
          <w:p>
            <w:pPr>
              <w:ind w:left="1300"/>
              <w:spacing w:after="0"/>
              <w:rPr>
                <w:sz w:val="20"/>
                <w:szCs w:val="20"/>
                <w:color w:val="auto"/>
              </w:rPr>
            </w:pPr>
            <w:r>
              <w:rPr>
                <w:rFonts w:ascii="Arial" w:cs="Arial" w:eastAsia="Arial" w:hAnsi="Arial"/>
                <w:sz w:val="18"/>
                <w:szCs w:val="18"/>
                <w:color w:val="auto"/>
              </w:rPr>
              <w:t>The Blackstone Group L.P.</w:t>
            </w:r>
          </w:p>
        </w:tc>
      </w:tr>
      <w:tr>
        <w:trPr>
          <w:trHeight w:val="230"/>
        </w:trPr>
        <w:tc>
          <w:tcPr>
            <w:tcW w:w="3760" w:type="dxa"/>
            <w:vAlign w:val="bottom"/>
            <w:tcBorders>
              <w:bottom w:val="single" w:sz="8" w:color="407CCA"/>
            </w:tcBorders>
          </w:tcPr>
          <w:p>
            <w:pPr>
              <w:spacing w:after="0"/>
              <w:rPr>
                <w:sz w:val="20"/>
                <w:szCs w:val="20"/>
                <w:color w:val="auto"/>
              </w:rPr>
            </w:pPr>
          </w:p>
        </w:tc>
        <w:tc>
          <w:tcPr>
            <w:tcW w:w="7260" w:type="dxa"/>
            <w:vAlign w:val="bottom"/>
            <w:tcBorders>
              <w:bottom w:val="single" w:sz="8" w:color="407CCA"/>
            </w:tcBorders>
          </w:tcPr>
          <w:p>
            <w:pPr>
              <w:ind w:left="1300"/>
              <w:spacing w:after="0"/>
              <w:rPr>
                <w:sz w:val="20"/>
                <w:szCs w:val="20"/>
                <w:color w:val="auto"/>
              </w:rPr>
            </w:pPr>
            <w:r>
              <w:rPr>
                <w:rFonts w:ascii="Arial" w:cs="Arial" w:eastAsia="Arial" w:hAnsi="Arial"/>
                <w:sz w:val="18"/>
                <w:szCs w:val="18"/>
                <w:color w:val="auto"/>
              </w:rPr>
              <w:t>The Carlyle Group L.P.</w:t>
            </w:r>
          </w:p>
        </w:tc>
      </w:tr>
    </w:tbl>
    <w:p>
      <w:pPr>
        <w:spacing w:after="0" w:line="202" w:lineRule="exact"/>
        <w:rPr>
          <w:sz w:val="20"/>
          <w:szCs w:val="20"/>
          <w:color w:val="auto"/>
        </w:rPr>
      </w:pPr>
    </w:p>
    <w:p>
      <w:pPr>
        <w:ind w:left="200" w:right="60" w:firstLine="771"/>
        <w:spacing w:after="0" w:line="279" w:lineRule="auto"/>
        <w:rPr>
          <w:sz w:val="20"/>
          <w:szCs w:val="20"/>
          <w:color w:val="auto"/>
        </w:rPr>
      </w:pPr>
      <w:r>
        <w:rPr>
          <w:rFonts w:ascii="Arial" w:cs="Arial" w:eastAsia="Arial" w:hAnsi="Arial"/>
          <w:sz w:val="17"/>
          <w:szCs w:val="17"/>
          <w:color w:val="auto"/>
        </w:rPr>
        <w:t>In the judgment of the Compensation Committee, the highly specialized and unique skill sets required of the senior executives at these types of companies are sufficiently comparable to those required of our NEOs to provide some relevant information about market practices. However, none of these companies is an exact match for our Company. Either our size and scale is substantially larger than the REITs included, or our business, assets, operations, and investments differ significantly such that it is difficult to develop comparative data that is instructive.</w:t>
      </w:r>
    </w:p>
    <w:p>
      <w:pPr>
        <w:spacing w:after="0" w:line="171" w:lineRule="exact"/>
        <w:rPr>
          <w:sz w:val="20"/>
          <w:szCs w:val="20"/>
          <w:color w:val="auto"/>
        </w:rPr>
      </w:pPr>
    </w:p>
    <w:p>
      <w:pPr>
        <w:ind w:left="200"/>
        <w:spacing w:after="0"/>
        <w:rPr>
          <w:sz w:val="20"/>
          <w:szCs w:val="20"/>
          <w:color w:val="auto"/>
        </w:rPr>
      </w:pPr>
      <w:r>
        <w:rPr>
          <w:rFonts w:ascii="Arial" w:cs="Arial" w:eastAsia="Arial" w:hAnsi="Arial"/>
          <w:sz w:val="18"/>
          <w:szCs w:val="18"/>
          <w:u w:val="single" w:color="auto"/>
          <w:color w:val="auto"/>
        </w:rPr>
        <w:t>Residential Mortgage REITs</w:t>
      </w:r>
    </w:p>
    <w:p>
      <w:pPr>
        <w:spacing w:after="0" w:line="131" w:lineRule="exact"/>
        <w:rPr>
          <w:sz w:val="20"/>
          <w:szCs w:val="20"/>
          <w:color w:val="auto"/>
        </w:rPr>
      </w:pPr>
    </w:p>
    <w:p>
      <w:pPr>
        <w:ind w:left="960" w:right="40" w:hanging="432"/>
        <w:spacing w:after="0" w:line="258" w:lineRule="auto"/>
        <w:tabs>
          <w:tab w:leader="none" w:pos="960" w:val="left"/>
        </w:tabs>
        <w:numPr>
          <w:ilvl w:val="0"/>
          <w:numId w:val="33"/>
        </w:numPr>
        <w:rPr>
          <w:rFonts w:ascii="Arial" w:cs="Arial" w:eastAsia="Arial" w:hAnsi="Arial"/>
          <w:sz w:val="18"/>
          <w:szCs w:val="18"/>
          <w:color w:val="auto"/>
        </w:rPr>
      </w:pPr>
      <w:r>
        <w:rPr>
          <w:rFonts w:ascii="Arial" w:cs="Arial" w:eastAsia="Arial" w:hAnsi="Arial"/>
          <w:sz w:val="18"/>
          <w:szCs w:val="18"/>
          <w:color w:val="auto"/>
        </w:rPr>
        <w:t>Our closest mortgage REIT peers by size and scale are externally-managed, and, as such, they do not disclose sufficient information regarding the compensation paid to their executives to be included in executive compensation comparisons.</w:t>
      </w:r>
    </w:p>
    <w:p>
      <w:pPr>
        <w:spacing w:after="0" w:line="1" w:lineRule="exact"/>
        <w:rPr>
          <w:rFonts w:ascii="Arial" w:cs="Arial" w:eastAsia="Arial" w:hAnsi="Arial"/>
          <w:sz w:val="18"/>
          <w:szCs w:val="18"/>
          <w:color w:val="auto"/>
        </w:rPr>
      </w:pPr>
    </w:p>
    <w:p>
      <w:pPr>
        <w:ind w:left="960" w:right="160" w:hanging="432"/>
        <w:spacing w:after="0" w:line="277" w:lineRule="auto"/>
        <w:tabs>
          <w:tab w:leader="none" w:pos="960" w:val="left"/>
        </w:tabs>
        <w:numPr>
          <w:ilvl w:val="0"/>
          <w:numId w:val="33"/>
        </w:numPr>
        <w:rPr>
          <w:rFonts w:ascii="Arial" w:cs="Arial" w:eastAsia="Arial" w:hAnsi="Arial"/>
          <w:sz w:val="17"/>
          <w:szCs w:val="17"/>
          <w:color w:val="auto"/>
        </w:rPr>
      </w:pPr>
      <w:r>
        <w:rPr>
          <w:rFonts w:ascii="Arial" w:cs="Arial" w:eastAsia="Arial" w:hAnsi="Arial"/>
          <w:sz w:val="17"/>
          <w:szCs w:val="17"/>
          <w:color w:val="auto"/>
        </w:rPr>
        <w:t>The internally-managed mortgage REITs considered comparator companies are significantly smaller than AGNC by most meaningful financial measures, including total assets, stockholders’ equity, and market capitalization. AGNC is more than two times larger than the next largest internally-managed residential mortgage REIT, based on total market capitalization (as of December 31, 2017).</w:t>
      </w:r>
    </w:p>
    <w:p>
      <w:pPr>
        <w:spacing w:after="0" w:line="173" w:lineRule="exact"/>
        <w:rPr>
          <w:sz w:val="20"/>
          <w:szCs w:val="20"/>
          <w:color w:val="auto"/>
        </w:rPr>
      </w:pPr>
    </w:p>
    <w:p>
      <w:pPr>
        <w:ind w:left="200"/>
        <w:spacing w:after="0"/>
        <w:rPr>
          <w:sz w:val="20"/>
          <w:szCs w:val="20"/>
          <w:color w:val="auto"/>
        </w:rPr>
      </w:pPr>
      <w:r>
        <w:rPr>
          <w:rFonts w:ascii="Arial" w:cs="Arial" w:eastAsia="Arial" w:hAnsi="Arial"/>
          <w:sz w:val="18"/>
          <w:szCs w:val="18"/>
          <w:u w:val="single" w:color="auto"/>
          <w:color w:val="auto"/>
        </w:rPr>
        <w:t>Asset Management Firms</w:t>
      </w:r>
    </w:p>
    <w:p>
      <w:pPr>
        <w:spacing w:after="0" w:line="131" w:lineRule="exact"/>
        <w:rPr>
          <w:sz w:val="20"/>
          <w:szCs w:val="20"/>
          <w:color w:val="auto"/>
        </w:rPr>
      </w:pPr>
    </w:p>
    <w:p>
      <w:pPr>
        <w:ind w:left="960" w:right="80" w:hanging="432"/>
        <w:spacing w:after="0" w:line="257" w:lineRule="auto"/>
        <w:tabs>
          <w:tab w:leader="none" w:pos="960" w:val="left"/>
        </w:tabs>
        <w:numPr>
          <w:ilvl w:val="0"/>
          <w:numId w:val="34"/>
        </w:numPr>
        <w:rPr>
          <w:rFonts w:ascii="Arial" w:cs="Arial" w:eastAsia="Arial" w:hAnsi="Arial"/>
          <w:sz w:val="18"/>
          <w:szCs w:val="18"/>
          <w:color w:val="auto"/>
        </w:rPr>
      </w:pPr>
      <w:r>
        <w:rPr>
          <w:rFonts w:ascii="Arial" w:cs="Arial" w:eastAsia="Arial" w:hAnsi="Arial"/>
          <w:sz w:val="18"/>
          <w:szCs w:val="18"/>
          <w:color w:val="auto"/>
        </w:rPr>
        <w:t>We are not principally in the asset management business, and we generate our income primarily from investments in mortgage securities and related investments that we hold on our balance sheet. Asset management businesses generate their income from management fees charged to their clients. Our performance, measured as a return on assets, invested capital, or equity, will differ materially from these companies as a result of the larger asset base, the significant leverage and hedging activities inherent in our business model, as compared to alternative asset management firms.</w:t>
      </w:r>
    </w:p>
    <w:p>
      <w:pPr>
        <w:spacing w:after="0" w:line="116"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38</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40"/>
          </w:cols>
          <w:pgMar w:left="240" w:top="459" w:right="419" w:bottom="1440" w:gutter="0" w:footer="0" w:header="0"/>
        </w:sectPr>
      </w:pPr>
    </w:p>
    <w:bookmarkStart w:id="42" w:name="page43"/>
    <w:bookmarkEnd w:id="4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960" w:right="40" w:hanging="432"/>
        <w:spacing w:after="0" w:line="269" w:lineRule="auto"/>
        <w:tabs>
          <w:tab w:leader="none" w:pos="960" w:val="left"/>
        </w:tabs>
        <w:numPr>
          <w:ilvl w:val="0"/>
          <w:numId w:val="35"/>
        </w:numPr>
        <w:rPr>
          <w:rFonts w:ascii="Arial" w:cs="Arial" w:eastAsia="Arial" w:hAnsi="Arial"/>
          <w:sz w:val="17"/>
          <w:szCs w:val="17"/>
          <w:color w:val="auto"/>
        </w:rPr>
      </w:pPr>
      <w:r>
        <w:rPr>
          <w:rFonts w:ascii="Arial" w:cs="Arial" w:eastAsia="Arial" w:hAnsi="Arial"/>
          <w:sz w:val="17"/>
          <w:szCs w:val="17"/>
          <w:color w:val="auto"/>
        </w:rPr>
        <w:t>Further, alternative asset management firm executives can receive a substantial portion of their compensation from or through separate ownership of related managed funds or the management company. The income stream represented by these interests are often not disclosed to investors as “compensation.” In contrast, all compensation received by our NEOs from the Company, other than dividends and dividend equivalents they may receive in respect of their publicly traded stock holdings and equity awards, is fully disclosed herein.</w:t>
      </w:r>
    </w:p>
    <w:p>
      <w:pPr>
        <w:spacing w:after="0" w:line="2" w:lineRule="exact"/>
        <w:rPr>
          <w:rFonts w:ascii="Arial" w:cs="Arial" w:eastAsia="Arial" w:hAnsi="Arial"/>
          <w:sz w:val="17"/>
          <w:szCs w:val="17"/>
          <w:color w:val="auto"/>
        </w:rPr>
      </w:pPr>
    </w:p>
    <w:p>
      <w:pPr>
        <w:ind w:left="960" w:right="400" w:hanging="432"/>
        <w:spacing w:after="0" w:line="261" w:lineRule="auto"/>
        <w:tabs>
          <w:tab w:leader="none" w:pos="960" w:val="left"/>
        </w:tabs>
        <w:numPr>
          <w:ilvl w:val="0"/>
          <w:numId w:val="35"/>
        </w:numPr>
        <w:rPr>
          <w:rFonts w:ascii="Arial" w:cs="Arial" w:eastAsia="Arial" w:hAnsi="Arial"/>
          <w:sz w:val="18"/>
          <w:szCs w:val="18"/>
          <w:color w:val="auto"/>
        </w:rPr>
      </w:pPr>
      <w:r>
        <w:rPr>
          <w:rFonts w:ascii="Arial" w:cs="Arial" w:eastAsia="Arial" w:hAnsi="Arial"/>
          <w:sz w:val="18"/>
          <w:szCs w:val="18"/>
          <w:color w:val="auto"/>
        </w:rPr>
        <w:t>Our CEO is also our Chief Investment Officer and acts as our portfolio manager. Compensation of portfolio managers at alternative asset managers are often not disclosed because those individuals are frequently not NEOs.</w:t>
      </w:r>
    </w:p>
    <w:p>
      <w:pPr>
        <w:spacing w:after="0" w:line="184" w:lineRule="exact"/>
        <w:rPr>
          <w:sz w:val="20"/>
          <w:szCs w:val="20"/>
          <w:color w:val="auto"/>
        </w:rPr>
      </w:pPr>
    </w:p>
    <w:p>
      <w:pPr>
        <w:ind w:left="200" w:right="20" w:firstLine="771"/>
        <w:spacing w:after="0" w:line="269" w:lineRule="auto"/>
        <w:rPr>
          <w:sz w:val="20"/>
          <w:szCs w:val="20"/>
          <w:color w:val="auto"/>
        </w:rPr>
      </w:pPr>
      <w:r>
        <w:rPr>
          <w:rFonts w:ascii="Arial" w:cs="Arial" w:eastAsia="Arial" w:hAnsi="Arial"/>
          <w:sz w:val="17"/>
          <w:szCs w:val="17"/>
          <w:color w:val="auto"/>
        </w:rPr>
        <w:t>As a result of these fundamental differences between the Company and many of the members of the comparator group, the Company also uses a subset of the Resi mREIT Universe consisting of five Agency-focused residential mortgage REITs, which we refer to herein as the Agency REIT Peer Group for purposes of evaluating our performance and operations. These REITs are Annaly Capital Management, Inc., CYS Investments, Inc., Capstead Mortgage Corporation, ARMOUR Residential REIT, Inc., and Anworth Mortgage Asset Corporation. Among REITs in the Resi mREIT Universe, the Agency REIT Peer Group companies have portfolios and investment objectives that most closely resemble our own focus on Agency securities. Although REITs within the Agency REIT Peer Group pursue a diverse range of investment strategies, other REITs in the Resi mREIT Universe have more widely diverse portfolios and strategies that place a greater emphasis on credit sensitive assets than our portfolio and those of our Agency REIT Peer Group. This emphasis on credit sensitive assets would be expected to achieve divergent returns from our own Agency security focused portfolio through various economic cycles and conditions. The Compensation Committee thus determined that our economic returns and trading price relative to book values are appropriately measured against a simple, unweighted average of the Agency REIT Peer Group for purposes of determining our relative performance.</w:t>
      </w:r>
    </w:p>
    <w:p>
      <w:pPr>
        <w:spacing w:after="0" w:line="179"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Stockholder Outreach and Consideration of 2017 Say-on-Pay Vote</w:t>
      </w:r>
    </w:p>
    <w:p>
      <w:pPr>
        <w:spacing w:after="0" w:line="121" w:lineRule="exact"/>
        <w:rPr>
          <w:sz w:val="20"/>
          <w:szCs w:val="20"/>
          <w:color w:val="auto"/>
        </w:rPr>
      </w:pPr>
    </w:p>
    <w:p>
      <w:pPr>
        <w:ind w:left="200" w:right="120" w:firstLine="771"/>
        <w:spacing w:after="0" w:line="259" w:lineRule="auto"/>
        <w:rPr>
          <w:sz w:val="20"/>
          <w:szCs w:val="20"/>
          <w:color w:val="auto"/>
        </w:rPr>
      </w:pPr>
      <w:r>
        <w:rPr>
          <w:rFonts w:ascii="Arial" w:cs="Arial" w:eastAsia="Arial" w:hAnsi="Arial"/>
          <w:sz w:val="18"/>
          <w:szCs w:val="18"/>
          <w:color w:val="auto"/>
        </w:rPr>
        <w:t>Since our Internalization, we have increased our outreach efforts to establish relationships and communicate further with our stockholders. We have proactively reached out to certain of our institutional stockholders to invite them to engage with us on corporate governance, executive compensation, and other topics of interest to them. In addition to these outreach efforts, Mr. Kain has presented at industry-related conferences and met with investors throughout 2017 at investor conferences and during non-deal roadshows.</w:t>
      </w:r>
    </w:p>
    <w:p>
      <w:pPr>
        <w:spacing w:after="0" w:line="187" w:lineRule="exact"/>
        <w:rPr>
          <w:sz w:val="20"/>
          <w:szCs w:val="20"/>
          <w:color w:val="auto"/>
        </w:rPr>
      </w:pPr>
    </w:p>
    <w:p>
      <w:pPr>
        <w:ind w:left="200" w:firstLine="771"/>
        <w:spacing w:after="0" w:line="272" w:lineRule="auto"/>
        <w:rPr>
          <w:sz w:val="20"/>
          <w:szCs w:val="20"/>
          <w:color w:val="auto"/>
        </w:rPr>
      </w:pPr>
      <w:r>
        <w:rPr>
          <w:rFonts w:ascii="Arial" w:cs="Arial" w:eastAsia="Arial" w:hAnsi="Arial"/>
          <w:sz w:val="17"/>
          <w:szCs w:val="17"/>
          <w:color w:val="auto"/>
        </w:rPr>
        <w:t>At our 2017 Annual Meeting, our stockholders voted approximately 77.6% in favor of our executive compensation program. While the results of this vote indicate that a large majority of stockholders support our approach to executive compensation, the Compensation Committee and our management team believed it would be beneficial to reach out to a number of our stockholders to better understand how we might increase stockholder satisfaction with our executive compensation program. Kenneth Pollack, Senior Vice President, General Counsel, Chief Compliance Officer and Secretary of the Company, together with our Investor Relations team, engaged in further stockholder outreach efforts to engage with certain stockholders and proxy advisory services and listen to their questions and concerns regarding our operations and practices. Ms. Larocca, the Chair of our Board and Dr. Davis, the Chairman of the Compensation Committee, participated in several of these discussions.</w:t>
      </w:r>
    </w:p>
    <w:p>
      <w:pPr>
        <w:spacing w:after="0" w:line="106"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39</w:t>
      </w:r>
    </w:p>
    <w:p>
      <w:pPr>
        <w:sectPr>
          <w:pgSz w:w="11900" w:h="16838" w:orient="portrait"/>
          <w:cols w:equalWidth="0" w:num="1">
            <w:col w:w="11220"/>
          </w:cols>
          <w:pgMar w:left="240" w:top="459" w:right="439" w:bottom="1440" w:gutter="0" w:footer="0" w:header="0"/>
        </w:sectPr>
      </w:pPr>
    </w:p>
    <w:bookmarkStart w:id="43" w:name="page44"/>
    <w:bookmarkEnd w:id="4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980"/>
        <w:spacing w:after="0"/>
        <w:rPr>
          <w:sz w:val="20"/>
          <w:szCs w:val="20"/>
          <w:color w:val="auto"/>
        </w:rPr>
      </w:pPr>
      <w:r>
        <w:rPr>
          <w:rFonts w:ascii="Arial" w:cs="Arial" w:eastAsia="Arial" w:hAnsi="Arial"/>
          <w:sz w:val="18"/>
          <w:szCs w:val="18"/>
          <w:color w:val="auto"/>
        </w:rPr>
        <w:t>The following is a brief summary of our outreach efforts in 2017:</w:t>
      </w:r>
    </w:p>
    <w:p>
      <w:pPr>
        <w:spacing w:after="0" w:line="131" w:lineRule="exact"/>
        <w:rPr>
          <w:sz w:val="20"/>
          <w:szCs w:val="20"/>
          <w:color w:val="auto"/>
        </w:rPr>
      </w:pPr>
    </w:p>
    <w:p>
      <w:pPr>
        <w:ind w:left="960" w:hanging="432"/>
        <w:spacing w:after="0"/>
        <w:tabs>
          <w:tab w:leader="none" w:pos="960" w:val="left"/>
        </w:tabs>
        <w:numPr>
          <w:ilvl w:val="0"/>
          <w:numId w:val="36"/>
        </w:numPr>
        <w:rPr>
          <w:rFonts w:ascii="Arial" w:cs="Arial" w:eastAsia="Arial" w:hAnsi="Arial"/>
          <w:sz w:val="18"/>
          <w:szCs w:val="18"/>
          <w:color w:val="auto"/>
        </w:rPr>
      </w:pPr>
      <w:r>
        <w:rPr>
          <w:rFonts w:ascii="Arial" w:cs="Arial" w:eastAsia="Arial" w:hAnsi="Arial"/>
          <w:sz w:val="18"/>
          <w:szCs w:val="18"/>
          <w:color w:val="auto"/>
        </w:rPr>
        <w:t>Participated in four industry conferences</w:t>
      </w:r>
    </w:p>
    <w:p>
      <w:pPr>
        <w:spacing w:after="0" w:line="23" w:lineRule="exact"/>
        <w:rPr>
          <w:rFonts w:ascii="Arial" w:cs="Arial" w:eastAsia="Arial" w:hAnsi="Arial"/>
          <w:sz w:val="18"/>
          <w:szCs w:val="18"/>
          <w:color w:val="auto"/>
        </w:rPr>
      </w:pPr>
    </w:p>
    <w:p>
      <w:pPr>
        <w:ind w:left="960" w:right="260" w:hanging="432"/>
        <w:spacing w:after="0" w:line="250" w:lineRule="auto"/>
        <w:tabs>
          <w:tab w:leader="none" w:pos="960" w:val="left"/>
        </w:tabs>
        <w:numPr>
          <w:ilvl w:val="0"/>
          <w:numId w:val="36"/>
        </w:numPr>
        <w:rPr>
          <w:rFonts w:ascii="Arial" w:cs="Arial" w:eastAsia="Arial" w:hAnsi="Arial"/>
          <w:sz w:val="18"/>
          <w:szCs w:val="18"/>
          <w:color w:val="auto"/>
        </w:rPr>
      </w:pPr>
      <w:r>
        <w:rPr>
          <w:rFonts w:ascii="Arial" w:cs="Arial" w:eastAsia="Arial" w:hAnsi="Arial"/>
          <w:sz w:val="18"/>
          <w:szCs w:val="18"/>
          <w:color w:val="auto"/>
        </w:rPr>
        <w:t>Met with investors in connection with ten non-deal roadshows and other in-person meetings, in addition to over 100 conference calls with investors</w:t>
      </w:r>
    </w:p>
    <w:p>
      <w:pPr>
        <w:ind w:left="960" w:right="740" w:hanging="432"/>
        <w:spacing w:after="0" w:line="250" w:lineRule="auto"/>
        <w:tabs>
          <w:tab w:leader="none" w:pos="960" w:val="left"/>
        </w:tabs>
        <w:numPr>
          <w:ilvl w:val="0"/>
          <w:numId w:val="36"/>
        </w:numPr>
        <w:rPr>
          <w:rFonts w:ascii="Arial" w:cs="Arial" w:eastAsia="Arial" w:hAnsi="Arial"/>
          <w:sz w:val="18"/>
          <w:szCs w:val="18"/>
          <w:color w:val="auto"/>
        </w:rPr>
      </w:pPr>
      <w:r>
        <w:rPr>
          <w:rFonts w:ascii="Arial" w:cs="Arial" w:eastAsia="Arial" w:hAnsi="Arial"/>
          <w:sz w:val="18"/>
          <w:szCs w:val="18"/>
          <w:color w:val="auto"/>
        </w:rPr>
        <w:t>Following our Annual Meeting, we reached out to 34 of our top institutional investors inviting them to engage with us on executive compensation, corporate governance, and other matters</w:t>
      </w:r>
    </w:p>
    <w:p>
      <w:pPr>
        <w:ind w:left="960" w:hanging="432"/>
        <w:spacing w:after="0"/>
        <w:tabs>
          <w:tab w:leader="none" w:pos="960" w:val="left"/>
        </w:tabs>
        <w:numPr>
          <w:ilvl w:val="0"/>
          <w:numId w:val="36"/>
        </w:numPr>
        <w:rPr>
          <w:rFonts w:ascii="Arial" w:cs="Arial" w:eastAsia="Arial" w:hAnsi="Arial"/>
          <w:sz w:val="17"/>
          <w:szCs w:val="17"/>
          <w:color w:val="auto"/>
        </w:rPr>
      </w:pPr>
      <w:r>
        <w:rPr>
          <w:rFonts w:ascii="Arial" w:cs="Arial" w:eastAsia="Arial" w:hAnsi="Arial"/>
          <w:sz w:val="17"/>
          <w:szCs w:val="17"/>
          <w:color w:val="auto"/>
        </w:rPr>
        <w:t>These 34 institutional stockholders represented over 65% of the issued and outstanding common stock held by institutional investors</w:t>
      </w:r>
    </w:p>
    <w:p>
      <w:pPr>
        <w:spacing w:after="0" w:line="20" w:lineRule="exact"/>
        <w:rPr>
          <w:rFonts w:ascii="Arial" w:cs="Arial" w:eastAsia="Arial" w:hAnsi="Arial"/>
          <w:sz w:val="17"/>
          <w:szCs w:val="17"/>
          <w:color w:val="auto"/>
        </w:rPr>
      </w:pPr>
    </w:p>
    <w:p>
      <w:pPr>
        <w:ind w:left="960" w:right="160" w:hanging="432"/>
        <w:spacing w:after="0" w:line="250" w:lineRule="auto"/>
        <w:tabs>
          <w:tab w:leader="none" w:pos="960" w:val="left"/>
        </w:tabs>
        <w:numPr>
          <w:ilvl w:val="0"/>
          <w:numId w:val="36"/>
        </w:numPr>
        <w:rPr>
          <w:rFonts w:ascii="Arial" w:cs="Arial" w:eastAsia="Arial" w:hAnsi="Arial"/>
          <w:sz w:val="18"/>
          <w:szCs w:val="18"/>
          <w:color w:val="auto"/>
        </w:rPr>
      </w:pPr>
      <w:r>
        <w:rPr>
          <w:rFonts w:ascii="Arial" w:cs="Arial" w:eastAsia="Arial" w:hAnsi="Arial"/>
          <w:sz w:val="18"/>
          <w:szCs w:val="18"/>
          <w:color w:val="auto"/>
        </w:rPr>
        <w:t>Our outreach efforts included our largest institutional stockholders that we believed had voted “no” on our advisory Say-on-Pay proposal at our 2017 Annual Meeting</w:t>
      </w:r>
    </w:p>
    <w:p>
      <w:pPr>
        <w:ind w:left="960" w:right="20" w:hanging="432"/>
        <w:spacing w:after="0" w:line="250" w:lineRule="auto"/>
        <w:tabs>
          <w:tab w:leader="none" w:pos="960" w:val="left"/>
        </w:tabs>
        <w:numPr>
          <w:ilvl w:val="0"/>
          <w:numId w:val="36"/>
        </w:numPr>
        <w:rPr>
          <w:rFonts w:ascii="Arial" w:cs="Arial" w:eastAsia="Arial" w:hAnsi="Arial"/>
          <w:sz w:val="18"/>
          <w:szCs w:val="18"/>
          <w:color w:val="auto"/>
        </w:rPr>
      </w:pPr>
      <w:r>
        <w:rPr>
          <w:rFonts w:ascii="Arial" w:cs="Arial" w:eastAsia="Arial" w:hAnsi="Arial"/>
          <w:sz w:val="18"/>
          <w:szCs w:val="18"/>
          <w:color w:val="auto"/>
        </w:rPr>
        <w:t>We conducted post-Annual Meeting conference calls with seven stockholders, representing approximately 21% of our issued and outstanding common stock, or 32% of the stock held by our institutional stockholders</w:t>
      </w:r>
    </w:p>
    <w:p>
      <w:pPr>
        <w:ind w:left="960" w:right="460" w:hanging="432"/>
        <w:spacing w:after="0" w:line="261" w:lineRule="auto"/>
        <w:tabs>
          <w:tab w:leader="none" w:pos="960" w:val="left"/>
        </w:tabs>
        <w:numPr>
          <w:ilvl w:val="0"/>
          <w:numId w:val="36"/>
        </w:numPr>
        <w:rPr>
          <w:rFonts w:ascii="Arial" w:cs="Arial" w:eastAsia="Arial" w:hAnsi="Arial"/>
          <w:sz w:val="18"/>
          <w:szCs w:val="18"/>
          <w:color w:val="auto"/>
        </w:rPr>
      </w:pPr>
      <w:r>
        <w:rPr>
          <w:rFonts w:ascii="Arial" w:cs="Arial" w:eastAsia="Arial" w:hAnsi="Arial"/>
          <w:sz w:val="18"/>
          <w:szCs w:val="18"/>
          <w:color w:val="auto"/>
        </w:rPr>
        <w:t>We held calls with representatives from two proxy advisory services to discuss our compensation philosophy and corporate governance practices</w:t>
      </w:r>
    </w:p>
    <w:p>
      <w:pPr>
        <w:spacing w:after="0" w:line="184" w:lineRule="exact"/>
        <w:rPr>
          <w:sz w:val="20"/>
          <w:szCs w:val="20"/>
          <w:color w:val="auto"/>
        </w:rPr>
      </w:pPr>
    </w:p>
    <w:p>
      <w:pPr>
        <w:ind w:left="200" w:firstLine="771"/>
        <w:spacing w:after="0" w:line="288" w:lineRule="auto"/>
        <w:rPr>
          <w:sz w:val="20"/>
          <w:szCs w:val="20"/>
          <w:color w:val="auto"/>
        </w:rPr>
      </w:pPr>
      <w:r>
        <w:rPr>
          <w:rFonts w:ascii="Arial" w:cs="Arial" w:eastAsia="Arial" w:hAnsi="Arial"/>
          <w:sz w:val="16"/>
          <w:szCs w:val="16"/>
          <w:color w:val="auto"/>
        </w:rPr>
        <w:t>In our outreach efforts, many of the stockholders with whom we spoke informed us that they appreciated the level of disclosure that we provided in our proxy statement last year regarding our corporate governance practices and philosophy on executive compensation. While expressing support for our prior disclosure, many of these stockholders also advised on areas in which they would like to see further discussion and disclosure. We also discussed with our stockholders the partial year disclosure of the 2016 compensation information due to the timing of the Internalization, as well as the complexities involved in retaining quality executives in our industry, and the other companies with which we compete for talent, many of whose compensation of similar employees is not publicly disclosed as a result of external management contracts or because those individuals are not named executive officers. As a result of these outreach efforts and based on this feedback from our stockholders, we have revised our proxy statement to provide additional background on our business and operations and their relationship to our compensation program for executives. We have also revised our Compensation Discussion &amp; Analysis to provide additional discussion regarding the industry in which we operate, the Internalization, and further explanation of the linkage of our compensation programs to our operational and strategic interests as a mortgage REIT.</w:t>
      </w:r>
    </w:p>
    <w:p>
      <w:pPr>
        <w:spacing w:after="0" w:line="169" w:lineRule="exact"/>
        <w:rPr>
          <w:sz w:val="20"/>
          <w:szCs w:val="20"/>
          <w:color w:val="auto"/>
        </w:rPr>
      </w:pPr>
    </w:p>
    <w:p>
      <w:pPr>
        <w:ind w:left="200" w:right="100" w:firstLine="771"/>
        <w:spacing w:after="0" w:line="308" w:lineRule="auto"/>
        <w:rPr>
          <w:sz w:val="20"/>
          <w:szCs w:val="20"/>
          <w:color w:val="auto"/>
        </w:rPr>
      </w:pPr>
      <w:r>
        <w:rPr>
          <w:rFonts w:ascii="Arial" w:cs="Arial" w:eastAsia="Arial" w:hAnsi="Arial"/>
          <w:sz w:val="17"/>
          <w:szCs w:val="17"/>
          <w:color w:val="auto"/>
        </w:rPr>
        <w:t>The Compensation Committee expects to continue to consider the outcome of future Say-on-Pay votes and our stockholder outreach efforts, as well as all Company and individual performance and market data, in making future decisions regarding executive compensation.</w:t>
      </w:r>
    </w:p>
    <w:p>
      <w:pPr>
        <w:spacing w:after="0" w:line="75"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40</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60"/>
          </w:cols>
          <w:pgMar w:left="240" w:top="459" w:right="499" w:bottom="1440" w:gutter="0" w:footer="0" w:header="0"/>
        </w:sectPr>
      </w:pPr>
    </w:p>
    <w:bookmarkStart w:id="44" w:name="page45"/>
    <w:bookmarkEnd w:id="4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Elements of Our Compensation Program and Their Purposes</w:t>
      </w:r>
    </w:p>
    <w:p>
      <w:pPr>
        <w:spacing w:after="0" w:line="121" w:lineRule="exact"/>
        <w:rPr>
          <w:sz w:val="20"/>
          <w:szCs w:val="20"/>
          <w:color w:val="auto"/>
        </w:rPr>
      </w:pPr>
    </w:p>
    <w:p>
      <w:pPr>
        <w:ind w:left="200" w:right="100" w:firstLine="771"/>
        <w:spacing w:after="0" w:line="257" w:lineRule="auto"/>
        <w:rPr>
          <w:sz w:val="20"/>
          <w:szCs w:val="20"/>
          <w:color w:val="auto"/>
        </w:rPr>
      </w:pPr>
      <w:r>
        <w:rPr>
          <w:rFonts w:ascii="Arial" w:cs="Arial" w:eastAsia="Arial" w:hAnsi="Arial"/>
          <w:sz w:val="18"/>
          <w:szCs w:val="18"/>
          <w:color w:val="auto"/>
        </w:rPr>
        <w:t>The Compensation Committee believes it is important to compensate our NEOs with a package that balances short- and long-term compensation and cash and equity-based compensation. Our NEOs’ compensation packages include three primary elements: base salary, short-term incentives in the form of an annual cash bonus and long-term equity incentives. Three-fourths of target compensation of our NEOs in 2017 consisted of short-term and long-term incentive compensation, and this percentage is expected to increase further in 2018. The following table describes generally each pay component, as well as its purpose and key considerations.</w:t>
      </w:r>
    </w:p>
    <w:p>
      <w:pPr>
        <w:spacing w:after="0" w:line="225" w:lineRule="exact"/>
        <w:rPr>
          <w:sz w:val="20"/>
          <w:szCs w:val="20"/>
          <w:color w:val="auto"/>
        </w:rPr>
      </w:pPr>
    </w:p>
    <w:p>
      <w:pPr>
        <w:ind w:left="660"/>
        <w:spacing w:after="0"/>
        <w:tabs>
          <w:tab w:leader="none" w:pos="3200" w:val="left"/>
          <w:tab w:leader="none" w:pos="8240" w:val="left"/>
        </w:tabs>
        <w:rPr>
          <w:sz w:val="20"/>
          <w:szCs w:val="20"/>
          <w:color w:val="auto"/>
        </w:rPr>
      </w:pPr>
      <w:r>
        <w:rPr>
          <w:rFonts w:ascii="Arial" w:cs="Arial" w:eastAsia="Arial" w:hAnsi="Arial"/>
          <w:sz w:val="18"/>
          <w:szCs w:val="18"/>
          <w:b w:val="1"/>
          <w:bCs w:val="1"/>
          <w:color w:val="auto"/>
        </w:rPr>
        <w:t>Pay Element</w:t>
      </w:r>
      <w:r>
        <w:rPr>
          <w:sz w:val="20"/>
          <w:szCs w:val="20"/>
          <w:color w:val="auto"/>
        </w:rPr>
        <w:tab/>
      </w:r>
      <w:r>
        <w:rPr>
          <w:rFonts w:ascii="Arial" w:cs="Arial" w:eastAsia="Arial" w:hAnsi="Arial"/>
          <w:sz w:val="18"/>
          <w:szCs w:val="18"/>
          <w:b w:val="1"/>
          <w:bCs w:val="1"/>
          <w:color w:val="auto"/>
        </w:rPr>
        <w:t>What It Does and How We Do It</w:t>
      </w:r>
      <w:r>
        <w:rPr>
          <w:sz w:val="20"/>
          <w:szCs w:val="20"/>
          <w:color w:val="auto"/>
        </w:rPr>
        <w:tab/>
      </w:r>
      <w:r>
        <w:rPr>
          <w:rFonts w:ascii="Arial" w:cs="Arial" w:eastAsia="Arial" w:hAnsi="Arial"/>
          <w:sz w:val="16"/>
          <w:szCs w:val="16"/>
          <w:b w:val="1"/>
          <w:bCs w:val="1"/>
          <w:color w:val="auto"/>
        </w:rPr>
        <w:t>Key Considerations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-127635</wp:posOffset>
            </wp:positionV>
            <wp:extent cx="6997700" cy="889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ectPr>
          <w:pgSz w:w="11900" w:h="16838" w:orient="portrait"/>
          <w:cols w:equalWidth="0" w:num="1">
            <w:col w:w="11220"/>
          </w:cols>
          <w:pgMar w:left="240" w:top="459" w:right="439" w:bottom="1440" w:gutter="0" w:footer="0" w:header="0"/>
        </w:sectPr>
      </w:pPr>
    </w:p>
    <w:p>
      <w:pPr>
        <w:spacing w:after="0" w:line="27" w:lineRule="exact"/>
        <w:rPr>
          <w:sz w:val="20"/>
          <w:szCs w:val="20"/>
          <w:color w:val="auto"/>
        </w:rPr>
      </w:pPr>
    </w:p>
    <w:tbl>
      <w:tblPr>
        <w:tblLayout w:type="fixed"/>
        <w:tblInd w:w="200" w:type="dxa"/>
        <w:tblCellMar>
          <w:top w:w="0" w:type="dxa"/>
          <w:left w:w="0" w:type="dxa"/>
          <w:bottom w:w="0" w:type="dxa"/>
          <w:right w:w="0" w:type="dxa"/>
        </w:tblCellMar>
      </w:tblPr>
      <w:tr>
        <w:trPr>
          <w:trHeight w:val="215"/>
        </w:trPr>
        <w:tc>
          <w:tcPr>
            <w:tcW w:w="1720" w:type="dxa"/>
            <w:vAlign w:val="bottom"/>
          </w:tcPr>
          <w:p>
            <w:pPr>
              <w:spacing w:after="0"/>
              <w:rPr>
                <w:sz w:val="20"/>
                <w:szCs w:val="20"/>
                <w:color w:val="auto"/>
              </w:rPr>
            </w:pPr>
            <w:r>
              <w:rPr>
                <w:rFonts w:ascii="Arial" w:cs="Arial" w:eastAsia="Arial" w:hAnsi="Arial"/>
                <w:sz w:val="18"/>
                <w:szCs w:val="18"/>
                <w:color w:val="auto"/>
              </w:rPr>
              <w:t>Base Salary</w:t>
            </w:r>
          </w:p>
        </w:tc>
        <w:tc>
          <w:tcPr>
            <w:tcW w:w="400" w:type="dxa"/>
            <w:vAlign w:val="bottom"/>
          </w:tcPr>
          <w:p>
            <w:pPr>
              <w:ind w:left="280"/>
              <w:spacing w:after="0"/>
              <w:rPr>
                <w:sz w:val="20"/>
                <w:szCs w:val="20"/>
                <w:color w:val="auto"/>
              </w:rPr>
            </w:pPr>
            <w:r>
              <w:rPr>
                <w:rFonts w:ascii="Arial" w:cs="Arial" w:eastAsia="Arial" w:hAnsi="Arial"/>
                <w:sz w:val="18"/>
                <w:szCs w:val="18"/>
                <w:color w:val="auto"/>
              </w:rPr>
              <w:t>•</w:t>
            </w:r>
          </w:p>
        </w:tc>
        <w:tc>
          <w:tcPr>
            <w:tcW w:w="4240" w:type="dxa"/>
            <w:vAlign w:val="bottom"/>
          </w:tcPr>
          <w:p>
            <w:pPr>
              <w:ind w:left="40"/>
              <w:spacing w:after="0"/>
              <w:rPr>
                <w:sz w:val="20"/>
                <w:szCs w:val="20"/>
                <w:color w:val="auto"/>
              </w:rPr>
            </w:pPr>
            <w:r>
              <w:rPr>
                <w:rFonts w:ascii="Arial" w:cs="Arial" w:eastAsia="Arial" w:hAnsi="Arial"/>
                <w:sz w:val="18"/>
                <w:szCs w:val="18"/>
                <w:color w:val="auto"/>
              </w:rPr>
              <w:t>Provides fixed, baseline level of cash compensation</w:t>
            </w:r>
          </w:p>
        </w:tc>
      </w:tr>
      <w:tr>
        <w:trPr>
          <w:trHeight w:val="216"/>
        </w:trPr>
        <w:tc>
          <w:tcPr>
            <w:tcW w:w="1720" w:type="dxa"/>
            <w:vAlign w:val="bottom"/>
          </w:tcPr>
          <w:p>
            <w:pPr>
              <w:spacing w:after="0"/>
              <w:rPr>
                <w:sz w:val="18"/>
                <w:szCs w:val="18"/>
                <w:color w:val="auto"/>
              </w:rPr>
            </w:pPr>
          </w:p>
        </w:tc>
        <w:tc>
          <w:tcPr>
            <w:tcW w:w="400" w:type="dxa"/>
            <w:vAlign w:val="bottom"/>
          </w:tcPr>
          <w:p>
            <w:pPr>
              <w:ind w:left="280"/>
              <w:spacing w:after="0"/>
              <w:rPr>
                <w:sz w:val="20"/>
                <w:szCs w:val="20"/>
                <w:color w:val="auto"/>
              </w:rPr>
            </w:pPr>
            <w:r>
              <w:rPr>
                <w:rFonts w:ascii="Arial" w:cs="Arial" w:eastAsia="Arial" w:hAnsi="Arial"/>
                <w:sz w:val="18"/>
                <w:szCs w:val="18"/>
                <w:color w:val="auto"/>
              </w:rPr>
              <w:t>•</w:t>
            </w:r>
          </w:p>
        </w:tc>
        <w:tc>
          <w:tcPr>
            <w:tcW w:w="4240" w:type="dxa"/>
            <w:vAlign w:val="bottom"/>
          </w:tcPr>
          <w:p>
            <w:pPr>
              <w:ind w:left="40"/>
              <w:spacing w:after="0"/>
              <w:rPr>
                <w:sz w:val="20"/>
                <w:szCs w:val="20"/>
                <w:color w:val="auto"/>
              </w:rPr>
            </w:pPr>
            <w:r>
              <w:rPr>
                <w:rFonts w:ascii="Arial" w:cs="Arial" w:eastAsia="Arial" w:hAnsi="Arial"/>
                <w:sz w:val="18"/>
                <w:szCs w:val="18"/>
                <w:color w:val="auto"/>
                <w:w w:val="93"/>
              </w:rPr>
              <w:t>Base salary is evaluated annually, but generally remains</w:t>
            </w:r>
          </w:p>
        </w:tc>
      </w:tr>
      <w:tr>
        <w:trPr>
          <w:trHeight w:val="216"/>
        </w:trPr>
        <w:tc>
          <w:tcPr>
            <w:tcW w:w="172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4240" w:type="dxa"/>
            <w:vAlign w:val="bottom"/>
          </w:tcPr>
          <w:p>
            <w:pPr>
              <w:ind w:left="60"/>
              <w:spacing w:after="0"/>
              <w:rPr>
                <w:sz w:val="20"/>
                <w:szCs w:val="20"/>
                <w:color w:val="auto"/>
              </w:rPr>
            </w:pPr>
            <w:r>
              <w:rPr>
                <w:rFonts w:ascii="Arial" w:cs="Arial" w:eastAsia="Arial" w:hAnsi="Arial"/>
                <w:sz w:val="18"/>
                <w:szCs w:val="18"/>
                <w:color w:val="auto"/>
                <w:w w:val="95"/>
              </w:rPr>
              <w:t>static absent promotion or adjustment due to economic</w:t>
            </w:r>
          </w:p>
        </w:tc>
      </w:tr>
      <w:tr>
        <w:trPr>
          <w:trHeight w:val="230"/>
        </w:trPr>
        <w:tc>
          <w:tcPr>
            <w:tcW w:w="1720" w:type="dxa"/>
            <w:vAlign w:val="bottom"/>
          </w:tcPr>
          <w:p>
            <w:pPr>
              <w:spacing w:after="0"/>
              <w:rPr>
                <w:sz w:val="20"/>
                <w:szCs w:val="20"/>
                <w:color w:val="auto"/>
              </w:rPr>
            </w:pPr>
          </w:p>
        </w:tc>
        <w:tc>
          <w:tcPr>
            <w:tcW w:w="400" w:type="dxa"/>
            <w:vAlign w:val="bottom"/>
          </w:tcPr>
          <w:p>
            <w:pPr>
              <w:spacing w:after="0"/>
              <w:rPr>
                <w:sz w:val="20"/>
                <w:szCs w:val="20"/>
                <w:color w:val="auto"/>
              </w:rPr>
            </w:pPr>
          </w:p>
        </w:tc>
        <w:tc>
          <w:tcPr>
            <w:tcW w:w="4240" w:type="dxa"/>
            <w:vAlign w:val="bottom"/>
          </w:tcPr>
          <w:p>
            <w:pPr>
              <w:ind w:left="60"/>
              <w:spacing w:after="0"/>
              <w:rPr>
                <w:sz w:val="20"/>
                <w:szCs w:val="20"/>
                <w:color w:val="auto"/>
              </w:rPr>
            </w:pPr>
            <w:r>
              <w:rPr>
                <w:rFonts w:ascii="Arial" w:cs="Arial" w:eastAsia="Arial" w:hAnsi="Arial"/>
                <w:sz w:val="18"/>
                <w:szCs w:val="18"/>
                <w:color w:val="auto"/>
              </w:rPr>
              <w:t>trends in industry or other competitive factors</w:t>
            </w:r>
          </w:p>
        </w:tc>
      </w:tr>
      <w:tr>
        <w:trPr>
          <w:trHeight w:val="323"/>
        </w:trPr>
        <w:tc>
          <w:tcPr>
            <w:tcW w:w="1720" w:type="dxa"/>
            <w:vAlign w:val="bottom"/>
          </w:tcPr>
          <w:p>
            <w:pPr>
              <w:spacing w:after="0"/>
              <w:rPr>
                <w:sz w:val="20"/>
                <w:szCs w:val="20"/>
                <w:color w:val="auto"/>
              </w:rPr>
            </w:pPr>
            <w:r>
              <w:rPr>
                <w:rFonts w:ascii="Arial" w:cs="Arial" w:eastAsia="Arial" w:hAnsi="Arial"/>
                <w:sz w:val="18"/>
                <w:szCs w:val="18"/>
                <w:color w:val="auto"/>
              </w:rPr>
              <w:t>Annual Cash Bonus</w:t>
            </w:r>
          </w:p>
        </w:tc>
        <w:tc>
          <w:tcPr>
            <w:tcW w:w="400" w:type="dxa"/>
            <w:vAlign w:val="bottom"/>
          </w:tcPr>
          <w:p>
            <w:pPr>
              <w:ind w:left="280"/>
              <w:spacing w:after="0"/>
              <w:rPr>
                <w:sz w:val="20"/>
                <w:szCs w:val="20"/>
                <w:color w:val="auto"/>
              </w:rPr>
            </w:pPr>
            <w:r>
              <w:rPr>
                <w:rFonts w:ascii="Arial" w:cs="Arial" w:eastAsia="Arial" w:hAnsi="Arial"/>
                <w:sz w:val="18"/>
                <w:szCs w:val="18"/>
                <w:color w:val="auto"/>
              </w:rPr>
              <w:t>•</w:t>
            </w:r>
          </w:p>
        </w:tc>
        <w:tc>
          <w:tcPr>
            <w:tcW w:w="4240" w:type="dxa"/>
            <w:vAlign w:val="bottom"/>
          </w:tcPr>
          <w:p>
            <w:pPr>
              <w:ind w:left="40"/>
              <w:spacing w:after="0"/>
              <w:rPr>
                <w:sz w:val="20"/>
                <w:szCs w:val="20"/>
                <w:color w:val="auto"/>
              </w:rPr>
            </w:pPr>
            <w:r>
              <w:rPr>
                <w:rFonts w:ascii="Arial" w:cs="Arial" w:eastAsia="Arial" w:hAnsi="Arial"/>
                <w:sz w:val="18"/>
                <w:szCs w:val="18"/>
                <w:color w:val="auto"/>
                <w:w w:val="90"/>
              </w:rPr>
              <w:t>Variable cash incentive opportunity tied to achievement of</w:t>
            </w:r>
          </w:p>
        </w:tc>
      </w:tr>
      <w:tr>
        <w:trPr>
          <w:trHeight w:val="216"/>
        </w:trPr>
        <w:tc>
          <w:tcPr>
            <w:tcW w:w="172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4240" w:type="dxa"/>
            <w:vAlign w:val="bottom"/>
          </w:tcPr>
          <w:p>
            <w:pPr>
              <w:ind w:left="60"/>
              <w:spacing w:after="0"/>
              <w:rPr>
                <w:sz w:val="20"/>
                <w:szCs w:val="20"/>
                <w:color w:val="auto"/>
              </w:rPr>
            </w:pPr>
            <w:r>
              <w:rPr>
                <w:rFonts w:ascii="Arial" w:cs="Arial" w:eastAsia="Arial" w:hAnsi="Arial"/>
                <w:sz w:val="18"/>
                <w:szCs w:val="18"/>
                <w:color w:val="auto"/>
                <w:w w:val="92"/>
              </w:rPr>
              <w:t>annual Company and individual goals established by the</w:t>
            </w:r>
          </w:p>
        </w:tc>
      </w:tr>
      <w:tr>
        <w:trPr>
          <w:trHeight w:val="230"/>
        </w:trPr>
        <w:tc>
          <w:tcPr>
            <w:tcW w:w="1720" w:type="dxa"/>
            <w:vAlign w:val="bottom"/>
          </w:tcPr>
          <w:p>
            <w:pPr>
              <w:spacing w:after="0"/>
              <w:rPr>
                <w:sz w:val="20"/>
                <w:szCs w:val="20"/>
                <w:color w:val="auto"/>
              </w:rPr>
            </w:pPr>
          </w:p>
        </w:tc>
        <w:tc>
          <w:tcPr>
            <w:tcW w:w="400" w:type="dxa"/>
            <w:vAlign w:val="bottom"/>
          </w:tcPr>
          <w:p>
            <w:pPr>
              <w:spacing w:after="0"/>
              <w:rPr>
                <w:sz w:val="20"/>
                <w:szCs w:val="20"/>
                <w:color w:val="auto"/>
              </w:rPr>
            </w:pPr>
          </w:p>
        </w:tc>
        <w:tc>
          <w:tcPr>
            <w:tcW w:w="4240" w:type="dxa"/>
            <w:vAlign w:val="bottom"/>
          </w:tcPr>
          <w:p>
            <w:pPr>
              <w:ind w:left="60"/>
              <w:spacing w:after="0"/>
              <w:rPr>
                <w:sz w:val="20"/>
                <w:szCs w:val="20"/>
                <w:color w:val="auto"/>
              </w:rPr>
            </w:pPr>
            <w:r>
              <w:rPr>
                <w:rFonts w:ascii="Arial" w:cs="Arial" w:eastAsia="Arial" w:hAnsi="Arial"/>
                <w:sz w:val="18"/>
                <w:szCs w:val="18"/>
                <w:color w:val="auto"/>
              </w:rPr>
              <w:t>Compensation Committee</w:t>
            </w:r>
          </w:p>
        </w:tc>
      </w:tr>
      <w:tr>
        <w:trPr>
          <w:trHeight w:val="310"/>
        </w:trPr>
        <w:tc>
          <w:tcPr>
            <w:tcW w:w="1720" w:type="dxa"/>
            <w:vAlign w:val="bottom"/>
          </w:tcPr>
          <w:p>
            <w:pPr>
              <w:spacing w:after="0"/>
              <w:rPr>
                <w:sz w:val="20"/>
                <w:szCs w:val="20"/>
                <w:color w:val="auto"/>
              </w:rPr>
            </w:pPr>
            <w:r>
              <w:rPr>
                <w:rFonts w:ascii="Arial" w:cs="Arial" w:eastAsia="Arial" w:hAnsi="Arial"/>
                <w:sz w:val="18"/>
                <w:szCs w:val="18"/>
                <w:color w:val="auto"/>
              </w:rPr>
              <w:t>Long-Term Equity</w:t>
            </w:r>
          </w:p>
        </w:tc>
        <w:tc>
          <w:tcPr>
            <w:tcW w:w="400" w:type="dxa"/>
            <w:vAlign w:val="bottom"/>
          </w:tcPr>
          <w:p>
            <w:pPr>
              <w:ind w:left="280"/>
              <w:spacing w:after="0"/>
              <w:rPr>
                <w:sz w:val="20"/>
                <w:szCs w:val="20"/>
                <w:color w:val="auto"/>
              </w:rPr>
            </w:pPr>
            <w:r>
              <w:rPr>
                <w:rFonts w:ascii="Arial" w:cs="Arial" w:eastAsia="Arial" w:hAnsi="Arial"/>
                <w:sz w:val="18"/>
                <w:szCs w:val="18"/>
                <w:color w:val="auto"/>
              </w:rPr>
              <w:t>•</w:t>
            </w:r>
          </w:p>
        </w:tc>
        <w:tc>
          <w:tcPr>
            <w:tcW w:w="4240" w:type="dxa"/>
            <w:vAlign w:val="bottom"/>
          </w:tcPr>
          <w:p>
            <w:pPr>
              <w:ind w:left="40"/>
              <w:spacing w:after="0"/>
              <w:rPr>
                <w:sz w:val="20"/>
                <w:szCs w:val="20"/>
                <w:color w:val="auto"/>
              </w:rPr>
            </w:pPr>
            <w:r>
              <w:rPr>
                <w:rFonts w:ascii="Arial" w:cs="Arial" w:eastAsia="Arial" w:hAnsi="Arial"/>
                <w:sz w:val="18"/>
                <w:szCs w:val="18"/>
                <w:color w:val="auto"/>
                <w:w w:val="98"/>
              </w:rPr>
              <w:t>Variable equity-based long-term incentive opportunity</w:t>
            </w:r>
          </w:p>
        </w:tc>
      </w:tr>
      <w:tr>
        <w:trPr>
          <w:trHeight w:val="216"/>
        </w:trPr>
        <w:tc>
          <w:tcPr>
            <w:tcW w:w="1720" w:type="dxa"/>
            <w:vAlign w:val="bottom"/>
          </w:tcPr>
          <w:p>
            <w:pPr>
              <w:spacing w:after="0"/>
              <w:rPr>
                <w:sz w:val="20"/>
                <w:szCs w:val="20"/>
                <w:color w:val="auto"/>
              </w:rPr>
            </w:pPr>
            <w:r>
              <w:rPr>
                <w:rFonts w:ascii="Arial" w:cs="Arial" w:eastAsia="Arial" w:hAnsi="Arial"/>
                <w:sz w:val="18"/>
                <w:szCs w:val="18"/>
                <w:color w:val="auto"/>
              </w:rPr>
              <w:t>Incentive Awards</w:t>
            </w:r>
          </w:p>
        </w:tc>
        <w:tc>
          <w:tcPr>
            <w:tcW w:w="400" w:type="dxa"/>
            <w:vAlign w:val="bottom"/>
          </w:tcPr>
          <w:p>
            <w:pPr>
              <w:ind w:left="280"/>
              <w:spacing w:after="0"/>
              <w:rPr>
                <w:sz w:val="20"/>
                <w:szCs w:val="20"/>
                <w:color w:val="auto"/>
              </w:rPr>
            </w:pPr>
            <w:r>
              <w:rPr>
                <w:rFonts w:ascii="Arial" w:cs="Arial" w:eastAsia="Arial" w:hAnsi="Arial"/>
                <w:sz w:val="18"/>
                <w:szCs w:val="18"/>
                <w:color w:val="auto"/>
              </w:rPr>
              <w:t>•</w:t>
            </w:r>
          </w:p>
        </w:tc>
        <w:tc>
          <w:tcPr>
            <w:tcW w:w="4240" w:type="dxa"/>
            <w:vAlign w:val="bottom"/>
          </w:tcPr>
          <w:p>
            <w:pPr>
              <w:ind w:left="40"/>
              <w:spacing w:after="0"/>
              <w:rPr>
                <w:sz w:val="20"/>
                <w:szCs w:val="20"/>
                <w:color w:val="auto"/>
              </w:rPr>
            </w:pPr>
            <w:r>
              <w:rPr>
                <w:rFonts w:ascii="Arial" w:cs="Arial" w:eastAsia="Arial" w:hAnsi="Arial"/>
                <w:sz w:val="18"/>
                <w:szCs w:val="18"/>
                <w:color w:val="auto"/>
                <w:w w:val="95"/>
              </w:rPr>
              <w:t>Grants are predominantly in the form of restricted stock</w:t>
            </w:r>
          </w:p>
        </w:tc>
      </w:tr>
      <w:tr>
        <w:trPr>
          <w:trHeight w:val="216"/>
        </w:trPr>
        <w:tc>
          <w:tcPr>
            <w:tcW w:w="172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4240" w:type="dxa"/>
            <w:vAlign w:val="bottom"/>
          </w:tcPr>
          <w:p>
            <w:pPr>
              <w:ind w:left="60"/>
              <w:spacing w:after="0"/>
              <w:rPr>
                <w:sz w:val="20"/>
                <w:szCs w:val="20"/>
                <w:color w:val="auto"/>
              </w:rPr>
            </w:pPr>
            <w:r>
              <w:rPr>
                <w:rFonts w:ascii="Arial" w:cs="Arial" w:eastAsia="Arial" w:hAnsi="Arial"/>
                <w:sz w:val="18"/>
                <w:szCs w:val="18"/>
                <w:color w:val="auto"/>
              </w:rPr>
              <w:t>units (RSUs) of AGNC common stock under the</w:t>
            </w:r>
          </w:p>
        </w:tc>
      </w:tr>
      <w:tr>
        <w:trPr>
          <w:trHeight w:val="216"/>
        </w:trPr>
        <w:tc>
          <w:tcPr>
            <w:tcW w:w="172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4240" w:type="dxa"/>
            <w:vAlign w:val="bottom"/>
          </w:tcPr>
          <w:p>
            <w:pPr>
              <w:ind w:left="60"/>
              <w:spacing w:after="0"/>
              <w:rPr>
                <w:sz w:val="20"/>
                <w:szCs w:val="20"/>
                <w:color w:val="auto"/>
              </w:rPr>
            </w:pPr>
            <w:r>
              <w:rPr>
                <w:rFonts w:ascii="Arial" w:cs="Arial" w:eastAsia="Arial" w:hAnsi="Arial"/>
                <w:sz w:val="18"/>
                <w:szCs w:val="18"/>
                <w:color w:val="auto"/>
                <w:w w:val="95"/>
              </w:rPr>
              <w:t>Company’s 2016 Plan. At least 50% of the AGNC RSU</w:t>
            </w:r>
          </w:p>
        </w:tc>
      </w:tr>
      <w:tr>
        <w:trPr>
          <w:trHeight w:val="216"/>
        </w:trPr>
        <w:tc>
          <w:tcPr>
            <w:tcW w:w="172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4240" w:type="dxa"/>
            <w:vAlign w:val="bottom"/>
          </w:tcPr>
          <w:p>
            <w:pPr>
              <w:ind w:left="60"/>
              <w:spacing w:after="0"/>
              <w:rPr>
                <w:sz w:val="20"/>
                <w:szCs w:val="20"/>
                <w:color w:val="auto"/>
              </w:rPr>
            </w:pPr>
            <w:r>
              <w:rPr>
                <w:rFonts w:ascii="Arial" w:cs="Arial" w:eastAsia="Arial" w:hAnsi="Arial"/>
                <w:sz w:val="18"/>
                <w:szCs w:val="18"/>
                <w:color w:val="auto"/>
              </w:rPr>
              <w:t>awards granted to NEOs in 2017 vest based upon</w:t>
            </w:r>
          </w:p>
        </w:tc>
      </w:tr>
      <w:tr>
        <w:trPr>
          <w:trHeight w:val="216"/>
        </w:trPr>
        <w:tc>
          <w:tcPr>
            <w:tcW w:w="172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4240" w:type="dxa"/>
            <w:vAlign w:val="bottom"/>
          </w:tcPr>
          <w:p>
            <w:pPr>
              <w:ind w:left="60"/>
              <w:spacing w:after="0"/>
              <w:rPr>
                <w:sz w:val="20"/>
                <w:szCs w:val="20"/>
                <w:color w:val="auto"/>
              </w:rPr>
            </w:pPr>
            <w:r>
              <w:rPr>
                <w:rFonts w:ascii="Arial" w:cs="Arial" w:eastAsia="Arial" w:hAnsi="Arial"/>
                <w:sz w:val="18"/>
                <w:szCs w:val="18"/>
                <w:color w:val="auto"/>
                <w:w w:val="94"/>
              </w:rPr>
              <w:t>achievement of pre-established multi-year performance</w:t>
            </w:r>
          </w:p>
        </w:tc>
      </w:tr>
      <w:tr>
        <w:trPr>
          <w:trHeight w:val="230"/>
        </w:trPr>
        <w:tc>
          <w:tcPr>
            <w:tcW w:w="1720" w:type="dxa"/>
            <w:vAlign w:val="bottom"/>
          </w:tcPr>
          <w:p>
            <w:pPr>
              <w:spacing w:after="0"/>
              <w:rPr>
                <w:sz w:val="20"/>
                <w:szCs w:val="20"/>
                <w:color w:val="auto"/>
              </w:rPr>
            </w:pPr>
          </w:p>
        </w:tc>
        <w:tc>
          <w:tcPr>
            <w:tcW w:w="400" w:type="dxa"/>
            <w:vAlign w:val="bottom"/>
          </w:tcPr>
          <w:p>
            <w:pPr>
              <w:spacing w:after="0"/>
              <w:rPr>
                <w:sz w:val="20"/>
                <w:szCs w:val="20"/>
                <w:color w:val="auto"/>
              </w:rPr>
            </w:pPr>
          </w:p>
        </w:tc>
        <w:tc>
          <w:tcPr>
            <w:tcW w:w="4240" w:type="dxa"/>
            <w:vAlign w:val="bottom"/>
          </w:tcPr>
          <w:p>
            <w:pPr>
              <w:ind w:left="60"/>
              <w:spacing w:after="0"/>
              <w:rPr>
                <w:sz w:val="20"/>
                <w:szCs w:val="20"/>
                <w:color w:val="auto"/>
              </w:rPr>
            </w:pPr>
            <w:r>
              <w:rPr>
                <w:rFonts w:ascii="Arial" w:cs="Arial" w:eastAsia="Arial" w:hAnsi="Arial"/>
                <w:sz w:val="18"/>
                <w:szCs w:val="18"/>
                <w:color w:val="auto"/>
              </w:rPr>
              <w:t>goals</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-2074545</wp:posOffset>
            </wp:positionV>
            <wp:extent cx="6997700" cy="889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7" w:lineRule="exact"/>
        <w:rPr>
          <w:sz w:val="20"/>
          <w:szCs w:val="20"/>
          <w:color w:val="auto"/>
        </w:rPr>
      </w:pPr>
    </w:p>
    <w:p>
      <w:pPr>
        <w:ind w:left="179" w:right="80" w:hanging="179"/>
        <w:spacing w:after="0" w:line="259" w:lineRule="auto"/>
        <w:tabs>
          <w:tab w:leader="none" w:pos="163" w:val="left"/>
        </w:tabs>
        <w:numPr>
          <w:ilvl w:val="0"/>
          <w:numId w:val="37"/>
        </w:numPr>
        <w:rPr>
          <w:rFonts w:ascii="Arial" w:cs="Arial" w:eastAsia="Arial" w:hAnsi="Arial"/>
          <w:sz w:val="18"/>
          <w:szCs w:val="18"/>
          <w:color w:val="auto"/>
        </w:rPr>
      </w:pPr>
      <w:r>
        <w:rPr>
          <w:rFonts w:ascii="Arial" w:cs="Arial" w:eastAsia="Arial" w:hAnsi="Arial"/>
          <w:sz w:val="18"/>
          <w:szCs w:val="18"/>
          <w:color w:val="auto"/>
        </w:rPr>
        <w:t>Base salary is based on experience, duties and scope of responsibility as well as internal and external market factors, as determined and weighed by our Compensation Committee</w:t>
      </w:r>
    </w:p>
    <w:p>
      <w:pPr>
        <w:spacing w:after="0" w:line="91" w:lineRule="exact"/>
        <w:rPr>
          <w:rFonts w:ascii="Arial" w:cs="Arial" w:eastAsia="Arial" w:hAnsi="Arial"/>
          <w:sz w:val="18"/>
          <w:szCs w:val="18"/>
          <w:color w:val="auto"/>
        </w:rPr>
      </w:pPr>
    </w:p>
    <w:p>
      <w:pPr>
        <w:jc w:val="both"/>
        <w:ind w:left="179" w:right="100" w:hanging="179"/>
        <w:spacing w:after="0" w:line="264" w:lineRule="auto"/>
        <w:tabs>
          <w:tab w:leader="none" w:pos="160" w:val="left"/>
        </w:tabs>
        <w:numPr>
          <w:ilvl w:val="0"/>
          <w:numId w:val="37"/>
        </w:numPr>
        <w:rPr>
          <w:rFonts w:ascii="Arial" w:cs="Arial" w:eastAsia="Arial" w:hAnsi="Arial"/>
          <w:sz w:val="18"/>
          <w:szCs w:val="18"/>
          <w:color w:val="auto"/>
        </w:rPr>
      </w:pPr>
      <w:r>
        <w:rPr>
          <w:rFonts w:ascii="Arial" w:cs="Arial" w:eastAsia="Arial" w:hAnsi="Arial"/>
          <w:sz w:val="18"/>
          <w:szCs w:val="18"/>
          <w:color w:val="auto"/>
        </w:rPr>
        <w:t>The operational, strategic, and financial goals selected by the Compensation Committee are important to our short-and long-term performance</w:t>
      </w:r>
    </w:p>
    <w:p>
      <w:pPr>
        <w:spacing w:after="0" w:line="73" w:lineRule="exact"/>
        <w:rPr>
          <w:rFonts w:ascii="Arial" w:cs="Arial" w:eastAsia="Arial" w:hAnsi="Arial"/>
          <w:sz w:val="18"/>
          <w:szCs w:val="18"/>
          <w:color w:val="auto"/>
        </w:rPr>
      </w:pPr>
    </w:p>
    <w:p>
      <w:pPr>
        <w:ind w:left="179" w:right="40" w:hanging="179"/>
        <w:spacing w:after="0" w:line="256" w:lineRule="auto"/>
        <w:tabs>
          <w:tab w:leader="none" w:pos="160" w:val="left"/>
        </w:tabs>
        <w:numPr>
          <w:ilvl w:val="0"/>
          <w:numId w:val="37"/>
        </w:numPr>
        <w:rPr>
          <w:rFonts w:ascii="Arial" w:cs="Arial" w:eastAsia="Arial" w:hAnsi="Arial"/>
          <w:sz w:val="18"/>
          <w:szCs w:val="18"/>
          <w:color w:val="auto"/>
        </w:rPr>
      </w:pPr>
      <w:r>
        <w:rPr>
          <w:rFonts w:ascii="Arial" w:cs="Arial" w:eastAsia="Arial" w:hAnsi="Arial"/>
          <w:sz w:val="18"/>
          <w:szCs w:val="18"/>
          <w:color w:val="auto"/>
        </w:rPr>
        <w:t>Vesting schedule encourages retention and alignment with stockholder interests of the Company and other entities managed by the Company</w:t>
      </w:r>
    </w:p>
    <w:p>
      <w:pPr>
        <w:ind w:left="179" w:right="340" w:hanging="179"/>
        <w:spacing w:after="0" w:line="255" w:lineRule="auto"/>
        <w:tabs>
          <w:tab w:leader="none" w:pos="163" w:val="left"/>
        </w:tabs>
        <w:numPr>
          <w:ilvl w:val="0"/>
          <w:numId w:val="37"/>
        </w:numPr>
        <w:rPr>
          <w:rFonts w:ascii="Arial" w:cs="Arial" w:eastAsia="Arial" w:hAnsi="Arial"/>
          <w:sz w:val="18"/>
          <w:szCs w:val="18"/>
          <w:color w:val="auto"/>
        </w:rPr>
      </w:pPr>
      <w:r>
        <w:rPr>
          <w:rFonts w:ascii="Arial" w:cs="Arial" w:eastAsia="Arial" w:hAnsi="Arial"/>
          <w:sz w:val="18"/>
          <w:szCs w:val="18"/>
          <w:color w:val="auto"/>
        </w:rPr>
        <w:t>Performance-vested RSUs vest upon completion of a 3-year performance period based on economic returns over the period</w:t>
      </w:r>
    </w:p>
    <w:p>
      <w:pPr>
        <w:spacing w:after="0" w:line="311" w:lineRule="exact"/>
        <w:rPr>
          <w:sz w:val="20"/>
          <w:szCs w:val="20"/>
          <w:color w:val="auto"/>
        </w:rPr>
      </w:pPr>
    </w:p>
    <w:p>
      <w:pPr>
        <w:sectPr>
          <w:pgSz w:w="11900" w:h="16838" w:orient="portrait"/>
          <w:cols w:equalWidth="0" w:num="2">
            <w:col w:w="6560" w:space="261"/>
            <w:col w:w="4399"/>
          </w:cols>
          <w:pgMar w:left="240" w:top="459" w:right="439" w:bottom="1440" w:gutter="0" w:footer="0" w:header="0"/>
          <w:type w:val="continuous"/>
        </w:sectPr>
      </w:pPr>
    </w:p>
    <w:p>
      <w:pPr>
        <w:ind w:left="2380" w:hanging="177"/>
        <w:spacing w:after="0" w:line="279" w:lineRule="auto"/>
        <w:tabs>
          <w:tab w:leader="none" w:pos="2354" w:val="left"/>
        </w:tabs>
        <w:numPr>
          <w:ilvl w:val="0"/>
          <w:numId w:val="38"/>
        </w:numPr>
        <w:rPr>
          <w:rFonts w:ascii="Arial" w:cs="Arial" w:eastAsia="Arial" w:hAnsi="Arial"/>
          <w:sz w:val="17"/>
          <w:szCs w:val="17"/>
          <w:color w:val="auto"/>
        </w:rPr>
      </w:pPr>
      <w:r>
        <w:rPr>
          <w:rFonts w:ascii="Arial" w:cs="Arial" w:eastAsia="Arial" w:hAnsi="Arial"/>
          <w:sz w:val="17"/>
          <w:szCs w:val="17"/>
          <w:color w:val="auto"/>
        </w:rPr>
        <w:t>A portion of long-term incentive awards are performance incentive plan shares of MTGE common stock, under the AGNC Mortgage Management, LLC Performance Incentive Plan—MTGE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-18415</wp:posOffset>
            </wp:positionV>
            <wp:extent cx="6997700" cy="889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ind w:left="179" w:right="40" w:hanging="179"/>
        <w:spacing w:after="0" w:line="259" w:lineRule="auto"/>
        <w:tabs>
          <w:tab w:leader="none" w:pos="153" w:val="left"/>
        </w:tabs>
        <w:numPr>
          <w:ilvl w:val="0"/>
          <w:numId w:val="39"/>
        </w:numPr>
        <w:rPr>
          <w:rFonts w:ascii="Arial" w:cs="Arial" w:eastAsia="Arial" w:hAnsi="Arial"/>
          <w:sz w:val="18"/>
          <w:szCs w:val="18"/>
          <w:color w:val="auto"/>
        </w:rPr>
      </w:pPr>
      <w:r>
        <w:rPr>
          <w:rFonts w:ascii="Arial" w:cs="Arial" w:eastAsia="Arial" w:hAnsi="Arial"/>
          <w:sz w:val="18"/>
          <w:szCs w:val="18"/>
          <w:color w:val="auto"/>
        </w:rPr>
        <w:t>All grants under the MTGE performance incentive plan are time vesting, and are expected to represent a minority of the grants by value of the Company’s overall long-term equity incentive program</w:t>
      </w:r>
    </w:p>
    <w:p>
      <w:pPr>
        <w:spacing w:after="0" w:line="128" w:lineRule="exact"/>
        <w:rPr>
          <w:sz w:val="20"/>
          <w:szCs w:val="20"/>
          <w:color w:val="auto"/>
        </w:rPr>
      </w:pPr>
    </w:p>
    <w:p>
      <w:pPr>
        <w:sectPr>
          <w:pgSz w:w="11900" w:h="16838" w:orient="portrait"/>
          <w:cols w:equalWidth="0" w:num="2">
            <w:col w:w="6500" w:space="321"/>
            <w:col w:w="4399"/>
          </w:cols>
          <w:pgMar w:left="240" w:top="459" w:right="439" w:bottom="1440" w:gutter="0" w:footer="0" w:header="0"/>
          <w:type w:val="continuous"/>
        </w:sectPr>
      </w:pPr>
    </w:p>
    <w:p>
      <w:pPr>
        <w:ind w:left="8060"/>
        <w:spacing w:after="0"/>
        <w:tabs>
          <w:tab w:leader="none" w:pos="110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41</w:t>
      </w:r>
    </w:p>
    <w:p>
      <w:pPr>
        <w:sectPr>
          <w:pgSz w:w="11900" w:h="16838" w:orient="portrait"/>
          <w:cols w:equalWidth="0" w:num="1">
            <w:col w:w="11220"/>
          </w:cols>
          <w:pgMar w:left="240" w:top="459" w:right="439" w:bottom="1440" w:gutter="0" w:footer="0" w:header="0"/>
          <w:type w:val="continuous"/>
        </w:sectPr>
      </w:pPr>
    </w:p>
    <w:bookmarkStart w:id="45" w:name="page46"/>
    <w:bookmarkEnd w:id="4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200" w:right="200" w:firstLine="771"/>
        <w:spacing w:after="0" w:line="277" w:lineRule="auto"/>
        <w:rPr>
          <w:sz w:val="20"/>
          <w:szCs w:val="20"/>
          <w:color w:val="auto"/>
        </w:rPr>
      </w:pPr>
      <w:r>
        <w:rPr>
          <w:rFonts w:ascii="Arial" w:cs="Arial" w:eastAsia="Arial" w:hAnsi="Arial"/>
          <w:sz w:val="18"/>
          <w:szCs w:val="18"/>
          <w:color w:val="auto"/>
        </w:rPr>
        <w:t>The overall mix of base salary, annual cash bonus, and equity and incentive awards at target to our NEOs for the second half of 2016, 2017, and anticipated for 2018 is depicted in the following pie graphs.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134620</wp:posOffset>
            </wp:positionV>
            <wp:extent cx="6997700" cy="23177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extLst>
                    </a:blip>
                    <a:srcRect/>
                    <a:stretch>
                      <a:fillRect/>
                    </a:stretch>
                  </pic:blipFill>
                  <pic:spPr bwMode="auto">
                    <a:xfrm>
                      <a:off x="0" y="0"/>
                      <a:ext cx="6997700" cy="231775"/>
                    </a:xfrm>
                    <a:prstGeom prst="rect">
                      <a:avLst/>
                    </a:prstGeom>
                    <a:noFill/>
                  </pic:spPr>
                </pic:pic>
              </a:graphicData>
            </a:graphic>
          </wp:anchor>
        </w:drawing>
      </w:r>
    </w:p>
    <w:p>
      <w:pPr>
        <w:spacing w:after="0" w:line="241" w:lineRule="exact"/>
        <w:rPr>
          <w:sz w:val="20"/>
          <w:szCs w:val="20"/>
          <w:color w:val="auto"/>
        </w:rPr>
      </w:pPr>
    </w:p>
    <w:p>
      <w:pPr>
        <w:jc w:val="center"/>
        <w:ind w:right="-219"/>
        <w:spacing w:after="0"/>
        <w:rPr>
          <w:sz w:val="20"/>
          <w:szCs w:val="20"/>
          <w:color w:val="auto"/>
        </w:rPr>
      </w:pPr>
      <w:r>
        <w:rPr>
          <w:rFonts w:ascii="Arial" w:cs="Arial" w:eastAsia="Arial" w:hAnsi="Arial"/>
          <w:sz w:val="18"/>
          <w:szCs w:val="18"/>
          <w:b w:val="1"/>
          <w:bCs w:val="1"/>
          <w:color w:val="auto"/>
        </w:rPr>
        <w:t>Composition of Our NEOs’ Total Compensation at Target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146050</wp:posOffset>
            </wp:positionV>
            <wp:extent cx="6997700" cy="148336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extLst>
                    </a:blip>
                    <a:srcRect/>
                    <a:stretch>
                      <a:fillRect/>
                    </a:stretch>
                  </pic:blipFill>
                  <pic:spPr bwMode="auto">
                    <a:xfrm>
                      <a:off x="0" y="0"/>
                      <a:ext cx="6997700" cy="1483360"/>
                    </a:xfrm>
                    <a:prstGeom prst="rect">
                      <a:avLst/>
                    </a:prstGeom>
                    <a:noFill/>
                  </pic:spPr>
                </pic:pic>
              </a:graphicData>
            </a:graphic>
          </wp:anchor>
        </w:drawing>
      </w:r>
    </w:p>
    <w:p>
      <w:pPr>
        <w:spacing w:after="0" w:line="259" w:lineRule="exact"/>
        <w:rPr>
          <w:sz w:val="20"/>
          <w:szCs w:val="20"/>
          <w:color w:val="auto"/>
        </w:rPr>
      </w:pPr>
    </w:p>
    <w:p>
      <w:pPr>
        <w:ind w:left="1360"/>
        <w:spacing w:after="0"/>
        <w:tabs>
          <w:tab w:leader="none" w:pos="5820" w:val="left"/>
          <w:tab w:leader="none" w:pos="8960" w:val="left"/>
        </w:tabs>
        <w:rPr>
          <w:sz w:val="20"/>
          <w:szCs w:val="20"/>
          <w:color w:val="auto"/>
        </w:rPr>
      </w:pPr>
      <w:r>
        <w:rPr>
          <w:rFonts w:ascii="Arial" w:cs="Arial" w:eastAsia="Arial" w:hAnsi="Arial"/>
          <w:sz w:val="18"/>
          <w:szCs w:val="18"/>
          <w:b w:val="1"/>
          <w:bCs w:val="1"/>
          <w:color w:val="auto"/>
        </w:rPr>
        <w:t>Second Half of 2016</w:t>
      </w:r>
      <w:r>
        <w:rPr>
          <w:sz w:val="20"/>
          <w:szCs w:val="20"/>
          <w:color w:val="auto"/>
        </w:rPr>
        <w:tab/>
      </w:r>
      <w:r>
        <w:rPr>
          <w:rFonts w:ascii="Arial" w:cs="Arial" w:eastAsia="Arial" w:hAnsi="Arial"/>
          <w:sz w:val="18"/>
          <w:szCs w:val="18"/>
          <w:b w:val="1"/>
          <w:bCs w:val="1"/>
          <w:color w:val="auto"/>
        </w:rPr>
        <w:t>2017</w:t>
      </w:r>
      <w:r>
        <w:rPr>
          <w:sz w:val="20"/>
          <w:szCs w:val="20"/>
          <w:color w:val="auto"/>
        </w:rPr>
        <w:tab/>
      </w:r>
      <w:r>
        <w:rPr>
          <w:rFonts w:ascii="Arial" w:cs="Arial" w:eastAsia="Arial" w:hAnsi="Arial"/>
          <w:sz w:val="16"/>
          <w:szCs w:val="16"/>
          <w:b w:val="1"/>
          <w:bCs w:val="1"/>
          <w:color w:val="auto"/>
        </w:rPr>
        <w:t>2018 (Estimated)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1406525</wp:posOffset>
            </wp:positionV>
            <wp:extent cx="2444115" cy="889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extLst>
                    </a:blip>
                    <a:srcRect/>
                    <a:stretch>
                      <a:fillRect/>
                    </a:stretch>
                  </pic:blipFill>
                  <pic:spPr bwMode="auto">
                    <a:xfrm>
                      <a:off x="0" y="0"/>
                      <a:ext cx="244411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7" w:lineRule="exact"/>
        <w:rPr>
          <w:sz w:val="20"/>
          <w:szCs w:val="20"/>
          <w:color w:val="auto"/>
        </w:rPr>
      </w:pPr>
    </w:p>
    <w:p>
      <w:pPr>
        <w:ind w:left="860" w:right="80" w:hanging="656"/>
        <w:spacing w:after="0" w:line="264" w:lineRule="auto"/>
        <w:tabs>
          <w:tab w:leader="none" w:pos="860" w:val="left"/>
        </w:tabs>
        <w:numPr>
          <w:ilvl w:val="0"/>
          <w:numId w:val="40"/>
        </w:numPr>
        <w:rPr>
          <w:rFonts w:ascii="Arial" w:cs="Arial" w:eastAsia="Arial" w:hAnsi="Arial"/>
          <w:sz w:val="18"/>
          <w:szCs w:val="18"/>
          <w:color w:val="auto"/>
        </w:rPr>
      </w:pPr>
      <w:r>
        <w:rPr>
          <w:rFonts w:ascii="Arial" w:cs="Arial" w:eastAsia="Arial" w:hAnsi="Arial"/>
          <w:sz w:val="18"/>
          <w:szCs w:val="18"/>
          <w:color w:val="auto"/>
        </w:rPr>
        <w:t>Incentive compensation consists of a short-term cash bonus and long-term equity incentive awards (both time and performance-based) at target level of performance. Actual incentive compensation may be higher or lower based on actual performance. For 2017, incentive compensation was subject to certain minimum guaranties, as discussed below.</w:t>
      </w:r>
    </w:p>
    <w:p>
      <w:pPr>
        <w:spacing w:after="0" w:line="181"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Base Salary</w:t>
      </w:r>
    </w:p>
    <w:p>
      <w:pPr>
        <w:spacing w:after="0" w:line="117" w:lineRule="exact"/>
        <w:rPr>
          <w:sz w:val="20"/>
          <w:szCs w:val="20"/>
          <w:color w:val="auto"/>
        </w:rPr>
      </w:pPr>
    </w:p>
    <w:p>
      <w:pPr>
        <w:ind w:left="200" w:right="140" w:firstLine="771"/>
        <w:spacing w:after="0" w:line="293" w:lineRule="auto"/>
        <w:rPr>
          <w:sz w:val="20"/>
          <w:szCs w:val="20"/>
          <w:color w:val="auto"/>
        </w:rPr>
      </w:pPr>
      <w:r>
        <w:rPr>
          <w:rFonts w:ascii="Arial" w:cs="Arial" w:eastAsia="Arial" w:hAnsi="Arial"/>
          <w:sz w:val="16"/>
          <w:szCs w:val="16"/>
          <w:color w:val="auto"/>
        </w:rPr>
        <w:t>Base salary provides a fixed, baseline level of cash compensation to our NEOs and is a fixed expense for the Company. The Compensation Committee has established base salaries for our NEOs after considering a variety of factors, including current economic conditions and the competitive market for executive officers, pay history and contractual obligations in effect at the time of the Internalization, the scope of each executive officer’s responsibilities, individual performance, future potential and our performance, and, if requested by the Compensation Committee, recommendations from the committee’s compensation consultant. The Compensation Committee will review the base salaries for our NEOs annually and at the time of a promotion or other change in responsibilities, and salaries may be adjusted after considering the above factors.</w:t>
      </w:r>
    </w:p>
    <w:p>
      <w:pPr>
        <w:spacing w:after="0" w:line="165" w:lineRule="exact"/>
        <w:rPr>
          <w:sz w:val="20"/>
          <w:szCs w:val="20"/>
          <w:color w:val="auto"/>
        </w:rPr>
      </w:pPr>
    </w:p>
    <w:p>
      <w:pPr>
        <w:ind w:left="200" w:right="160" w:firstLine="881"/>
        <w:spacing w:after="0" w:line="257" w:lineRule="auto"/>
        <w:rPr>
          <w:sz w:val="20"/>
          <w:szCs w:val="20"/>
          <w:color w:val="auto"/>
        </w:rPr>
      </w:pPr>
      <w:r>
        <w:rPr>
          <w:rFonts w:ascii="Arial" w:cs="Arial" w:eastAsia="Arial" w:hAnsi="Arial"/>
          <w:sz w:val="18"/>
          <w:szCs w:val="18"/>
          <w:color w:val="auto"/>
        </w:rPr>
        <w:t>The annual base salaries for Messrs. Kain, Federico, Kuehl, and Pollack, as set forth in the table below, are the minimum levels required in each of their employment arrangements. These levels were determined by the Compensation Committee, in consultation with FW Cook, taking into account salary history and the terms of the NEO’s employment in effect at the time of the Internalization, the highly complex and unique services provided by our NEOs, the desire to retain our NEOs during the period following our Internalization, the duties and responsibilities of the NEOs, and internal and external pay equity.</w:t>
      </w:r>
    </w:p>
    <w:p>
      <w:pPr>
        <w:spacing w:after="0" w:line="210" w:lineRule="exact"/>
        <w:rPr>
          <w:sz w:val="20"/>
          <w:szCs w:val="20"/>
          <w:color w:val="auto"/>
        </w:rPr>
      </w:pPr>
    </w:p>
    <w:tbl>
      <w:tblPr>
        <w:tblLayout w:type="fixed"/>
        <w:tblInd w:w="220" w:type="dxa"/>
        <w:tblCellMar>
          <w:top w:w="0" w:type="dxa"/>
          <w:left w:w="0" w:type="dxa"/>
          <w:bottom w:w="0" w:type="dxa"/>
          <w:right w:w="0" w:type="dxa"/>
        </w:tblCellMar>
      </w:tblPr>
      <w:tr>
        <w:trPr>
          <w:trHeight w:val="230"/>
        </w:trPr>
        <w:tc>
          <w:tcPr>
            <w:tcW w:w="3460" w:type="dxa"/>
            <w:vAlign w:val="bottom"/>
            <w:tcBorders>
              <w:top w:val="single" w:sz="8" w:color="407CCA"/>
              <w:bottom w:val="single" w:sz="8" w:color="407CCA"/>
            </w:tcBorders>
          </w:tcPr>
          <w:p>
            <w:pPr>
              <w:ind w:left="80"/>
              <w:spacing w:after="0"/>
              <w:rPr>
                <w:sz w:val="20"/>
                <w:szCs w:val="20"/>
                <w:color w:val="auto"/>
              </w:rPr>
            </w:pPr>
            <w:r>
              <w:rPr>
                <w:rFonts w:ascii="Arial" w:cs="Arial" w:eastAsia="Arial" w:hAnsi="Arial"/>
                <w:sz w:val="18"/>
                <w:szCs w:val="18"/>
                <w:b w:val="1"/>
                <w:bCs w:val="1"/>
                <w:color w:val="auto"/>
              </w:rPr>
              <w:t>NEO</w:t>
            </w:r>
          </w:p>
        </w:tc>
        <w:tc>
          <w:tcPr>
            <w:tcW w:w="3960" w:type="dxa"/>
            <w:vAlign w:val="bottom"/>
            <w:tcBorders>
              <w:top w:val="single" w:sz="8" w:color="407CCA"/>
              <w:bottom w:val="single" w:sz="8" w:color="407CCA"/>
            </w:tcBorders>
          </w:tcPr>
          <w:p>
            <w:pPr>
              <w:jc w:val="center"/>
              <w:ind w:left="254"/>
              <w:spacing w:after="0"/>
              <w:rPr>
                <w:sz w:val="20"/>
                <w:szCs w:val="20"/>
                <w:color w:val="auto"/>
              </w:rPr>
            </w:pPr>
            <w:r>
              <w:rPr>
                <w:rFonts w:ascii="Arial" w:cs="Arial" w:eastAsia="Arial" w:hAnsi="Arial"/>
                <w:sz w:val="13"/>
                <w:szCs w:val="13"/>
                <w:b w:val="1"/>
                <w:bCs w:val="1"/>
                <w:color w:val="auto"/>
                <w:w w:val="89"/>
              </w:rPr>
              <w:t>2017</w:t>
            </w:r>
          </w:p>
        </w:tc>
        <w:tc>
          <w:tcPr>
            <w:tcW w:w="3600" w:type="dxa"/>
            <w:vAlign w:val="bottom"/>
            <w:tcBorders>
              <w:top w:val="single" w:sz="8" w:color="407CCA"/>
              <w:bottom w:val="single" w:sz="8" w:color="407CCA"/>
            </w:tcBorders>
          </w:tcPr>
          <w:p>
            <w:pPr>
              <w:jc w:val="center"/>
              <w:spacing w:after="0"/>
              <w:rPr>
                <w:sz w:val="20"/>
                <w:szCs w:val="20"/>
                <w:color w:val="auto"/>
              </w:rPr>
            </w:pPr>
            <w:r>
              <w:rPr>
                <w:rFonts w:ascii="Arial" w:cs="Arial" w:eastAsia="Arial" w:hAnsi="Arial"/>
                <w:sz w:val="13"/>
                <w:szCs w:val="13"/>
                <w:b w:val="1"/>
                <w:bCs w:val="1"/>
                <w:color w:val="auto"/>
                <w:w w:val="82"/>
              </w:rPr>
              <w:t>2018</w:t>
            </w:r>
          </w:p>
        </w:tc>
      </w:tr>
      <w:tr>
        <w:trPr>
          <w:trHeight w:val="210"/>
        </w:trPr>
        <w:tc>
          <w:tcPr>
            <w:tcW w:w="346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Gary D. Kain</w:t>
            </w:r>
          </w:p>
        </w:tc>
        <w:tc>
          <w:tcPr>
            <w:tcW w:w="3960" w:type="dxa"/>
            <w:vAlign w:val="bottom"/>
            <w:shd w:val="clear" w:color="auto" w:fill="CCEEFF"/>
          </w:tcPr>
          <w:p>
            <w:pPr>
              <w:jc w:val="center"/>
              <w:ind w:left="254"/>
              <w:spacing w:after="0"/>
              <w:rPr>
                <w:sz w:val="20"/>
                <w:szCs w:val="20"/>
                <w:color w:val="auto"/>
              </w:rPr>
            </w:pPr>
            <w:r>
              <w:rPr>
                <w:rFonts w:ascii="Arial" w:cs="Arial" w:eastAsia="Arial" w:hAnsi="Arial"/>
                <w:sz w:val="18"/>
                <w:szCs w:val="18"/>
                <w:color w:val="auto"/>
                <w:w w:val="90"/>
              </w:rPr>
              <w:t>$3,400,000</w:t>
            </w:r>
          </w:p>
        </w:tc>
        <w:tc>
          <w:tcPr>
            <w:tcW w:w="36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8"/>
              </w:rPr>
              <w:t>$1,800,000</w:t>
            </w:r>
          </w:p>
        </w:tc>
      </w:tr>
      <w:tr>
        <w:trPr>
          <w:trHeight w:val="216"/>
        </w:trPr>
        <w:tc>
          <w:tcPr>
            <w:tcW w:w="3460" w:type="dxa"/>
            <w:vAlign w:val="bottom"/>
          </w:tcPr>
          <w:p>
            <w:pPr>
              <w:ind w:left="80"/>
              <w:spacing w:after="0"/>
              <w:rPr>
                <w:sz w:val="20"/>
                <w:szCs w:val="20"/>
                <w:color w:val="auto"/>
              </w:rPr>
            </w:pPr>
            <w:r>
              <w:rPr>
                <w:rFonts w:ascii="Arial" w:cs="Arial" w:eastAsia="Arial" w:hAnsi="Arial"/>
                <w:sz w:val="18"/>
                <w:szCs w:val="18"/>
                <w:b w:val="1"/>
                <w:bCs w:val="1"/>
                <w:color w:val="auto"/>
              </w:rPr>
              <w:t>Peter J. Federico</w:t>
            </w:r>
          </w:p>
        </w:tc>
        <w:tc>
          <w:tcPr>
            <w:tcW w:w="3960" w:type="dxa"/>
            <w:vAlign w:val="bottom"/>
          </w:tcPr>
          <w:p>
            <w:pPr>
              <w:jc w:val="center"/>
              <w:ind w:left="254"/>
              <w:spacing w:after="0"/>
              <w:rPr>
                <w:sz w:val="20"/>
                <w:szCs w:val="20"/>
                <w:color w:val="auto"/>
              </w:rPr>
            </w:pPr>
            <w:r>
              <w:rPr>
                <w:rFonts w:ascii="Arial" w:cs="Arial" w:eastAsia="Arial" w:hAnsi="Arial"/>
                <w:sz w:val="18"/>
                <w:szCs w:val="18"/>
                <w:color w:val="auto"/>
                <w:w w:val="87"/>
              </w:rPr>
              <w:t>$900,000</w:t>
            </w:r>
          </w:p>
        </w:tc>
        <w:tc>
          <w:tcPr>
            <w:tcW w:w="3600" w:type="dxa"/>
            <w:vAlign w:val="bottom"/>
          </w:tcPr>
          <w:p>
            <w:pPr>
              <w:jc w:val="center"/>
              <w:spacing w:after="0"/>
              <w:rPr>
                <w:sz w:val="20"/>
                <w:szCs w:val="20"/>
                <w:color w:val="auto"/>
              </w:rPr>
            </w:pPr>
            <w:r>
              <w:rPr>
                <w:rFonts w:ascii="Arial" w:cs="Arial" w:eastAsia="Arial" w:hAnsi="Arial"/>
                <w:sz w:val="18"/>
                <w:szCs w:val="18"/>
                <w:color w:val="auto"/>
                <w:w w:val="90"/>
              </w:rPr>
              <w:t>$900,000</w:t>
            </w:r>
          </w:p>
        </w:tc>
      </w:tr>
      <w:tr>
        <w:trPr>
          <w:trHeight w:val="216"/>
        </w:trPr>
        <w:tc>
          <w:tcPr>
            <w:tcW w:w="346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Christopher J. Kuehl</w:t>
            </w:r>
          </w:p>
        </w:tc>
        <w:tc>
          <w:tcPr>
            <w:tcW w:w="3960" w:type="dxa"/>
            <w:vAlign w:val="bottom"/>
            <w:shd w:val="clear" w:color="auto" w:fill="CCEEFF"/>
          </w:tcPr>
          <w:p>
            <w:pPr>
              <w:jc w:val="center"/>
              <w:ind w:left="254"/>
              <w:spacing w:after="0"/>
              <w:rPr>
                <w:sz w:val="20"/>
                <w:szCs w:val="20"/>
                <w:color w:val="auto"/>
              </w:rPr>
            </w:pPr>
            <w:r>
              <w:rPr>
                <w:rFonts w:ascii="Arial" w:cs="Arial" w:eastAsia="Arial" w:hAnsi="Arial"/>
                <w:sz w:val="18"/>
                <w:szCs w:val="18"/>
                <w:color w:val="auto"/>
                <w:w w:val="87"/>
              </w:rPr>
              <w:t>$900,000</w:t>
            </w:r>
          </w:p>
        </w:tc>
        <w:tc>
          <w:tcPr>
            <w:tcW w:w="36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0"/>
              </w:rPr>
              <w:t>$900,000</w:t>
            </w:r>
          </w:p>
        </w:tc>
      </w:tr>
      <w:tr>
        <w:trPr>
          <w:trHeight w:val="216"/>
        </w:trPr>
        <w:tc>
          <w:tcPr>
            <w:tcW w:w="3460" w:type="dxa"/>
            <w:vAlign w:val="bottom"/>
          </w:tcPr>
          <w:p>
            <w:pPr>
              <w:ind w:left="60"/>
              <w:spacing w:after="0"/>
              <w:rPr>
                <w:sz w:val="20"/>
                <w:szCs w:val="20"/>
                <w:color w:val="auto"/>
              </w:rPr>
            </w:pPr>
            <w:r>
              <w:rPr>
                <w:rFonts w:ascii="Arial" w:cs="Arial" w:eastAsia="Arial" w:hAnsi="Arial"/>
                <w:sz w:val="18"/>
                <w:szCs w:val="18"/>
                <w:b w:val="1"/>
                <w:bCs w:val="1"/>
                <w:color w:val="auto"/>
              </w:rPr>
              <w:t>Aaron J. Pas</w:t>
            </w:r>
          </w:p>
        </w:tc>
        <w:tc>
          <w:tcPr>
            <w:tcW w:w="3960" w:type="dxa"/>
            <w:vAlign w:val="bottom"/>
          </w:tcPr>
          <w:p>
            <w:pPr>
              <w:jc w:val="center"/>
              <w:ind w:left="254"/>
              <w:spacing w:after="0"/>
              <w:rPr>
                <w:sz w:val="20"/>
                <w:szCs w:val="20"/>
                <w:color w:val="auto"/>
              </w:rPr>
            </w:pPr>
            <w:r>
              <w:rPr>
                <w:rFonts w:ascii="Arial" w:cs="Arial" w:eastAsia="Arial" w:hAnsi="Arial"/>
                <w:sz w:val="18"/>
                <w:szCs w:val="18"/>
                <w:color w:val="auto"/>
                <w:w w:val="87"/>
              </w:rPr>
              <w:t>$425,000</w:t>
            </w:r>
          </w:p>
        </w:tc>
        <w:tc>
          <w:tcPr>
            <w:tcW w:w="3600" w:type="dxa"/>
            <w:vAlign w:val="bottom"/>
          </w:tcPr>
          <w:p>
            <w:pPr>
              <w:jc w:val="center"/>
              <w:spacing w:after="0"/>
              <w:rPr>
                <w:sz w:val="20"/>
                <w:szCs w:val="20"/>
                <w:color w:val="auto"/>
              </w:rPr>
            </w:pPr>
            <w:r>
              <w:rPr>
                <w:rFonts w:ascii="Arial" w:cs="Arial" w:eastAsia="Arial" w:hAnsi="Arial"/>
                <w:sz w:val="18"/>
                <w:szCs w:val="18"/>
                <w:color w:val="auto"/>
                <w:w w:val="90"/>
              </w:rPr>
              <w:t>$425,000</w:t>
            </w:r>
          </w:p>
        </w:tc>
      </w:tr>
      <w:tr>
        <w:trPr>
          <w:trHeight w:val="216"/>
        </w:trPr>
        <w:tc>
          <w:tcPr>
            <w:tcW w:w="3460" w:type="dxa"/>
            <w:vAlign w:val="bottom"/>
            <w:tcBorders>
              <w:bottom w:val="single" w:sz="8" w:color="407CCA"/>
            </w:tcBorders>
            <w:shd w:val="clear" w:color="auto" w:fill="CCEEFF"/>
          </w:tcPr>
          <w:p>
            <w:pPr>
              <w:ind w:left="80"/>
              <w:spacing w:after="0"/>
              <w:rPr>
                <w:sz w:val="20"/>
                <w:szCs w:val="20"/>
                <w:color w:val="auto"/>
              </w:rPr>
            </w:pPr>
            <w:r>
              <w:rPr>
                <w:rFonts w:ascii="Arial" w:cs="Arial" w:eastAsia="Arial" w:hAnsi="Arial"/>
                <w:sz w:val="18"/>
                <w:szCs w:val="18"/>
                <w:b w:val="1"/>
                <w:bCs w:val="1"/>
                <w:color w:val="auto"/>
              </w:rPr>
              <w:t>Kenneth L. Pollack</w:t>
            </w:r>
          </w:p>
        </w:tc>
        <w:tc>
          <w:tcPr>
            <w:tcW w:w="3960" w:type="dxa"/>
            <w:vAlign w:val="bottom"/>
            <w:tcBorders>
              <w:bottom w:val="single" w:sz="8" w:color="407CCA"/>
            </w:tcBorders>
            <w:shd w:val="clear" w:color="auto" w:fill="CCEEFF"/>
          </w:tcPr>
          <w:p>
            <w:pPr>
              <w:jc w:val="center"/>
              <w:ind w:left="254"/>
              <w:spacing w:after="0"/>
              <w:rPr>
                <w:sz w:val="20"/>
                <w:szCs w:val="20"/>
                <w:color w:val="auto"/>
              </w:rPr>
            </w:pPr>
            <w:r>
              <w:rPr>
                <w:rFonts w:ascii="Arial" w:cs="Arial" w:eastAsia="Arial" w:hAnsi="Arial"/>
                <w:sz w:val="18"/>
                <w:szCs w:val="18"/>
                <w:color w:val="auto"/>
                <w:w w:val="87"/>
              </w:rPr>
              <w:t>$425,000</w:t>
            </w:r>
          </w:p>
        </w:tc>
        <w:tc>
          <w:tcPr>
            <w:tcW w:w="3600" w:type="dxa"/>
            <w:vAlign w:val="bottom"/>
            <w:tcBorders>
              <w:bottom w:val="single" w:sz="8" w:color="407CCA"/>
            </w:tcBorders>
            <w:shd w:val="clear" w:color="auto" w:fill="CCEEFF"/>
          </w:tcPr>
          <w:p>
            <w:pPr>
              <w:jc w:val="center"/>
              <w:spacing w:after="0"/>
              <w:rPr>
                <w:sz w:val="20"/>
                <w:szCs w:val="20"/>
                <w:color w:val="auto"/>
              </w:rPr>
            </w:pPr>
            <w:r>
              <w:rPr>
                <w:rFonts w:ascii="Arial" w:cs="Arial" w:eastAsia="Arial" w:hAnsi="Arial"/>
                <w:sz w:val="18"/>
                <w:szCs w:val="18"/>
                <w:color w:val="auto"/>
                <w:w w:val="90"/>
              </w:rPr>
              <w:t>$500,000</w:t>
            </w:r>
          </w:p>
        </w:tc>
      </w:tr>
    </w:tbl>
    <w:p>
      <w:pPr>
        <w:spacing w:after="0" w:line="130"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42</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40"/>
          </w:cols>
          <w:pgMar w:left="240" w:top="459" w:right="419" w:bottom="1440" w:gutter="0" w:footer="0" w:header="0"/>
        </w:sectPr>
      </w:pPr>
    </w:p>
    <w:bookmarkStart w:id="46" w:name="page47"/>
    <w:bookmarkEnd w:id="4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ind w:right="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Annual Cash Bonus</w:t>
      </w:r>
    </w:p>
    <w:p>
      <w:pPr>
        <w:spacing w:after="0" w:line="117" w:lineRule="exact"/>
        <w:rPr>
          <w:sz w:val="20"/>
          <w:szCs w:val="20"/>
          <w:color w:val="auto"/>
        </w:rPr>
      </w:pPr>
    </w:p>
    <w:p>
      <w:pPr>
        <w:ind w:left="200" w:right="80" w:firstLine="771"/>
        <w:spacing w:after="0" w:line="273" w:lineRule="auto"/>
        <w:rPr>
          <w:sz w:val="20"/>
          <w:szCs w:val="20"/>
          <w:color w:val="auto"/>
        </w:rPr>
      </w:pPr>
      <w:r>
        <w:rPr>
          <w:rFonts w:ascii="Arial" w:cs="Arial" w:eastAsia="Arial" w:hAnsi="Arial"/>
          <w:sz w:val="17"/>
          <w:szCs w:val="17"/>
          <w:color w:val="auto"/>
        </w:rPr>
        <w:t>Short-term incentives in the form of an annual cash bonus are another component of each NEO’s annual cash compensation. Each NEO’s target for short-term incentive compensation is determined based on an evaluation of the same factors used in setting their base salary. Our Compensation Committee has established performance criteria for short-term incentives that directly correspond to the areas of greatest impact to our short- and long-term performance and operations. This pay component thus creates a direct connection between business success and our NEO’s compensation. Each NEO’s target for cash bonuses to be paid in 2017 and 2018 is set forth in the table below. The total cash bonus paid to each NEO in 2017 is reported in the Summary Compensation Table on page 55 of this proxy statement.</w:t>
      </w:r>
    </w:p>
    <w:p>
      <w:pPr>
        <w:spacing w:after="0" w:line="200" w:lineRule="exact"/>
        <w:rPr>
          <w:sz w:val="20"/>
          <w:szCs w:val="20"/>
          <w:color w:val="auto"/>
        </w:rPr>
      </w:pPr>
    </w:p>
    <w:tbl>
      <w:tblPr>
        <w:tblLayout w:type="fixed"/>
        <w:tblInd w:w="220" w:type="dxa"/>
        <w:tblCellMar>
          <w:top w:w="0" w:type="dxa"/>
          <w:left w:w="0" w:type="dxa"/>
          <w:bottom w:w="0" w:type="dxa"/>
          <w:right w:w="0" w:type="dxa"/>
        </w:tblCellMar>
      </w:tblPr>
      <w:tr>
        <w:trPr>
          <w:trHeight w:val="230"/>
        </w:trPr>
        <w:tc>
          <w:tcPr>
            <w:tcW w:w="3460" w:type="dxa"/>
            <w:vAlign w:val="bottom"/>
            <w:tcBorders>
              <w:top w:val="single" w:sz="8" w:color="407CCA"/>
              <w:bottom w:val="single" w:sz="8" w:color="407CCA"/>
            </w:tcBorders>
          </w:tcPr>
          <w:p>
            <w:pPr>
              <w:ind w:left="80"/>
              <w:spacing w:after="0"/>
              <w:rPr>
                <w:sz w:val="20"/>
                <w:szCs w:val="20"/>
                <w:color w:val="auto"/>
              </w:rPr>
            </w:pPr>
            <w:r>
              <w:rPr>
                <w:rFonts w:ascii="Arial" w:cs="Arial" w:eastAsia="Arial" w:hAnsi="Arial"/>
                <w:sz w:val="18"/>
                <w:szCs w:val="18"/>
                <w:b w:val="1"/>
                <w:bCs w:val="1"/>
                <w:color w:val="auto"/>
              </w:rPr>
              <w:t>NEO</w:t>
            </w:r>
          </w:p>
        </w:tc>
        <w:tc>
          <w:tcPr>
            <w:tcW w:w="3960" w:type="dxa"/>
            <w:vAlign w:val="bottom"/>
            <w:tcBorders>
              <w:top w:val="single" w:sz="8" w:color="407CCA"/>
              <w:bottom w:val="single" w:sz="8" w:color="407CCA"/>
            </w:tcBorders>
          </w:tcPr>
          <w:p>
            <w:pPr>
              <w:jc w:val="center"/>
              <w:ind w:left="254"/>
              <w:spacing w:after="0"/>
              <w:rPr>
                <w:sz w:val="20"/>
                <w:szCs w:val="20"/>
                <w:color w:val="auto"/>
              </w:rPr>
            </w:pPr>
            <w:r>
              <w:rPr>
                <w:rFonts w:ascii="Arial" w:cs="Arial" w:eastAsia="Arial" w:hAnsi="Arial"/>
                <w:sz w:val="13"/>
                <w:szCs w:val="13"/>
                <w:b w:val="1"/>
                <w:bCs w:val="1"/>
                <w:color w:val="auto"/>
                <w:w w:val="89"/>
              </w:rPr>
              <w:t>2017</w:t>
            </w:r>
          </w:p>
        </w:tc>
        <w:tc>
          <w:tcPr>
            <w:tcW w:w="3600" w:type="dxa"/>
            <w:vAlign w:val="bottom"/>
            <w:tcBorders>
              <w:top w:val="single" w:sz="8" w:color="407CCA"/>
              <w:bottom w:val="single" w:sz="8" w:color="407CCA"/>
            </w:tcBorders>
          </w:tcPr>
          <w:p>
            <w:pPr>
              <w:jc w:val="center"/>
              <w:spacing w:after="0"/>
              <w:rPr>
                <w:sz w:val="20"/>
                <w:szCs w:val="20"/>
                <w:color w:val="auto"/>
              </w:rPr>
            </w:pPr>
            <w:r>
              <w:rPr>
                <w:rFonts w:ascii="Arial" w:cs="Arial" w:eastAsia="Arial" w:hAnsi="Arial"/>
                <w:sz w:val="13"/>
                <w:szCs w:val="13"/>
                <w:b w:val="1"/>
                <w:bCs w:val="1"/>
                <w:color w:val="auto"/>
                <w:w w:val="82"/>
              </w:rPr>
              <w:t>2018</w:t>
            </w:r>
          </w:p>
        </w:tc>
      </w:tr>
      <w:tr>
        <w:trPr>
          <w:trHeight w:val="210"/>
        </w:trPr>
        <w:tc>
          <w:tcPr>
            <w:tcW w:w="346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Gary D. Kain</w:t>
            </w:r>
          </w:p>
        </w:tc>
        <w:tc>
          <w:tcPr>
            <w:tcW w:w="3960" w:type="dxa"/>
            <w:vAlign w:val="bottom"/>
            <w:shd w:val="clear" w:color="auto" w:fill="CCEEFF"/>
          </w:tcPr>
          <w:p>
            <w:pPr>
              <w:jc w:val="center"/>
              <w:ind w:left="254"/>
              <w:spacing w:after="0"/>
              <w:rPr>
                <w:sz w:val="20"/>
                <w:szCs w:val="20"/>
                <w:color w:val="auto"/>
              </w:rPr>
            </w:pPr>
            <w:r>
              <w:rPr>
                <w:rFonts w:ascii="Arial" w:cs="Arial" w:eastAsia="Arial" w:hAnsi="Arial"/>
                <w:sz w:val="18"/>
                <w:szCs w:val="18"/>
                <w:color w:val="auto"/>
                <w:w w:val="90"/>
              </w:rPr>
              <w:t>$6,140,000</w:t>
            </w:r>
          </w:p>
        </w:tc>
        <w:tc>
          <w:tcPr>
            <w:tcW w:w="36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8"/>
              </w:rPr>
              <w:t>$7,200,000</w:t>
            </w:r>
          </w:p>
        </w:tc>
      </w:tr>
      <w:tr>
        <w:trPr>
          <w:trHeight w:val="216"/>
        </w:trPr>
        <w:tc>
          <w:tcPr>
            <w:tcW w:w="3460" w:type="dxa"/>
            <w:vAlign w:val="bottom"/>
          </w:tcPr>
          <w:p>
            <w:pPr>
              <w:ind w:left="80"/>
              <w:spacing w:after="0"/>
              <w:rPr>
                <w:sz w:val="20"/>
                <w:szCs w:val="20"/>
                <w:color w:val="auto"/>
              </w:rPr>
            </w:pPr>
            <w:r>
              <w:rPr>
                <w:rFonts w:ascii="Arial" w:cs="Arial" w:eastAsia="Arial" w:hAnsi="Arial"/>
                <w:sz w:val="18"/>
                <w:szCs w:val="18"/>
                <w:b w:val="1"/>
                <w:bCs w:val="1"/>
                <w:color w:val="auto"/>
              </w:rPr>
              <w:t>Peter J. Federico</w:t>
            </w:r>
          </w:p>
        </w:tc>
        <w:tc>
          <w:tcPr>
            <w:tcW w:w="3960" w:type="dxa"/>
            <w:vAlign w:val="bottom"/>
          </w:tcPr>
          <w:p>
            <w:pPr>
              <w:jc w:val="center"/>
              <w:ind w:left="254"/>
              <w:spacing w:after="0"/>
              <w:rPr>
                <w:sz w:val="20"/>
                <w:szCs w:val="20"/>
                <w:color w:val="auto"/>
              </w:rPr>
            </w:pPr>
            <w:r>
              <w:rPr>
                <w:rFonts w:ascii="Arial" w:cs="Arial" w:eastAsia="Arial" w:hAnsi="Arial"/>
                <w:sz w:val="18"/>
                <w:szCs w:val="18"/>
                <w:color w:val="auto"/>
                <w:w w:val="90"/>
              </w:rPr>
              <w:t>$1,800,000</w:t>
            </w:r>
          </w:p>
        </w:tc>
        <w:tc>
          <w:tcPr>
            <w:tcW w:w="3600" w:type="dxa"/>
            <w:vAlign w:val="bottom"/>
          </w:tcPr>
          <w:p>
            <w:pPr>
              <w:jc w:val="center"/>
              <w:spacing w:after="0"/>
              <w:rPr>
                <w:sz w:val="20"/>
                <w:szCs w:val="20"/>
                <w:color w:val="auto"/>
              </w:rPr>
            </w:pPr>
            <w:r>
              <w:rPr>
                <w:rFonts w:ascii="Arial" w:cs="Arial" w:eastAsia="Arial" w:hAnsi="Arial"/>
                <w:sz w:val="18"/>
                <w:szCs w:val="18"/>
                <w:color w:val="auto"/>
                <w:w w:val="88"/>
              </w:rPr>
              <w:t>$1,800,000</w:t>
            </w:r>
          </w:p>
        </w:tc>
      </w:tr>
      <w:tr>
        <w:trPr>
          <w:trHeight w:val="216"/>
        </w:trPr>
        <w:tc>
          <w:tcPr>
            <w:tcW w:w="346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Christopher J. Kuehl</w:t>
            </w:r>
          </w:p>
        </w:tc>
        <w:tc>
          <w:tcPr>
            <w:tcW w:w="3960" w:type="dxa"/>
            <w:vAlign w:val="bottom"/>
            <w:shd w:val="clear" w:color="auto" w:fill="CCEEFF"/>
          </w:tcPr>
          <w:p>
            <w:pPr>
              <w:jc w:val="center"/>
              <w:ind w:left="254"/>
              <w:spacing w:after="0"/>
              <w:rPr>
                <w:sz w:val="20"/>
                <w:szCs w:val="20"/>
                <w:color w:val="auto"/>
              </w:rPr>
            </w:pPr>
            <w:r>
              <w:rPr>
                <w:rFonts w:ascii="Arial" w:cs="Arial" w:eastAsia="Arial" w:hAnsi="Arial"/>
                <w:sz w:val="18"/>
                <w:szCs w:val="18"/>
                <w:color w:val="auto"/>
                <w:w w:val="90"/>
              </w:rPr>
              <w:t>$1,602,000</w:t>
            </w:r>
          </w:p>
        </w:tc>
        <w:tc>
          <w:tcPr>
            <w:tcW w:w="36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8"/>
              </w:rPr>
              <w:t>$1,602,000</w:t>
            </w:r>
          </w:p>
        </w:tc>
      </w:tr>
      <w:tr>
        <w:trPr>
          <w:trHeight w:val="216"/>
        </w:trPr>
        <w:tc>
          <w:tcPr>
            <w:tcW w:w="3460" w:type="dxa"/>
            <w:vAlign w:val="bottom"/>
          </w:tcPr>
          <w:p>
            <w:pPr>
              <w:ind w:left="60"/>
              <w:spacing w:after="0"/>
              <w:rPr>
                <w:sz w:val="20"/>
                <w:szCs w:val="20"/>
                <w:color w:val="auto"/>
              </w:rPr>
            </w:pPr>
            <w:r>
              <w:rPr>
                <w:rFonts w:ascii="Arial" w:cs="Arial" w:eastAsia="Arial" w:hAnsi="Arial"/>
                <w:sz w:val="18"/>
                <w:szCs w:val="18"/>
                <w:b w:val="1"/>
                <w:bCs w:val="1"/>
                <w:color w:val="auto"/>
              </w:rPr>
              <w:t>Aaron J. Pas</w:t>
            </w:r>
          </w:p>
        </w:tc>
        <w:tc>
          <w:tcPr>
            <w:tcW w:w="3960" w:type="dxa"/>
            <w:vAlign w:val="bottom"/>
          </w:tcPr>
          <w:p>
            <w:pPr>
              <w:jc w:val="center"/>
              <w:ind w:left="254"/>
              <w:spacing w:after="0"/>
              <w:rPr>
                <w:sz w:val="20"/>
                <w:szCs w:val="20"/>
                <w:color w:val="auto"/>
              </w:rPr>
            </w:pPr>
            <w:r>
              <w:rPr>
                <w:rFonts w:ascii="Arial" w:cs="Arial" w:eastAsia="Arial" w:hAnsi="Arial"/>
                <w:sz w:val="18"/>
                <w:szCs w:val="18"/>
                <w:color w:val="auto"/>
                <w:w w:val="87"/>
              </w:rPr>
              <w:t>$637,500</w:t>
            </w:r>
          </w:p>
        </w:tc>
        <w:tc>
          <w:tcPr>
            <w:tcW w:w="3600" w:type="dxa"/>
            <w:vAlign w:val="bottom"/>
          </w:tcPr>
          <w:p>
            <w:pPr>
              <w:jc w:val="center"/>
              <w:spacing w:after="0"/>
              <w:rPr>
                <w:sz w:val="20"/>
                <w:szCs w:val="20"/>
                <w:color w:val="auto"/>
              </w:rPr>
            </w:pPr>
            <w:r>
              <w:rPr>
                <w:rFonts w:ascii="Arial" w:cs="Arial" w:eastAsia="Arial" w:hAnsi="Arial"/>
                <w:sz w:val="18"/>
                <w:szCs w:val="18"/>
                <w:color w:val="auto"/>
                <w:w w:val="90"/>
              </w:rPr>
              <w:t>$637,500</w:t>
            </w:r>
          </w:p>
        </w:tc>
      </w:tr>
      <w:tr>
        <w:trPr>
          <w:trHeight w:val="216"/>
        </w:trPr>
        <w:tc>
          <w:tcPr>
            <w:tcW w:w="3460" w:type="dxa"/>
            <w:vAlign w:val="bottom"/>
            <w:tcBorders>
              <w:bottom w:val="single" w:sz="8" w:color="407CCA"/>
            </w:tcBorders>
            <w:shd w:val="clear" w:color="auto" w:fill="CCEEFF"/>
          </w:tcPr>
          <w:p>
            <w:pPr>
              <w:ind w:left="80"/>
              <w:spacing w:after="0"/>
              <w:rPr>
                <w:sz w:val="20"/>
                <w:szCs w:val="20"/>
                <w:color w:val="auto"/>
              </w:rPr>
            </w:pPr>
            <w:r>
              <w:rPr>
                <w:rFonts w:ascii="Arial" w:cs="Arial" w:eastAsia="Arial" w:hAnsi="Arial"/>
                <w:sz w:val="18"/>
                <w:szCs w:val="18"/>
                <w:b w:val="1"/>
                <w:bCs w:val="1"/>
                <w:color w:val="auto"/>
              </w:rPr>
              <w:t>Kenneth L. Pollack</w:t>
            </w:r>
          </w:p>
        </w:tc>
        <w:tc>
          <w:tcPr>
            <w:tcW w:w="3960" w:type="dxa"/>
            <w:vAlign w:val="bottom"/>
            <w:tcBorders>
              <w:bottom w:val="single" w:sz="8" w:color="407CCA"/>
            </w:tcBorders>
            <w:shd w:val="clear" w:color="auto" w:fill="CCEEFF"/>
          </w:tcPr>
          <w:p>
            <w:pPr>
              <w:jc w:val="center"/>
              <w:ind w:left="254"/>
              <w:spacing w:after="0"/>
              <w:rPr>
                <w:sz w:val="20"/>
                <w:szCs w:val="20"/>
                <w:color w:val="auto"/>
              </w:rPr>
            </w:pPr>
            <w:r>
              <w:rPr>
                <w:rFonts w:ascii="Arial" w:cs="Arial" w:eastAsia="Arial" w:hAnsi="Arial"/>
                <w:sz w:val="18"/>
                <w:szCs w:val="18"/>
                <w:color w:val="auto"/>
                <w:w w:val="87"/>
              </w:rPr>
              <w:t>$425,000</w:t>
            </w:r>
          </w:p>
        </w:tc>
        <w:tc>
          <w:tcPr>
            <w:tcW w:w="3600" w:type="dxa"/>
            <w:vAlign w:val="bottom"/>
            <w:tcBorders>
              <w:bottom w:val="single" w:sz="8" w:color="407CCA"/>
            </w:tcBorders>
            <w:shd w:val="clear" w:color="auto" w:fill="CCEEFF"/>
          </w:tcPr>
          <w:p>
            <w:pPr>
              <w:jc w:val="center"/>
              <w:spacing w:after="0"/>
              <w:rPr>
                <w:sz w:val="20"/>
                <w:szCs w:val="20"/>
                <w:color w:val="auto"/>
              </w:rPr>
            </w:pPr>
            <w:r>
              <w:rPr>
                <w:rFonts w:ascii="Arial" w:cs="Arial" w:eastAsia="Arial" w:hAnsi="Arial"/>
                <w:sz w:val="18"/>
                <w:szCs w:val="18"/>
                <w:color w:val="auto"/>
                <w:w w:val="90"/>
              </w:rPr>
              <w:t>$500,000</w:t>
            </w:r>
          </w:p>
        </w:tc>
      </w:tr>
    </w:tbl>
    <w:p>
      <w:pPr>
        <w:spacing w:after="0" w:line="310"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Annual Scorecard for Calculating Incentive Compensation</w:t>
      </w:r>
    </w:p>
    <w:p>
      <w:pPr>
        <w:spacing w:after="0" w:line="117" w:lineRule="exact"/>
        <w:rPr>
          <w:sz w:val="20"/>
          <w:szCs w:val="20"/>
          <w:color w:val="auto"/>
        </w:rPr>
      </w:pPr>
    </w:p>
    <w:p>
      <w:pPr>
        <w:ind w:left="200" w:right="220" w:firstLine="771"/>
        <w:spacing w:after="0" w:line="312" w:lineRule="auto"/>
        <w:rPr>
          <w:sz w:val="20"/>
          <w:szCs w:val="20"/>
          <w:color w:val="auto"/>
        </w:rPr>
      </w:pPr>
      <w:r>
        <w:rPr>
          <w:rFonts w:ascii="Arial" w:cs="Arial" w:eastAsia="Arial" w:hAnsi="Arial"/>
          <w:sz w:val="16"/>
          <w:szCs w:val="16"/>
          <w:color w:val="auto"/>
        </w:rPr>
        <w:t>The Compensation Committee uses our Corporate Scorecard to assist in its evaluation and awarding of an annual cash bonus. For 2017 and 2018, the cash bonuses for Messrs. Kain and Federico are based solely on achievement of the scorecard measures. The other NEOs’ short-term cash incentives are based predominantly on the Corporate Scorecard measures and to a lesser extent on personal performance.</w:t>
      </w:r>
    </w:p>
    <w:p>
      <w:pPr>
        <w:spacing w:after="0" w:line="147" w:lineRule="exact"/>
        <w:rPr>
          <w:sz w:val="20"/>
          <w:szCs w:val="20"/>
          <w:color w:val="auto"/>
        </w:rPr>
      </w:pPr>
    </w:p>
    <w:p>
      <w:pPr>
        <w:ind w:left="200" w:right="40" w:firstLine="771"/>
        <w:spacing w:after="0" w:line="289" w:lineRule="auto"/>
        <w:rPr>
          <w:sz w:val="20"/>
          <w:szCs w:val="20"/>
          <w:color w:val="auto"/>
        </w:rPr>
      </w:pPr>
      <w:r>
        <w:rPr>
          <w:rFonts w:ascii="Arial" w:cs="Arial" w:eastAsia="Arial" w:hAnsi="Arial"/>
          <w:sz w:val="16"/>
          <w:szCs w:val="16"/>
          <w:color w:val="auto"/>
        </w:rPr>
        <w:t>The 2017 Corporate Scorecard included both financial and operational/strategic metrics, as well as a metric for the management of MTGE, which were designed to correspond to the core elements of our value proposition for stockholders. The financial measures emphasize our interest in common stockholders’ economic returns, a strong common stock trading price to tangible book value relative to our peers, and our low-cost operating structure. The strategic and operational objectives selected support our risk management discipline and high quality reporting and disclosure. The strategic measures also emphasize our relationships with investors, including ongoing engagement with our stockholders. A portion of the Corporate Scorecard is tied to goals based on the management of MTGE because the continued management relationship with MTGE provides us with important benefits. The management fees and expense reimbursements received from MTGE offset a significant amount of our operating expenses, and our management team gains broader market insights and knowledge given MTGE’s different investment scope and exposure to credit risk. We believe these goals and measures effectively align NEO short-term incentives with financial, strategic, and operational performance of greatest import to our business.</w:t>
      </w:r>
    </w:p>
    <w:p>
      <w:pPr>
        <w:spacing w:after="0" w:line="95" w:lineRule="exact"/>
        <w:rPr>
          <w:sz w:val="20"/>
          <w:szCs w:val="20"/>
          <w:color w:val="auto"/>
        </w:rPr>
      </w:pPr>
    </w:p>
    <w:p>
      <w:pPr>
        <w:jc w:val="right"/>
        <w:ind w:right="20"/>
        <w:spacing w:after="0"/>
        <w:tabs>
          <w:tab w:leader="none" w:pos="1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43</w:t>
      </w:r>
    </w:p>
    <w:p>
      <w:pPr>
        <w:sectPr>
          <w:pgSz w:w="11900" w:h="16838" w:orient="portrait"/>
          <w:cols w:equalWidth="0" w:num="1">
            <w:col w:w="11240"/>
          </w:cols>
          <w:pgMar w:left="240" w:top="459" w:right="419" w:bottom="1440" w:gutter="0" w:footer="0" w:header="0"/>
        </w:sectPr>
      </w:pPr>
    </w:p>
    <w:bookmarkStart w:id="47" w:name="page48"/>
    <w:bookmarkEnd w:id="4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200" w:right="440" w:firstLine="771"/>
        <w:spacing w:after="0" w:line="312" w:lineRule="auto"/>
        <w:rPr>
          <w:sz w:val="20"/>
          <w:szCs w:val="20"/>
          <w:color w:val="auto"/>
        </w:rPr>
      </w:pPr>
      <w:r>
        <w:rPr>
          <w:rFonts w:ascii="Arial" w:cs="Arial" w:eastAsia="Arial" w:hAnsi="Arial"/>
          <w:sz w:val="16"/>
          <w:szCs w:val="16"/>
          <w:color w:val="auto"/>
        </w:rPr>
        <w:t>Our 2017 Corporate Scorecard is detailed below. The Compensation Committee set the levels for each metric based on our evaluation of historic performance over a period of years and our forecast for 2017. Actual payouts could have ranged from 0% to 150% for each metric, with category and metric weights as follows, and payouts for performance between each measure determined through linear interpolation:</w:t>
      </w:r>
    </w:p>
    <w:p>
      <w:pPr>
        <w:spacing w:after="0" w:line="170" w:lineRule="exact"/>
        <w:rPr>
          <w:sz w:val="20"/>
          <w:szCs w:val="20"/>
          <w:color w:val="auto"/>
        </w:rPr>
      </w:pPr>
    </w:p>
    <w:p>
      <w:pPr>
        <w:jc w:val="center"/>
        <w:ind w:right="-179"/>
        <w:spacing w:after="0"/>
        <w:rPr>
          <w:sz w:val="20"/>
          <w:szCs w:val="20"/>
          <w:color w:val="auto"/>
        </w:rPr>
      </w:pPr>
      <w:r>
        <w:rPr>
          <w:rFonts w:ascii="Arial" w:cs="Arial" w:eastAsia="Arial" w:hAnsi="Arial"/>
          <w:sz w:val="18"/>
          <w:szCs w:val="18"/>
          <w:b w:val="1"/>
          <w:bCs w:val="1"/>
          <w:color w:val="auto"/>
        </w:rPr>
        <w:t>Financial Metrics (60% of Total Scorecard)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-119380</wp:posOffset>
            </wp:positionV>
            <wp:extent cx="6997700" cy="20574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extLst>
                    </a:blip>
                    <a:srcRect/>
                    <a:stretch>
                      <a:fillRect/>
                    </a:stretch>
                  </pic:blipFill>
                  <pic:spPr bwMode="auto">
                    <a:xfrm>
                      <a:off x="0" y="0"/>
                      <a:ext cx="6997700" cy="205740"/>
                    </a:xfrm>
                    <a:prstGeom prst="rect">
                      <a:avLst/>
                    </a:prstGeom>
                    <a:noFill/>
                  </pic:spPr>
                </pic:pic>
              </a:graphicData>
            </a:graphic>
          </wp:anchor>
        </w:drawing>
      </w:r>
    </w:p>
    <w:p>
      <w:pPr>
        <w:spacing w:after="0" w:line="354" w:lineRule="exact"/>
        <w:rPr>
          <w:sz w:val="20"/>
          <w:szCs w:val="20"/>
          <w:color w:val="auto"/>
        </w:rPr>
      </w:pPr>
    </w:p>
    <w:p>
      <w:pPr>
        <w:ind w:left="9000"/>
        <w:spacing w:after="0"/>
        <w:rPr>
          <w:sz w:val="20"/>
          <w:szCs w:val="20"/>
          <w:color w:val="auto"/>
        </w:rPr>
      </w:pPr>
      <w:r>
        <w:rPr>
          <w:rFonts w:ascii="Arial" w:cs="Arial" w:eastAsia="Arial" w:hAnsi="Arial"/>
          <w:sz w:val="13"/>
          <w:szCs w:val="13"/>
          <w:b w:val="1"/>
          <w:bCs w:val="1"/>
          <w:color w:val="auto"/>
        </w:rPr>
        <w:t>Performance Continuum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5090795</wp:posOffset>
            </wp:positionH>
            <wp:positionV relativeFrom="paragraph">
              <wp:posOffset>-91440</wp:posOffset>
            </wp:positionV>
            <wp:extent cx="2040890" cy="14605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extLst>
                    </a:blip>
                    <a:srcRect/>
                    <a:stretch>
                      <a:fillRect/>
                    </a:stretch>
                  </pic:blipFill>
                  <pic:spPr bwMode="auto">
                    <a:xfrm>
                      <a:off x="0" y="0"/>
                      <a:ext cx="2040890" cy="146050"/>
                    </a:xfrm>
                    <a:prstGeom prst="rect">
                      <a:avLst/>
                    </a:prstGeom>
                    <a:noFill/>
                  </pic:spPr>
                </pic:pic>
              </a:graphicData>
            </a:graphic>
          </wp:anchor>
        </w:drawing>
      </w:r>
    </w:p>
    <w:p>
      <w:pPr>
        <w:spacing w:after="0" w:line="50" w:lineRule="exact"/>
        <w:rPr>
          <w:sz w:val="20"/>
          <w:szCs w:val="20"/>
          <w:color w:val="auto"/>
        </w:rPr>
      </w:pPr>
    </w:p>
    <w:tbl>
      <w:tblPr>
        <w:tblLayout w:type="fixed"/>
        <w:tblInd w:w="220" w:type="dxa"/>
        <w:tblCellMar>
          <w:top w:w="0" w:type="dxa"/>
          <w:left w:w="0" w:type="dxa"/>
          <w:bottom w:w="0" w:type="dxa"/>
          <w:right w:w="0" w:type="dxa"/>
        </w:tblCellMar>
      </w:tblPr>
      <w:tr>
        <w:trPr>
          <w:trHeight w:val="149"/>
        </w:trPr>
        <w:tc>
          <w:tcPr>
            <w:tcW w:w="64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8"/>
              </w:rPr>
              <w:t>Category</w:t>
            </w:r>
          </w:p>
        </w:tc>
        <w:tc>
          <w:tcPr>
            <w:tcW w:w="100" w:type="dxa"/>
            <w:vAlign w:val="bottom"/>
            <w:shd w:val="clear" w:color="auto" w:fill="407CCA"/>
          </w:tcPr>
          <w:p>
            <w:pPr>
              <w:spacing w:after="0"/>
              <w:rPr>
                <w:sz w:val="13"/>
                <w:szCs w:val="13"/>
                <w:color w:val="auto"/>
              </w:rPr>
            </w:pPr>
          </w:p>
        </w:tc>
        <w:tc>
          <w:tcPr>
            <w:tcW w:w="650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8"/>
              </w:rPr>
              <w:t>Performance</w:t>
            </w:r>
          </w:p>
        </w:tc>
        <w:tc>
          <w:tcPr>
            <w:tcW w:w="120" w:type="dxa"/>
            <w:vAlign w:val="bottom"/>
            <w:shd w:val="clear" w:color="auto" w:fill="407CCA"/>
          </w:tcPr>
          <w:p>
            <w:pPr>
              <w:spacing w:after="0"/>
              <w:rPr>
                <w:sz w:val="13"/>
                <w:szCs w:val="13"/>
                <w:color w:val="auto"/>
              </w:rPr>
            </w:pPr>
          </w:p>
        </w:tc>
        <w:tc>
          <w:tcPr>
            <w:tcW w:w="440" w:type="dxa"/>
            <w:vAlign w:val="bottom"/>
            <w:shd w:val="clear" w:color="auto" w:fill="407CCA"/>
          </w:tcPr>
          <w:p>
            <w:pPr>
              <w:ind w:left="20"/>
              <w:spacing w:after="0"/>
              <w:rPr>
                <w:sz w:val="20"/>
                <w:szCs w:val="20"/>
                <w:color w:val="auto"/>
              </w:rPr>
            </w:pPr>
            <w:r>
              <w:rPr>
                <w:rFonts w:ascii="Arial" w:cs="Arial" w:eastAsia="Arial" w:hAnsi="Arial"/>
                <w:sz w:val="13"/>
                <w:szCs w:val="13"/>
                <w:b w:val="1"/>
                <w:bCs w:val="1"/>
                <w:color w:val="auto"/>
              </w:rPr>
              <w:t>Metric</w:t>
            </w:r>
          </w:p>
        </w:tc>
        <w:tc>
          <w:tcPr>
            <w:tcW w:w="92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8"/>
              </w:rPr>
              <w:t>Below</w:t>
            </w:r>
          </w:p>
        </w:tc>
        <w:tc>
          <w:tcPr>
            <w:tcW w:w="720" w:type="dxa"/>
            <w:vAlign w:val="bottom"/>
            <w:shd w:val="clear" w:color="auto" w:fill="407CCA"/>
          </w:tcPr>
          <w:p>
            <w:pPr>
              <w:spacing w:after="0"/>
              <w:rPr>
                <w:sz w:val="13"/>
                <w:szCs w:val="13"/>
                <w:color w:val="auto"/>
              </w:rPr>
            </w:pPr>
          </w:p>
        </w:tc>
        <w:tc>
          <w:tcPr>
            <w:tcW w:w="680" w:type="dxa"/>
            <w:vAlign w:val="bottom"/>
            <w:shd w:val="clear" w:color="auto" w:fill="407CCA"/>
          </w:tcPr>
          <w:p>
            <w:pPr>
              <w:spacing w:after="0"/>
              <w:rPr>
                <w:sz w:val="13"/>
                <w:szCs w:val="13"/>
                <w:color w:val="auto"/>
              </w:rPr>
            </w:pPr>
          </w:p>
        </w:tc>
        <w:tc>
          <w:tcPr>
            <w:tcW w:w="90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97"/>
              </w:rPr>
              <w:t>Out-</w:t>
            </w:r>
          </w:p>
        </w:tc>
        <w:tc>
          <w:tcPr>
            <w:tcW w:w="0" w:type="dxa"/>
            <w:vAlign w:val="bottom"/>
          </w:tcPr>
          <w:p>
            <w:pPr>
              <w:spacing w:after="0"/>
              <w:rPr>
                <w:sz w:val="1"/>
                <w:szCs w:val="1"/>
                <w:color w:val="auto"/>
              </w:rPr>
            </w:pPr>
          </w:p>
        </w:tc>
      </w:tr>
      <w:tr>
        <w:trPr>
          <w:trHeight w:val="176"/>
        </w:trPr>
        <w:tc>
          <w:tcPr>
            <w:tcW w:w="64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7"/>
              </w:rPr>
              <w:t>Weight</w:t>
            </w:r>
          </w:p>
        </w:tc>
        <w:tc>
          <w:tcPr>
            <w:tcW w:w="100" w:type="dxa"/>
            <w:vAlign w:val="bottom"/>
            <w:shd w:val="clear" w:color="auto" w:fill="407CCA"/>
          </w:tcPr>
          <w:p>
            <w:pPr>
              <w:spacing w:after="0"/>
              <w:rPr>
                <w:sz w:val="15"/>
                <w:szCs w:val="15"/>
                <w:color w:val="auto"/>
              </w:rPr>
            </w:pPr>
          </w:p>
        </w:tc>
        <w:tc>
          <w:tcPr>
            <w:tcW w:w="650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99"/>
              </w:rPr>
              <w:t>Metric</w:t>
            </w:r>
          </w:p>
        </w:tc>
        <w:tc>
          <w:tcPr>
            <w:tcW w:w="120" w:type="dxa"/>
            <w:vAlign w:val="bottom"/>
            <w:shd w:val="clear" w:color="auto" w:fill="407CCA"/>
          </w:tcPr>
          <w:p>
            <w:pPr>
              <w:spacing w:after="0"/>
              <w:rPr>
                <w:sz w:val="15"/>
                <w:szCs w:val="15"/>
                <w:color w:val="auto"/>
              </w:rPr>
            </w:pPr>
          </w:p>
        </w:tc>
        <w:tc>
          <w:tcPr>
            <w:tcW w:w="440" w:type="dxa"/>
            <w:vAlign w:val="bottom"/>
            <w:shd w:val="clear" w:color="auto" w:fill="407CCA"/>
          </w:tcPr>
          <w:p>
            <w:pPr>
              <w:ind w:left="20"/>
              <w:spacing w:after="0"/>
              <w:rPr>
                <w:sz w:val="20"/>
                <w:szCs w:val="20"/>
                <w:color w:val="auto"/>
              </w:rPr>
            </w:pPr>
            <w:r>
              <w:rPr>
                <w:rFonts w:ascii="Arial" w:cs="Arial" w:eastAsia="Arial" w:hAnsi="Arial"/>
                <w:sz w:val="13"/>
                <w:szCs w:val="13"/>
                <w:b w:val="1"/>
                <w:bCs w:val="1"/>
                <w:color w:val="auto"/>
                <w:w w:val="92"/>
              </w:rPr>
              <w:t>Weight</w:t>
            </w:r>
          </w:p>
        </w:tc>
        <w:tc>
          <w:tcPr>
            <w:tcW w:w="92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5"/>
              </w:rPr>
              <w:t>Threshold</w:t>
            </w:r>
          </w:p>
        </w:tc>
        <w:tc>
          <w:tcPr>
            <w:tcW w:w="72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5"/>
              </w:rPr>
              <w:t>Threshold</w:t>
            </w:r>
          </w:p>
        </w:tc>
        <w:tc>
          <w:tcPr>
            <w:tcW w:w="68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90"/>
              </w:rPr>
              <w:t>Target</w:t>
            </w:r>
          </w:p>
        </w:tc>
        <w:tc>
          <w:tcPr>
            <w:tcW w:w="90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8"/>
              </w:rPr>
              <w:t>performance</w:t>
            </w:r>
          </w:p>
        </w:tc>
        <w:tc>
          <w:tcPr>
            <w:tcW w:w="0" w:type="dxa"/>
            <w:vAlign w:val="bottom"/>
          </w:tcPr>
          <w:p>
            <w:pPr>
              <w:spacing w:after="0"/>
              <w:rPr>
                <w:sz w:val="1"/>
                <w:szCs w:val="1"/>
                <w:color w:val="auto"/>
              </w:rPr>
            </w:pPr>
          </w:p>
        </w:tc>
      </w:tr>
      <w:tr>
        <w:trPr>
          <w:trHeight w:val="202"/>
        </w:trPr>
        <w:tc>
          <w:tcPr>
            <w:tcW w:w="640" w:type="dxa"/>
            <w:vAlign w:val="bottom"/>
            <w:shd w:val="clear" w:color="auto" w:fill="F2F2F2"/>
          </w:tcPr>
          <w:p>
            <w:pPr>
              <w:spacing w:after="0"/>
              <w:rPr>
                <w:sz w:val="17"/>
                <w:szCs w:val="17"/>
                <w:color w:val="auto"/>
              </w:rPr>
            </w:pPr>
          </w:p>
        </w:tc>
        <w:tc>
          <w:tcPr>
            <w:tcW w:w="100" w:type="dxa"/>
            <w:vAlign w:val="bottom"/>
            <w:shd w:val="clear" w:color="auto" w:fill="F2F2F2"/>
          </w:tcPr>
          <w:p>
            <w:pPr>
              <w:spacing w:after="0"/>
              <w:rPr>
                <w:sz w:val="17"/>
                <w:szCs w:val="17"/>
                <w:color w:val="auto"/>
              </w:rPr>
            </w:pPr>
          </w:p>
        </w:tc>
        <w:tc>
          <w:tcPr>
            <w:tcW w:w="6500" w:type="dxa"/>
            <w:vAlign w:val="bottom"/>
            <w:shd w:val="clear" w:color="auto" w:fill="F2F2F2"/>
          </w:tcPr>
          <w:p>
            <w:pPr>
              <w:jc w:val="center"/>
              <w:spacing w:after="0" w:line="201" w:lineRule="exact"/>
              <w:rPr>
                <w:sz w:val="20"/>
                <w:szCs w:val="20"/>
                <w:color w:val="auto"/>
              </w:rPr>
            </w:pPr>
            <w:r>
              <w:rPr>
                <w:rFonts w:ascii="Arial" w:cs="Arial" w:eastAsia="Arial" w:hAnsi="Arial"/>
                <w:sz w:val="18"/>
                <w:szCs w:val="18"/>
                <w:color w:val="auto"/>
                <w:w w:val="92"/>
              </w:rPr>
              <w:t>Absolute Economic Return</w:t>
            </w:r>
            <w:r>
              <w:rPr>
                <w:rFonts w:ascii="Arial" w:cs="Arial" w:eastAsia="Arial" w:hAnsi="Arial"/>
                <w:sz w:val="15"/>
                <w:szCs w:val="15"/>
                <w:color w:val="auto"/>
                <w:w w:val="92"/>
              </w:rPr>
              <w:t>(1)</w:t>
            </w:r>
          </w:p>
        </w:tc>
        <w:tc>
          <w:tcPr>
            <w:tcW w:w="560" w:type="dxa"/>
            <w:vAlign w:val="bottom"/>
            <w:gridSpan w:val="2"/>
            <w:shd w:val="clear" w:color="auto" w:fill="F2F2F2"/>
          </w:tcPr>
          <w:p>
            <w:pPr>
              <w:ind w:left="160"/>
              <w:spacing w:after="0" w:line="201" w:lineRule="exact"/>
              <w:rPr>
                <w:sz w:val="20"/>
                <w:szCs w:val="20"/>
                <w:color w:val="auto"/>
              </w:rPr>
            </w:pPr>
            <w:r>
              <w:rPr>
                <w:rFonts w:ascii="Arial" w:cs="Arial" w:eastAsia="Arial" w:hAnsi="Arial"/>
                <w:sz w:val="18"/>
                <w:szCs w:val="18"/>
                <w:color w:val="auto"/>
              </w:rPr>
              <w:t>30%</w:t>
            </w:r>
          </w:p>
        </w:tc>
        <w:tc>
          <w:tcPr>
            <w:tcW w:w="920" w:type="dxa"/>
            <w:vAlign w:val="bottom"/>
            <w:shd w:val="clear" w:color="auto" w:fill="F2F2F2"/>
          </w:tcPr>
          <w:p>
            <w:pPr>
              <w:jc w:val="center"/>
              <w:spacing w:after="0" w:line="201" w:lineRule="exact"/>
              <w:rPr>
                <w:sz w:val="20"/>
                <w:szCs w:val="20"/>
                <w:color w:val="auto"/>
              </w:rPr>
            </w:pPr>
            <w:r>
              <w:rPr>
                <w:rFonts w:ascii="Arial" w:cs="Arial" w:eastAsia="Arial" w:hAnsi="Arial"/>
                <w:sz w:val="18"/>
                <w:szCs w:val="18"/>
                <w:color w:val="auto"/>
                <w:w w:val="95"/>
              </w:rPr>
              <w:t>&lt; 0.0%</w:t>
            </w:r>
          </w:p>
        </w:tc>
        <w:tc>
          <w:tcPr>
            <w:tcW w:w="720" w:type="dxa"/>
            <w:vAlign w:val="bottom"/>
            <w:shd w:val="clear" w:color="auto" w:fill="F2F2F2"/>
          </w:tcPr>
          <w:p>
            <w:pPr>
              <w:jc w:val="center"/>
              <w:spacing w:after="0" w:line="201" w:lineRule="exact"/>
              <w:rPr>
                <w:sz w:val="20"/>
                <w:szCs w:val="20"/>
                <w:color w:val="auto"/>
              </w:rPr>
            </w:pPr>
            <w:r>
              <w:rPr>
                <w:rFonts w:ascii="Arial" w:cs="Arial" w:eastAsia="Arial" w:hAnsi="Arial"/>
                <w:sz w:val="18"/>
                <w:szCs w:val="18"/>
                <w:color w:val="auto"/>
                <w:w w:val="92"/>
              </w:rPr>
              <w:t>0.0%</w:t>
            </w:r>
          </w:p>
        </w:tc>
        <w:tc>
          <w:tcPr>
            <w:tcW w:w="680" w:type="dxa"/>
            <w:vAlign w:val="bottom"/>
            <w:shd w:val="clear" w:color="auto" w:fill="F2F2F2"/>
          </w:tcPr>
          <w:p>
            <w:pPr>
              <w:jc w:val="center"/>
              <w:spacing w:after="0" w:line="201" w:lineRule="exact"/>
              <w:rPr>
                <w:sz w:val="20"/>
                <w:szCs w:val="20"/>
                <w:color w:val="auto"/>
              </w:rPr>
            </w:pPr>
            <w:r>
              <w:rPr>
                <w:rFonts w:ascii="Arial" w:cs="Arial" w:eastAsia="Arial" w:hAnsi="Arial"/>
                <w:sz w:val="18"/>
                <w:szCs w:val="18"/>
                <w:color w:val="auto"/>
                <w:w w:val="90"/>
              </w:rPr>
              <w:t>10.0%</w:t>
            </w:r>
          </w:p>
        </w:tc>
        <w:tc>
          <w:tcPr>
            <w:tcW w:w="900" w:type="dxa"/>
            <w:vAlign w:val="bottom"/>
            <w:shd w:val="clear" w:color="auto" w:fill="F2F2F2"/>
          </w:tcPr>
          <w:p>
            <w:pPr>
              <w:jc w:val="center"/>
              <w:spacing w:after="0" w:line="201" w:lineRule="exact"/>
              <w:rPr>
                <w:sz w:val="20"/>
                <w:szCs w:val="20"/>
                <w:color w:val="auto"/>
              </w:rPr>
            </w:pPr>
            <w:r>
              <w:rPr>
                <w:rFonts w:ascii="Arial" w:cs="Arial" w:eastAsia="Arial" w:hAnsi="Arial"/>
                <w:sz w:val="18"/>
                <w:szCs w:val="18"/>
                <w:color w:val="auto"/>
                <w:w w:val="90"/>
              </w:rPr>
              <w:t>³ 17.0%</w:t>
            </w:r>
          </w:p>
        </w:tc>
        <w:tc>
          <w:tcPr>
            <w:tcW w:w="0" w:type="dxa"/>
            <w:vAlign w:val="bottom"/>
          </w:tcPr>
          <w:p>
            <w:pPr>
              <w:spacing w:after="0"/>
              <w:rPr>
                <w:sz w:val="1"/>
                <w:szCs w:val="1"/>
                <w:color w:val="auto"/>
              </w:rPr>
            </w:pPr>
          </w:p>
        </w:tc>
      </w:tr>
      <w:tr>
        <w:trPr>
          <w:trHeight w:val="216"/>
        </w:trPr>
        <w:tc>
          <w:tcPr>
            <w:tcW w:w="640" w:type="dxa"/>
            <w:vAlign w:val="bottom"/>
            <w:vMerge w:val="restart"/>
            <w:shd w:val="clear" w:color="auto" w:fill="F2F2F2"/>
          </w:tcPr>
          <w:p>
            <w:pPr>
              <w:jc w:val="center"/>
              <w:spacing w:after="0"/>
              <w:rPr>
                <w:sz w:val="20"/>
                <w:szCs w:val="20"/>
                <w:color w:val="auto"/>
              </w:rPr>
            </w:pPr>
            <w:r>
              <w:rPr>
                <w:rFonts w:ascii="Arial" w:cs="Arial" w:eastAsia="Arial" w:hAnsi="Arial"/>
                <w:sz w:val="18"/>
                <w:szCs w:val="18"/>
                <w:color w:val="auto"/>
                <w:w w:val="94"/>
              </w:rPr>
              <w:t>60%</w:t>
            </w:r>
          </w:p>
        </w:tc>
        <w:tc>
          <w:tcPr>
            <w:tcW w:w="100" w:type="dxa"/>
            <w:vAlign w:val="bottom"/>
            <w:shd w:val="clear" w:color="auto" w:fill="F2F2F2"/>
          </w:tcPr>
          <w:p>
            <w:pPr>
              <w:spacing w:after="0"/>
              <w:rPr>
                <w:sz w:val="18"/>
                <w:szCs w:val="18"/>
                <w:color w:val="auto"/>
              </w:rPr>
            </w:pPr>
          </w:p>
        </w:tc>
        <w:tc>
          <w:tcPr>
            <w:tcW w:w="6500" w:type="dxa"/>
            <w:vAlign w:val="bottom"/>
            <w:shd w:val="clear" w:color="auto" w:fill="F2F2F2"/>
          </w:tcPr>
          <w:p>
            <w:pPr>
              <w:jc w:val="center"/>
              <w:spacing w:after="0"/>
              <w:rPr>
                <w:sz w:val="20"/>
                <w:szCs w:val="20"/>
                <w:color w:val="auto"/>
              </w:rPr>
            </w:pPr>
            <w:r>
              <w:rPr>
                <w:rFonts w:ascii="Arial" w:cs="Arial" w:eastAsia="Arial" w:hAnsi="Arial"/>
                <w:sz w:val="18"/>
                <w:szCs w:val="18"/>
                <w:color w:val="auto"/>
                <w:w w:val="91"/>
              </w:rPr>
              <w:t>Economic Return vs. Peer Index</w:t>
            </w:r>
            <w:r>
              <w:rPr>
                <w:rFonts w:ascii="Arial" w:cs="Arial" w:eastAsia="Arial" w:hAnsi="Arial"/>
                <w:sz w:val="15"/>
                <w:szCs w:val="15"/>
                <w:color w:val="auto"/>
                <w:w w:val="91"/>
              </w:rPr>
              <w:t>(2)(5)</w:t>
            </w:r>
          </w:p>
        </w:tc>
        <w:tc>
          <w:tcPr>
            <w:tcW w:w="560" w:type="dxa"/>
            <w:vAlign w:val="bottom"/>
            <w:gridSpan w:val="2"/>
            <w:shd w:val="clear" w:color="auto" w:fill="F2F2F2"/>
          </w:tcPr>
          <w:p>
            <w:pPr>
              <w:ind w:left="160"/>
              <w:spacing w:after="0"/>
              <w:rPr>
                <w:sz w:val="20"/>
                <w:szCs w:val="20"/>
                <w:color w:val="auto"/>
              </w:rPr>
            </w:pPr>
            <w:r>
              <w:rPr>
                <w:rFonts w:ascii="Arial" w:cs="Arial" w:eastAsia="Arial" w:hAnsi="Arial"/>
                <w:sz w:val="18"/>
                <w:szCs w:val="18"/>
                <w:color w:val="auto"/>
              </w:rPr>
              <w:t>30%</w:t>
            </w:r>
          </w:p>
        </w:tc>
        <w:tc>
          <w:tcPr>
            <w:tcW w:w="920" w:type="dxa"/>
            <w:vAlign w:val="bottom"/>
            <w:shd w:val="clear" w:color="auto" w:fill="F2F2F2"/>
          </w:tcPr>
          <w:p>
            <w:pPr>
              <w:jc w:val="center"/>
              <w:spacing w:after="0"/>
              <w:rPr>
                <w:sz w:val="20"/>
                <w:szCs w:val="20"/>
                <w:color w:val="auto"/>
              </w:rPr>
            </w:pPr>
            <w:r>
              <w:rPr>
                <w:rFonts w:ascii="Arial" w:cs="Arial" w:eastAsia="Arial" w:hAnsi="Arial"/>
                <w:sz w:val="18"/>
                <w:szCs w:val="18"/>
                <w:color w:val="auto"/>
                <w:w w:val="96"/>
              </w:rPr>
              <w:t>&lt; (5.0%)</w:t>
            </w:r>
          </w:p>
        </w:tc>
        <w:tc>
          <w:tcPr>
            <w:tcW w:w="720" w:type="dxa"/>
            <w:vAlign w:val="bottom"/>
            <w:shd w:val="clear" w:color="auto" w:fill="F2F2F2"/>
          </w:tcPr>
          <w:p>
            <w:pPr>
              <w:jc w:val="center"/>
              <w:spacing w:after="0"/>
              <w:rPr>
                <w:sz w:val="20"/>
                <w:szCs w:val="20"/>
                <w:color w:val="auto"/>
              </w:rPr>
            </w:pPr>
            <w:r>
              <w:rPr>
                <w:rFonts w:ascii="Arial" w:cs="Arial" w:eastAsia="Arial" w:hAnsi="Arial"/>
                <w:sz w:val="18"/>
                <w:szCs w:val="18"/>
                <w:color w:val="auto"/>
                <w:w w:val="94"/>
              </w:rPr>
              <w:t>(5.0%)</w:t>
            </w:r>
          </w:p>
        </w:tc>
        <w:tc>
          <w:tcPr>
            <w:tcW w:w="680" w:type="dxa"/>
            <w:vAlign w:val="bottom"/>
            <w:shd w:val="clear" w:color="auto" w:fill="F2F2F2"/>
          </w:tcPr>
          <w:p>
            <w:pPr>
              <w:jc w:val="center"/>
              <w:spacing w:after="0"/>
              <w:rPr>
                <w:sz w:val="20"/>
                <w:szCs w:val="20"/>
                <w:color w:val="auto"/>
              </w:rPr>
            </w:pPr>
            <w:r>
              <w:rPr>
                <w:rFonts w:ascii="Arial" w:cs="Arial" w:eastAsia="Arial" w:hAnsi="Arial"/>
                <w:sz w:val="18"/>
                <w:szCs w:val="18"/>
                <w:color w:val="auto"/>
                <w:w w:val="92"/>
              </w:rPr>
              <w:t>0.0%</w:t>
            </w:r>
          </w:p>
        </w:tc>
        <w:tc>
          <w:tcPr>
            <w:tcW w:w="900" w:type="dxa"/>
            <w:vAlign w:val="bottom"/>
            <w:shd w:val="clear" w:color="auto" w:fill="F2F2F2"/>
          </w:tcPr>
          <w:p>
            <w:pPr>
              <w:jc w:val="center"/>
              <w:spacing w:after="0"/>
              <w:rPr>
                <w:sz w:val="20"/>
                <w:szCs w:val="20"/>
                <w:color w:val="auto"/>
              </w:rPr>
            </w:pPr>
            <w:r>
              <w:rPr>
                <w:rFonts w:ascii="Arial" w:cs="Arial" w:eastAsia="Arial" w:hAnsi="Arial"/>
                <w:sz w:val="18"/>
                <w:szCs w:val="18"/>
                <w:color w:val="auto"/>
                <w:w w:val="92"/>
              </w:rPr>
              <w:t>³ 3.0%</w:t>
            </w:r>
          </w:p>
        </w:tc>
        <w:tc>
          <w:tcPr>
            <w:tcW w:w="0" w:type="dxa"/>
            <w:vAlign w:val="bottom"/>
          </w:tcPr>
          <w:p>
            <w:pPr>
              <w:spacing w:after="0"/>
              <w:rPr>
                <w:sz w:val="1"/>
                <w:szCs w:val="1"/>
                <w:color w:val="auto"/>
              </w:rPr>
            </w:pPr>
          </w:p>
        </w:tc>
      </w:tr>
      <w:tr>
        <w:trPr>
          <w:trHeight w:val="122"/>
        </w:trPr>
        <w:tc>
          <w:tcPr>
            <w:tcW w:w="640" w:type="dxa"/>
            <w:vAlign w:val="bottom"/>
            <w:vMerge w:val="continue"/>
            <w:shd w:val="clear" w:color="auto" w:fill="F2F2F2"/>
          </w:tcPr>
          <w:p>
            <w:pPr>
              <w:spacing w:after="0"/>
              <w:rPr>
                <w:sz w:val="10"/>
                <w:szCs w:val="10"/>
                <w:color w:val="auto"/>
              </w:rPr>
            </w:pPr>
          </w:p>
        </w:tc>
        <w:tc>
          <w:tcPr>
            <w:tcW w:w="100" w:type="dxa"/>
            <w:vAlign w:val="bottom"/>
            <w:shd w:val="clear" w:color="auto" w:fill="F2F2F2"/>
          </w:tcPr>
          <w:p>
            <w:pPr>
              <w:spacing w:after="0"/>
              <w:rPr>
                <w:sz w:val="10"/>
                <w:szCs w:val="10"/>
                <w:color w:val="auto"/>
              </w:rPr>
            </w:pPr>
          </w:p>
        </w:tc>
        <w:tc>
          <w:tcPr>
            <w:tcW w:w="6500" w:type="dxa"/>
            <w:vAlign w:val="bottom"/>
            <w:vMerge w:val="restart"/>
            <w:shd w:val="clear" w:color="auto" w:fill="F2F2F2"/>
          </w:tcPr>
          <w:p>
            <w:pPr>
              <w:jc w:val="center"/>
              <w:spacing w:after="0"/>
              <w:rPr>
                <w:sz w:val="20"/>
                <w:szCs w:val="20"/>
                <w:color w:val="auto"/>
              </w:rPr>
            </w:pPr>
            <w:r>
              <w:rPr>
                <w:rFonts w:ascii="Arial" w:cs="Arial" w:eastAsia="Arial" w:hAnsi="Arial"/>
                <w:sz w:val="18"/>
                <w:szCs w:val="18"/>
                <w:color w:val="auto"/>
                <w:w w:val="91"/>
              </w:rPr>
              <w:t>Price-to-Tangible Book Ratio vs. Peer Index</w:t>
            </w:r>
            <w:r>
              <w:rPr>
                <w:rFonts w:ascii="Arial" w:cs="Arial" w:eastAsia="Arial" w:hAnsi="Arial"/>
                <w:sz w:val="15"/>
                <w:szCs w:val="15"/>
                <w:color w:val="auto"/>
                <w:w w:val="91"/>
              </w:rPr>
              <w:t>(2)(3)</w:t>
            </w:r>
          </w:p>
        </w:tc>
        <w:tc>
          <w:tcPr>
            <w:tcW w:w="120" w:type="dxa"/>
            <w:vAlign w:val="bottom"/>
            <w:shd w:val="clear" w:color="auto" w:fill="F2F2F2"/>
          </w:tcPr>
          <w:p>
            <w:pPr>
              <w:spacing w:after="0"/>
              <w:rPr>
                <w:sz w:val="10"/>
                <w:szCs w:val="10"/>
                <w:color w:val="auto"/>
              </w:rPr>
            </w:pPr>
          </w:p>
        </w:tc>
        <w:tc>
          <w:tcPr>
            <w:tcW w:w="440" w:type="dxa"/>
            <w:vAlign w:val="bottom"/>
            <w:vMerge w:val="restart"/>
            <w:shd w:val="clear" w:color="auto" w:fill="F2F2F2"/>
          </w:tcPr>
          <w:p>
            <w:pPr>
              <w:ind w:left="40"/>
              <w:spacing w:after="0"/>
              <w:rPr>
                <w:sz w:val="20"/>
                <w:szCs w:val="20"/>
                <w:color w:val="auto"/>
              </w:rPr>
            </w:pPr>
            <w:r>
              <w:rPr>
                <w:rFonts w:ascii="Arial" w:cs="Arial" w:eastAsia="Arial" w:hAnsi="Arial"/>
                <w:sz w:val="18"/>
                <w:szCs w:val="18"/>
                <w:color w:val="auto"/>
              </w:rPr>
              <w:t>20%</w:t>
            </w:r>
          </w:p>
        </w:tc>
        <w:tc>
          <w:tcPr>
            <w:tcW w:w="920" w:type="dxa"/>
            <w:vAlign w:val="bottom"/>
            <w:vMerge w:val="restart"/>
            <w:shd w:val="clear" w:color="auto" w:fill="F2F2F2"/>
          </w:tcPr>
          <w:p>
            <w:pPr>
              <w:jc w:val="center"/>
              <w:spacing w:after="0"/>
              <w:rPr>
                <w:sz w:val="20"/>
                <w:szCs w:val="20"/>
                <w:color w:val="auto"/>
              </w:rPr>
            </w:pPr>
            <w:r>
              <w:rPr>
                <w:rFonts w:ascii="Arial" w:cs="Arial" w:eastAsia="Arial" w:hAnsi="Arial"/>
                <w:sz w:val="18"/>
                <w:szCs w:val="18"/>
                <w:color w:val="auto"/>
                <w:w w:val="96"/>
              </w:rPr>
              <w:t>&lt; (7.0%)</w:t>
            </w:r>
          </w:p>
        </w:tc>
        <w:tc>
          <w:tcPr>
            <w:tcW w:w="720" w:type="dxa"/>
            <w:vAlign w:val="bottom"/>
            <w:vMerge w:val="restart"/>
            <w:shd w:val="clear" w:color="auto" w:fill="F2F2F2"/>
          </w:tcPr>
          <w:p>
            <w:pPr>
              <w:jc w:val="center"/>
              <w:spacing w:after="0"/>
              <w:rPr>
                <w:sz w:val="20"/>
                <w:szCs w:val="20"/>
                <w:color w:val="auto"/>
              </w:rPr>
            </w:pPr>
            <w:r>
              <w:rPr>
                <w:rFonts w:ascii="Arial" w:cs="Arial" w:eastAsia="Arial" w:hAnsi="Arial"/>
                <w:sz w:val="18"/>
                <w:szCs w:val="18"/>
                <w:color w:val="auto"/>
                <w:w w:val="94"/>
              </w:rPr>
              <w:t>(7.0%)</w:t>
            </w:r>
          </w:p>
        </w:tc>
        <w:tc>
          <w:tcPr>
            <w:tcW w:w="680" w:type="dxa"/>
            <w:vAlign w:val="bottom"/>
            <w:vMerge w:val="restart"/>
            <w:shd w:val="clear" w:color="auto" w:fill="F2F2F2"/>
          </w:tcPr>
          <w:p>
            <w:pPr>
              <w:jc w:val="center"/>
              <w:spacing w:after="0"/>
              <w:rPr>
                <w:sz w:val="20"/>
                <w:szCs w:val="20"/>
                <w:color w:val="auto"/>
              </w:rPr>
            </w:pPr>
            <w:r>
              <w:rPr>
                <w:rFonts w:ascii="Arial" w:cs="Arial" w:eastAsia="Arial" w:hAnsi="Arial"/>
                <w:sz w:val="18"/>
                <w:szCs w:val="18"/>
                <w:color w:val="auto"/>
                <w:w w:val="92"/>
              </w:rPr>
              <w:t>0.0%</w:t>
            </w:r>
          </w:p>
        </w:tc>
        <w:tc>
          <w:tcPr>
            <w:tcW w:w="900" w:type="dxa"/>
            <w:vAlign w:val="bottom"/>
            <w:vMerge w:val="restart"/>
            <w:shd w:val="clear" w:color="auto" w:fill="F2F2F2"/>
          </w:tcPr>
          <w:p>
            <w:pPr>
              <w:jc w:val="center"/>
              <w:spacing w:after="0"/>
              <w:rPr>
                <w:sz w:val="20"/>
                <w:szCs w:val="20"/>
                <w:color w:val="auto"/>
              </w:rPr>
            </w:pPr>
            <w:r>
              <w:rPr>
                <w:rFonts w:ascii="Arial" w:cs="Arial" w:eastAsia="Arial" w:hAnsi="Arial"/>
                <w:sz w:val="18"/>
                <w:szCs w:val="18"/>
                <w:color w:val="auto"/>
                <w:w w:val="92"/>
              </w:rPr>
              <w:t>³ 5.0%</w:t>
            </w:r>
          </w:p>
        </w:tc>
        <w:tc>
          <w:tcPr>
            <w:tcW w:w="0" w:type="dxa"/>
            <w:vAlign w:val="bottom"/>
          </w:tcPr>
          <w:p>
            <w:pPr>
              <w:spacing w:after="0"/>
              <w:rPr>
                <w:sz w:val="1"/>
                <w:szCs w:val="1"/>
                <w:color w:val="auto"/>
              </w:rPr>
            </w:pPr>
          </w:p>
        </w:tc>
      </w:tr>
      <w:tr>
        <w:trPr>
          <w:trHeight w:val="94"/>
        </w:trPr>
        <w:tc>
          <w:tcPr>
            <w:tcW w:w="640" w:type="dxa"/>
            <w:vAlign w:val="bottom"/>
            <w:shd w:val="clear" w:color="auto" w:fill="F2F2F2"/>
          </w:tcPr>
          <w:p>
            <w:pPr>
              <w:spacing w:after="0"/>
              <w:rPr>
                <w:sz w:val="8"/>
                <w:szCs w:val="8"/>
                <w:color w:val="auto"/>
              </w:rPr>
            </w:pPr>
          </w:p>
        </w:tc>
        <w:tc>
          <w:tcPr>
            <w:tcW w:w="100" w:type="dxa"/>
            <w:vAlign w:val="bottom"/>
            <w:shd w:val="clear" w:color="auto" w:fill="F2F2F2"/>
          </w:tcPr>
          <w:p>
            <w:pPr>
              <w:spacing w:after="0"/>
              <w:rPr>
                <w:sz w:val="8"/>
                <w:szCs w:val="8"/>
                <w:color w:val="auto"/>
              </w:rPr>
            </w:pPr>
          </w:p>
        </w:tc>
        <w:tc>
          <w:tcPr>
            <w:tcW w:w="6500" w:type="dxa"/>
            <w:vAlign w:val="bottom"/>
            <w:vMerge w:val="continue"/>
            <w:shd w:val="clear" w:color="auto" w:fill="F2F2F2"/>
          </w:tcPr>
          <w:p>
            <w:pPr>
              <w:spacing w:after="0"/>
              <w:rPr>
                <w:sz w:val="8"/>
                <w:szCs w:val="8"/>
                <w:color w:val="auto"/>
              </w:rPr>
            </w:pPr>
          </w:p>
        </w:tc>
        <w:tc>
          <w:tcPr>
            <w:tcW w:w="120" w:type="dxa"/>
            <w:vAlign w:val="bottom"/>
            <w:shd w:val="clear" w:color="auto" w:fill="F2F2F2"/>
          </w:tcPr>
          <w:p>
            <w:pPr>
              <w:spacing w:after="0"/>
              <w:rPr>
                <w:sz w:val="8"/>
                <w:szCs w:val="8"/>
                <w:color w:val="auto"/>
              </w:rPr>
            </w:pPr>
          </w:p>
        </w:tc>
        <w:tc>
          <w:tcPr>
            <w:tcW w:w="440" w:type="dxa"/>
            <w:vAlign w:val="bottom"/>
            <w:vMerge w:val="continue"/>
            <w:shd w:val="clear" w:color="auto" w:fill="F2F2F2"/>
          </w:tcPr>
          <w:p>
            <w:pPr>
              <w:spacing w:after="0"/>
              <w:rPr>
                <w:sz w:val="8"/>
                <w:szCs w:val="8"/>
                <w:color w:val="auto"/>
              </w:rPr>
            </w:pPr>
          </w:p>
        </w:tc>
        <w:tc>
          <w:tcPr>
            <w:tcW w:w="920" w:type="dxa"/>
            <w:vAlign w:val="bottom"/>
            <w:vMerge w:val="continue"/>
            <w:shd w:val="clear" w:color="auto" w:fill="F2F2F2"/>
          </w:tcPr>
          <w:p>
            <w:pPr>
              <w:spacing w:after="0"/>
              <w:rPr>
                <w:sz w:val="8"/>
                <w:szCs w:val="8"/>
                <w:color w:val="auto"/>
              </w:rPr>
            </w:pPr>
          </w:p>
        </w:tc>
        <w:tc>
          <w:tcPr>
            <w:tcW w:w="720" w:type="dxa"/>
            <w:vAlign w:val="bottom"/>
            <w:vMerge w:val="continue"/>
            <w:shd w:val="clear" w:color="auto" w:fill="F2F2F2"/>
          </w:tcPr>
          <w:p>
            <w:pPr>
              <w:spacing w:after="0"/>
              <w:rPr>
                <w:sz w:val="8"/>
                <w:szCs w:val="8"/>
                <w:color w:val="auto"/>
              </w:rPr>
            </w:pPr>
          </w:p>
        </w:tc>
        <w:tc>
          <w:tcPr>
            <w:tcW w:w="680" w:type="dxa"/>
            <w:vAlign w:val="bottom"/>
            <w:vMerge w:val="continue"/>
            <w:shd w:val="clear" w:color="auto" w:fill="F2F2F2"/>
          </w:tcPr>
          <w:p>
            <w:pPr>
              <w:spacing w:after="0"/>
              <w:rPr>
                <w:sz w:val="8"/>
                <w:szCs w:val="8"/>
                <w:color w:val="auto"/>
              </w:rPr>
            </w:pPr>
          </w:p>
        </w:tc>
        <w:tc>
          <w:tcPr>
            <w:tcW w:w="900" w:type="dxa"/>
            <w:vAlign w:val="bottom"/>
            <w:vMerge w:val="continue"/>
            <w:shd w:val="clear" w:color="auto" w:fill="F2F2F2"/>
          </w:tcPr>
          <w:p>
            <w:pPr>
              <w:spacing w:after="0"/>
              <w:rPr>
                <w:sz w:val="8"/>
                <w:szCs w:val="8"/>
                <w:color w:val="auto"/>
              </w:rPr>
            </w:pPr>
          </w:p>
        </w:tc>
        <w:tc>
          <w:tcPr>
            <w:tcW w:w="0" w:type="dxa"/>
            <w:vAlign w:val="bottom"/>
          </w:tcPr>
          <w:p>
            <w:pPr>
              <w:spacing w:after="0"/>
              <w:rPr>
                <w:sz w:val="1"/>
                <w:szCs w:val="1"/>
                <w:color w:val="auto"/>
              </w:rPr>
            </w:pPr>
          </w:p>
        </w:tc>
      </w:tr>
      <w:tr>
        <w:trPr>
          <w:trHeight w:val="230"/>
        </w:trPr>
        <w:tc>
          <w:tcPr>
            <w:tcW w:w="640" w:type="dxa"/>
            <w:vAlign w:val="bottom"/>
            <w:tcBorders>
              <w:bottom w:val="single" w:sz="8" w:color="407CCA"/>
            </w:tcBorders>
            <w:shd w:val="clear" w:color="auto" w:fill="F2F2F2"/>
          </w:tcPr>
          <w:p>
            <w:pPr>
              <w:spacing w:after="0"/>
              <w:rPr>
                <w:sz w:val="20"/>
                <w:szCs w:val="20"/>
                <w:color w:val="auto"/>
              </w:rPr>
            </w:pPr>
          </w:p>
        </w:tc>
        <w:tc>
          <w:tcPr>
            <w:tcW w:w="100" w:type="dxa"/>
            <w:vAlign w:val="bottom"/>
            <w:tcBorders>
              <w:bottom w:val="single" w:sz="8" w:color="407CCA"/>
            </w:tcBorders>
            <w:shd w:val="clear" w:color="auto" w:fill="F2F2F2"/>
          </w:tcPr>
          <w:p>
            <w:pPr>
              <w:spacing w:after="0"/>
              <w:rPr>
                <w:sz w:val="20"/>
                <w:szCs w:val="20"/>
                <w:color w:val="auto"/>
              </w:rPr>
            </w:pPr>
          </w:p>
        </w:tc>
        <w:tc>
          <w:tcPr>
            <w:tcW w:w="6500" w:type="dxa"/>
            <w:vAlign w:val="bottom"/>
            <w:tcBorders>
              <w:bottom w:val="single" w:sz="8" w:color="407CCA"/>
            </w:tcBorders>
            <w:shd w:val="clear" w:color="auto" w:fill="F2F2F2"/>
          </w:tcPr>
          <w:p>
            <w:pPr>
              <w:jc w:val="center"/>
              <w:spacing w:after="0"/>
              <w:rPr>
                <w:sz w:val="20"/>
                <w:szCs w:val="20"/>
                <w:color w:val="auto"/>
              </w:rPr>
            </w:pPr>
            <w:r>
              <w:rPr>
                <w:rFonts w:ascii="Arial" w:cs="Arial" w:eastAsia="Arial" w:hAnsi="Arial"/>
                <w:sz w:val="18"/>
                <w:szCs w:val="18"/>
                <w:color w:val="auto"/>
                <w:w w:val="90"/>
              </w:rPr>
              <w:t>Operating Expense Ratio</w:t>
            </w:r>
            <w:r>
              <w:rPr>
                <w:rFonts w:ascii="Arial" w:cs="Arial" w:eastAsia="Arial" w:hAnsi="Arial"/>
                <w:sz w:val="15"/>
                <w:szCs w:val="15"/>
                <w:color w:val="auto"/>
                <w:w w:val="90"/>
              </w:rPr>
              <w:t>(4)</w:t>
            </w:r>
          </w:p>
        </w:tc>
        <w:tc>
          <w:tcPr>
            <w:tcW w:w="120" w:type="dxa"/>
            <w:vAlign w:val="bottom"/>
            <w:tcBorders>
              <w:bottom w:val="single" w:sz="8" w:color="407CCA"/>
            </w:tcBorders>
            <w:shd w:val="clear" w:color="auto" w:fill="F2F2F2"/>
          </w:tcPr>
          <w:p>
            <w:pPr>
              <w:spacing w:after="0"/>
              <w:rPr>
                <w:sz w:val="20"/>
                <w:szCs w:val="20"/>
                <w:color w:val="auto"/>
              </w:rPr>
            </w:pPr>
          </w:p>
        </w:tc>
        <w:tc>
          <w:tcPr>
            <w:tcW w:w="440" w:type="dxa"/>
            <w:vAlign w:val="bottom"/>
            <w:tcBorders>
              <w:bottom w:val="single" w:sz="8" w:color="407CCA"/>
            </w:tcBorders>
            <w:shd w:val="clear" w:color="auto" w:fill="F2F2F2"/>
          </w:tcPr>
          <w:p>
            <w:pPr>
              <w:ind w:left="40"/>
              <w:spacing w:after="0"/>
              <w:rPr>
                <w:sz w:val="20"/>
                <w:szCs w:val="20"/>
                <w:color w:val="auto"/>
              </w:rPr>
            </w:pPr>
            <w:r>
              <w:rPr>
                <w:rFonts w:ascii="Arial" w:cs="Arial" w:eastAsia="Arial" w:hAnsi="Arial"/>
                <w:sz w:val="18"/>
                <w:szCs w:val="18"/>
                <w:color w:val="auto"/>
              </w:rPr>
              <w:t>20%</w:t>
            </w:r>
          </w:p>
        </w:tc>
        <w:tc>
          <w:tcPr>
            <w:tcW w:w="920" w:type="dxa"/>
            <w:vAlign w:val="bottom"/>
            <w:tcBorders>
              <w:bottom w:val="single" w:sz="8" w:color="407CCA"/>
            </w:tcBorders>
            <w:shd w:val="clear" w:color="auto" w:fill="F2F2F2"/>
          </w:tcPr>
          <w:p>
            <w:pPr>
              <w:jc w:val="center"/>
              <w:spacing w:after="0"/>
              <w:rPr>
                <w:sz w:val="20"/>
                <w:szCs w:val="20"/>
                <w:color w:val="auto"/>
              </w:rPr>
            </w:pPr>
            <w:r>
              <w:rPr>
                <w:rFonts w:ascii="Arial" w:cs="Arial" w:eastAsia="Arial" w:hAnsi="Arial"/>
                <w:sz w:val="18"/>
                <w:szCs w:val="18"/>
                <w:color w:val="auto"/>
                <w:w w:val="89"/>
              </w:rPr>
              <w:t>&gt; 95 bps</w:t>
            </w:r>
          </w:p>
        </w:tc>
        <w:tc>
          <w:tcPr>
            <w:tcW w:w="720" w:type="dxa"/>
            <w:vAlign w:val="bottom"/>
            <w:tcBorders>
              <w:bottom w:val="single" w:sz="8" w:color="407CCA"/>
            </w:tcBorders>
            <w:shd w:val="clear" w:color="auto" w:fill="F2F2F2"/>
          </w:tcPr>
          <w:p>
            <w:pPr>
              <w:jc w:val="center"/>
              <w:spacing w:after="0"/>
              <w:rPr>
                <w:sz w:val="20"/>
                <w:szCs w:val="20"/>
                <w:color w:val="auto"/>
              </w:rPr>
            </w:pPr>
            <w:r>
              <w:rPr>
                <w:rFonts w:ascii="Arial" w:cs="Arial" w:eastAsia="Arial" w:hAnsi="Arial"/>
                <w:sz w:val="18"/>
                <w:szCs w:val="18"/>
                <w:color w:val="auto"/>
                <w:w w:val="88"/>
              </w:rPr>
              <w:t>95 bps</w:t>
            </w:r>
          </w:p>
        </w:tc>
        <w:tc>
          <w:tcPr>
            <w:tcW w:w="680" w:type="dxa"/>
            <w:vAlign w:val="bottom"/>
            <w:tcBorders>
              <w:bottom w:val="single" w:sz="8" w:color="407CCA"/>
            </w:tcBorders>
            <w:shd w:val="clear" w:color="auto" w:fill="F2F2F2"/>
          </w:tcPr>
          <w:p>
            <w:pPr>
              <w:jc w:val="center"/>
              <w:spacing w:after="0"/>
              <w:rPr>
                <w:sz w:val="20"/>
                <w:szCs w:val="20"/>
                <w:color w:val="auto"/>
              </w:rPr>
            </w:pPr>
            <w:r>
              <w:rPr>
                <w:rFonts w:ascii="Arial" w:cs="Arial" w:eastAsia="Arial" w:hAnsi="Arial"/>
                <w:sz w:val="18"/>
                <w:szCs w:val="18"/>
                <w:color w:val="auto"/>
                <w:w w:val="88"/>
              </w:rPr>
              <w:t>90 bps</w:t>
            </w:r>
          </w:p>
        </w:tc>
        <w:tc>
          <w:tcPr>
            <w:tcW w:w="900" w:type="dxa"/>
            <w:vAlign w:val="bottom"/>
            <w:tcBorders>
              <w:bottom w:val="single" w:sz="8" w:color="407CCA"/>
            </w:tcBorders>
            <w:shd w:val="clear" w:color="auto" w:fill="F2F2F2"/>
          </w:tcPr>
          <w:p>
            <w:pPr>
              <w:jc w:val="center"/>
              <w:spacing w:after="0"/>
              <w:rPr>
                <w:sz w:val="20"/>
                <w:szCs w:val="20"/>
                <w:color w:val="auto"/>
              </w:rPr>
            </w:pPr>
            <w:r>
              <w:rPr>
                <w:rFonts w:ascii="Arial" w:cs="Arial" w:eastAsia="Arial" w:hAnsi="Arial"/>
                <w:sz w:val="18"/>
                <w:szCs w:val="18"/>
                <w:color w:val="auto"/>
                <w:w w:val="89"/>
              </w:rPr>
              <w:t>£ 85 bps</w:t>
            </w:r>
          </w:p>
        </w:tc>
        <w:tc>
          <w:tcPr>
            <w:tcW w:w="0" w:type="dxa"/>
            <w:vAlign w:val="bottom"/>
          </w:tcPr>
          <w:p>
            <w:pPr>
              <w:spacing w:after="0"/>
              <w:rPr>
                <w:sz w:val="1"/>
                <w:szCs w:val="1"/>
                <w:color w:val="auto"/>
              </w:rPr>
            </w:pPr>
          </w:p>
        </w:tc>
      </w:tr>
      <w:tr>
        <w:trPr>
          <w:trHeight w:val="129"/>
        </w:trPr>
        <w:tc>
          <w:tcPr>
            <w:tcW w:w="640" w:type="dxa"/>
            <w:vAlign w:val="bottom"/>
            <w:tcBorders>
              <w:bottom w:val="single" w:sz="8" w:color="407CCA"/>
            </w:tcBorders>
          </w:tcPr>
          <w:p>
            <w:pPr>
              <w:spacing w:after="0"/>
              <w:rPr>
                <w:sz w:val="11"/>
                <w:szCs w:val="11"/>
                <w:color w:val="auto"/>
              </w:rPr>
            </w:pPr>
          </w:p>
        </w:tc>
        <w:tc>
          <w:tcPr>
            <w:tcW w:w="100" w:type="dxa"/>
            <w:vAlign w:val="bottom"/>
            <w:tcBorders>
              <w:bottom w:val="single" w:sz="8" w:color="407CCA"/>
            </w:tcBorders>
          </w:tcPr>
          <w:p>
            <w:pPr>
              <w:spacing w:after="0"/>
              <w:rPr>
                <w:sz w:val="11"/>
                <w:szCs w:val="11"/>
                <w:color w:val="auto"/>
              </w:rPr>
            </w:pPr>
          </w:p>
        </w:tc>
        <w:tc>
          <w:tcPr>
            <w:tcW w:w="6500" w:type="dxa"/>
            <w:vAlign w:val="bottom"/>
            <w:tcBorders>
              <w:bottom w:val="single" w:sz="8" w:color="407CCA"/>
            </w:tcBorders>
          </w:tcPr>
          <w:p>
            <w:pPr>
              <w:spacing w:after="0"/>
              <w:rPr>
                <w:sz w:val="11"/>
                <w:szCs w:val="11"/>
                <w:color w:val="auto"/>
              </w:rPr>
            </w:pPr>
          </w:p>
        </w:tc>
        <w:tc>
          <w:tcPr>
            <w:tcW w:w="120" w:type="dxa"/>
            <w:vAlign w:val="bottom"/>
            <w:tcBorders>
              <w:bottom w:val="single" w:sz="8" w:color="407CCA"/>
            </w:tcBorders>
          </w:tcPr>
          <w:p>
            <w:pPr>
              <w:spacing w:after="0"/>
              <w:rPr>
                <w:sz w:val="11"/>
                <w:szCs w:val="11"/>
                <w:color w:val="auto"/>
              </w:rPr>
            </w:pPr>
          </w:p>
        </w:tc>
        <w:tc>
          <w:tcPr>
            <w:tcW w:w="440" w:type="dxa"/>
            <w:vAlign w:val="bottom"/>
            <w:tcBorders>
              <w:bottom w:val="single" w:sz="8" w:color="407CCA"/>
            </w:tcBorders>
          </w:tcPr>
          <w:p>
            <w:pPr>
              <w:spacing w:after="0"/>
              <w:rPr>
                <w:sz w:val="11"/>
                <w:szCs w:val="11"/>
                <w:color w:val="auto"/>
              </w:rPr>
            </w:pPr>
          </w:p>
        </w:tc>
        <w:tc>
          <w:tcPr>
            <w:tcW w:w="3220" w:type="dxa"/>
            <w:vAlign w:val="bottom"/>
            <w:tcBorders>
              <w:bottom w:val="single" w:sz="8" w:color="407CCA"/>
            </w:tcBorders>
            <w:gridSpan w:val="4"/>
            <w:shd w:val="clear" w:color="auto" w:fill="F2F2F2"/>
          </w:tcPr>
          <w:p>
            <w:pPr>
              <w:ind w:left="540"/>
              <w:spacing w:after="0" w:line="129" w:lineRule="exact"/>
              <w:rPr>
                <w:sz w:val="20"/>
                <w:szCs w:val="20"/>
                <w:color w:val="auto"/>
              </w:rPr>
            </w:pPr>
            <w:r>
              <w:rPr>
                <w:rFonts w:ascii="Arial" w:cs="Arial" w:eastAsia="Arial" w:hAnsi="Arial"/>
                <w:sz w:val="13"/>
                <w:szCs w:val="13"/>
                <w:b w:val="1"/>
                <w:bCs w:val="1"/>
                <w:color w:val="auto"/>
              </w:rPr>
              <w:t>Payout Continuum (% of Metric Weight)</w:t>
            </w:r>
          </w:p>
        </w:tc>
        <w:tc>
          <w:tcPr>
            <w:tcW w:w="0" w:type="dxa"/>
            <w:vAlign w:val="bottom"/>
          </w:tcPr>
          <w:p>
            <w:pPr>
              <w:spacing w:after="0"/>
              <w:rPr>
                <w:sz w:val="1"/>
                <w:szCs w:val="1"/>
                <w:color w:val="auto"/>
              </w:rPr>
            </w:pPr>
          </w:p>
        </w:tc>
      </w:tr>
      <w:tr>
        <w:trPr>
          <w:trHeight w:val="210"/>
        </w:trPr>
        <w:tc>
          <w:tcPr>
            <w:tcW w:w="640" w:type="dxa"/>
            <w:vAlign w:val="bottom"/>
            <w:tcBorders>
              <w:bottom w:val="single" w:sz="8" w:color="407CCA"/>
            </w:tcBorders>
          </w:tcPr>
          <w:p>
            <w:pPr>
              <w:spacing w:after="0"/>
              <w:rPr>
                <w:sz w:val="18"/>
                <w:szCs w:val="18"/>
                <w:color w:val="auto"/>
              </w:rPr>
            </w:pPr>
          </w:p>
        </w:tc>
        <w:tc>
          <w:tcPr>
            <w:tcW w:w="100" w:type="dxa"/>
            <w:vAlign w:val="bottom"/>
            <w:tcBorders>
              <w:bottom w:val="single" w:sz="8" w:color="407CCA"/>
            </w:tcBorders>
          </w:tcPr>
          <w:p>
            <w:pPr>
              <w:spacing w:after="0"/>
              <w:rPr>
                <w:sz w:val="18"/>
                <w:szCs w:val="18"/>
                <w:color w:val="auto"/>
              </w:rPr>
            </w:pPr>
          </w:p>
        </w:tc>
        <w:tc>
          <w:tcPr>
            <w:tcW w:w="6500" w:type="dxa"/>
            <w:vAlign w:val="bottom"/>
            <w:tcBorders>
              <w:bottom w:val="single" w:sz="8" w:color="407CCA"/>
            </w:tcBorders>
          </w:tcPr>
          <w:p>
            <w:pPr>
              <w:spacing w:after="0"/>
              <w:rPr>
                <w:sz w:val="18"/>
                <w:szCs w:val="18"/>
                <w:color w:val="auto"/>
              </w:rPr>
            </w:pPr>
          </w:p>
        </w:tc>
        <w:tc>
          <w:tcPr>
            <w:tcW w:w="120" w:type="dxa"/>
            <w:vAlign w:val="bottom"/>
            <w:tcBorders>
              <w:bottom w:val="single" w:sz="8" w:color="407CCA"/>
            </w:tcBorders>
          </w:tcPr>
          <w:p>
            <w:pPr>
              <w:spacing w:after="0"/>
              <w:rPr>
                <w:sz w:val="18"/>
                <w:szCs w:val="18"/>
                <w:color w:val="auto"/>
              </w:rPr>
            </w:pPr>
          </w:p>
        </w:tc>
        <w:tc>
          <w:tcPr>
            <w:tcW w:w="440" w:type="dxa"/>
            <w:vAlign w:val="bottom"/>
            <w:tcBorders>
              <w:bottom w:val="single" w:sz="8" w:color="407CCA"/>
            </w:tcBorders>
          </w:tcPr>
          <w:p>
            <w:pPr>
              <w:spacing w:after="0"/>
              <w:rPr>
                <w:sz w:val="18"/>
                <w:szCs w:val="18"/>
                <w:color w:val="auto"/>
              </w:rPr>
            </w:pPr>
          </w:p>
        </w:tc>
        <w:tc>
          <w:tcPr>
            <w:tcW w:w="920" w:type="dxa"/>
            <w:vAlign w:val="bottom"/>
            <w:tcBorders>
              <w:bottom w:val="single" w:sz="8" w:color="407CCA"/>
            </w:tcBorders>
            <w:shd w:val="clear" w:color="auto" w:fill="789E91"/>
          </w:tcPr>
          <w:p>
            <w:pPr>
              <w:jc w:val="center"/>
              <w:spacing w:after="0"/>
              <w:rPr>
                <w:sz w:val="20"/>
                <w:szCs w:val="20"/>
                <w:color w:val="auto"/>
              </w:rPr>
            </w:pPr>
            <w:r>
              <w:rPr>
                <w:rFonts w:ascii="Arial" w:cs="Arial" w:eastAsia="Arial" w:hAnsi="Arial"/>
                <w:sz w:val="18"/>
                <w:szCs w:val="18"/>
                <w:b w:val="1"/>
                <w:bCs w:val="1"/>
                <w:color w:val="auto"/>
                <w:w w:val="99"/>
              </w:rPr>
              <w:t>0%</w:t>
            </w:r>
          </w:p>
        </w:tc>
        <w:tc>
          <w:tcPr>
            <w:tcW w:w="720" w:type="dxa"/>
            <w:vAlign w:val="bottom"/>
            <w:tcBorders>
              <w:bottom w:val="single" w:sz="8" w:color="407CCA"/>
            </w:tcBorders>
            <w:shd w:val="clear" w:color="auto" w:fill="789E91"/>
          </w:tcPr>
          <w:p>
            <w:pPr>
              <w:jc w:val="center"/>
              <w:spacing w:after="0"/>
              <w:rPr>
                <w:sz w:val="20"/>
                <w:szCs w:val="20"/>
                <w:color w:val="auto"/>
              </w:rPr>
            </w:pPr>
            <w:r>
              <w:rPr>
                <w:rFonts w:ascii="Arial" w:cs="Arial" w:eastAsia="Arial" w:hAnsi="Arial"/>
                <w:sz w:val="18"/>
                <w:szCs w:val="18"/>
                <w:b w:val="1"/>
                <w:bCs w:val="1"/>
                <w:color w:val="auto"/>
                <w:w w:val="99"/>
              </w:rPr>
              <w:t>50%</w:t>
            </w:r>
          </w:p>
        </w:tc>
        <w:tc>
          <w:tcPr>
            <w:tcW w:w="680" w:type="dxa"/>
            <w:vAlign w:val="bottom"/>
            <w:tcBorders>
              <w:bottom w:val="single" w:sz="8" w:color="407CCA"/>
            </w:tcBorders>
            <w:shd w:val="clear" w:color="auto" w:fill="789E91"/>
          </w:tcPr>
          <w:p>
            <w:pPr>
              <w:jc w:val="center"/>
              <w:spacing w:after="0"/>
              <w:rPr>
                <w:sz w:val="20"/>
                <w:szCs w:val="20"/>
                <w:color w:val="auto"/>
              </w:rPr>
            </w:pPr>
            <w:r>
              <w:rPr>
                <w:rFonts w:ascii="Arial" w:cs="Arial" w:eastAsia="Arial" w:hAnsi="Arial"/>
                <w:sz w:val="18"/>
                <w:szCs w:val="18"/>
                <w:b w:val="1"/>
                <w:bCs w:val="1"/>
                <w:color w:val="auto"/>
                <w:w w:val="95"/>
              </w:rPr>
              <w:t>100%</w:t>
            </w:r>
          </w:p>
        </w:tc>
        <w:tc>
          <w:tcPr>
            <w:tcW w:w="900" w:type="dxa"/>
            <w:vAlign w:val="bottom"/>
            <w:tcBorders>
              <w:bottom w:val="single" w:sz="8" w:color="407CCA"/>
            </w:tcBorders>
            <w:shd w:val="clear" w:color="auto" w:fill="789E91"/>
          </w:tcPr>
          <w:p>
            <w:pPr>
              <w:jc w:val="center"/>
              <w:spacing w:after="0"/>
              <w:rPr>
                <w:sz w:val="20"/>
                <w:szCs w:val="20"/>
                <w:color w:val="auto"/>
              </w:rPr>
            </w:pPr>
            <w:r>
              <w:rPr>
                <w:rFonts w:ascii="Arial" w:cs="Arial" w:eastAsia="Arial" w:hAnsi="Arial"/>
                <w:sz w:val="18"/>
                <w:szCs w:val="18"/>
                <w:b w:val="1"/>
                <w:bCs w:val="1"/>
                <w:color w:val="auto"/>
                <w:w w:val="99"/>
              </w:rPr>
              <w:t>150%</w:t>
            </w:r>
          </w:p>
        </w:tc>
        <w:tc>
          <w:tcPr>
            <w:tcW w:w="0" w:type="dxa"/>
            <w:vAlign w:val="bottom"/>
          </w:tcPr>
          <w:p>
            <w:pPr>
              <w:spacing w:after="0"/>
              <w:rPr>
                <w:sz w:val="1"/>
                <w:szCs w:val="1"/>
                <w:color w:val="auto"/>
              </w:rPr>
            </w:pPr>
          </w:p>
        </w:tc>
      </w:tr>
      <w:tr>
        <w:trPr>
          <w:trHeight w:val="237"/>
        </w:trPr>
        <w:tc>
          <w:tcPr>
            <w:tcW w:w="6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7980" w:type="dxa"/>
            <w:vAlign w:val="bottom"/>
            <w:gridSpan w:val="4"/>
          </w:tcPr>
          <w:p>
            <w:pPr>
              <w:spacing w:after="0"/>
              <w:rPr>
                <w:sz w:val="20"/>
                <w:szCs w:val="20"/>
                <w:color w:val="auto"/>
              </w:rPr>
            </w:pPr>
          </w:p>
        </w:tc>
        <w:tc>
          <w:tcPr>
            <w:tcW w:w="72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9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34"/>
        </w:trPr>
        <w:tc>
          <w:tcPr>
            <w:tcW w:w="640" w:type="dxa"/>
            <w:vAlign w:val="bottom"/>
            <w:shd w:val="clear" w:color="auto" w:fill="999999"/>
          </w:tcPr>
          <w:p>
            <w:pPr>
              <w:spacing w:after="0"/>
              <w:rPr>
                <w:sz w:val="20"/>
                <w:szCs w:val="20"/>
                <w:color w:val="auto"/>
              </w:rPr>
            </w:pPr>
          </w:p>
        </w:tc>
        <w:tc>
          <w:tcPr>
            <w:tcW w:w="100" w:type="dxa"/>
            <w:vAlign w:val="bottom"/>
            <w:shd w:val="clear" w:color="auto" w:fill="999999"/>
          </w:tcPr>
          <w:p>
            <w:pPr>
              <w:spacing w:after="0"/>
              <w:rPr>
                <w:sz w:val="20"/>
                <w:szCs w:val="20"/>
                <w:color w:val="auto"/>
              </w:rPr>
            </w:pPr>
          </w:p>
        </w:tc>
        <w:tc>
          <w:tcPr>
            <w:tcW w:w="7980" w:type="dxa"/>
            <w:vAlign w:val="bottom"/>
            <w:gridSpan w:val="4"/>
            <w:shd w:val="clear" w:color="auto" w:fill="999999"/>
          </w:tcPr>
          <w:p>
            <w:pPr>
              <w:ind w:left="1580"/>
              <w:spacing w:after="0"/>
              <w:rPr>
                <w:sz w:val="20"/>
                <w:szCs w:val="20"/>
                <w:color w:val="auto"/>
              </w:rPr>
            </w:pPr>
            <w:r>
              <w:rPr>
                <w:rFonts w:ascii="Arial" w:cs="Arial" w:eastAsia="Arial" w:hAnsi="Arial"/>
                <w:sz w:val="18"/>
                <w:szCs w:val="18"/>
                <w:b w:val="1"/>
                <w:bCs w:val="1"/>
                <w:color w:val="auto"/>
                <w:w w:val="93"/>
              </w:rPr>
              <w:t>Operational / Strategic Metrics and MTGE Performance (40% of Total Scorecard)</w:t>
            </w:r>
          </w:p>
        </w:tc>
        <w:tc>
          <w:tcPr>
            <w:tcW w:w="720" w:type="dxa"/>
            <w:vAlign w:val="bottom"/>
            <w:shd w:val="clear" w:color="auto" w:fill="999999"/>
          </w:tcPr>
          <w:p>
            <w:pPr>
              <w:spacing w:after="0"/>
              <w:rPr>
                <w:sz w:val="20"/>
                <w:szCs w:val="20"/>
                <w:color w:val="auto"/>
              </w:rPr>
            </w:pPr>
          </w:p>
        </w:tc>
        <w:tc>
          <w:tcPr>
            <w:tcW w:w="680" w:type="dxa"/>
            <w:vAlign w:val="bottom"/>
            <w:shd w:val="clear" w:color="auto" w:fill="999999"/>
          </w:tcPr>
          <w:p>
            <w:pPr>
              <w:spacing w:after="0"/>
              <w:rPr>
                <w:sz w:val="20"/>
                <w:szCs w:val="20"/>
                <w:color w:val="auto"/>
              </w:rPr>
            </w:pPr>
          </w:p>
        </w:tc>
        <w:tc>
          <w:tcPr>
            <w:tcW w:w="900" w:type="dxa"/>
            <w:vAlign w:val="bottom"/>
            <w:shd w:val="clear" w:color="auto" w:fill="999999"/>
          </w:tcPr>
          <w:p>
            <w:pPr>
              <w:spacing w:after="0"/>
              <w:rPr>
                <w:sz w:val="20"/>
                <w:szCs w:val="20"/>
                <w:color w:val="auto"/>
              </w:rPr>
            </w:pPr>
          </w:p>
        </w:tc>
        <w:tc>
          <w:tcPr>
            <w:tcW w:w="0" w:type="dxa"/>
            <w:vAlign w:val="bottom"/>
          </w:tcPr>
          <w:p>
            <w:pPr>
              <w:spacing w:after="0"/>
              <w:rPr>
                <w:sz w:val="1"/>
                <w:szCs w:val="1"/>
                <w:color w:val="auto"/>
              </w:rPr>
            </w:pPr>
          </w:p>
        </w:tc>
      </w:tr>
      <w:tr>
        <w:trPr>
          <w:trHeight w:val="76"/>
        </w:trPr>
        <w:tc>
          <w:tcPr>
            <w:tcW w:w="640" w:type="dxa"/>
            <w:vAlign w:val="bottom"/>
            <w:shd w:val="clear" w:color="auto" w:fill="999999"/>
          </w:tcPr>
          <w:p>
            <w:pPr>
              <w:spacing w:after="0"/>
              <w:rPr>
                <w:sz w:val="6"/>
                <w:szCs w:val="6"/>
                <w:color w:val="auto"/>
              </w:rPr>
            </w:pPr>
          </w:p>
        </w:tc>
        <w:tc>
          <w:tcPr>
            <w:tcW w:w="100" w:type="dxa"/>
            <w:vAlign w:val="bottom"/>
            <w:shd w:val="clear" w:color="auto" w:fill="999999"/>
          </w:tcPr>
          <w:p>
            <w:pPr>
              <w:spacing w:after="0"/>
              <w:rPr>
                <w:sz w:val="6"/>
                <w:szCs w:val="6"/>
                <w:color w:val="auto"/>
              </w:rPr>
            </w:pPr>
          </w:p>
        </w:tc>
        <w:tc>
          <w:tcPr>
            <w:tcW w:w="6500" w:type="dxa"/>
            <w:vAlign w:val="bottom"/>
            <w:shd w:val="clear" w:color="auto" w:fill="999999"/>
          </w:tcPr>
          <w:p>
            <w:pPr>
              <w:spacing w:after="0"/>
              <w:rPr>
                <w:sz w:val="6"/>
                <w:szCs w:val="6"/>
                <w:color w:val="auto"/>
              </w:rPr>
            </w:pPr>
          </w:p>
        </w:tc>
        <w:tc>
          <w:tcPr>
            <w:tcW w:w="120" w:type="dxa"/>
            <w:vAlign w:val="bottom"/>
            <w:shd w:val="clear" w:color="auto" w:fill="999999"/>
          </w:tcPr>
          <w:p>
            <w:pPr>
              <w:spacing w:after="0"/>
              <w:rPr>
                <w:sz w:val="6"/>
                <w:szCs w:val="6"/>
                <w:color w:val="auto"/>
              </w:rPr>
            </w:pPr>
          </w:p>
        </w:tc>
        <w:tc>
          <w:tcPr>
            <w:tcW w:w="440" w:type="dxa"/>
            <w:vAlign w:val="bottom"/>
            <w:shd w:val="clear" w:color="auto" w:fill="999999"/>
          </w:tcPr>
          <w:p>
            <w:pPr>
              <w:spacing w:after="0"/>
              <w:rPr>
                <w:sz w:val="6"/>
                <w:szCs w:val="6"/>
                <w:color w:val="auto"/>
              </w:rPr>
            </w:pPr>
          </w:p>
        </w:tc>
        <w:tc>
          <w:tcPr>
            <w:tcW w:w="920" w:type="dxa"/>
            <w:vAlign w:val="bottom"/>
            <w:shd w:val="clear" w:color="auto" w:fill="999999"/>
          </w:tcPr>
          <w:p>
            <w:pPr>
              <w:spacing w:after="0"/>
              <w:rPr>
                <w:sz w:val="6"/>
                <w:szCs w:val="6"/>
                <w:color w:val="auto"/>
              </w:rPr>
            </w:pPr>
          </w:p>
        </w:tc>
        <w:tc>
          <w:tcPr>
            <w:tcW w:w="720" w:type="dxa"/>
            <w:vAlign w:val="bottom"/>
            <w:shd w:val="clear" w:color="auto" w:fill="999999"/>
          </w:tcPr>
          <w:p>
            <w:pPr>
              <w:spacing w:after="0"/>
              <w:rPr>
                <w:sz w:val="6"/>
                <w:szCs w:val="6"/>
                <w:color w:val="auto"/>
              </w:rPr>
            </w:pPr>
          </w:p>
        </w:tc>
        <w:tc>
          <w:tcPr>
            <w:tcW w:w="680" w:type="dxa"/>
            <w:vAlign w:val="bottom"/>
            <w:shd w:val="clear" w:color="auto" w:fill="999999"/>
          </w:tcPr>
          <w:p>
            <w:pPr>
              <w:spacing w:after="0"/>
              <w:rPr>
                <w:sz w:val="6"/>
                <w:szCs w:val="6"/>
                <w:color w:val="auto"/>
              </w:rPr>
            </w:pPr>
          </w:p>
        </w:tc>
        <w:tc>
          <w:tcPr>
            <w:tcW w:w="900" w:type="dxa"/>
            <w:vAlign w:val="bottom"/>
            <w:shd w:val="clear" w:color="auto" w:fill="999999"/>
          </w:tcPr>
          <w:p>
            <w:pPr>
              <w:spacing w:after="0"/>
              <w:rPr>
                <w:sz w:val="6"/>
                <w:szCs w:val="6"/>
                <w:color w:val="auto"/>
              </w:rPr>
            </w:pPr>
          </w:p>
        </w:tc>
        <w:tc>
          <w:tcPr>
            <w:tcW w:w="0" w:type="dxa"/>
            <w:vAlign w:val="bottom"/>
          </w:tcPr>
          <w:p>
            <w:pPr>
              <w:spacing w:after="0"/>
              <w:rPr>
                <w:sz w:val="1"/>
                <w:szCs w:val="1"/>
                <w:color w:val="auto"/>
              </w:rPr>
            </w:pPr>
          </w:p>
        </w:tc>
      </w:tr>
      <w:tr>
        <w:trPr>
          <w:trHeight w:val="243"/>
        </w:trPr>
        <w:tc>
          <w:tcPr>
            <w:tcW w:w="64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650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920" w:type="dxa"/>
            <w:vAlign w:val="bottom"/>
          </w:tcPr>
          <w:p>
            <w:pPr>
              <w:spacing w:after="0"/>
              <w:rPr>
                <w:sz w:val="21"/>
                <w:szCs w:val="21"/>
                <w:color w:val="auto"/>
              </w:rPr>
            </w:pPr>
          </w:p>
        </w:tc>
        <w:tc>
          <w:tcPr>
            <w:tcW w:w="720" w:type="dxa"/>
            <w:vAlign w:val="bottom"/>
          </w:tcPr>
          <w:p>
            <w:pPr>
              <w:spacing w:after="0"/>
              <w:rPr>
                <w:sz w:val="21"/>
                <w:szCs w:val="21"/>
                <w:color w:val="auto"/>
              </w:rPr>
            </w:pPr>
          </w:p>
        </w:tc>
        <w:tc>
          <w:tcPr>
            <w:tcW w:w="680" w:type="dxa"/>
            <w:vAlign w:val="bottom"/>
          </w:tcPr>
          <w:p>
            <w:pPr>
              <w:spacing w:after="0"/>
              <w:rPr>
                <w:sz w:val="21"/>
                <w:szCs w:val="21"/>
                <w:color w:val="auto"/>
              </w:rPr>
            </w:pPr>
          </w:p>
        </w:tc>
        <w:tc>
          <w:tcPr>
            <w:tcW w:w="9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135"/>
        </w:trPr>
        <w:tc>
          <w:tcPr>
            <w:tcW w:w="640" w:type="dxa"/>
            <w:vAlign w:val="bottom"/>
            <w:shd w:val="clear" w:color="auto" w:fill="407CCA"/>
          </w:tcPr>
          <w:p>
            <w:pPr>
              <w:jc w:val="center"/>
              <w:spacing w:after="0" w:line="135" w:lineRule="exact"/>
              <w:rPr>
                <w:sz w:val="20"/>
                <w:szCs w:val="20"/>
                <w:color w:val="auto"/>
              </w:rPr>
            </w:pPr>
            <w:r>
              <w:rPr>
                <w:rFonts w:ascii="Arial" w:cs="Arial" w:eastAsia="Arial" w:hAnsi="Arial"/>
                <w:sz w:val="13"/>
                <w:szCs w:val="13"/>
                <w:b w:val="1"/>
                <w:bCs w:val="1"/>
                <w:color w:val="auto"/>
                <w:w w:val="88"/>
              </w:rPr>
              <w:t>Category</w:t>
            </w:r>
          </w:p>
        </w:tc>
        <w:tc>
          <w:tcPr>
            <w:tcW w:w="100" w:type="dxa"/>
            <w:vAlign w:val="bottom"/>
            <w:shd w:val="clear" w:color="auto" w:fill="407CCA"/>
          </w:tcPr>
          <w:p>
            <w:pPr>
              <w:spacing w:after="0"/>
              <w:rPr>
                <w:sz w:val="11"/>
                <w:szCs w:val="11"/>
                <w:color w:val="auto"/>
              </w:rPr>
            </w:pPr>
          </w:p>
        </w:tc>
        <w:tc>
          <w:tcPr>
            <w:tcW w:w="6500" w:type="dxa"/>
            <w:vAlign w:val="bottom"/>
            <w:shd w:val="clear" w:color="auto" w:fill="407CCA"/>
          </w:tcPr>
          <w:p>
            <w:pPr>
              <w:jc w:val="center"/>
              <w:ind w:left="2997"/>
              <w:spacing w:after="0" w:line="135" w:lineRule="exact"/>
              <w:rPr>
                <w:sz w:val="20"/>
                <w:szCs w:val="20"/>
                <w:color w:val="auto"/>
              </w:rPr>
            </w:pPr>
            <w:r>
              <w:rPr>
                <w:rFonts w:ascii="Arial" w:cs="Arial" w:eastAsia="Arial" w:hAnsi="Arial"/>
                <w:sz w:val="13"/>
                <w:szCs w:val="13"/>
                <w:b w:val="1"/>
                <w:bCs w:val="1"/>
                <w:color w:val="auto"/>
                <w:w w:val="88"/>
              </w:rPr>
              <w:t>Performance</w:t>
            </w:r>
          </w:p>
        </w:tc>
        <w:tc>
          <w:tcPr>
            <w:tcW w:w="120" w:type="dxa"/>
            <w:vAlign w:val="bottom"/>
            <w:shd w:val="clear" w:color="auto" w:fill="407CCA"/>
          </w:tcPr>
          <w:p>
            <w:pPr>
              <w:spacing w:after="0"/>
              <w:rPr>
                <w:sz w:val="11"/>
                <w:szCs w:val="11"/>
                <w:color w:val="auto"/>
              </w:rPr>
            </w:pPr>
          </w:p>
        </w:tc>
        <w:tc>
          <w:tcPr>
            <w:tcW w:w="440" w:type="dxa"/>
            <w:vAlign w:val="bottom"/>
            <w:shd w:val="clear" w:color="auto" w:fill="407CCA"/>
          </w:tcPr>
          <w:p>
            <w:pPr>
              <w:spacing w:after="0"/>
              <w:rPr>
                <w:sz w:val="11"/>
                <w:szCs w:val="11"/>
                <w:color w:val="auto"/>
              </w:rPr>
            </w:pPr>
          </w:p>
        </w:tc>
        <w:tc>
          <w:tcPr>
            <w:tcW w:w="920" w:type="dxa"/>
            <w:vAlign w:val="bottom"/>
            <w:shd w:val="clear" w:color="auto" w:fill="407CCA"/>
          </w:tcPr>
          <w:p>
            <w:pPr>
              <w:spacing w:after="0"/>
              <w:rPr>
                <w:sz w:val="11"/>
                <w:szCs w:val="11"/>
                <w:color w:val="auto"/>
              </w:rPr>
            </w:pPr>
          </w:p>
        </w:tc>
        <w:tc>
          <w:tcPr>
            <w:tcW w:w="720" w:type="dxa"/>
            <w:vAlign w:val="bottom"/>
            <w:shd w:val="clear" w:color="auto" w:fill="407CCA"/>
          </w:tcPr>
          <w:p>
            <w:pPr>
              <w:spacing w:after="0"/>
              <w:rPr>
                <w:sz w:val="11"/>
                <w:szCs w:val="11"/>
                <w:color w:val="auto"/>
              </w:rPr>
            </w:pPr>
          </w:p>
        </w:tc>
        <w:tc>
          <w:tcPr>
            <w:tcW w:w="680" w:type="dxa"/>
            <w:vAlign w:val="bottom"/>
            <w:shd w:val="clear" w:color="auto" w:fill="407CCA"/>
          </w:tcPr>
          <w:p>
            <w:pPr>
              <w:spacing w:after="0"/>
              <w:rPr>
                <w:sz w:val="11"/>
                <w:szCs w:val="11"/>
                <w:color w:val="auto"/>
              </w:rPr>
            </w:pPr>
          </w:p>
        </w:tc>
        <w:tc>
          <w:tcPr>
            <w:tcW w:w="900" w:type="dxa"/>
            <w:vAlign w:val="bottom"/>
            <w:shd w:val="clear" w:color="auto" w:fill="407CCA"/>
          </w:tcPr>
          <w:p>
            <w:pPr>
              <w:ind w:left="420"/>
              <w:spacing w:after="0" w:line="135" w:lineRule="exact"/>
              <w:rPr>
                <w:sz w:val="20"/>
                <w:szCs w:val="20"/>
                <w:color w:val="auto"/>
              </w:rPr>
            </w:pPr>
            <w:r>
              <w:rPr>
                <w:rFonts w:ascii="Arial" w:cs="Arial" w:eastAsia="Arial" w:hAnsi="Arial"/>
                <w:sz w:val="13"/>
                <w:szCs w:val="13"/>
                <w:b w:val="1"/>
                <w:bCs w:val="1"/>
                <w:color w:val="auto"/>
              </w:rPr>
              <w:t>Metric</w:t>
            </w:r>
          </w:p>
        </w:tc>
        <w:tc>
          <w:tcPr>
            <w:tcW w:w="0" w:type="dxa"/>
            <w:vAlign w:val="bottom"/>
          </w:tcPr>
          <w:p>
            <w:pPr>
              <w:spacing w:after="0"/>
              <w:rPr>
                <w:sz w:val="1"/>
                <w:szCs w:val="1"/>
                <w:color w:val="auto"/>
              </w:rPr>
            </w:pPr>
          </w:p>
        </w:tc>
      </w:tr>
      <w:tr>
        <w:trPr>
          <w:trHeight w:val="176"/>
        </w:trPr>
        <w:tc>
          <w:tcPr>
            <w:tcW w:w="64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7"/>
              </w:rPr>
              <w:t>Weight</w:t>
            </w:r>
          </w:p>
        </w:tc>
        <w:tc>
          <w:tcPr>
            <w:tcW w:w="100" w:type="dxa"/>
            <w:vAlign w:val="bottom"/>
            <w:shd w:val="clear" w:color="auto" w:fill="407CCA"/>
          </w:tcPr>
          <w:p>
            <w:pPr>
              <w:spacing w:after="0"/>
              <w:rPr>
                <w:sz w:val="15"/>
                <w:szCs w:val="15"/>
                <w:color w:val="auto"/>
              </w:rPr>
            </w:pPr>
          </w:p>
        </w:tc>
        <w:tc>
          <w:tcPr>
            <w:tcW w:w="6500" w:type="dxa"/>
            <w:vAlign w:val="bottom"/>
            <w:shd w:val="clear" w:color="auto" w:fill="407CCA"/>
          </w:tcPr>
          <w:p>
            <w:pPr>
              <w:jc w:val="center"/>
              <w:ind w:left="2977"/>
              <w:spacing w:after="0"/>
              <w:rPr>
                <w:sz w:val="20"/>
                <w:szCs w:val="20"/>
                <w:color w:val="auto"/>
              </w:rPr>
            </w:pPr>
            <w:r>
              <w:rPr>
                <w:rFonts w:ascii="Arial" w:cs="Arial" w:eastAsia="Arial" w:hAnsi="Arial"/>
                <w:sz w:val="13"/>
                <w:szCs w:val="13"/>
                <w:b w:val="1"/>
                <w:bCs w:val="1"/>
                <w:color w:val="auto"/>
                <w:w w:val="93"/>
              </w:rPr>
              <w:t>Metric</w:t>
            </w:r>
          </w:p>
        </w:tc>
        <w:tc>
          <w:tcPr>
            <w:tcW w:w="120" w:type="dxa"/>
            <w:vAlign w:val="bottom"/>
            <w:shd w:val="clear" w:color="auto" w:fill="407CCA"/>
          </w:tcPr>
          <w:p>
            <w:pPr>
              <w:spacing w:after="0"/>
              <w:rPr>
                <w:sz w:val="15"/>
                <w:szCs w:val="15"/>
                <w:color w:val="auto"/>
              </w:rPr>
            </w:pPr>
          </w:p>
        </w:tc>
        <w:tc>
          <w:tcPr>
            <w:tcW w:w="440" w:type="dxa"/>
            <w:vAlign w:val="bottom"/>
            <w:shd w:val="clear" w:color="auto" w:fill="407CCA"/>
          </w:tcPr>
          <w:p>
            <w:pPr>
              <w:spacing w:after="0"/>
              <w:rPr>
                <w:sz w:val="15"/>
                <w:szCs w:val="15"/>
                <w:color w:val="auto"/>
              </w:rPr>
            </w:pPr>
          </w:p>
        </w:tc>
        <w:tc>
          <w:tcPr>
            <w:tcW w:w="920" w:type="dxa"/>
            <w:vAlign w:val="bottom"/>
            <w:shd w:val="clear" w:color="auto" w:fill="407CCA"/>
          </w:tcPr>
          <w:p>
            <w:pPr>
              <w:spacing w:after="0"/>
              <w:rPr>
                <w:sz w:val="15"/>
                <w:szCs w:val="15"/>
                <w:color w:val="auto"/>
              </w:rPr>
            </w:pPr>
          </w:p>
        </w:tc>
        <w:tc>
          <w:tcPr>
            <w:tcW w:w="720" w:type="dxa"/>
            <w:vAlign w:val="bottom"/>
            <w:shd w:val="clear" w:color="auto" w:fill="407CCA"/>
          </w:tcPr>
          <w:p>
            <w:pPr>
              <w:spacing w:after="0"/>
              <w:rPr>
                <w:sz w:val="15"/>
                <w:szCs w:val="15"/>
                <w:color w:val="auto"/>
              </w:rPr>
            </w:pPr>
          </w:p>
        </w:tc>
        <w:tc>
          <w:tcPr>
            <w:tcW w:w="680" w:type="dxa"/>
            <w:vAlign w:val="bottom"/>
            <w:shd w:val="clear" w:color="auto" w:fill="407CCA"/>
          </w:tcPr>
          <w:p>
            <w:pPr>
              <w:spacing w:after="0"/>
              <w:rPr>
                <w:sz w:val="15"/>
                <w:szCs w:val="15"/>
                <w:color w:val="auto"/>
              </w:rPr>
            </w:pPr>
          </w:p>
        </w:tc>
        <w:tc>
          <w:tcPr>
            <w:tcW w:w="900" w:type="dxa"/>
            <w:vAlign w:val="bottom"/>
            <w:shd w:val="clear" w:color="auto" w:fill="407CCA"/>
          </w:tcPr>
          <w:p>
            <w:pPr>
              <w:ind w:left="400"/>
              <w:spacing w:after="0"/>
              <w:rPr>
                <w:sz w:val="20"/>
                <w:szCs w:val="20"/>
                <w:color w:val="auto"/>
              </w:rPr>
            </w:pPr>
            <w:r>
              <w:rPr>
                <w:rFonts w:ascii="Arial" w:cs="Arial" w:eastAsia="Arial" w:hAnsi="Arial"/>
                <w:sz w:val="13"/>
                <w:szCs w:val="13"/>
                <w:b w:val="1"/>
                <w:bCs w:val="1"/>
                <w:color w:val="auto"/>
              </w:rPr>
              <w:t>Weight</w:t>
            </w:r>
          </w:p>
        </w:tc>
        <w:tc>
          <w:tcPr>
            <w:tcW w:w="0" w:type="dxa"/>
            <w:vAlign w:val="bottom"/>
          </w:tcPr>
          <w:p>
            <w:pPr>
              <w:spacing w:after="0"/>
              <w:rPr>
                <w:sz w:val="1"/>
                <w:szCs w:val="1"/>
                <w:color w:val="auto"/>
              </w:rPr>
            </w:pPr>
          </w:p>
        </w:tc>
      </w:tr>
      <w:tr>
        <w:trPr>
          <w:trHeight w:val="216"/>
        </w:trPr>
        <w:tc>
          <w:tcPr>
            <w:tcW w:w="640" w:type="dxa"/>
            <w:vAlign w:val="bottom"/>
            <w:shd w:val="clear" w:color="auto" w:fill="F2F2F2"/>
          </w:tcPr>
          <w:p>
            <w:pPr>
              <w:spacing w:after="0"/>
              <w:rPr>
                <w:sz w:val="18"/>
                <w:szCs w:val="18"/>
                <w:color w:val="auto"/>
              </w:rPr>
            </w:pPr>
          </w:p>
        </w:tc>
        <w:tc>
          <w:tcPr>
            <w:tcW w:w="100" w:type="dxa"/>
            <w:vAlign w:val="bottom"/>
            <w:shd w:val="clear" w:color="auto" w:fill="F2F2F2"/>
          </w:tcPr>
          <w:p>
            <w:pPr>
              <w:spacing w:after="0"/>
              <w:rPr>
                <w:sz w:val="18"/>
                <w:szCs w:val="18"/>
                <w:color w:val="auto"/>
              </w:rPr>
            </w:pPr>
          </w:p>
        </w:tc>
        <w:tc>
          <w:tcPr>
            <w:tcW w:w="6500" w:type="dxa"/>
            <w:vAlign w:val="bottom"/>
            <w:shd w:val="clear" w:color="auto" w:fill="F2F2F2"/>
          </w:tcPr>
          <w:p>
            <w:pPr>
              <w:jc w:val="center"/>
              <w:ind w:left="2997"/>
              <w:spacing w:after="0"/>
              <w:rPr>
                <w:sz w:val="20"/>
                <w:szCs w:val="20"/>
                <w:color w:val="auto"/>
              </w:rPr>
            </w:pPr>
            <w:r>
              <w:rPr>
                <w:rFonts w:ascii="Arial" w:cs="Arial" w:eastAsia="Arial" w:hAnsi="Arial"/>
                <w:sz w:val="18"/>
                <w:szCs w:val="18"/>
                <w:color w:val="auto"/>
                <w:w w:val="91"/>
              </w:rPr>
              <w:t>Finance / Accounting / Legal Objectives</w:t>
            </w:r>
          </w:p>
        </w:tc>
        <w:tc>
          <w:tcPr>
            <w:tcW w:w="120" w:type="dxa"/>
            <w:vAlign w:val="bottom"/>
            <w:shd w:val="clear" w:color="auto" w:fill="F2F2F2"/>
          </w:tcPr>
          <w:p>
            <w:pPr>
              <w:spacing w:after="0"/>
              <w:rPr>
                <w:sz w:val="18"/>
                <w:szCs w:val="18"/>
                <w:color w:val="auto"/>
              </w:rPr>
            </w:pPr>
          </w:p>
        </w:tc>
        <w:tc>
          <w:tcPr>
            <w:tcW w:w="440" w:type="dxa"/>
            <w:vAlign w:val="bottom"/>
            <w:shd w:val="clear" w:color="auto" w:fill="F2F2F2"/>
          </w:tcPr>
          <w:p>
            <w:pPr>
              <w:spacing w:after="0"/>
              <w:rPr>
                <w:sz w:val="18"/>
                <w:szCs w:val="18"/>
                <w:color w:val="auto"/>
              </w:rPr>
            </w:pPr>
          </w:p>
        </w:tc>
        <w:tc>
          <w:tcPr>
            <w:tcW w:w="920" w:type="dxa"/>
            <w:vAlign w:val="bottom"/>
            <w:shd w:val="clear" w:color="auto" w:fill="F2F2F2"/>
          </w:tcPr>
          <w:p>
            <w:pPr>
              <w:spacing w:after="0"/>
              <w:rPr>
                <w:sz w:val="18"/>
                <w:szCs w:val="18"/>
                <w:color w:val="auto"/>
              </w:rPr>
            </w:pPr>
          </w:p>
        </w:tc>
        <w:tc>
          <w:tcPr>
            <w:tcW w:w="720" w:type="dxa"/>
            <w:vAlign w:val="bottom"/>
            <w:shd w:val="clear" w:color="auto" w:fill="F2F2F2"/>
          </w:tcPr>
          <w:p>
            <w:pPr>
              <w:spacing w:after="0"/>
              <w:rPr>
                <w:sz w:val="18"/>
                <w:szCs w:val="18"/>
                <w:color w:val="auto"/>
              </w:rPr>
            </w:pPr>
          </w:p>
        </w:tc>
        <w:tc>
          <w:tcPr>
            <w:tcW w:w="680" w:type="dxa"/>
            <w:vAlign w:val="bottom"/>
            <w:shd w:val="clear" w:color="auto" w:fill="F2F2F2"/>
          </w:tcPr>
          <w:p>
            <w:pPr>
              <w:spacing w:after="0"/>
              <w:rPr>
                <w:sz w:val="18"/>
                <w:szCs w:val="18"/>
                <w:color w:val="auto"/>
              </w:rPr>
            </w:pPr>
          </w:p>
        </w:tc>
        <w:tc>
          <w:tcPr>
            <w:tcW w:w="900" w:type="dxa"/>
            <w:vAlign w:val="bottom"/>
            <w:shd w:val="clear" w:color="auto" w:fill="F2F2F2"/>
          </w:tcPr>
          <w:p>
            <w:pPr>
              <w:jc w:val="center"/>
              <w:ind w:left="197"/>
              <w:spacing w:after="0"/>
              <w:rPr>
                <w:sz w:val="20"/>
                <w:szCs w:val="20"/>
                <w:color w:val="auto"/>
              </w:rPr>
            </w:pPr>
            <w:r>
              <w:rPr>
                <w:rFonts w:ascii="Arial" w:cs="Arial" w:eastAsia="Arial" w:hAnsi="Arial"/>
                <w:sz w:val="18"/>
                <w:szCs w:val="18"/>
                <w:color w:val="auto"/>
                <w:w w:val="94"/>
              </w:rPr>
              <w:t>20%</w:t>
            </w:r>
          </w:p>
        </w:tc>
        <w:tc>
          <w:tcPr>
            <w:tcW w:w="0" w:type="dxa"/>
            <w:vAlign w:val="bottom"/>
          </w:tcPr>
          <w:p>
            <w:pPr>
              <w:spacing w:after="0"/>
              <w:rPr>
                <w:sz w:val="1"/>
                <w:szCs w:val="1"/>
                <w:color w:val="auto"/>
              </w:rPr>
            </w:pPr>
          </w:p>
        </w:tc>
      </w:tr>
      <w:tr>
        <w:trPr>
          <w:trHeight w:val="216"/>
        </w:trPr>
        <w:tc>
          <w:tcPr>
            <w:tcW w:w="640" w:type="dxa"/>
            <w:vAlign w:val="bottom"/>
            <w:shd w:val="clear" w:color="auto" w:fill="F2F2F2"/>
          </w:tcPr>
          <w:p>
            <w:pPr>
              <w:spacing w:after="0"/>
              <w:rPr>
                <w:sz w:val="18"/>
                <w:szCs w:val="18"/>
                <w:color w:val="auto"/>
              </w:rPr>
            </w:pPr>
          </w:p>
        </w:tc>
        <w:tc>
          <w:tcPr>
            <w:tcW w:w="100" w:type="dxa"/>
            <w:vAlign w:val="bottom"/>
            <w:shd w:val="clear" w:color="auto" w:fill="F2F2F2"/>
          </w:tcPr>
          <w:p>
            <w:pPr>
              <w:spacing w:after="0"/>
              <w:rPr>
                <w:sz w:val="18"/>
                <w:szCs w:val="18"/>
                <w:color w:val="auto"/>
              </w:rPr>
            </w:pPr>
          </w:p>
        </w:tc>
        <w:tc>
          <w:tcPr>
            <w:tcW w:w="6500" w:type="dxa"/>
            <w:vAlign w:val="bottom"/>
            <w:shd w:val="clear" w:color="auto" w:fill="F2F2F2"/>
          </w:tcPr>
          <w:p>
            <w:pPr>
              <w:jc w:val="center"/>
              <w:ind w:left="2997"/>
              <w:spacing w:after="0"/>
              <w:rPr>
                <w:sz w:val="20"/>
                <w:szCs w:val="20"/>
                <w:color w:val="auto"/>
              </w:rPr>
            </w:pPr>
            <w:r>
              <w:rPr>
                <w:rFonts w:ascii="Arial" w:cs="Arial" w:eastAsia="Arial" w:hAnsi="Arial"/>
                <w:sz w:val="18"/>
                <w:szCs w:val="18"/>
                <w:color w:val="auto"/>
                <w:w w:val="93"/>
              </w:rPr>
              <w:t>Strategic Initiatives</w:t>
            </w:r>
          </w:p>
        </w:tc>
        <w:tc>
          <w:tcPr>
            <w:tcW w:w="120" w:type="dxa"/>
            <w:vAlign w:val="bottom"/>
            <w:shd w:val="clear" w:color="auto" w:fill="F2F2F2"/>
          </w:tcPr>
          <w:p>
            <w:pPr>
              <w:spacing w:after="0"/>
              <w:rPr>
                <w:sz w:val="18"/>
                <w:szCs w:val="18"/>
                <w:color w:val="auto"/>
              </w:rPr>
            </w:pPr>
          </w:p>
        </w:tc>
        <w:tc>
          <w:tcPr>
            <w:tcW w:w="440" w:type="dxa"/>
            <w:vAlign w:val="bottom"/>
            <w:shd w:val="clear" w:color="auto" w:fill="F2F2F2"/>
          </w:tcPr>
          <w:p>
            <w:pPr>
              <w:spacing w:after="0"/>
              <w:rPr>
                <w:sz w:val="18"/>
                <w:szCs w:val="18"/>
                <w:color w:val="auto"/>
              </w:rPr>
            </w:pPr>
          </w:p>
        </w:tc>
        <w:tc>
          <w:tcPr>
            <w:tcW w:w="920" w:type="dxa"/>
            <w:vAlign w:val="bottom"/>
            <w:shd w:val="clear" w:color="auto" w:fill="F2F2F2"/>
          </w:tcPr>
          <w:p>
            <w:pPr>
              <w:spacing w:after="0"/>
              <w:rPr>
                <w:sz w:val="18"/>
                <w:szCs w:val="18"/>
                <w:color w:val="auto"/>
              </w:rPr>
            </w:pPr>
          </w:p>
        </w:tc>
        <w:tc>
          <w:tcPr>
            <w:tcW w:w="720" w:type="dxa"/>
            <w:vAlign w:val="bottom"/>
            <w:shd w:val="clear" w:color="auto" w:fill="F2F2F2"/>
          </w:tcPr>
          <w:p>
            <w:pPr>
              <w:spacing w:after="0"/>
              <w:rPr>
                <w:sz w:val="18"/>
                <w:szCs w:val="18"/>
                <w:color w:val="auto"/>
              </w:rPr>
            </w:pPr>
          </w:p>
        </w:tc>
        <w:tc>
          <w:tcPr>
            <w:tcW w:w="680" w:type="dxa"/>
            <w:vAlign w:val="bottom"/>
            <w:shd w:val="clear" w:color="auto" w:fill="F2F2F2"/>
          </w:tcPr>
          <w:p>
            <w:pPr>
              <w:spacing w:after="0"/>
              <w:rPr>
                <w:sz w:val="18"/>
                <w:szCs w:val="18"/>
                <w:color w:val="auto"/>
              </w:rPr>
            </w:pPr>
          </w:p>
        </w:tc>
        <w:tc>
          <w:tcPr>
            <w:tcW w:w="900" w:type="dxa"/>
            <w:vAlign w:val="bottom"/>
            <w:shd w:val="clear" w:color="auto" w:fill="F2F2F2"/>
          </w:tcPr>
          <w:p>
            <w:pPr>
              <w:jc w:val="center"/>
              <w:ind w:left="197"/>
              <w:spacing w:after="0"/>
              <w:rPr>
                <w:sz w:val="20"/>
                <w:szCs w:val="20"/>
                <w:color w:val="auto"/>
              </w:rPr>
            </w:pPr>
            <w:r>
              <w:rPr>
                <w:rFonts w:ascii="Arial" w:cs="Arial" w:eastAsia="Arial" w:hAnsi="Arial"/>
                <w:sz w:val="18"/>
                <w:szCs w:val="18"/>
                <w:color w:val="auto"/>
                <w:w w:val="94"/>
              </w:rPr>
              <w:t>20%</w:t>
            </w:r>
          </w:p>
        </w:tc>
        <w:tc>
          <w:tcPr>
            <w:tcW w:w="0" w:type="dxa"/>
            <w:vAlign w:val="bottom"/>
          </w:tcPr>
          <w:p>
            <w:pPr>
              <w:spacing w:after="0"/>
              <w:rPr>
                <w:sz w:val="1"/>
                <w:szCs w:val="1"/>
                <w:color w:val="auto"/>
              </w:rPr>
            </w:pPr>
          </w:p>
        </w:tc>
      </w:tr>
      <w:tr>
        <w:trPr>
          <w:trHeight w:val="216"/>
        </w:trPr>
        <w:tc>
          <w:tcPr>
            <w:tcW w:w="640" w:type="dxa"/>
            <w:vAlign w:val="bottom"/>
            <w:shd w:val="clear" w:color="auto" w:fill="F2F2F2"/>
          </w:tcPr>
          <w:p>
            <w:pPr>
              <w:jc w:val="center"/>
              <w:spacing w:after="0"/>
              <w:rPr>
                <w:sz w:val="20"/>
                <w:szCs w:val="20"/>
                <w:color w:val="auto"/>
              </w:rPr>
            </w:pPr>
            <w:r>
              <w:rPr>
                <w:rFonts w:ascii="Arial" w:cs="Arial" w:eastAsia="Arial" w:hAnsi="Arial"/>
                <w:sz w:val="18"/>
                <w:szCs w:val="18"/>
                <w:color w:val="auto"/>
                <w:w w:val="94"/>
              </w:rPr>
              <w:t>30%</w:t>
            </w:r>
          </w:p>
        </w:tc>
        <w:tc>
          <w:tcPr>
            <w:tcW w:w="100" w:type="dxa"/>
            <w:vAlign w:val="bottom"/>
            <w:shd w:val="clear" w:color="auto" w:fill="F2F2F2"/>
          </w:tcPr>
          <w:p>
            <w:pPr>
              <w:spacing w:after="0"/>
              <w:rPr>
                <w:sz w:val="18"/>
                <w:szCs w:val="18"/>
                <w:color w:val="auto"/>
              </w:rPr>
            </w:pPr>
          </w:p>
        </w:tc>
        <w:tc>
          <w:tcPr>
            <w:tcW w:w="6500" w:type="dxa"/>
            <w:vAlign w:val="bottom"/>
            <w:shd w:val="clear" w:color="auto" w:fill="F2F2F2"/>
          </w:tcPr>
          <w:p>
            <w:pPr>
              <w:jc w:val="center"/>
              <w:ind w:left="2997"/>
              <w:spacing w:after="0"/>
              <w:rPr>
                <w:sz w:val="20"/>
                <w:szCs w:val="20"/>
                <w:color w:val="auto"/>
              </w:rPr>
            </w:pPr>
            <w:r>
              <w:rPr>
                <w:rFonts w:ascii="Arial" w:cs="Arial" w:eastAsia="Arial" w:hAnsi="Arial"/>
                <w:sz w:val="18"/>
                <w:szCs w:val="18"/>
                <w:color w:val="auto"/>
                <w:w w:val="91"/>
              </w:rPr>
              <w:t>Investor Relations Objectives</w:t>
            </w:r>
          </w:p>
        </w:tc>
        <w:tc>
          <w:tcPr>
            <w:tcW w:w="120" w:type="dxa"/>
            <w:vAlign w:val="bottom"/>
            <w:shd w:val="clear" w:color="auto" w:fill="F2F2F2"/>
          </w:tcPr>
          <w:p>
            <w:pPr>
              <w:spacing w:after="0"/>
              <w:rPr>
                <w:sz w:val="18"/>
                <w:szCs w:val="18"/>
                <w:color w:val="auto"/>
              </w:rPr>
            </w:pPr>
          </w:p>
        </w:tc>
        <w:tc>
          <w:tcPr>
            <w:tcW w:w="440" w:type="dxa"/>
            <w:vAlign w:val="bottom"/>
            <w:shd w:val="clear" w:color="auto" w:fill="F2F2F2"/>
          </w:tcPr>
          <w:p>
            <w:pPr>
              <w:spacing w:after="0"/>
              <w:rPr>
                <w:sz w:val="18"/>
                <w:szCs w:val="18"/>
                <w:color w:val="auto"/>
              </w:rPr>
            </w:pPr>
          </w:p>
        </w:tc>
        <w:tc>
          <w:tcPr>
            <w:tcW w:w="920" w:type="dxa"/>
            <w:vAlign w:val="bottom"/>
            <w:shd w:val="clear" w:color="auto" w:fill="F2F2F2"/>
          </w:tcPr>
          <w:p>
            <w:pPr>
              <w:spacing w:after="0"/>
              <w:rPr>
                <w:sz w:val="18"/>
                <w:szCs w:val="18"/>
                <w:color w:val="auto"/>
              </w:rPr>
            </w:pPr>
          </w:p>
        </w:tc>
        <w:tc>
          <w:tcPr>
            <w:tcW w:w="720" w:type="dxa"/>
            <w:vAlign w:val="bottom"/>
            <w:shd w:val="clear" w:color="auto" w:fill="F2F2F2"/>
          </w:tcPr>
          <w:p>
            <w:pPr>
              <w:spacing w:after="0"/>
              <w:rPr>
                <w:sz w:val="18"/>
                <w:szCs w:val="18"/>
                <w:color w:val="auto"/>
              </w:rPr>
            </w:pPr>
          </w:p>
        </w:tc>
        <w:tc>
          <w:tcPr>
            <w:tcW w:w="680" w:type="dxa"/>
            <w:vAlign w:val="bottom"/>
            <w:shd w:val="clear" w:color="auto" w:fill="F2F2F2"/>
          </w:tcPr>
          <w:p>
            <w:pPr>
              <w:spacing w:after="0"/>
              <w:rPr>
                <w:sz w:val="18"/>
                <w:szCs w:val="18"/>
                <w:color w:val="auto"/>
              </w:rPr>
            </w:pPr>
          </w:p>
        </w:tc>
        <w:tc>
          <w:tcPr>
            <w:tcW w:w="900" w:type="dxa"/>
            <w:vAlign w:val="bottom"/>
            <w:shd w:val="clear" w:color="auto" w:fill="F2F2F2"/>
          </w:tcPr>
          <w:p>
            <w:pPr>
              <w:jc w:val="center"/>
              <w:ind w:left="197"/>
              <w:spacing w:after="0"/>
              <w:rPr>
                <w:sz w:val="20"/>
                <w:szCs w:val="20"/>
                <w:color w:val="auto"/>
              </w:rPr>
            </w:pPr>
            <w:r>
              <w:rPr>
                <w:rFonts w:ascii="Arial" w:cs="Arial" w:eastAsia="Arial" w:hAnsi="Arial"/>
                <w:sz w:val="18"/>
                <w:szCs w:val="18"/>
                <w:color w:val="auto"/>
                <w:w w:val="94"/>
              </w:rPr>
              <w:t>20%</w:t>
            </w:r>
          </w:p>
        </w:tc>
        <w:tc>
          <w:tcPr>
            <w:tcW w:w="0" w:type="dxa"/>
            <w:vAlign w:val="bottom"/>
          </w:tcPr>
          <w:p>
            <w:pPr>
              <w:spacing w:after="0"/>
              <w:rPr>
                <w:sz w:val="1"/>
                <w:szCs w:val="1"/>
                <w:color w:val="auto"/>
              </w:rPr>
            </w:pPr>
          </w:p>
        </w:tc>
      </w:tr>
      <w:tr>
        <w:trPr>
          <w:trHeight w:val="216"/>
        </w:trPr>
        <w:tc>
          <w:tcPr>
            <w:tcW w:w="640" w:type="dxa"/>
            <w:vAlign w:val="bottom"/>
            <w:shd w:val="clear" w:color="auto" w:fill="F2F2F2"/>
          </w:tcPr>
          <w:p>
            <w:pPr>
              <w:spacing w:after="0"/>
              <w:rPr>
                <w:sz w:val="18"/>
                <w:szCs w:val="18"/>
                <w:color w:val="auto"/>
              </w:rPr>
            </w:pPr>
          </w:p>
        </w:tc>
        <w:tc>
          <w:tcPr>
            <w:tcW w:w="100" w:type="dxa"/>
            <w:vAlign w:val="bottom"/>
            <w:shd w:val="clear" w:color="auto" w:fill="F2F2F2"/>
          </w:tcPr>
          <w:p>
            <w:pPr>
              <w:spacing w:after="0"/>
              <w:rPr>
                <w:sz w:val="18"/>
                <w:szCs w:val="18"/>
                <w:color w:val="auto"/>
              </w:rPr>
            </w:pPr>
          </w:p>
        </w:tc>
        <w:tc>
          <w:tcPr>
            <w:tcW w:w="6500" w:type="dxa"/>
            <w:vAlign w:val="bottom"/>
            <w:shd w:val="clear" w:color="auto" w:fill="F2F2F2"/>
          </w:tcPr>
          <w:p>
            <w:pPr>
              <w:jc w:val="center"/>
              <w:ind w:left="2997"/>
              <w:spacing w:after="0"/>
              <w:rPr>
                <w:sz w:val="20"/>
                <w:szCs w:val="20"/>
                <w:color w:val="auto"/>
              </w:rPr>
            </w:pPr>
            <w:r>
              <w:rPr>
                <w:rFonts w:ascii="Arial" w:cs="Arial" w:eastAsia="Arial" w:hAnsi="Arial"/>
                <w:sz w:val="18"/>
                <w:szCs w:val="18"/>
                <w:color w:val="auto"/>
                <w:w w:val="90"/>
              </w:rPr>
              <w:t>Broker-Dealer Operations</w:t>
            </w:r>
          </w:p>
        </w:tc>
        <w:tc>
          <w:tcPr>
            <w:tcW w:w="120" w:type="dxa"/>
            <w:vAlign w:val="bottom"/>
            <w:shd w:val="clear" w:color="auto" w:fill="F2F2F2"/>
          </w:tcPr>
          <w:p>
            <w:pPr>
              <w:spacing w:after="0"/>
              <w:rPr>
                <w:sz w:val="18"/>
                <w:szCs w:val="18"/>
                <w:color w:val="auto"/>
              </w:rPr>
            </w:pPr>
          </w:p>
        </w:tc>
        <w:tc>
          <w:tcPr>
            <w:tcW w:w="440" w:type="dxa"/>
            <w:vAlign w:val="bottom"/>
            <w:shd w:val="clear" w:color="auto" w:fill="F2F2F2"/>
          </w:tcPr>
          <w:p>
            <w:pPr>
              <w:spacing w:after="0"/>
              <w:rPr>
                <w:sz w:val="18"/>
                <w:szCs w:val="18"/>
                <w:color w:val="auto"/>
              </w:rPr>
            </w:pPr>
          </w:p>
        </w:tc>
        <w:tc>
          <w:tcPr>
            <w:tcW w:w="920" w:type="dxa"/>
            <w:vAlign w:val="bottom"/>
            <w:shd w:val="clear" w:color="auto" w:fill="F2F2F2"/>
          </w:tcPr>
          <w:p>
            <w:pPr>
              <w:spacing w:after="0"/>
              <w:rPr>
                <w:sz w:val="18"/>
                <w:szCs w:val="18"/>
                <w:color w:val="auto"/>
              </w:rPr>
            </w:pPr>
          </w:p>
        </w:tc>
        <w:tc>
          <w:tcPr>
            <w:tcW w:w="720" w:type="dxa"/>
            <w:vAlign w:val="bottom"/>
            <w:shd w:val="clear" w:color="auto" w:fill="F2F2F2"/>
          </w:tcPr>
          <w:p>
            <w:pPr>
              <w:spacing w:after="0"/>
              <w:rPr>
                <w:sz w:val="18"/>
                <w:szCs w:val="18"/>
                <w:color w:val="auto"/>
              </w:rPr>
            </w:pPr>
          </w:p>
        </w:tc>
        <w:tc>
          <w:tcPr>
            <w:tcW w:w="680" w:type="dxa"/>
            <w:vAlign w:val="bottom"/>
            <w:shd w:val="clear" w:color="auto" w:fill="F2F2F2"/>
          </w:tcPr>
          <w:p>
            <w:pPr>
              <w:spacing w:after="0"/>
              <w:rPr>
                <w:sz w:val="18"/>
                <w:szCs w:val="18"/>
                <w:color w:val="auto"/>
              </w:rPr>
            </w:pPr>
          </w:p>
        </w:tc>
        <w:tc>
          <w:tcPr>
            <w:tcW w:w="900" w:type="dxa"/>
            <w:vAlign w:val="bottom"/>
            <w:shd w:val="clear" w:color="auto" w:fill="F2F2F2"/>
          </w:tcPr>
          <w:p>
            <w:pPr>
              <w:jc w:val="center"/>
              <w:ind w:left="197"/>
              <w:spacing w:after="0"/>
              <w:rPr>
                <w:sz w:val="20"/>
                <w:szCs w:val="20"/>
                <w:color w:val="auto"/>
              </w:rPr>
            </w:pPr>
            <w:r>
              <w:rPr>
                <w:rFonts w:ascii="Arial" w:cs="Arial" w:eastAsia="Arial" w:hAnsi="Arial"/>
                <w:sz w:val="18"/>
                <w:szCs w:val="18"/>
                <w:color w:val="auto"/>
                <w:w w:val="94"/>
              </w:rPr>
              <w:t>20%</w:t>
            </w:r>
          </w:p>
        </w:tc>
        <w:tc>
          <w:tcPr>
            <w:tcW w:w="0" w:type="dxa"/>
            <w:vAlign w:val="bottom"/>
          </w:tcPr>
          <w:p>
            <w:pPr>
              <w:spacing w:after="0"/>
              <w:rPr>
                <w:sz w:val="1"/>
                <w:szCs w:val="1"/>
                <w:color w:val="auto"/>
              </w:rPr>
            </w:pPr>
          </w:p>
        </w:tc>
      </w:tr>
      <w:tr>
        <w:trPr>
          <w:trHeight w:val="216"/>
        </w:trPr>
        <w:tc>
          <w:tcPr>
            <w:tcW w:w="640" w:type="dxa"/>
            <w:vAlign w:val="bottom"/>
            <w:tcBorders>
              <w:bottom w:val="single" w:sz="8" w:color="407CCA"/>
            </w:tcBorders>
            <w:shd w:val="clear" w:color="auto" w:fill="F2F2F2"/>
          </w:tcPr>
          <w:p>
            <w:pPr>
              <w:spacing w:after="0"/>
              <w:rPr>
                <w:sz w:val="18"/>
                <w:szCs w:val="18"/>
                <w:color w:val="auto"/>
              </w:rPr>
            </w:pPr>
          </w:p>
        </w:tc>
        <w:tc>
          <w:tcPr>
            <w:tcW w:w="100" w:type="dxa"/>
            <w:vAlign w:val="bottom"/>
            <w:tcBorders>
              <w:bottom w:val="single" w:sz="8" w:color="407CCA"/>
            </w:tcBorders>
            <w:shd w:val="clear" w:color="auto" w:fill="F2F2F2"/>
          </w:tcPr>
          <w:p>
            <w:pPr>
              <w:spacing w:after="0"/>
              <w:rPr>
                <w:sz w:val="18"/>
                <w:szCs w:val="18"/>
                <w:color w:val="auto"/>
              </w:rPr>
            </w:pPr>
          </w:p>
        </w:tc>
        <w:tc>
          <w:tcPr>
            <w:tcW w:w="6500" w:type="dxa"/>
            <w:vAlign w:val="bottom"/>
            <w:tcBorders>
              <w:bottom w:val="single" w:sz="8" w:color="407CCA"/>
            </w:tcBorders>
            <w:shd w:val="clear" w:color="auto" w:fill="F2F2F2"/>
          </w:tcPr>
          <w:p>
            <w:pPr>
              <w:jc w:val="center"/>
              <w:ind w:left="2997"/>
              <w:spacing w:after="0"/>
              <w:rPr>
                <w:sz w:val="20"/>
                <w:szCs w:val="20"/>
                <w:color w:val="auto"/>
              </w:rPr>
            </w:pPr>
            <w:r>
              <w:rPr>
                <w:rFonts w:ascii="Arial" w:cs="Arial" w:eastAsia="Arial" w:hAnsi="Arial"/>
                <w:sz w:val="18"/>
                <w:szCs w:val="18"/>
                <w:color w:val="auto"/>
                <w:w w:val="93"/>
              </w:rPr>
              <w:t>Information Technology Objectives</w:t>
            </w:r>
          </w:p>
        </w:tc>
        <w:tc>
          <w:tcPr>
            <w:tcW w:w="120" w:type="dxa"/>
            <w:vAlign w:val="bottom"/>
            <w:tcBorders>
              <w:bottom w:val="single" w:sz="8" w:color="407CCA"/>
            </w:tcBorders>
            <w:shd w:val="clear" w:color="auto" w:fill="F2F2F2"/>
          </w:tcPr>
          <w:p>
            <w:pPr>
              <w:spacing w:after="0"/>
              <w:rPr>
                <w:sz w:val="18"/>
                <w:szCs w:val="18"/>
                <w:color w:val="auto"/>
              </w:rPr>
            </w:pPr>
          </w:p>
        </w:tc>
        <w:tc>
          <w:tcPr>
            <w:tcW w:w="440" w:type="dxa"/>
            <w:vAlign w:val="bottom"/>
            <w:tcBorders>
              <w:bottom w:val="single" w:sz="8" w:color="407CCA"/>
            </w:tcBorders>
            <w:shd w:val="clear" w:color="auto" w:fill="F2F2F2"/>
          </w:tcPr>
          <w:p>
            <w:pPr>
              <w:spacing w:after="0"/>
              <w:rPr>
                <w:sz w:val="18"/>
                <w:szCs w:val="18"/>
                <w:color w:val="auto"/>
              </w:rPr>
            </w:pPr>
          </w:p>
        </w:tc>
        <w:tc>
          <w:tcPr>
            <w:tcW w:w="920" w:type="dxa"/>
            <w:vAlign w:val="bottom"/>
            <w:tcBorders>
              <w:bottom w:val="single" w:sz="8" w:color="407CCA"/>
            </w:tcBorders>
            <w:shd w:val="clear" w:color="auto" w:fill="F2F2F2"/>
          </w:tcPr>
          <w:p>
            <w:pPr>
              <w:spacing w:after="0"/>
              <w:rPr>
                <w:sz w:val="18"/>
                <w:szCs w:val="18"/>
                <w:color w:val="auto"/>
              </w:rPr>
            </w:pPr>
          </w:p>
        </w:tc>
        <w:tc>
          <w:tcPr>
            <w:tcW w:w="720" w:type="dxa"/>
            <w:vAlign w:val="bottom"/>
            <w:tcBorders>
              <w:bottom w:val="single" w:sz="8" w:color="407CCA"/>
            </w:tcBorders>
            <w:shd w:val="clear" w:color="auto" w:fill="F2F2F2"/>
          </w:tcPr>
          <w:p>
            <w:pPr>
              <w:spacing w:after="0"/>
              <w:rPr>
                <w:sz w:val="18"/>
                <w:szCs w:val="18"/>
                <w:color w:val="auto"/>
              </w:rPr>
            </w:pPr>
          </w:p>
        </w:tc>
        <w:tc>
          <w:tcPr>
            <w:tcW w:w="680" w:type="dxa"/>
            <w:vAlign w:val="bottom"/>
            <w:tcBorders>
              <w:bottom w:val="single" w:sz="8" w:color="407CCA"/>
            </w:tcBorders>
            <w:shd w:val="clear" w:color="auto" w:fill="F2F2F2"/>
          </w:tcPr>
          <w:p>
            <w:pPr>
              <w:spacing w:after="0"/>
              <w:rPr>
                <w:sz w:val="18"/>
                <w:szCs w:val="18"/>
                <w:color w:val="auto"/>
              </w:rPr>
            </w:pPr>
          </w:p>
        </w:tc>
        <w:tc>
          <w:tcPr>
            <w:tcW w:w="900" w:type="dxa"/>
            <w:vAlign w:val="bottom"/>
            <w:tcBorders>
              <w:bottom w:val="single" w:sz="8" w:color="407CCA"/>
            </w:tcBorders>
            <w:shd w:val="clear" w:color="auto" w:fill="F2F2F2"/>
          </w:tcPr>
          <w:p>
            <w:pPr>
              <w:jc w:val="center"/>
              <w:ind w:left="197"/>
              <w:spacing w:after="0"/>
              <w:rPr>
                <w:sz w:val="20"/>
                <w:szCs w:val="20"/>
                <w:color w:val="auto"/>
              </w:rPr>
            </w:pPr>
            <w:r>
              <w:rPr>
                <w:rFonts w:ascii="Arial" w:cs="Arial" w:eastAsia="Arial" w:hAnsi="Arial"/>
                <w:sz w:val="18"/>
                <w:szCs w:val="18"/>
                <w:color w:val="auto"/>
                <w:w w:val="94"/>
              </w:rPr>
              <w:t>20%</w:t>
            </w:r>
          </w:p>
        </w:tc>
        <w:tc>
          <w:tcPr>
            <w:tcW w:w="0" w:type="dxa"/>
            <w:vAlign w:val="bottom"/>
          </w:tcPr>
          <w:p>
            <w:pPr>
              <w:spacing w:after="0"/>
              <w:rPr>
                <w:sz w:val="1"/>
                <w:szCs w:val="1"/>
                <w:color w:val="auto"/>
              </w:rPr>
            </w:pPr>
          </w:p>
        </w:tc>
      </w:tr>
      <w:tr>
        <w:trPr>
          <w:trHeight w:val="210"/>
        </w:trPr>
        <w:tc>
          <w:tcPr>
            <w:tcW w:w="640" w:type="dxa"/>
            <w:vAlign w:val="bottom"/>
            <w:tcBorders>
              <w:bottom w:val="single" w:sz="8" w:color="407CCA"/>
            </w:tcBorders>
            <w:shd w:val="clear" w:color="auto" w:fill="F2F2F2"/>
          </w:tcPr>
          <w:p>
            <w:pPr>
              <w:jc w:val="center"/>
              <w:spacing w:after="0"/>
              <w:rPr>
                <w:sz w:val="20"/>
                <w:szCs w:val="20"/>
                <w:color w:val="auto"/>
              </w:rPr>
            </w:pPr>
            <w:r>
              <w:rPr>
                <w:rFonts w:ascii="Arial" w:cs="Arial" w:eastAsia="Arial" w:hAnsi="Arial"/>
                <w:sz w:val="18"/>
                <w:szCs w:val="18"/>
                <w:color w:val="auto"/>
                <w:w w:val="94"/>
              </w:rPr>
              <w:t>10%</w:t>
            </w:r>
          </w:p>
        </w:tc>
        <w:tc>
          <w:tcPr>
            <w:tcW w:w="100" w:type="dxa"/>
            <w:vAlign w:val="bottom"/>
            <w:tcBorders>
              <w:bottom w:val="single" w:sz="8" w:color="407CCA"/>
            </w:tcBorders>
            <w:shd w:val="clear" w:color="auto" w:fill="F2F2F2"/>
          </w:tcPr>
          <w:p>
            <w:pPr>
              <w:spacing w:after="0"/>
              <w:rPr>
                <w:sz w:val="18"/>
                <w:szCs w:val="18"/>
                <w:color w:val="auto"/>
              </w:rPr>
            </w:pPr>
          </w:p>
        </w:tc>
        <w:tc>
          <w:tcPr>
            <w:tcW w:w="6500" w:type="dxa"/>
            <w:vAlign w:val="bottom"/>
            <w:tcBorders>
              <w:bottom w:val="single" w:sz="8" w:color="407CCA"/>
            </w:tcBorders>
            <w:shd w:val="clear" w:color="auto" w:fill="F2F2F2"/>
          </w:tcPr>
          <w:p>
            <w:pPr>
              <w:jc w:val="center"/>
              <w:ind w:left="2997"/>
              <w:spacing w:after="0"/>
              <w:rPr>
                <w:sz w:val="20"/>
                <w:szCs w:val="20"/>
                <w:color w:val="auto"/>
              </w:rPr>
            </w:pPr>
            <w:r>
              <w:rPr>
                <w:rFonts w:ascii="Arial" w:cs="Arial" w:eastAsia="Arial" w:hAnsi="Arial"/>
                <w:sz w:val="18"/>
                <w:szCs w:val="18"/>
                <w:color w:val="auto"/>
                <w:w w:val="92"/>
              </w:rPr>
              <w:t>MTGE Manager Corporate Objectives</w:t>
            </w:r>
          </w:p>
        </w:tc>
        <w:tc>
          <w:tcPr>
            <w:tcW w:w="120" w:type="dxa"/>
            <w:vAlign w:val="bottom"/>
            <w:tcBorders>
              <w:bottom w:val="single" w:sz="8" w:color="407CCA"/>
            </w:tcBorders>
            <w:shd w:val="clear" w:color="auto" w:fill="F2F2F2"/>
          </w:tcPr>
          <w:p>
            <w:pPr>
              <w:spacing w:after="0"/>
              <w:rPr>
                <w:sz w:val="18"/>
                <w:szCs w:val="18"/>
                <w:color w:val="auto"/>
              </w:rPr>
            </w:pPr>
          </w:p>
        </w:tc>
        <w:tc>
          <w:tcPr>
            <w:tcW w:w="440" w:type="dxa"/>
            <w:vAlign w:val="bottom"/>
            <w:tcBorders>
              <w:bottom w:val="single" w:sz="8" w:color="407CCA"/>
            </w:tcBorders>
            <w:shd w:val="clear" w:color="auto" w:fill="F2F2F2"/>
          </w:tcPr>
          <w:p>
            <w:pPr>
              <w:spacing w:after="0"/>
              <w:rPr>
                <w:sz w:val="18"/>
                <w:szCs w:val="18"/>
                <w:color w:val="auto"/>
              </w:rPr>
            </w:pPr>
          </w:p>
        </w:tc>
        <w:tc>
          <w:tcPr>
            <w:tcW w:w="920" w:type="dxa"/>
            <w:vAlign w:val="bottom"/>
            <w:tcBorders>
              <w:bottom w:val="single" w:sz="8" w:color="407CCA"/>
            </w:tcBorders>
            <w:shd w:val="clear" w:color="auto" w:fill="F2F2F2"/>
          </w:tcPr>
          <w:p>
            <w:pPr>
              <w:spacing w:after="0"/>
              <w:rPr>
                <w:sz w:val="18"/>
                <w:szCs w:val="18"/>
                <w:color w:val="auto"/>
              </w:rPr>
            </w:pPr>
          </w:p>
        </w:tc>
        <w:tc>
          <w:tcPr>
            <w:tcW w:w="720" w:type="dxa"/>
            <w:vAlign w:val="bottom"/>
            <w:tcBorders>
              <w:bottom w:val="single" w:sz="8" w:color="407CCA"/>
            </w:tcBorders>
            <w:shd w:val="clear" w:color="auto" w:fill="F2F2F2"/>
          </w:tcPr>
          <w:p>
            <w:pPr>
              <w:spacing w:after="0"/>
              <w:rPr>
                <w:sz w:val="18"/>
                <w:szCs w:val="18"/>
                <w:color w:val="auto"/>
              </w:rPr>
            </w:pPr>
          </w:p>
        </w:tc>
        <w:tc>
          <w:tcPr>
            <w:tcW w:w="680" w:type="dxa"/>
            <w:vAlign w:val="bottom"/>
            <w:tcBorders>
              <w:bottom w:val="single" w:sz="8" w:color="407CCA"/>
            </w:tcBorders>
            <w:shd w:val="clear" w:color="auto" w:fill="F2F2F2"/>
          </w:tcPr>
          <w:p>
            <w:pPr>
              <w:spacing w:after="0"/>
              <w:rPr>
                <w:sz w:val="18"/>
                <w:szCs w:val="18"/>
                <w:color w:val="auto"/>
              </w:rPr>
            </w:pPr>
          </w:p>
        </w:tc>
        <w:tc>
          <w:tcPr>
            <w:tcW w:w="900" w:type="dxa"/>
            <w:vAlign w:val="bottom"/>
            <w:tcBorders>
              <w:bottom w:val="single" w:sz="8" w:color="407CCA"/>
            </w:tcBorders>
            <w:shd w:val="clear" w:color="auto" w:fill="F2F2F2"/>
          </w:tcPr>
          <w:p>
            <w:pPr>
              <w:jc w:val="center"/>
              <w:ind w:left="197"/>
              <w:spacing w:after="0"/>
              <w:rPr>
                <w:sz w:val="20"/>
                <w:szCs w:val="20"/>
                <w:color w:val="auto"/>
              </w:rPr>
            </w:pPr>
            <w:r>
              <w:rPr>
                <w:rFonts w:ascii="Arial" w:cs="Arial" w:eastAsia="Arial" w:hAnsi="Arial"/>
                <w:sz w:val="18"/>
                <w:szCs w:val="18"/>
                <w:color w:val="auto"/>
                <w:w w:val="91"/>
              </w:rPr>
              <w:t>100%</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240030</wp:posOffset>
            </wp:positionV>
            <wp:extent cx="2444115" cy="889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extLst>
                    </a:blip>
                    <a:srcRect/>
                    <a:stretch>
                      <a:fillRect/>
                    </a:stretch>
                  </pic:blipFill>
                  <pic:spPr bwMode="auto">
                    <a:xfrm>
                      <a:off x="0" y="0"/>
                      <a:ext cx="2444115" cy="8890"/>
                    </a:xfrm>
                    <a:prstGeom prst="rect">
                      <a:avLst/>
                    </a:prstGeom>
                    <a:noFill/>
                  </pic:spPr>
                </pic:pic>
              </a:graphicData>
            </a:graphic>
          </wp:anchor>
        </w:drawing>
      </w:r>
    </w:p>
    <w:p>
      <w:pPr>
        <w:spacing w:after="0" w:line="200" w:lineRule="exact"/>
        <w:rPr>
          <w:sz w:val="20"/>
          <w:szCs w:val="20"/>
          <w:color w:val="auto"/>
        </w:rPr>
      </w:pPr>
    </w:p>
    <w:p>
      <w:pPr>
        <w:spacing w:after="0" w:line="315" w:lineRule="exact"/>
        <w:rPr>
          <w:sz w:val="20"/>
          <w:szCs w:val="20"/>
          <w:color w:val="auto"/>
        </w:rPr>
      </w:pPr>
    </w:p>
    <w:p>
      <w:pPr>
        <w:jc w:val="both"/>
        <w:ind w:left="860" w:right="320" w:hanging="656"/>
        <w:spacing w:after="0" w:line="227" w:lineRule="auto"/>
        <w:tabs>
          <w:tab w:leader="none" w:pos="860" w:val="left"/>
        </w:tabs>
        <w:numPr>
          <w:ilvl w:val="0"/>
          <w:numId w:val="41"/>
        </w:numPr>
        <w:rPr>
          <w:rFonts w:ascii="Arial" w:cs="Arial" w:eastAsia="Arial" w:hAnsi="Arial"/>
          <w:sz w:val="14"/>
          <w:szCs w:val="14"/>
          <w:color w:val="auto"/>
        </w:rPr>
      </w:pPr>
      <w:r>
        <w:rPr>
          <w:rFonts w:ascii="Arial" w:cs="Arial" w:eastAsia="Arial" w:hAnsi="Arial"/>
          <w:sz w:val="14"/>
          <w:szCs w:val="14"/>
          <w:color w:val="auto"/>
        </w:rPr>
        <w:t>Absolute economic return is calculated as (i) the sum of the increase or decrease in tangible net book value per common share over the measurement period plus the amount of common stock dividends declared per share during the measurement period, divided by (ii) the tangible net book value per common share at the beginning of the measurement period.</w:t>
      </w:r>
    </w:p>
    <w:p>
      <w:pPr>
        <w:ind w:left="860" w:hanging="656"/>
        <w:spacing w:after="0" w:line="221" w:lineRule="auto"/>
        <w:tabs>
          <w:tab w:leader="none" w:pos="860" w:val="left"/>
        </w:tabs>
        <w:numPr>
          <w:ilvl w:val="0"/>
          <w:numId w:val="41"/>
        </w:numPr>
        <w:rPr>
          <w:rFonts w:ascii="Arial" w:cs="Arial" w:eastAsia="Arial" w:hAnsi="Arial"/>
          <w:sz w:val="14"/>
          <w:szCs w:val="14"/>
          <w:color w:val="auto"/>
        </w:rPr>
      </w:pPr>
      <w:r>
        <w:rPr>
          <w:rFonts w:ascii="Arial" w:cs="Arial" w:eastAsia="Arial" w:hAnsi="Arial"/>
          <w:sz w:val="14"/>
          <w:szCs w:val="14"/>
          <w:color w:val="auto"/>
        </w:rPr>
        <w:t>Peer Index consists of an unweighted average of the Agency REIT Peer Group.</w:t>
      </w:r>
    </w:p>
    <w:p>
      <w:pPr>
        <w:ind w:left="860" w:right="100" w:hanging="656"/>
        <w:spacing w:after="0" w:line="238" w:lineRule="auto"/>
        <w:tabs>
          <w:tab w:leader="none" w:pos="860" w:val="left"/>
        </w:tabs>
        <w:numPr>
          <w:ilvl w:val="0"/>
          <w:numId w:val="41"/>
        </w:numPr>
        <w:rPr>
          <w:rFonts w:ascii="Arial" w:cs="Arial" w:eastAsia="Arial" w:hAnsi="Arial"/>
          <w:sz w:val="13"/>
          <w:szCs w:val="13"/>
          <w:color w:val="auto"/>
        </w:rPr>
      </w:pPr>
      <w:r>
        <w:rPr>
          <w:rFonts w:ascii="Arial" w:cs="Arial" w:eastAsia="Arial" w:hAnsi="Arial"/>
          <w:sz w:val="13"/>
          <w:szCs w:val="13"/>
          <w:color w:val="auto"/>
        </w:rPr>
        <w:t>Price-to-Tangible Book Ratio represents an average of four quarterly values over the annual performance measurement period. Numerator is the Company’s closing stock price on the last day of the quarter and the denominator is the Company’s reported tangible net book value per common share as of the most recently reported quarter-end.</w:t>
      </w:r>
    </w:p>
    <w:p>
      <w:pPr>
        <w:ind w:left="860" w:right="140" w:hanging="656"/>
        <w:spacing w:after="0" w:line="221" w:lineRule="auto"/>
        <w:tabs>
          <w:tab w:leader="none" w:pos="860" w:val="left"/>
        </w:tabs>
        <w:numPr>
          <w:ilvl w:val="0"/>
          <w:numId w:val="41"/>
        </w:numPr>
        <w:rPr>
          <w:rFonts w:ascii="Arial" w:cs="Arial" w:eastAsia="Arial" w:hAnsi="Arial"/>
          <w:sz w:val="14"/>
          <w:szCs w:val="14"/>
          <w:color w:val="auto"/>
        </w:rPr>
      </w:pPr>
      <w:r>
        <w:rPr>
          <w:rFonts w:ascii="Arial" w:cs="Arial" w:eastAsia="Arial" w:hAnsi="Arial"/>
          <w:sz w:val="14"/>
          <w:szCs w:val="14"/>
          <w:color w:val="auto"/>
        </w:rPr>
        <w:t>The operating expense ratio reflects compensation and benefits and G&amp;A expenses as a percentage of average stockholders’ equity. Operating expenses are adjusted to exclude non-recurring transaction-related charges, one-time costs and certain non-cash amortization expenses associated with the Internalization, G&amp;A expenses that are reimbursed to us from MTGE, and other factors determined to be appropriate by the Compensation Committee. Compensation expenses will also be adjusted to assume, solely for purposes of this calculation, that cash bonuses are paid at target level of performance.</w:t>
      </w:r>
    </w:p>
    <w:p>
      <w:pPr>
        <w:spacing w:after="0" w:line="1" w:lineRule="exact"/>
        <w:rPr>
          <w:rFonts w:ascii="Arial" w:cs="Arial" w:eastAsia="Arial" w:hAnsi="Arial"/>
          <w:sz w:val="14"/>
          <w:szCs w:val="14"/>
          <w:color w:val="auto"/>
        </w:rPr>
      </w:pPr>
    </w:p>
    <w:p>
      <w:pPr>
        <w:ind w:left="860" w:hanging="656"/>
        <w:spacing w:after="0"/>
        <w:tabs>
          <w:tab w:leader="none" w:pos="860" w:val="left"/>
        </w:tabs>
        <w:numPr>
          <w:ilvl w:val="0"/>
          <w:numId w:val="41"/>
        </w:numPr>
        <w:rPr>
          <w:rFonts w:ascii="Arial" w:cs="Arial" w:eastAsia="Arial" w:hAnsi="Arial"/>
          <w:sz w:val="14"/>
          <w:szCs w:val="14"/>
          <w:color w:val="auto"/>
        </w:rPr>
      </w:pPr>
      <w:r>
        <w:rPr>
          <w:rFonts w:ascii="Arial" w:cs="Arial" w:eastAsia="Arial" w:hAnsi="Arial"/>
          <w:sz w:val="14"/>
          <w:szCs w:val="14"/>
          <w:color w:val="auto"/>
        </w:rPr>
        <w:t>To be determined on an October 1 to September 30 year basis due to unavailability of relevant peer data when awards are made.</w:t>
      </w:r>
    </w:p>
    <w:p>
      <w:pPr>
        <w:spacing w:after="0" w:line="124"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44</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40"/>
          </w:cols>
          <w:pgMar w:left="240" w:top="459" w:right="419" w:bottom="1440" w:gutter="0" w:footer="0" w:header="0"/>
        </w:sectPr>
      </w:pPr>
    </w:p>
    <w:bookmarkStart w:id="48" w:name="page49"/>
    <w:bookmarkEnd w:id="4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200" w:right="200" w:firstLine="771"/>
        <w:spacing w:after="0" w:line="277" w:lineRule="auto"/>
        <w:rPr>
          <w:sz w:val="20"/>
          <w:szCs w:val="20"/>
          <w:color w:val="auto"/>
        </w:rPr>
      </w:pPr>
      <w:r>
        <w:rPr>
          <w:rFonts w:ascii="Arial" w:cs="Arial" w:eastAsia="Arial" w:hAnsi="Arial"/>
          <w:sz w:val="18"/>
          <w:szCs w:val="18"/>
          <w:color w:val="auto"/>
        </w:rPr>
        <w:t>The Compensation Committee has adopted our scorecard for 2018, which is substantially similar to the 2017 Corporate Scorecard, with the following modifications, to reflect our performance following the Internalization and current operations:</w:t>
      </w:r>
    </w:p>
    <w:p>
      <w:pPr>
        <w:spacing w:after="0" w:line="76" w:lineRule="exact"/>
        <w:rPr>
          <w:sz w:val="20"/>
          <w:szCs w:val="20"/>
          <w:color w:val="auto"/>
        </w:rPr>
      </w:pPr>
    </w:p>
    <w:p>
      <w:pPr>
        <w:ind w:left="960" w:right="100" w:hanging="432"/>
        <w:spacing w:after="0" w:line="256" w:lineRule="auto"/>
        <w:tabs>
          <w:tab w:leader="none" w:pos="960" w:val="left"/>
        </w:tabs>
        <w:numPr>
          <w:ilvl w:val="0"/>
          <w:numId w:val="42"/>
        </w:numPr>
        <w:rPr>
          <w:rFonts w:ascii="Arial" w:cs="Arial" w:eastAsia="Arial" w:hAnsi="Arial"/>
          <w:sz w:val="18"/>
          <w:szCs w:val="18"/>
          <w:color w:val="auto"/>
        </w:rPr>
      </w:pPr>
      <w:r>
        <w:rPr>
          <w:rFonts w:ascii="Arial" w:cs="Arial" w:eastAsia="Arial" w:hAnsi="Arial"/>
          <w:sz w:val="18"/>
          <w:szCs w:val="18"/>
          <w:color w:val="auto"/>
        </w:rPr>
        <w:t>The relative weightings of financial, strategic/operational and MTGE manager objectives have been revised such that financial measures will account for 65% of the scorecard weighting, strategic and operational measures will account for 25%, and MTGE manager objectives will account for 10%</w:t>
      </w:r>
    </w:p>
    <w:p>
      <w:pPr>
        <w:ind w:left="960" w:right="180" w:hanging="432"/>
        <w:spacing w:after="0" w:line="250" w:lineRule="auto"/>
        <w:tabs>
          <w:tab w:leader="none" w:pos="960" w:val="left"/>
        </w:tabs>
        <w:numPr>
          <w:ilvl w:val="0"/>
          <w:numId w:val="42"/>
        </w:numPr>
        <w:rPr>
          <w:rFonts w:ascii="Arial" w:cs="Arial" w:eastAsia="Arial" w:hAnsi="Arial"/>
          <w:sz w:val="18"/>
          <w:szCs w:val="18"/>
          <w:color w:val="auto"/>
        </w:rPr>
      </w:pPr>
      <w:r>
        <w:rPr>
          <w:rFonts w:ascii="Arial" w:cs="Arial" w:eastAsia="Arial" w:hAnsi="Arial"/>
          <w:sz w:val="18"/>
          <w:szCs w:val="18"/>
          <w:color w:val="auto"/>
        </w:rPr>
        <w:t>The threshold, target and outperformance levels for our Relative Price-to-Tangible Book Ratio have been increased by 2.5% each to (4.5%), 2.5% and 7.5%, respectively.</w:t>
      </w:r>
    </w:p>
    <w:p>
      <w:pPr>
        <w:ind w:left="960" w:right="140" w:hanging="432"/>
        <w:spacing w:after="0" w:line="290" w:lineRule="auto"/>
        <w:tabs>
          <w:tab w:leader="none" w:pos="960" w:val="left"/>
        </w:tabs>
        <w:numPr>
          <w:ilvl w:val="0"/>
          <w:numId w:val="42"/>
        </w:numPr>
        <w:rPr>
          <w:rFonts w:ascii="Arial" w:cs="Arial" w:eastAsia="Arial" w:hAnsi="Arial"/>
          <w:sz w:val="17"/>
          <w:szCs w:val="17"/>
          <w:color w:val="auto"/>
        </w:rPr>
      </w:pPr>
      <w:r>
        <w:rPr>
          <w:rFonts w:ascii="Arial" w:cs="Arial" w:eastAsia="Arial" w:hAnsi="Arial"/>
          <w:sz w:val="17"/>
          <w:szCs w:val="17"/>
          <w:color w:val="auto"/>
        </w:rPr>
        <w:t>The calculation of our Net Operating Expense Ratio has been revised to incorporate the management fee income received from MTGE, with threshold, target, and outperformance levels set at 0.75%, 0.70% and 0.65% of stockholders’ equity, respectively.</w:t>
      </w:r>
    </w:p>
    <w:p>
      <w:pPr>
        <w:spacing w:after="0" w:line="161" w:lineRule="exact"/>
        <w:rPr>
          <w:rFonts w:ascii="Arial" w:cs="Arial" w:eastAsia="Arial" w:hAnsi="Arial"/>
          <w:sz w:val="17"/>
          <w:szCs w:val="17"/>
          <w:color w:val="auto"/>
        </w:rPr>
      </w:pPr>
    </w:p>
    <w:p>
      <w:pPr>
        <w:ind w:left="980" w:right="6300"/>
        <w:spacing w:after="0" w:line="501" w:lineRule="auto"/>
        <w:rPr>
          <w:rFonts w:ascii="Arial" w:cs="Arial" w:eastAsia="Arial" w:hAnsi="Arial"/>
          <w:sz w:val="17"/>
          <w:szCs w:val="17"/>
          <w:color w:val="auto"/>
        </w:rPr>
      </w:pPr>
      <w:r>
        <w:rPr>
          <w:rFonts w:ascii="Arial" w:cs="Arial" w:eastAsia="Arial" w:hAnsi="Arial"/>
          <w:sz w:val="18"/>
          <w:szCs w:val="18"/>
          <w:color w:val="auto"/>
        </w:rPr>
        <w:t xml:space="preserve">See “2017 Executive Compensation Decisions” below. </w:t>
      </w:r>
      <w:r>
        <w:rPr>
          <w:rFonts w:ascii="Arial" w:cs="Arial" w:eastAsia="Arial" w:hAnsi="Arial"/>
          <w:sz w:val="18"/>
          <w:szCs w:val="18"/>
          <w:i w:val="1"/>
          <w:iCs w:val="1"/>
          <w:color w:val="407CCA"/>
        </w:rPr>
        <w:t>Equity Incentive Compensation</w:t>
      </w:r>
    </w:p>
    <w:p>
      <w:pPr>
        <w:ind w:left="200" w:right="100" w:firstLine="771"/>
        <w:spacing w:after="0" w:line="259" w:lineRule="auto"/>
        <w:rPr>
          <w:sz w:val="20"/>
          <w:szCs w:val="20"/>
          <w:color w:val="auto"/>
        </w:rPr>
      </w:pPr>
      <w:r>
        <w:rPr>
          <w:rFonts w:ascii="Arial" w:cs="Arial" w:eastAsia="Arial" w:hAnsi="Arial"/>
          <w:sz w:val="18"/>
          <w:szCs w:val="18"/>
          <w:color w:val="auto"/>
        </w:rPr>
        <w:t>The Compensation Committee believes that equity incentive compensation is an important component of our NEO compensation package and is critical in attracting, motivating, and retaining outstanding employees. Equity incentive compensation is intended to closely align our NEOs’ and other employees’ interests with our long-term success and promote long-term employee retention. All long-term incentive awards are subject to the approval of the Compensation Committee.</w:t>
      </w:r>
    </w:p>
    <w:p>
      <w:pPr>
        <w:spacing w:after="0" w:line="187" w:lineRule="exact"/>
        <w:rPr>
          <w:sz w:val="20"/>
          <w:szCs w:val="20"/>
          <w:color w:val="auto"/>
        </w:rPr>
      </w:pPr>
    </w:p>
    <w:p>
      <w:pPr>
        <w:ind w:left="200" w:right="100" w:firstLine="771"/>
        <w:spacing w:after="0" w:line="273" w:lineRule="auto"/>
        <w:rPr>
          <w:sz w:val="20"/>
          <w:szCs w:val="20"/>
          <w:color w:val="auto"/>
        </w:rPr>
      </w:pPr>
      <w:r>
        <w:rPr>
          <w:rFonts w:ascii="Arial" w:cs="Arial" w:eastAsia="Arial" w:hAnsi="Arial"/>
          <w:sz w:val="17"/>
          <w:szCs w:val="17"/>
          <w:color w:val="auto"/>
        </w:rPr>
        <w:t>The Company maintains the 2016 Plan, which allows us to provide our directors, executive officers, and other employees with equity incentive compensation. Subject to adjustment as described in the 2016 Plan, total awards under the 2016 Plan are limited to 10,000,000 shares, inclusive of dividend equivalents paid on such awards. These shares may be shares of original issuance or treasury shares or a combination of the two. Pursuant to the 2016 Plan, the Company may grant stock options, stock appreciation rights, restricted shares, restricted stock units, performance shares, performance units, cash incentive awards, certain other awards based on or related to our common stock, and dividend equivalents paid with respect to awards under the 2016 Plan. Awards may be time-vested or performance-vested.</w:t>
      </w:r>
    </w:p>
    <w:p>
      <w:pPr>
        <w:spacing w:after="0" w:line="178" w:lineRule="exact"/>
        <w:rPr>
          <w:sz w:val="20"/>
          <w:szCs w:val="20"/>
          <w:color w:val="auto"/>
        </w:rPr>
      </w:pPr>
    </w:p>
    <w:p>
      <w:pPr>
        <w:ind w:left="200" w:right="100" w:firstLine="771"/>
        <w:spacing w:after="0" w:line="293" w:lineRule="auto"/>
        <w:rPr>
          <w:sz w:val="20"/>
          <w:szCs w:val="20"/>
          <w:color w:val="auto"/>
        </w:rPr>
      </w:pPr>
      <w:r>
        <w:rPr>
          <w:rFonts w:ascii="Arial" w:cs="Arial" w:eastAsia="Arial" w:hAnsi="Arial"/>
          <w:sz w:val="16"/>
          <w:szCs w:val="16"/>
          <w:color w:val="auto"/>
        </w:rPr>
        <w:t>In light of the importance of the ongoing management of MTGE to AGNC’s business, the Company’s subsidiary, AMM, adopted an equity incentive plan, the AGNC Mortgage Management, LLC Performance Incentive Plan—MTGE (the “MTGE PIP”). The MTGE PIP helps facilitate the alignment of compensation for the Company’s personnel who are involved in the management of MTGE with MTGE’s actual performance. Pursuant to this program, AMM cash funds the purchase of MTGE shares on the open market, which will be held in a trust during the requisite vesting period, or longer, if distribution of such shares has been deferred. The Compensation Committee has retained authority to administer the MTGE PIP and make grants under such plan. The MTGE PIP is a minority of the long-term incentive compensation paid to our NEOs.</w:t>
      </w:r>
    </w:p>
    <w:p>
      <w:pPr>
        <w:spacing w:after="0" w:line="165" w:lineRule="exact"/>
        <w:rPr>
          <w:sz w:val="20"/>
          <w:szCs w:val="20"/>
          <w:color w:val="auto"/>
        </w:rPr>
      </w:pPr>
    </w:p>
    <w:p>
      <w:pPr>
        <w:ind w:left="200" w:right="120" w:firstLine="771"/>
        <w:spacing w:after="0" w:line="264" w:lineRule="auto"/>
        <w:rPr>
          <w:sz w:val="20"/>
          <w:szCs w:val="20"/>
          <w:color w:val="auto"/>
        </w:rPr>
      </w:pPr>
      <w:r>
        <w:rPr>
          <w:rFonts w:ascii="Arial" w:cs="Arial" w:eastAsia="Arial" w:hAnsi="Arial"/>
          <w:sz w:val="18"/>
          <w:szCs w:val="18"/>
          <w:color w:val="auto"/>
        </w:rPr>
        <w:t>Our long-term incentive program consists of a combination of performance-based AGNC RSUs, time-vesting AGNC RSUs, and MTGE PIP awards. Grants of time-based awards (both AGNC RSUs and MTGE PIP awards) made in 2017 vest on a pro-rata basis annually over a three-year period.</w:t>
      </w:r>
    </w:p>
    <w:p>
      <w:pPr>
        <w:spacing w:after="0" w:line="109"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45</w:t>
      </w:r>
    </w:p>
    <w:p>
      <w:pPr>
        <w:sectPr>
          <w:pgSz w:w="11900" w:h="16838" w:orient="portrait"/>
          <w:cols w:equalWidth="0" w:num="1">
            <w:col w:w="11220"/>
          </w:cols>
          <w:pgMar w:left="240" w:top="459" w:right="439" w:bottom="1440" w:gutter="0" w:footer="0" w:header="0"/>
        </w:sectPr>
      </w:pPr>
    </w:p>
    <w:bookmarkStart w:id="49" w:name="page50"/>
    <w:bookmarkEnd w:id="4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200" w:right="100" w:firstLine="771"/>
        <w:spacing w:after="0" w:line="273" w:lineRule="auto"/>
        <w:rPr>
          <w:sz w:val="20"/>
          <w:szCs w:val="20"/>
          <w:color w:val="auto"/>
        </w:rPr>
      </w:pPr>
      <w:r>
        <w:rPr>
          <w:rFonts w:ascii="Arial" w:cs="Arial" w:eastAsia="Arial" w:hAnsi="Arial"/>
          <w:sz w:val="17"/>
          <w:szCs w:val="17"/>
          <w:color w:val="auto"/>
        </w:rPr>
        <w:t>The performance-vested RSUs are designed to reward creation of long-term economic returns for our stockholders both on an absolute and relative basis. In establishing the metrics for relative economic return, the Compensation Committee evaluated historical returns for us and our peers. In order to establish rigorous economic thresholds and to incentivize long-term performance, the initial grants of performance-based RSUs will vest at the end of a three-year performance period based 50% on our absolute economic return and 50% on our economic return relative to the economic returns of an unweighted average of the Agency REIT Peer Group, each as compared to threshold, target, and outperformance levels established by the Compensation Committee as described in the following table.</w:t>
      </w:r>
    </w:p>
    <w:p>
      <w:pPr>
        <w:spacing w:after="0" w:line="205" w:lineRule="exact"/>
        <w:rPr>
          <w:sz w:val="20"/>
          <w:szCs w:val="20"/>
          <w:color w:val="auto"/>
        </w:rPr>
      </w:pPr>
    </w:p>
    <w:tbl>
      <w:tblPr>
        <w:tblLayout w:type="fixed"/>
        <w:tblInd w:w="220" w:type="dxa"/>
        <w:tblCellMar>
          <w:top w:w="0" w:type="dxa"/>
          <w:left w:w="0" w:type="dxa"/>
          <w:bottom w:w="0" w:type="dxa"/>
          <w:right w:w="0" w:type="dxa"/>
        </w:tblCellMar>
      </w:tblPr>
      <w:tr>
        <w:trPr>
          <w:trHeight w:val="149"/>
        </w:trPr>
        <w:tc>
          <w:tcPr>
            <w:tcW w:w="528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8"/>
              </w:rPr>
              <w:t>Performance</w:t>
            </w:r>
          </w:p>
        </w:tc>
        <w:tc>
          <w:tcPr>
            <w:tcW w:w="1200" w:type="dxa"/>
            <w:vAlign w:val="bottom"/>
            <w:shd w:val="clear" w:color="auto" w:fill="407CCA"/>
          </w:tcPr>
          <w:p>
            <w:pPr>
              <w:ind w:left="520"/>
              <w:spacing w:after="0"/>
              <w:rPr>
                <w:sz w:val="20"/>
                <w:szCs w:val="20"/>
                <w:color w:val="auto"/>
              </w:rPr>
            </w:pPr>
            <w:r>
              <w:rPr>
                <w:rFonts w:ascii="Arial" w:cs="Arial" w:eastAsia="Arial" w:hAnsi="Arial"/>
                <w:sz w:val="13"/>
                <w:szCs w:val="13"/>
                <w:b w:val="1"/>
                <w:bCs w:val="1"/>
                <w:color w:val="auto"/>
              </w:rPr>
              <w:t>Metric</w:t>
            </w:r>
          </w:p>
        </w:tc>
        <w:tc>
          <w:tcPr>
            <w:tcW w:w="124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3"/>
              </w:rPr>
              <w:t>Below</w:t>
            </w:r>
          </w:p>
        </w:tc>
        <w:tc>
          <w:tcPr>
            <w:tcW w:w="1100" w:type="dxa"/>
            <w:vAlign w:val="bottom"/>
            <w:shd w:val="clear" w:color="auto" w:fill="407CCA"/>
          </w:tcPr>
          <w:p>
            <w:pPr>
              <w:spacing w:after="0"/>
              <w:rPr>
                <w:sz w:val="13"/>
                <w:szCs w:val="13"/>
                <w:color w:val="auto"/>
              </w:rPr>
            </w:pPr>
          </w:p>
        </w:tc>
        <w:tc>
          <w:tcPr>
            <w:tcW w:w="980" w:type="dxa"/>
            <w:vAlign w:val="bottom"/>
            <w:shd w:val="clear" w:color="auto" w:fill="407CCA"/>
          </w:tcPr>
          <w:p>
            <w:pPr>
              <w:spacing w:after="0"/>
              <w:rPr>
                <w:sz w:val="13"/>
                <w:szCs w:val="13"/>
                <w:color w:val="auto"/>
              </w:rPr>
            </w:pPr>
          </w:p>
        </w:tc>
        <w:tc>
          <w:tcPr>
            <w:tcW w:w="1220" w:type="dxa"/>
            <w:vAlign w:val="bottom"/>
            <w:shd w:val="clear" w:color="auto" w:fill="407CCA"/>
          </w:tcPr>
          <w:p>
            <w:pPr>
              <w:spacing w:after="0"/>
              <w:rPr>
                <w:sz w:val="13"/>
                <w:szCs w:val="13"/>
                <w:color w:val="auto"/>
              </w:rPr>
            </w:pPr>
          </w:p>
        </w:tc>
      </w:tr>
      <w:tr>
        <w:trPr>
          <w:trHeight w:val="176"/>
        </w:trPr>
        <w:tc>
          <w:tcPr>
            <w:tcW w:w="528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90"/>
              </w:rPr>
              <w:t>Variable</w:t>
            </w:r>
          </w:p>
        </w:tc>
        <w:tc>
          <w:tcPr>
            <w:tcW w:w="1200" w:type="dxa"/>
            <w:vAlign w:val="bottom"/>
            <w:shd w:val="clear" w:color="auto" w:fill="407CCA"/>
          </w:tcPr>
          <w:p>
            <w:pPr>
              <w:ind w:left="500"/>
              <w:spacing w:after="0"/>
              <w:rPr>
                <w:sz w:val="20"/>
                <w:szCs w:val="20"/>
                <w:color w:val="auto"/>
              </w:rPr>
            </w:pPr>
            <w:r>
              <w:rPr>
                <w:rFonts w:ascii="Arial" w:cs="Arial" w:eastAsia="Arial" w:hAnsi="Arial"/>
                <w:sz w:val="13"/>
                <w:szCs w:val="13"/>
                <w:b w:val="1"/>
                <w:bCs w:val="1"/>
                <w:color w:val="auto"/>
              </w:rPr>
              <w:t>Weight</w:t>
            </w:r>
          </w:p>
        </w:tc>
        <w:tc>
          <w:tcPr>
            <w:tcW w:w="124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5"/>
              </w:rPr>
              <w:t>Threshold</w:t>
            </w:r>
          </w:p>
        </w:tc>
        <w:tc>
          <w:tcPr>
            <w:tcW w:w="1100" w:type="dxa"/>
            <w:vAlign w:val="bottom"/>
            <w:shd w:val="clear" w:color="auto" w:fill="407CCA"/>
          </w:tcPr>
          <w:p>
            <w:pPr>
              <w:ind w:left="280"/>
              <w:spacing w:after="0"/>
              <w:rPr>
                <w:sz w:val="20"/>
                <w:szCs w:val="20"/>
                <w:color w:val="auto"/>
              </w:rPr>
            </w:pPr>
            <w:r>
              <w:rPr>
                <w:rFonts w:ascii="Arial" w:cs="Arial" w:eastAsia="Arial" w:hAnsi="Arial"/>
                <w:sz w:val="13"/>
                <w:szCs w:val="13"/>
                <w:b w:val="1"/>
                <w:bCs w:val="1"/>
                <w:color w:val="auto"/>
              </w:rPr>
              <w:t>Threshold</w:t>
            </w:r>
          </w:p>
        </w:tc>
        <w:tc>
          <w:tcPr>
            <w:tcW w:w="980" w:type="dxa"/>
            <w:vAlign w:val="bottom"/>
            <w:shd w:val="clear" w:color="auto" w:fill="407CCA"/>
          </w:tcPr>
          <w:p>
            <w:pPr>
              <w:ind w:left="360"/>
              <w:spacing w:after="0"/>
              <w:rPr>
                <w:sz w:val="20"/>
                <w:szCs w:val="20"/>
                <w:color w:val="auto"/>
              </w:rPr>
            </w:pPr>
            <w:r>
              <w:rPr>
                <w:rFonts w:ascii="Arial" w:cs="Arial" w:eastAsia="Arial" w:hAnsi="Arial"/>
                <w:sz w:val="13"/>
                <w:szCs w:val="13"/>
                <w:b w:val="1"/>
                <w:bCs w:val="1"/>
                <w:color w:val="auto"/>
              </w:rPr>
              <w:t>Target</w:t>
            </w:r>
          </w:p>
        </w:tc>
        <w:tc>
          <w:tcPr>
            <w:tcW w:w="1220" w:type="dxa"/>
            <w:vAlign w:val="bottom"/>
            <w:shd w:val="clear" w:color="auto" w:fill="407CCA"/>
          </w:tcPr>
          <w:p>
            <w:pPr>
              <w:ind w:left="180"/>
              <w:spacing w:after="0"/>
              <w:rPr>
                <w:sz w:val="20"/>
                <w:szCs w:val="20"/>
                <w:color w:val="auto"/>
              </w:rPr>
            </w:pPr>
            <w:r>
              <w:rPr>
                <w:rFonts w:ascii="Arial" w:cs="Arial" w:eastAsia="Arial" w:hAnsi="Arial"/>
                <w:sz w:val="13"/>
                <w:szCs w:val="13"/>
                <w:b w:val="1"/>
                <w:bCs w:val="1"/>
                <w:color w:val="auto"/>
              </w:rPr>
              <w:t>Outperformance</w:t>
            </w:r>
          </w:p>
        </w:tc>
      </w:tr>
      <w:tr>
        <w:trPr>
          <w:trHeight w:val="216"/>
        </w:trPr>
        <w:tc>
          <w:tcPr>
            <w:tcW w:w="528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0"/>
              </w:rPr>
              <w:t>Absolute Economic Return</w:t>
            </w:r>
          </w:p>
        </w:tc>
        <w:tc>
          <w:tcPr>
            <w:tcW w:w="1200" w:type="dxa"/>
            <w:vAlign w:val="bottom"/>
            <w:shd w:val="clear" w:color="auto" w:fill="F2F2F2"/>
          </w:tcPr>
          <w:p>
            <w:pPr>
              <w:jc w:val="center"/>
              <w:ind w:left="121"/>
              <w:spacing w:after="0"/>
              <w:rPr>
                <w:sz w:val="20"/>
                <w:szCs w:val="20"/>
                <w:color w:val="auto"/>
              </w:rPr>
            </w:pPr>
            <w:r>
              <w:rPr>
                <w:rFonts w:ascii="Arial" w:cs="Arial" w:eastAsia="Arial" w:hAnsi="Arial"/>
                <w:sz w:val="18"/>
                <w:szCs w:val="18"/>
                <w:b w:val="1"/>
                <w:bCs w:val="1"/>
                <w:color w:val="auto"/>
                <w:w w:val="99"/>
              </w:rPr>
              <w:t>50%</w:t>
            </w:r>
          </w:p>
        </w:tc>
        <w:tc>
          <w:tcPr>
            <w:tcW w:w="124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8"/>
              </w:rPr>
              <w:t>&lt; 0.0%</w:t>
            </w:r>
          </w:p>
        </w:tc>
        <w:tc>
          <w:tcPr>
            <w:tcW w:w="110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7"/>
              </w:rPr>
              <w:t>0.0%</w:t>
            </w:r>
          </w:p>
        </w:tc>
        <w:tc>
          <w:tcPr>
            <w:tcW w:w="98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7"/>
              </w:rPr>
              <w:t>30.0%</w:t>
            </w:r>
          </w:p>
        </w:tc>
        <w:tc>
          <w:tcPr>
            <w:tcW w:w="1220" w:type="dxa"/>
            <w:vAlign w:val="bottom"/>
            <w:shd w:val="clear" w:color="auto" w:fill="F2F2F2"/>
          </w:tcPr>
          <w:p>
            <w:pPr>
              <w:jc w:val="center"/>
              <w:spacing w:after="0"/>
              <w:rPr>
                <w:sz w:val="20"/>
                <w:szCs w:val="20"/>
                <w:color w:val="auto"/>
              </w:rPr>
            </w:pPr>
            <w:r>
              <w:rPr>
                <w:rFonts w:ascii="Arial" w:cs="Arial" w:eastAsia="Arial" w:hAnsi="Arial"/>
                <w:sz w:val="18"/>
                <w:szCs w:val="18"/>
                <w:color w:val="auto"/>
                <w:w w:val="96"/>
              </w:rPr>
              <w:t xml:space="preserve">³ </w:t>
            </w:r>
            <w:r>
              <w:rPr>
                <w:rFonts w:ascii="Arial" w:cs="Arial" w:eastAsia="Arial" w:hAnsi="Arial"/>
                <w:sz w:val="18"/>
                <w:szCs w:val="18"/>
                <w:b w:val="1"/>
                <w:bCs w:val="1"/>
                <w:color w:val="auto"/>
                <w:w w:val="96"/>
              </w:rPr>
              <w:t>60.0%</w:t>
            </w:r>
          </w:p>
        </w:tc>
      </w:tr>
      <w:tr>
        <w:trPr>
          <w:trHeight w:val="216"/>
        </w:trPr>
        <w:tc>
          <w:tcPr>
            <w:tcW w:w="528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1"/>
              </w:rPr>
              <w:t>Relative Economic Return</w:t>
            </w:r>
          </w:p>
        </w:tc>
        <w:tc>
          <w:tcPr>
            <w:tcW w:w="1200" w:type="dxa"/>
            <w:vAlign w:val="bottom"/>
            <w:shd w:val="clear" w:color="auto" w:fill="F2F2F2"/>
          </w:tcPr>
          <w:p>
            <w:pPr>
              <w:jc w:val="center"/>
              <w:ind w:left="121"/>
              <w:spacing w:after="0"/>
              <w:rPr>
                <w:sz w:val="20"/>
                <w:szCs w:val="20"/>
                <w:color w:val="auto"/>
              </w:rPr>
            </w:pPr>
            <w:r>
              <w:rPr>
                <w:rFonts w:ascii="Arial" w:cs="Arial" w:eastAsia="Arial" w:hAnsi="Arial"/>
                <w:sz w:val="18"/>
                <w:szCs w:val="18"/>
                <w:b w:val="1"/>
                <w:bCs w:val="1"/>
                <w:color w:val="auto"/>
                <w:w w:val="99"/>
              </w:rPr>
              <w:t>50%</w:t>
            </w:r>
          </w:p>
        </w:tc>
        <w:tc>
          <w:tcPr>
            <w:tcW w:w="124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9"/>
              </w:rPr>
              <w:t>&lt; (5.0%)</w:t>
            </w:r>
          </w:p>
        </w:tc>
        <w:tc>
          <w:tcPr>
            <w:tcW w:w="110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8"/>
              </w:rPr>
              <w:t>(5.0%)</w:t>
            </w:r>
          </w:p>
        </w:tc>
        <w:tc>
          <w:tcPr>
            <w:tcW w:w="98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rPr>
              <w:t>0.0%</w:t>
            </w:r>
          </w:p>
        </w:tc>
        <w:tc>
          <w:tcPr>
            <w:tcW w:w="1220" w:type="dxa"/>
            <w:vAlign w:val="bottom"/>
            <w:shd w:val="clear" w:color="auto" w:fill="F2F2F2"/>
          </w:tcPr>
          <w:p>
            <w:pPr>
              <w:jc w:val="center"/>
              <w:spacing w:after="0"/>
              <w:rPr>
                <w:sz w:val="20"/>
                <w:szCs w:val="20"/>
                <w:color w:val="auto"/>
              </w:rPr>
            </w:pPr>
            <w:r>
              <w:rPr>
                <w:rFonts w:ascii="Arial" w:cs="Arial" w:eastAsia="Arial" w:hAnsi="Arial"/>
                <w:sz w:val="18"/>
                <w:szCs w:val="18"/>
                <w:color w:val="auto"/>
                <w:w w:val="96"/>
              </w:rPr>
              <w:t xml:space="preserve">³ </w:t>
            </w:r>
            <w:r>
              <w:rPr>
                <w:rFonts w:ascii="Arial" w:cs="Arial" w:eastAsia="Arial" w:hAnsi="Arial"/>
                <w:sz w:val="18"/>
                <w:szCs w:val="18"/>
                <w:b w:val="1"/>
                <w:bCs w:val="1"/>
                <w:color w:val="auto"/>
                <w:w w:val="96"/>
              </w:rPr>
              <w:t>5.0%</w:t>
            </w:r>
          </w:p>
        </w:tc>
      </w:tr>
      <w:tr>
        <w:trPr>
          <w:trHeight w:val="216"/>
        </w:trPr>
        <w:tc>
          <w:tcPr>
            <w:tcW w:w="5280" w:type="dxa"/>
            <w:vAlign w:val="bottom"/>
            <w:shd w:val="clear" w:color="auto" w:fill="789E91"/>
          </w:tcPr>
          <w:p>
            <w:pPr>
              <w:jc w:val="center"/>
              <w:spacing w:after="0"/>
              <w:rPr>
                <w:sz w:val="20"/>
                <w:szCs w:val="20"/>
                <w:color w:val="auto"/>
              </w:rPr>
            </w:pPr>
            <w:r>
              <w:rPr>
                <w:rFonts w:ascii="Arial" w:cs="Arial" w:eastAsia="Arial" w:hAnsi="Arial"/>
                <w:sz w:val="18"/>
                <w:szCs w:val="18"/>
                <w:b w:val="1"/>
                <w:bCs w:val="1"/>
                <w:color w:val="auto"/>
                <w:w w:val="90"/>
              </w:rPr>
              <w:t>Performance-Based Payout Factor</w:t>
            </w:r>
          </w:p>
        </w:tc>
        <w:tc>
          <w:tcPr>
            <w:tcW w:w="1200" w:type="dxa"/>
            <w:vAlign w:val="bottom"/>
            <w:shd w:val="clear" w:color="auto" w:fill="789E91"/>
          </w:tcPr>
          <w:p>
            <w:pPr>
              <w:jc w:val="center"/>
              <w:ind w:left="101"/>
              <w:spacing w:after="0"/>
              <w:rPr>
                <w:sz w:val="20"/>
                <w:szCs w:val="20"/>
                <w:color w:val="auto"/>
              </w:rPr>
            </w:pPr>
            <w:r>
              <w:rPr>
                <w:rFonts w:ascii="Arial" w:cs="Arial" w:eastAsia="Arial" w:hAnsi="Arial"/>
                <w:sz w:val="18"/>
                <w:szCs w:val="18"/>
                <w:b w:val="1"/>
                <w:bCs w:val="1"/>
                <w:color w:val="auto"/>
                <w:w w:val="99"/>
              </w:rPr>
              <w:t>100%</w:t>
            </w:r>
          </w:p>
        </w:tc>
        <w:tc>
          <w:tcPr>
            <w:tcW w:w="1240" w:type="dxa"/>
            <w:vAlign w:val="bottom"/>
            <w:shd w:val="clear" w:color="auto" w:fill="789E91"/>
          </w:tcPr>
          <w:p>
            <w:pPr>
              <w:jc w:val="center"/>
              <w:spacing w:after="0"/>
              <w:rPr>
                <w:sz w:val="20"/>
                <w:szCs w:val="20"/>
                <w:color w:val="auto"/>
              </w:rPr>
            </w:pPr>
            <w:r>
              <w:rPr>
                <w:rFonts w:ascii="Arial" w:cs="Arial" w:eastAsia="Arial" w:hAnsi="Arial"/>
                <w:sz w:val="18"/>
                <w:szCs w:val="18"/>
                <w:b w:val="1"/>
                <w:bCs w:val="1"/>
                <w:color w:val="auto"/>
                <w:w w:val="99"/>
              </w:rPr>
              <w:t>0%</w:t>
            </w:r>
          </w:p>
        </w:tc>
        <w:tc>
          <w:tcPr>
            <w:tcW w:w="1100" w:type="dxa"/>
            <w:vAlign w:val="bottom"/>
            <w:shd w:val="clear" w:color="auto" w:fill="789E91"/>
          </w:tcPr>
          <w:p>
            <w:pPr>
              <w:jc w:val="center"/>
              <w:spacing w:after="0"/>
              <w:rPr>
                <w:sz w:val="20"/>
                <w:szCs w:val="20"/>
                <w:color w:val="auto"/>
              </w:rPr>
            </w:pPr>
            <w:r>
              <w:rPr>
                <w:rFonts w:ascii="Arial" w:cs="Arial" w:eastAsia="Arial" w:hAnsi="Arial"/>
                <w:sz w:val="18"/>
                <w:szCs w:val="18"/>
                <w:b w:val="1"/>
                <w:bCs w:val="1"/>
                <w:color w:val="auto"/>
              </w:rPr>
              <w:t>0%</w:t>
            </w:r>
          </w:p>
        </w:tc>
        <w:tc>
          <w:tcPr>
            <w:tcW w:w="980" w:type="dxa"/>
            <w:vAlign w:val="bottom"/>
            <w:shd w:val="clear" w:color="auto" w:fill="789E91"/>
          </w:tcPr>
          <w:p>
            <w:pPr>
              <w:jc w:val="center"/>
              <w:spacing w:after="0"/>
              <w:rPr>
                <w:sz w:val="20"/>
                <w:szCs w:val="20"/>
                <w:color w:val="auto"/>
              </w:rPr>
            </w:pPr>
            <w:r>
              <w:rPr>
                <w:rFonts w:ascii="Arial" w:cs="Arial" w:eastAsia="Arial" w:hAnsi="Arial"/>
                <w:sz w:val="18"/>
                <w:szCs w:val="18"/>
                <w:b w:val="1"/>
                <w:bCs w:val="1"/>
                <w:color w:val="auto"/>
                <w:w w:val="99"/>
              </w:rPr>
              <w:t>100%</w:t>
            </w:r>
          </w:p>
        </w:tc>
        <w:tc>
          <w:tcPr>
            <w:tcW w:w="1220" w:type="dxa"/>
            <w:vAlign w:val="bottom"/>
            <w:shd w:val="clear" w:color="auto" w:fill="789E91"/>
          </w:tcPr>
          <w:p>
            <w:pPr>
              <w:jc w:val="center"/>
              <w:spacing w:after="0"/>
              <w:rPr>
                <w:sz w:val="20"/>
                <w:szCs w:val="20"/>
                <w:color w:val="auto"/>
              </w:rPr>
            </w:pPr>
            <w:r>
              <w:rPr>
                <w:rFonts w:ascii="Arial" w:cs="Arial" w:eastAsia="Arial" w:hAnsi="Arial"/>
                <w:sz w:val="18"/>
                <w:szCs w:val="18"/>
                <w:b w:val="1"/>
                <w:bCs w:val="1"/>
                <w:color w:val="auto"/>
                <w:w w:val="95"/>
              </w:rPr>
              <w:t>200%</w:t>
            </w:r>
          </w:p>
        </w:tc>
      </w:tr>
    </w:tbl>
    <w:p>
      <w:pPr>
        <w:spacing w:after="0" w:line="202" w:lineRule="exact"/>
        <w:rPr>
          <w:sz w:val="20"/>
          <w:szCs w:val="20"/>
          <w:color w:val="auto"/>
        </w:rPr>
      </w:pPr>
    </w:p>
    <w:p>
      <w:pPr>
        <w:ind w:left="200" w:right="40" w:firstLine="771"/>
        <w:spacing w:after="0" w:line="259" w:lineRule="auto"/>
        <w:rPr>
          <w:sz w:val="20"/>
          <w:szCs w:val="20"/>
          <w:color w:val="auto"/>
        </w:rPr>
      </w:pPr>
      <w:r>
        <w:rPr>
          <w:rFonts w:ascii="Arial" w:cs="Arial" w:eastAsia="Arial" w:hAnsi="Arial"/>
          <w:sz w:val="18"/>
          <w:szCs w:val="18"/>
          <w:color w:val="auto"/>
        </w:rPr>
        <w:t>For the performance-based RSUs, absolute and relative economic returns are calculated on a cumulative basis over the three-year vesting period. Achievement of these goals will be determined in the same manner, including the same peer group, as described above with respect to short-term incentive awards. For performance between the threshold, target, and outperformance measures, the number of shares vested will be determined through linear interpolation.</w:t>
      </w:r>
    </w:p>
    <w:p>
      <w:pPr>
        <w:spacing w:after="0" w:line="187" w:lineRule="exact"/>
        <w:rPr>
          <w:sz w:val="20"/>
          <w:szCs w:val="20"/>
          <w:color w:val="auto"/>
        </w:rPr>
      </w:pPr>
    </w:p>
    <w:p>
      <w:pPr>
        <w:ind w:left="200" w:right="80" w:firstLine="881"/>
        <w:spacing w:after="0" w:line="342" w:lineRule="auto"/>
        <w:rPr>
          <w:sz w:val="20"/>
          <w:szCs w:val="20"/>
          <w:color w:val="auto"/>
        </w:rPr>
      </w:pPr>
      <w:r>
        <w:rPr>
          <w:rFonts w:ascii="Arial" w:cs="Arial" w:eastAsia="Arial" w:hAnsi="Arial"/>
          <w:sz w:val="16"/>
          <w:szCs w:val="16"/>
          <w:color w:val="auto"/>
        </w:rPr>
        <w:t>The target value of long-term equity incentive awards for which each of our NEOs is eligible in 2017 and 2018 is set forth below. The value of long-term equity incentive awards earned by each NEO in 2017 is reported in the Summary Compensation Table on page 55 of this proxy statement.</w:t>
      </w:r>
    </w:p>
    <w:p>
      <w:pPr>
        <w:spacing w:after="0" w:line="145" w:lineRule="exact"/>
        <w:rPr>
          <w:sz w:val="20"/>
          <w:szCs w:val="20"/>
          <w:color w:val="auto"/>
        </w:rPr>
      </w:pPr>
    </w:p>
    <w:tbl>
      <w:tblPr>
        <w:tblLayout w:type="fixed"/>
        <w:tblInd w:w="220" w:type="dxa"/>
        <w:tblCellMar>
          <w:top w:w="0" w:type="dxa"/>
          <w:left w:w="0" w:type="dxa"/>
          <w:bottom w:w="0" w:type="dxa"/>
          <w:right w:w="0" w:type="dxa"/>
        </w:tblCellMar>
      </w:tblPr>
      <w:tr>
        <w:trPr>
          <w:trHeight w:val="230"/>
        </w:trPr>
        <w:tc>
          <w:tcPr>
            <w:tcW w:w="3520" w:type="dxa"/>
            <w:vAlign w:val="bottom"/>
            <w:tcBorders>
              <w:top w:val="single" w:sz="8" w:color="407CCA"/>
              <w:bottom w:val="single" w:sz="8" w:color="407CCA"/>
            </w:tcBorders>
          </w:tcPr>
          <w:p>
            <w:pPr>
              <w:ind w:left="80"/>
              <w:spacing w:after="0"/>
              <w:rPr>
                <w:sz w:val="20"/>
                <w:szCs w:val="20"/>
                <w:color w:val="auto"/>
              </w:rPr>
            </w:pPr>
            <w:r>
              <w:rPr>
                <w:rFonts w:ascii="Arial" w:cs="Arial" w:eastAsia="Arial" w:hAnsi="Arial"/>
                <w:sz w:val="18"/>
                <w:szCs w:val="18"/>
                <w:b w:val="1"/>
                <w:bCs w:val="1"/>
                <w:color w:val="auto"/>
              </w:rPr>
              <w:t>NEO</w:t>
            </w:r>
          </w:p>
        </w:tc>
        <w:tc>
          <w:tcPr>
            <w:tcW w:w="4000" w:type="dxa"/>
            <w:vAlign w:val="bottom"/>
            <w:tcBorders>
              <w:top w:val="single" w:sz="8" w:color="407CCA"/>
              <w:bottom w:val="single" w:sz="8" w:color="407CCA"/>
            </w:tcBorders>
          </w:tcPr>
          <w:p>
            <w:pPr>
              <w:jc w:val="right"/>
              <w:ind w:right="1574"/>
              <w:spacing w:after="0"/>
              <w:rPr>
                <w:sz w:val="20"/>
                <w:szCs w:val="20"/>
                <w:color w:val="auto"/>
              </w:rPr>
            </w:pPr>
            <w:r>
              <w:rPr>
                <w:rFonts w:ascii="Arial" w:cs="Arial" w:eastAsia="Arial" w:hAnsi="Arial"/>
                <w:sz w:val="13"/>
                <w:szCs w:val="13"/>
                <w:b w:val="1"/>
                <w:bCs w:val="1"/>
                <w:color w:val="auto"/>
              </w:rPr>
              <w:t>2017</w:t>
            </w:r>
          </w:p>
        </w:tc>
        <w:tc>
          <w:tcPr>
            <w:tcW w:w="3500" w:type="dxa"/>
            <w:vAlign w:val="bottom"/>
            <w:tcBorders>
              <w:top w:val="single" w:sz="8" w:color="407CCA"/>
              <w:bottom w:val="single" w:sz="8" w:color="407CCA"/>
            </w:tcBorders>
          </w:tcPr>
          <w:p>
            <w:pPr>
              <w:jc w:val="right"/>
              <w:ind w:right="1514"/>
              <w:spacing w:after="0"/>
              <w:rPr>
                <w:sz w:val="20"/>
                <w:szCs w:val="20"/>
                <w:color w:val="auto"/>
              </w:rPr>
            </w:pPr>
            <w:r>
              <w:rPr>
                <w:rFonts w:ascii="Arial" w:cs="Arial" w:eastAsia="Arial" w:hAnsi="Arial"/>
                <w:sz w:val="13"/>
                <w:szCs w:val="13"/>
                <w:b w:val="1"/>
                <w:bCs w:val="1"/>
                <w:color w:val="auto"/>
              </w:rPr>
              <w:t>2018</w:t>
            </w:r>
          </w:p>
        </w:tc>
      </w:tr>
      <w:tr>
        <w:trPr>
          <w:trHeight w:val="210"/>
        </w:trPr>
        <w:tc>
          <w:tcPr>
            <w:tcW w:w="352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Gary D. Kain</w:t>
            </w:r>
          </w:p>
        </w:tc>
        <w:tc>
          <w:tcPr>
            <w:tcW w:w="4000" w:type="dxa"/>
            <w:vAlign w:val="bottom"/>
            <w:shd w:val="clear" w:color="auto" w:fill="CCEEFF"/>
          </w:tcPr>
          <w:p>
            <w:pPr>
              <w:jc w:val="right"/>
              <w:ind w:right="1294"/>
              <w:spacing w:after="0"/>
              <w:rPr>
                <w:sz w:val="20"/>
                <w:szCs w:val="20"/>
                <w:color w:val="auto"/>
              </w:rPr>
            </w:pPr>
            <w:r>
              <w:rPr>
                <w:rFonts w:ascii="Arial" w:cs="Arial" w:eastAsia="Arial" w:hAnsi="Arial"/>
                <w:sz w:val="18"/>
                <w:szCs w:val="18"/>
                <w:color w:val="auto"/>
              </w:rPr>
              <w:t>$5,400,000</w:t>
            </w:r>
          </w:p>
        </w:tc>
        <w:tc>
          <w:tcPr>
            <w:tcW w:w="3500" w:type="dxa"/>
            <w:vAlign w:val="bottom"/>
            <w:shd w:val="clear" w:color="auto" w:fill="CCEEFF"/>
          </w:tcPr>
          <w:p>
            <w:pPr>
              <w:jc w:val="right"/>
              <w:ind w:right="1234"/>
              <w:spacing w:after="0"/>
              <w:rPr>
                <w:sz w:val="20"/>
                <w:szCs w:val="20"/>
                <w:color w:val="auto"/>
              </w:rPr>
            </w:pPr>
            <w:r>
              <w:rPr>
                <w:rFonts w:ascii="Arial" w:cs="Arial" w:eastAsia="Arial" w:hAnsi="Arial"/>
                <w:sz w:val="18"/>
                <w:szCs w:val="18"/>
                <w:color w:val="auto"/>
              </w:rPr>
              <w:t>$5,400,000</w:t>
            </w:r>
          </w:p>
        </w:tc>
      </w:tr>
      <w:tr>
        <w:trPr>
          <w:trHeight w:val="216"/>
        </w:trPr>
        <w:tc>
          <w:tcPr>
            <w:tcW w:w="3520" w:type="dxa"/>
            <w:vAlign w:val="bottom"/>
          </w:tcPr>
          <w:p>
            <w:pPr>
              <w:ind w:left="80"/>
              <w:spacing w:after="0"/>
              <w:rPr>
                <w:sz w:val="20"/>
                <w:szCs w:val="20"/>
                <w:color w:val="auto"/>
              </w:rPr>
            </w:pPr>
            <w:r>
              <w:rPr>
                <w:rFonts w:ascii="Arial" w:cs="Arial" w:eastAsia="Arial" w:hAnsi="Arial"/>
                <w:sz w:val="18"/>
                <w:szCs w:val="18"/>
                <w:b w:val="1"/>
                <w:bCs w:val="1"/>
                <w:color w:val="auto"/>
              </w:rPr>
              <w:t>Peter J. Federico</w:t>
            </w:r>
          </w:p>
        </w:tc>
        <w:tc>
          <w:tcPr>
            <w:tcW w:w="4000" w:type="dxa"/>
            <w:vAlign w:val="bottom"/>
          </w:tcPr>
          <w:p>
            <w:pPr>
              <w:jc w:val="right"/>
              <w:ind w:right="1294"/>
              <w:spacing w:after="0"/>
              <w:rPr>
                <w:sz w:val="20"/>
                <w:szCs w:val="20"/>
                <w:color w:val="auto"/>
              </w:rPr>
            </w:pPr>
            <w:r>
              <w:rPr>
                <w:rFonts w:ascii="Arial" w:cs="Arial" w:eastAsia="Arial" w:hAnsi="Arial"/>
                <w:sz w:val="18"/>
                <w:szCs w:val="18"/>
                <w:color w:val="auto"/>
              </w:rPr>
              <w:t>$1,800,000</w:t>
            </w:r>
          </w:p>
        </w:tc>
        <w:tc>
          <w:tcPr>
            <w:tcW w:w="3500" w:type="dxa"/>
            <w:vAlign w:val="bottom"/>
          </w:tcPr>
          <w:p>
            <w:pPr>
              <w:jc w:val="right"/>
              <w:ind w:right="1234"/>
              <w:spacing w:after="0"/>
              <w:rPr>
                <w:sz w:val="20"/>
                <w:szCs w:val="20"/>
                <w:color w:val="auto"/>
              </w:rPr>
            </w:pPr>
            <w:r>
              <w:rPr>
                <w:rFonts w:ascii="Arial" w:cs="Arial" w:eastAsia="Arial" w:hAnsi="Arial"/>
                <w:sz w:val="18"/>
                <w:szCs w:val="18"/>
                <w:color w:val="auto"/>
              </w:rPr>
              <w:t>$1,800,000</w:t>
            </w:r>
          </w:p>
        </w:tc>
      </w:tr>
      <w:tr>
        <w:trPr>
          <w:trHeight w:val="216"/>
        </w:trPr>
        <w:tc>
          <w:tcPr>
            <w:tcW w:w="352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Christopher J. Kuehl</w:t>
            </w:r>
          </w:p>
        </w:tc>
        <w:tc>
          <w:tcPr>
            <w:tcW w:w="4000" w:type="dxa"/>
            <w:vAlign w:val="bottom"/>
            <w:shd w:val="clear" w:color="auto" w:fill="CCEEFF"/>
          </w:tcPr>
          <w:p>
            <w:pPr>
              <w:jc w:val="right"/>
              <w:ind w:right="1294"/>
              <w:spacing w:after="0"/>
              <w:rPr>
                <w:sz w:val="20"/>
                <w:szCs w:val="20"/>
                <w:color w:val="auto"/>
              </w:rPr>
            </w:pPr>
            <w:r>
              <w:rPr>
                <w:rFonts w:ascii="Arial" w:cs="Arial" w:eastAsia="Arial" w:hAnsi="Arial"/>
                <w:sz w:val="18"/>
                <w:szCs w:val="18"/>
                <w:color w:val="auto"/>
              </w:rPr>
              <w:t>$1,400,000</w:t>
            </w:r>
          </w:p>
        </w:tc>
        <w:tc>
          <w:tcPr>
            <w:tcW w:w="3500" w:type="dxa"/>
            <w:vAlign w:val="bottom"/>
            <w:shd w:val="clear" w:color="auto" w:fill="CCEEFF"/>
          </w:tcPr>
          <w:p>
            <w:pPr>
              <w:jc w:val="right"/>
              <w:ind w:right="1234"/>
              <w:spacing w:after="0"/>
              <w:rPr>
                <w:sz w:val="20"/>
                <w:szCs w:val="20"/>
                <w:color w:val="auto"/>
              </w:rPr>
            </w:pPr>
            <w:r>
              <w:rPr>
                <w:rFonts w:ascii="Arial" w:cs="Arial" w:eastAsia="Arial" w:hAnsi="Arial"/>
                <w:sz w:val="18"/>
                <w:szCs w:val="18"/>
                <w:color w:val="auto"/>
              </w:rPr>
              <w:t>$1,400,000</w:t>
            </w:r>
          </w:p>
        </w:tc>
      </w:tr>
      <w:tr>
        <w:trPr>
          <w:trHeight w:val="216"/>
        </w:trPr>
        <w:tc>
          <w:tcPr>
            <w:tcW w:w="3520" w:type="dxa"/>
            <w:vAlign w:val="bottom"/>
          </w:tcPr>
          <w:p>
            <w:pPr>
              <w:ind w:left="60"/>
              <w:spacing w:after="0"/>
              <w:rPr>
                <w:sz w:val="20"/>
                <w:szCs w:val="20"/>
                <w:color w:val="auto"/>
              </w:rPr>
            </w:pPr>
            <w:r>
              <w:rPr>
                <w:rFonts w:ascii="Arial" w:cs="Arial" w:eastAsia="Arial" w:hAnsi="Arial"/>
                <w:sz w:val="18"/>
                <w:szCs w:val="18"/>
                <w:b w:val="1"/>
                <w:bCs w:val="1"/>
                <w:color w:val="auto"/>
              </w:rPr>
              <w:t>Aaron J. Pas</w:t>
            </w:r>
          </w:p>
        </w:tc>
        <w:tc>
          <w:tcPr>
            <w:tcW w:w="4000" w:type="dxa"/>
            <w:vAlign w:val="bottom"/>
          </w:tcPr>
          <w:p>
            <w:pPr>
              <w:jc w:val="right"/>
              <w:ind w:right="1294"/>
              <w:spacing w:after="0"/>
              <w:rPr>
                <w:sz w:val="20"/>
                <w:szCs w:val="20"/>
                <w:color w:val="auto"/>
              </w:rPr>
            </w:pPr>
            <w:r>
              <w:rPr>
                <w:rFonts w:ascii="Arial" w:cs="Arial" w:eastAsia="Arial" w:hAnsi="Arial"/>
                <w:sz w:val="18"/>
                <w:szCs w:val="18"/>
                <w:color w:val="auto"/>
              </w:rPr>
              <w:t>$425,000</w:t>
            </w:r>
          </w:p>
        </w:tc>
        <w:tc>
          <w:tcPr>
            <w:tcW w:w="3500" w:type="dxa"/>
            <w:vAlign w:val="bottom"/>
          </w:tcPr>
          <w:p>
            <w:pPr>
              <w:jc w:val="right"/>
              <w:ind w:right="1234"/>
              <w:spacing w:after="0"/>
              <w:rPr>
                <w:sz w:val="20"/>
                <w:szCs w:val="20"/>
                <w:color w:val="auto"/>
              </w:rPr>
            </w:pPr>
            <w:r>
              <w:rPr>
                <w:rFonts w:ascii="Arial" w:cs="Arial" w:eastAsia="Arial" w:hAnsi="Arial"/>
                <w:sz w:val="18"/>
                <w:szCs w:val="18"/>
                <w:color w:val="auto"/>
              </w:rPr>
              <w:t>$425,000</w:t>
            </w:r>
          </w:p>
        </w:tc>
      </w:tr>
      <w:tr>
        <w:trPr>
          <w:trHeight w:val="216"/>
        </w:trPr>
        <w:tc>
          <w:tcPr>
            <w:tcW w:w="3520" w:type="dxa"/>
            <w:vAlign w:val="bottom"/>
            <w:tcBorders>
              <w:bottom w:val="single" w:sz="8" w:color="407CCA"/>
            </w:tcBorders>
            <w:shd w:val="clear" w:color="auto" w:fill="CCEEFF"/>
          </w:tcPr>
          <w:p>
            <w:pPr>
              <w:ind w:left="80"/>
              <w:spacing w:after="0"/>
              <w:rPr>
                <w:sz w:val="20"/>
                <w:szCs w:val="20"/>
                <w:color w:val="auto"/>
              </w:rPr>
            </w:pPr>
            <w:r>
              <w:rPr>
                <w:rFonts w:ascii="Arial" w:cs="Arial" w:eastAsia="Arial" w:hAnsi="Arial"/>
                <w:sz w:val="18"/>
                <w:szCs w:val="18"/>
                <w:b w:val="1"/>
                <w:bCs w:val="1"/>
                <w:color w:val="auto"/>
              </w:rPr>
              <w:t>Kenneth L. Pollack</w:t>
            </w:r>
          </w:p>
        </w:tc>
        <w:tc>
          <w:tcPr>
            <w:tcW w:w="4000" w:type="dxa"/>
            <w:vAlign w:val="bottom"/>
            <w:tcBorders>
              <w:bottom w:val="single" w:sz="8" w:color="407CCA"/>
            </w:tcBorders>
            <w:shd w:val="clear" w:color="auto" w:fill="CCEEFF"/>
          </w:tcPr>
          <w:p>
            <w:pPr>
              <w:jc w:val="right"/>
              <w:ind w:right="1294"/>
              <w:spacing w:after="0"/>
              <w:rPr>
                <w:sz w:val="20"/>
                <w:szCs w:val="20"/>
                <w:color w:val="auto"/>
              </w:rPr>
            </w:pPr>
            <w:r>
              <w:rPr>
                <w:rFonts w:ascii="Arial" w:cs="Arial" w:eastAsia="Arial" w:hAnsi="Arial"/>
                <w:sz w:val="18"/>
                <w:szCs w:val="18"/>
                <w:color w:val="auto"/>
              </w:rPr>
              <w:t>$240,000</w:t>
            </w:r>
          </w:p>
        </w:tc>
        <w:tc>
          <w:tcPr>
            <w:tcW w:w="3500" w:type="dxa"/>
            <w:vAlign w:val="bottom"/>
            <w:tcBorders>
              <w:bottom w:val="single" w:sz="8" w:color="407CCA"/>
            </w:tcBorders>
            <w:shd w:val="clear" w:color="auto" w:fill="CCEEFF"/>
          </w:tcPr>
          <w:p>
            <w:pPr>
              <w:jc w:val="right"/>
              <w:ind w:right="1234"/>
              <w:spacing w:after="0"/>
              <w:rPr>
                <w:sz w:val="20"/>
                <w:szCs w:val="20"/>
                <w:color w:val="auto"/>
              </w:rPr>
            </w:pPr>
            <w:r>
              <w:rPr>
                <w:rFonts w:ascii="Arial" w:cs="Arial" w:eastAsia="Arial" w:hAnsi="Arial"/>
                <w:sz w:val="18"/>
                <w:szCs w:val="18"/>
                <w:color w:val="auto"/>
              </w:rPr>
              <w:t>$340,000</w:t>
            </w:r>
          </w:p>
        </w:tc>
      </w:tr>
    </w:tbl>
    <w:p>
      <w:pPr>
        <w:spacing w:after="0" w:line="202"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Savings and Health and Welfare Benefits</w:t>
      </w:r>
    </w:p>
    <w:p>
      <w:pPr>
        <w:spacing w:after="0" w:line="117" w:lineRule="exact"/>
        <w:rPr>
          <w:sz w:val="20"/>
          <w:szCs w:val="20"/>
          <w:color w:val="auto"/>
        </w:rPr>
      </w:pPr>
    </w:p>
    <w:p>
      <w:pPr>
        <w:jc w:val="both"/>
        <w:ind w:left="200" w:right="180" w:firstLine="771"/>
        <w:spacing w:after="0" w:line="264" w:lineRule="auto"/>
        <w:rPr>
          <w:sz w:val="20"/>
          <w:szCs w:val="20"/>
          <w:color w:val="auto"/>
        </w:rPr>
      </w:pPr>
      <w:r>
        <w:rPr>
          <w:rFonts w:ascii="Arial" w:cs="Arial" w:eastAsia="Arial" w:hAnsi="Arial"/>
          <w:sz w:val="18"/>
          <w:szCs w:val="18"/>
          <w:color w:val="auto"/>
        </w:rPr>
        <w:t>Our executive officers participate in a broad-based 401(k) retirement savings plan generally applicable to all our employees, which includes an opportunity to receive employer matching contributions. We do not currently provide for pension plans, supplemental retirement plans, or deferred compensation plans for our executive officers.</w:t>
      </w:r>
    </w:p>
    <w:p>
      <w:pPr>
        <w:spacing w:after="0" w:line="181" w:lineRule="exact"/>
        <w:rPr>
          <w:sz w:val="20"/>
          <w:szCs w:val="20"/>
          <w:color w:val="auto"/>
        </w:rPr>
      </w:pPr>
    </w:p>
    <w:p>
      <w:pPr>
        <w:ind w:left="200" w:right="160" w:firstLine="771"/>
        <w:spacing w:after="0" w:line="277" w:lineRule="auto"/>
        <w:rPr>
          <w:sz w:val="20"/>
          <w:szCs w:val="20"/>
          <w:color w:val="auto"/>
        </w:rPr>
      </w:pPr>
      <w:r>
        <w:rPr>
          <w:rFonts w:ascii="Arial" w:cs="Arial" w:eastAsia="Arial" w:hAnsi="Arial"/>
          <w:sz w:val="18"/>
          <w:szCs w:val="18"/>
          <w:color w:val="auto"/>
        </w:rPr>
        <w:t>In addition, all of our executive officers also participate in medical, dental, vision, disability, life and long-term care insurance, and qualified transportation benefits that are provided generally to our employees.</w:t>
      </w:r>
    </w:p>
    <w:p>
      <w:pPr>
        <w:spacing w:after="0" w:line="170"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Perquisites and Other Personal Benefits</w:t>
      </w:r>
    </w:p>
    <w:p>
      <w:pPr>
        <w:spacing w:after="0" w:line="117" w:lineRule="exact"/>
        <w:rPr>
          <w:sz w:val="20"/>
          <w:szCs w:val="20"/>
          <w:color w:val="auto"/>
        </w:rPr>
      </w:pPr>
    </w:p>
    <w:p>
      <w:pPr>
        <w:ind w:left="200" w:right="260" w:firstLine="771"/>
        <w:spacing w:after="0" w:line="277" w:lineRule="auto"/>
        <w:rPr>
          <w:sz w:val="20"/>
          <w:szCs w:val="20"/>
          <w:color w:val="auto"/>
        </w:rPr>
      </w:pPr>
      <w:r>
        <w:rPr>
          <w:rFonts w:ascii="Arial" w:cs="Arial" w:eastAsia="Arial" w:hAnsi="Arial"/>
          <w:sz w:val="18"/>
          <w:szCs w:val="18"/>
          <w:color w:val="auto"/>
        </w:rPr>
        <w:t>We do not believe our executive officers should receive special perquisites and benefits and do not currently provide our executive officers with any perquisites or other personal benefits that are not available on a non-discriminatory basis to all employees.</w:t>
      </w:r>
    </w:p>
    <w:p>
      <w:pPr>
        <w:spacing w:after="0" w:line="99"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46</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40"/>
          </w:cols>
          <w:pgMar w:left="240" w:top="459" w:right="419" w:bottom="1440" w:gutter="0" w:footer="0" w:header="0"/>
        </w:sectPr>
      </w:pPr>
    </w:p>
    <w:bookmarkStart w:id="50" w:name="page51"/>
    <w:bookmarkEnd w:id="5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ind w:right="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2017 Executive Compensation Decisions</w:t>
      </w:r>
    </w:p>
    <w:p>
      <w:pPr>
        <w:spacing w:after="0" w:line="121" w:lineRule="exact"/>
        <w:rPr>
          <w:sz w:val="20"/>
          <w:szCs w:val="20"/>
          <w:color w:val="auto"/>
        </w:rPr>
      </w:pPr>
    </w:p>
    <w:p>
      <w:pPr>
        <w:ind w:left="200" w:right="300" w:firstLine="771"/>
        <w:spacing w:after="0" w:line="259" w:lineRule="auto"/>
        <w:rPr>
          <w:sz w:val="20"/>
          <w:szCs w:val="20"/>
          <w:color w:val="auto"/>
        </w:rPr>
      </w:pPr>
      <w:r>
        <w:rPr>
          <w:rFonts w:ascii="Arial" w:cs="Arial" w:eastAsia="Arial" w:hAnsi="Arial"/>
          <w:sz w:val="18"/>
          <w:szCs w:val="18"/>
          <w:color w:val="auto"/>
        </w:rPr>
        <w:t>We completed the Internalization in part to reduce our overall cost of operations and to ensure the ongoing continuity of our business and relationship with our portfolio management team. Certain of the executive compensation decisions that were made at such time continue to affect the compensation of our executives operationally in 2017, although determined in 2016. The discussion below focuses on the executive compensation decisions that were made in 2017.</w:t>
      </w:r>
    </w:p>
    <w:p>
      <w:pPr>
        <w:spacing w:after="0" w:line="187"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2017 Corporate Scorecard Determination</w:t>
      </w:r>
    </w:p>
    <w:p>
      <w:pPr>
        <w:spacing w:after="0" w:line="117" w:lineRule="exact"/>
        <w:rPr>
          <w:sz w:val="20"/>
          <w:szCs w:val="20"/>
          <w:color w:val="auto"/>
        </w:rPr>
      </w:pPr>
    </w:p>
    <w:p>
      <w:pPr>
        <w:ind w:left="200" w:right="120" w:firstLine="771"/>
        <w:spacing w:after="0" w:line="257" w:lineRule="auto"/>
        <w:rPr>
          <w:sz w:val="20"/>
          <w:szCs w:val="20"/>
          <w:color w:val="auto"/>
        </w:rPr>
      </w:pPr>
      <w:r>
        <w:rPr>
          <w:rFonts w:ascii="Arial" w:cs="Arial" w:eastAsia="Arial" w:hAnsi="Arial"/>
          <w:sz w:val="18"/>
          <w:szCs w:val="18"/>
          <w:color w:val="auto"/>
        </w:rPr>
        <w:t>The 2017 Corporate Scorecard adopted by the Compensation Committee served as the basis for the committee’s calculation of the annual cash bonus paid to our NEOs and other employees. As described above, the 2017 Corporate Scorecard included both financial and operational/strategic metrics, as well as a metric for the management of MTGE. Following a review of each of the three components of the 2017 Corporate Scorecard, the Compensation Committee calculated a total scorecard payout for 2017 of 121.6%. A more detailed discussion regarding each of the three elements included in the Corporate Scorecard is provided below.</w:t>
      </w:r>
    </w:p>
    <w:p>
      <w:pPr>
        <w:spacing w:after="0" w:line="197" w:lineRule="exact"/>
        <w:rPr>
          <w:sz w:val="20"/>
          <w:szCs w:val="20"/>
          <w:color w:val="auto"/>
        </w:rPr>
      </w:pPr>
    </w:p>
    <w:tbl>
      <w:tblPr>
        <w:tblLayout w:type="fixed"/>
        <w:tblInd w:w="220" w:type="dxa"/>
        <w:tblCellMar>
          <w:top w:w="0" w:type="dxa"/>
          <w:left w:w="0" w:type="dxa"/>
          <w:bottom w:w="0" w:type="dxa"/>
          <w:right w:w="0" w:type="dxa"/>
        </w:tblCellMar>
      </w:tblPr>
      <w:tr>
        <w:trPr>
          <w:trHeight w:val="149"/>
        </w:trPr>
        <w:tc>
          <w:tcPr>
            <w:tcW w:w="5000" w:type="dxa"/>
            <w:vAlign w:val="bottom"/>
            <w:vMerge w:val="restart"/>
            <w:shd w:val="clear" w:color="auto" w:fill="407CCA"/>
          </w:tcPr>
          <w:p>
            <w:pPr>
              <w:ind w:left="80"/>
              <w:spacing w:after="0"/>
              <w:rPr>
                <w:sz w:val="20"/>
                <w:szCs w:val="20"/>
                <w:color w:val="auto"/>
              </w:rPr>
            </w:pPr>
            <w:r>
              <w:rPr>
                <w:rFonts w:ascii="Arial" w:cs="Arial" w:eastAsia="Arial" w:hAnsi="Arial"/>
                <w:sz w:val="18"/>
                <w:szCs w:val="18"/>
                <w:b w:val="1"/>
                <w:bCs w:val="1"/>
                <w:color w:val="auto"/>
              </w:rPr>
              <w:t>Index</w:t>
            </w:r>
          </w:p>
        </w:tc>
        <w:tc>
          <w:tcPr>
            <w:tcW w:w="3120" w:type="dxa"/>
            <w:vAlign w:val="bottom"/>
            <w:shd w:val="clear" w:color="auto" w:fill="407CCA"/>
          </w:tcPr>
          <w:p>
            <w:pPr>
              <w:ind w:left="2180"/>
              <w:spacing w:after="0"/>
              <w:rPr>
                <w:sz w:val="20"/>
                <w:szCs w:val="20"/>
                <w:color w:val="auto"/>
              </w:rPr>
            </w:pPr>
            <w:r>
              <w:rPr>
                <w:rFonts w:ascii="Arial" w:cs="Arial" w:eastAsia="Arial" w:hAnsi="Arial"/>
                <w:sz w:val="13"/>
                <w:szCs w:val="13"/>
                <w:b w:val="1"/>
                <w:bCs w:val="1"/>
                <w:color w:val="auto"/>
              </w:rPr>
              <w:t>Index</w:t>
            </w:r>
          </w:p>
        </w:tc>
        <w:tc>
          <w:tcPr>
            <w:tcW w:w="1600" w:type="dxa"/>
            <w:vAlign w:val="bottom"/>
            <w:shd w:val="clear" w:color="auto" w:fill="407CCA"/>
          </w:tcPr>
          <w:p>
            <w:pPr>
              <w:jc w:val="right"/>
              <w:ind w:right="581"/>
              <w:spacing w:after="0"/>
              <w:rPr>
                <w:sz w:val="20"/>
                <w:szCs w:val="20"/>
                <w:color w:val="auto"/>
              </w:rPr>
            </w:pPr>
            <w:r>
              <w:rPr>
                <w:rFonts w:ascii="Arial" w:cs="Arial" w:eastAsia="Arial" w:hAnsi="Arial"/>
                <w:sz w:val="13"/>
                <w:szCs w:val="13"/>
                <w:b w:val="1"/>
                <w:bCs w:val="1"/>
                <w:color w:val="auto"/>
              </w:rPr>
              <w:t>Index</w:t>
            </w:r>
          </w:p>
        </w:tc>
        <w:tc>
          <w:tcPr>
            <w:tcW w:w="1300" w:type="dxa"/>
            <w:vAlign w:val="bottom"/>
            <w:shd w:val="clear" w:color="auto" w:fill="407CCA"/>
          </w:tcPr>
          <w:p>
            <w:pPr>
              <w:jc w:val="right"/>
              <w:ind w:right="259"/>
              <w:spacing w:after="0"/>
              <w:rPr>
                <w:sz w:val="20"/>
                <w:szCs w:val="20"/>
                <w:color w:val="auto"/>
              </w:rPr>
            </w:pPr>
            <w:r>
              <w:rPr>
                <w:rFonts w:ascii="Arial" w:cs="Arial" w:eastAsia="Arial" w:hAnsi="Arial"/>
                <w:sz w:val="13"/>
                <w:szCs w:val="13"/>
                <w:b w:val="1"/>
                <w:bCs w:val="1"/>
                <w:color w:val="auto"/>
              </w:rPr>
              <w:t>Weighted</w:t>
            </w:r>
          </w:p>
        </w:tc>
        <w:tc>
          <w:tcPr>
            <w:tcW w:w="0" w:type="dxa"/>
            <w:vAlign w:val="bottom"/>
          </w:tcPr>
          <w:p>
            <w:pPr>
              <w:spacing w:after="0"/>
              <w:rPr>
                <w:sz w:val="1"/>
                <w:szCs w:val="1"/>
                <w:color w:val="auto"/>
              </w:rPr>
            </w:pPr>
          </w:p>
        </w:tc>
      </w:tr>
      <w:tr>
        <w:trPr>
          <w:trHeight w:val="153"/>
        </w:trPr>
        <w:tc>
          <w:tcPr>
            <w:tcW w:w="5000" w:type="dxa"/>
            <w:vAlign w:val="bottom"/>
            <w:vMerge w:val="continue"/>
            <w:shd w:val="clear" w:color="auto" w:fill="407CCA"/>
          </w:tcPr>
          <w:p>
            <w:pPr>
              <w:spacing w:after="0"/>
              <w:rPr>
                <w:sz w:val="13"/>
                <w:szCs w:val="13"/>
                <w:color w:val="auto"/>
              </w:rPr>
            </w:pPr>
          </w:p>
        </w:tc>
        <w:tc>
          <w:tcPr>
            <w:tcW w:w="3120" w:type="dxa"/>
            <w:vAlign w:val="bottom"/>
            <w:shd w:val="clear" w:color="auto" w:fill="407CCA"/>
          </w:tcPr>
          <w:p>
            <w:pPr>
              <w:ind w:left="2140"/>
              <w:spacing w:after="0"/>
              <w:rPr>
                <w:sz w:val="20"/>
                <w:szCs w:val="20"/>
                <w:color w:val="auto"/>
              </w:rPr>
            </w:pPr>
            <w:r>
              <w:rPr>
                <w:rFonts w:ascii="Arial" w:cs="Arial" w:eastAsia="Arial" w:hAnsi="Arial"/>
                <w:sz w:val="13"/>
                <w:szCs w:val="13"/>
                <w:b w:val="1"/>
                <w:bCs w:val="1"/>
                <w:color w:val="auto"/>
              </w:rPr>
              <w:t>Weight</w:t>
            </w:r>
          </w:p>
        </w:tc>
        <w:tc>
          <w:tcPr>
            <w:tcW w:w="1600" w:type="dxa"/>
            <w:vAlign w:val="bottom"/>
            <w:shd w:val="clear" w:color="auto" w:fill="407CCA"/>
          </w:tcPr>
          <w:p>
            <w:pPr>
              <w:jc w:val="right"/>
              <w:ind w:right="541"/>
              <w:spacing w:after="0"/>
              <w:rPr>
                <w:sz w:val="20"/>
                <w:szCs w:val="20"/>
                <w:color w:val="auto"/>
              </w:rPr>
            </w:pPr>
            <w:r>
              <w:rPr>
                <w:rFonts w:ascii="Arial" w:cs="Arial" w:eastAsia="Arial" w:hAnsi="Arial"/>
                <w:sz w:val="13"/>
                <w:szCs w:val="13"/>
                <w:b w:val="1"/>
                <w:bCs w:val="1"/>
                <w:color w:val="auto"/>
              </w:rPr>
              <w:t>Payout</w:t>
            </w:r>
          </w:p>
        </w:tc>
        <w:tc>
          <w:tcPr>
            <w:tcW w:w="1300" w:type="dxa"/>
            <w:vAlign w:val="bottom"/>
            <w:shd w:val="clear" w:color="auto" w:fill="407CCA"/>
          </w:tcPr>
          <w:p>
            <w:pPr>
              <w:jc w:val="right"/>
              <w:ind w:right="319"/>
              <w:spacing w:after="0"/>
              <w:rPr>
                <w:sz w:val="20"/>
                <w:szCs w:val="20"/>
                <w:color w:val="auto"/>
              </w:rPr>
            </w:pPr>
            <w:r>
              <w:rPr>
                <w:rFonts w:ascii="Arial" w:cs="Arial" w:eastAsia="Arial" w:hAnsi="Arial"/>
                <w:sz w:val="13"/>
                <w:szCs w:val="13"/>
                <w:b w:val="1"/>
                <w:bCs w:val="1"/>
                <w:color w:val="auto"/>
              </w:rPr>
              <w:t>Payout</w:t>
            </w:r>
          </w:p>
        </w:tc>
        <w:tc>
          <w:tcPr>
            <w:tcW w:w="0" w:type="dxa"/>
            <w:vAlign w:val="bottom"/>
          </w:tcPr>
          <w:p>
            <w:pPr>
              <w:spacing w:after="0"/>
              <w:rPr>
                <w:sz w:val="1"/>
                <w:szCs w:val="1"/>
                <w:color w:val="auto"/>
              </w:rPr>
            </w:pPr>
          </w:p>
        </w:tc>
      </w:tr>
      <w:tr>
        <w:trPr>
          <w:trHeight w:val="202"/>
        </w:trPr>
        <w:tc>
          <w:tcPr>
            <w:tcW w:w="5000" w:type="dxa"/>
            <w:vAlign w:val="bottom"/>
          </w:tcPr>
          <w:p>
            <w:pPr>
              <w:ind w:left="80"/>
              <w:spacing w:after="0" w:line="201" w:lineRule="exact"/>
              <w:rPr>
                <w:sz w:val="20"/>
                <w:szCs w:val="20"/>
                <w:color w:val="auto"/>
              </w:rPr>
            </w:pPr>
            <w:r>
              <w:rPr>
                <w:rFonts w:ascii="Arial" w:cs="Arial" w:eastAsia="Arial" w:hAnsi="Arial"/>
                <w:sz w:val="18"/>
                <w:szCs w:val="18"/>
                <w:color w:val="auto"/>
              </w:rPr>
              <w:t>Financial Metrics</w:t>
            </w:r>
          </w:p>
        </w:tc>
        <w:tc>
          <w:tcPr>
            <w:tcW w:w="3120" w:type="dxa"/>
            <w:vAlign w:val="bottom"/>
          </w:tcPr>
          <w:p>
            <w:pPr>
              <w:ind w:left="2200"/>
              <w:spacing w:after="0" w:line="201" w:lineRule="exact"/>
              <w:rPr>
                <w:sz w:val="20"/>
                <w:szCs w:val="20"/>
                <w:color w:val="auto"/>
              </w:rPr>
            </w:pPr>
            <w:r>
              <w:rPr>
                <w:rFonts w:ascii="Arial" w:cs="Arial" w:eastAsia="Arial" w:hAnsi="Arial"/>
                <w:sz w:val="18"/>
                <w:szCs w:val="18"/>
                <w:color w:val="auto"/>
              </w:rPr>
              <w:t>60%</w:t>
            </w:r>
          </w:p>
        </w:tc>
        <w:tc>
          <w:tcPr>
            <w:tcW w:w="1600" w:type="dxa"/>
            <w:vAlign w:val="bottom"/>
          </w:tcPr>
          <w:p>
            <w:pPr>
              <w:jc w:val="right"/>
              <w:ind w:right="401"/>
              <w:spacing w:after="0" w:line="201" w:lineRule="exact"/>
              <w:rPr>
                <w:sz w:val="20"/>
                <w:szCs w:val="20"/>
                <w:color w:val="auto"/>
              </w:rPr>
            </w:pPr>
            <w:r>
              <w:rPr>
                <w:rFonts w:ascii="Arial" w:cs="Arial" w:eastAsia="Arial" w:hAnsi="Arial"/>
                <w:sz w:val="18"/>
                <w:szCs w:val="18"/>
                <w:color w:val="auto"/>
              </w:rPr>
              <w:t>123.5%</w:t>
            </w:r>
          </w:p>
        </w:tc>
        <w:tc>
          <w:tcPr>
            <w:tcW w:w="1300" w:type="dxa"/>
            <w:vAlign w:val="bottom"/>
          </w:tcPr>
          <w:p>
            <w:pPr>
              <w:jc w:val="right"/>
              <w:ind w:right="159"/>
              <w:spacing w:after="0" w:line="201" w:lineRule="exact"/>
              <w:rPr>
                <w:sz w:val="20"/>
                <w:szCs w:val="20"/>
                <w:color w:val="auto"/>
              </w:rPr>
            </w:pPr>
            <w:r>
              <w:rPr>
                <w:rFonts w:ascii="Arial" w:cs="Arial" w:eastAsia="Arial" w:hAnsi="Arial"/>
                <w:sz w:val="18"/>
                <w:szCs w:val="18"/>
                <w:color w:val="auto"/>
              </w:rPr>
              <w:t>74.1%</w:t>
            </w:r>
          </w:p>
        </w:tc>
        <w:tc>
          <w:tcPr>
            <w:tcW w:w="0" w:type="dxa"/>
            <w:vAlign w:val="bottom"/>
          </w:tcPr>
          <w:p>
            <w:pPr>
              <w:spacing w:after="0"/>
              <w:rPr>
                <w:sz w:val="1"/>
                <w:szCs w:val="1"/>
                <w:color w:val="auto"/>
              </w:rPr>
            </w:pPr>
          </w:p>
        </w:tc>
      </w:tr>
      <w:tr>
        <w:trPr>
          <w:trHeight w:val="216"/>
        </w:trPr>
        <w:tc>
          <w:tcPr>
            <w:tcW w:w="5000" w:type="dxa"/>
            <w:vAlign w:val="bottom"/>
          </w:tcPr>
          <w:p>
            <w:pPr>
              <w:ind w:left="80"/>
              <w:spacing w:after="0"/>
              <w:rPr>
                <w:sz w:val="20"/>
                <w:szCs w:val="20"/>
                <w:color w:val="auto"/>
              </w:rPr>
            </w:pPr>
            <w:r>
              <w:rPr>
                <w:rFonts w:ascii="Arial" w:cs="Arial" w:eastAsia="Arial" w:hAnsi="Arial"/>
                <w:sz w:val="18"/>
                <w:szCs w:val="18"/>
                <w:color w:val="auto"/>
              </w:rPr>
              <w:t>Operational / Strategic Metrics</w:t>
            </w:r>
          </w:p>
        </w:tc>
        <w:tc>
          <w:tcPr>
            <w:tcW w:w="3120" w:type="dxa"/>
            <w:vAlign w:val="bottom"/>
          </w:tcPr>
          <w:p>
            <w:pPr>
              <w:ind w:left="2200"/>
              <w:spacing w:after="0"/>
              <w:rPr>
                <w:sz w:val="20"/>
                <w:szCs w:val="20"/>
                <w:color w:val="auto"/>
              </w:rPr>
            </w:pPr>
            <w:r>
              <w:rPr>
                <w:rFonts w:ascii="Arial" w:cs="Arial" w:eastAsia="Arial" w:hAnsi="Arial"/>
                <w:sz w:val="18"/>
                <w:szCs w:val="18"/>
                <w:color w:val="auto"/>
              </w:rPr>
              <w:t>30%</w:t>
            </w:r>
          </w:p>
        </w:tc>
        <w:tc>
          <w:tcPr>
            <w:tcW w:w="1600" w:type="dxa"/>
            <w:vAlign w:val="bottom"/>
          </w:tcPr>
          <w:p>
            <w:pPr>
              <w:jc w:val="right"/>
              <w:ind w:right="401"/>
              <w:spacing w:after="0"/>
              <w:rPr>
                <w:sz w:val="20"/>
                <w:szCs w:val="20"/>
                <w:color w:val="auto"/>
              </w:rPr>
            </w:pPr>
            <w:r>
              <w:rPr>
                <w:rFonts w:ascii="Arial" w:cs="Arial" w:eastAsia="Arial" w:hAnsi="Arial"/>
                <w:sz w:val="18"/>
                <w:szCs w:val="18"/>
                <w:color w:val="auto"/>
              </w:rPr>
              <w:t>125.0%</w:t>
            </w:r>
          </w:p>
        </w:tc>
        <w:tc>
          <w:tcPr>
            <w:tcW w:w="1300" w:type="dxa"/>
            <w:vAlign w:val="bottom"/>
          </w:tcPr>
          <w:p>
            <w:pPr>
              <w:jc w:val="right"/>
              <w:ind w:right="159"/>
              <w:spacing w:after="0"/>
              <w:rPr>
                <w:sz w:val="20"/>
                <w:szCs w:val="20"/>
                <w:color w:val="auto"/>
              </w:rPr>
            </w:pPr>
            <w:r>
              <w:rPr>
                <w:rFonts w:ascii="Arial" w:cs="Arial" w:eastAsia="Arial" w:hAnsi="Arial"/>
                <w:sz w:val="18"/>
                <w:szCs w:val="18"/>
                <w:color w:val="auto"/>
              </w:rPr>
              <w:t>37.5%</w:t>
            </w:r>
          </w:p>
        </w:tc>
        <w:tc>
          <w:tcPr>
            <w:tcW w:w="0" w:type="dxa"/>
            <w:vAlign w:val="bottom"/>
          </w:tcPr>
          <w:p>
            <w:pPr>
              <w:spacing w:after="0"/>
              <w:rPr>
                <w:sz w:val="1"/>
                <w:szCs w:val="1"/>
                <w:color w:val="auto"/>
              </w:rPr>
            </w:pPr>
          </w:p>
        </w:tc>
      </w:tr>
      <w:tr>
        <w:trPr>
          <w:trHeight w:val="230"/>
        </w:trPr>
        <w:tc>
          <w:tcPr>
            <w:tcW w:w="5000" w:type="dxa"/>
            <w:vAlign w:val="bottom"/>
          </w:tcPr>
          <w:p>
            <w:pPr>
              <w:ind w:left="80"/>
              <w:spacing w:after="0"/>
              <w:rPr>
                <w:sz w:val="20"/>
                <w:szCs w:val="20"/>
                <w:color w:val="auto"/>
              </w:rPr>
            </w:pPr>
            <w:r>
              <w:rPr>
                <w:rFonts w:ascii="Arial" w:cs="Arial" w:eastAsia="Arial" w:hAnsi="Arial"/>
                <w:sz w:val="18"/>
                <w:szCs w:val="18"/>
                <w:color w:val="auto"/>
              </w:rPr>
              <w:t>MTGE Manager Corporate Objectives</w:t>
            </w:r>
          </w:p>
        </w:tc>
        <w:tc>
          <w:tcPr>
            <w:tcW w:w="3120" w:type="dxa"/>
            <w:vAlign w:val="bottom"/>
          </w:tcPr>
          <w:p>
            <w:pPr>
              <w:ind w:left="2200"/>
              <w:spacing w:after="0"/>
              <w:rPr>
                <w:sz w:val="20"/>
                <w:szCs w:val="20"/>
                <w:color w:val="auto"/>
              </w:rPr>
            </w:pPr>
            <w:r>
              <w:rPr>
                <w:rFonts w:ascii="Arial" w:cs="Arial" w:eastAsia="Arial" w:hAnsi="Arial"/>
                <w:sz w:val="18"/>
                <w:szCs w:val="18"/>
                <w:color w:val="auto"/>
              </w:rPr>
              <w:t>10%</w:t>
            </w:r>
          </w:p>
        </w:tc>
        <w:tc>
          <w:tcPr>
            <w:tcW w:w="1600" w:type="dxa"/>
            <w:vAlign w:val="bottom"/>
          </w:tcPr>
          <w:p>
            <w:pPr>
              <w:jc w:val="right"/>
              <w:ind w:right="401"/>
              <w:spacing w:after="0"/>
              <w:rPr>
                <w:sz w:val="20"/>
                <w:szCs w:val="20"/>
                <w:color w:val="auto"/>
              </w:rPr>
            </w:pPr>
            <w:r>
              <w:rPr>
                <w:rFonts w:ascii="Arial" w:cs="Arial" w:eastAsia="Arial" w:hAnsi="Arial"/>
                <w:sz w:val="18"/>
                <w:szCs w:val="18"/>
                <w:color w:val="auto"/>
              </w:rPr>
              <w:t>100.0%</w:t>
            </w:r>
          </w:p>
        </w:tc>
        <w:tc>
          <w:tcPr>
            <w:tcW w:w="1300" w:type="dxa"/>
            <w:vAlign w:val="bottom"/>
          </w:tcPr>
          <w:p>
            <w:pPr>
              <w:jc w:val="right"/>
              <w:ind w:right="159"/>
              <w:spacing w:after="0"/>
              <w:rPr>
                <w:sz w:val="20"/>
                <w:szCs w:val="20"/>
                <w:color w:val="auto"/>
              </w:rPr>
            </w:pPr>
            <w:r>
              <w:rPr>
                <w:rFonts w:ascii="Arial" w:cs="Arial" w:eastAsia="Arial" w:hAnsi="Arial"/>
                <w:sz w:val="18"/>
                <w:szCs w:val="18"/>
                <w:color w:val="auto"/>
              </w:rPr>
              <w:t>10.0%</w:t>
            </w:r>
          </w:p>
        </w:tc>
        <w:tc>
          <w:tcPr>
            <w:tcW w:w="0" w:type="dxa"/>
            <w:vAlign w:val="bottom"/>
          </w:tcPr>
          <w:p>
            <w:pPr>
              <w:spacing w:after="0"/>
              <w:rPr>
                <w:sz w:val="1"/>
                <w:szCs w:val="1"/>
                <w:color w:val="auto"/>
              </w:rPr>
            </w:pPr>
          </w:p>
        </w:tc>
      </w:tr>
      <w:tr>
        <w:trPr>
          <w:trHeight w:val="216"/>
        </w:trPr>
        <w:tc>
          <w:tcPr>
            <w:tcW w:w="5000" w:type="dxa"/>
            <w:vAlign w:val="bottom"/>
            <w:shd w:val="clear" w:color="auto" w:fill="789E91"/>
          </w:tcPr>
          <w:p>
            <w:pPr>
              <w:ind w:left="80"/>
              <w:spacing w:after="0"/>
              <w:rPr>
                <w:sz w:val="20"/>
                <w:szCs w:val="20"/>
                <w:color w:val="auto"/>
              </w:rPr>
            </w:pPr>
            <w:r>
              <w:rPr>
                <w:rFonts w:ascii="Arial" w:cs="Arial" w:eastAsia="Arial" w:hAnsi="Arial"/>
                <w:sz w:val="18"/>
                <w:szCs w:val="18"/>
                <w:b w:val="1"/>
                <w:bCs w:val="1"/>
                <w:color w:val="auto"/>
              </w:rPr>
              <w:t>Corporate Scorecard Payout</w:t>
            </w:r>
          </w:p>
        </w:tc>
        <w:tc>
          <w:tcPr>
            <w:tcW w:w="3120" w:type="dxa"/>
            <w:vAlign w:val="bottom"/>
            <w:shd w:val="clear" w:color="auto" w:fill="789E91"/>
          </w:tcPr>
          <w:p>
            <w:pPr>
              <w:spacing w:after="0"/>
              <w:rPr>
                <w:sz w:val="18"/>
                <w:szCs w:val="18"/>
                <w:color w:val="auto"/>
              </w:rPr>
            </w:pPr>
          </w:p>
        </w:tc>
        <w:tc>
          <w:tcPr>
            <w:tcW w:w="1600" w:type="dxa"/>
            <w:vAlign w:val="bottom"/>
            <w:shd w:val="clear" w:color="auto" w:fill="789E91"/>
          </w:tcPr>
          <w:p>
            <w:pPr>
              <w:spacing w:after="0"/>
              <w:rPr>
                <w:sz w:val="18"/>
                <w:szCs w:val="18"/>
                <w:color w:val="auto"/>
              </w:rPr>
            </w:pPr>
          </w:p>
        </w:tc>
        <w:tc>
          <w:tcPr>
            <w:tcW w:w="1300" w:type="dxa"/>
            <w:vAlign w:val="bottom"/>
            <w:shd w:val="clear" w:color="auto" w:fill="789E91"/>
          </w:tcPr>
          <w:p>
            <w:pPr>
              <w:jc w:val="right"/>
              <w:ind w:right="159"/>
              <w:spacing w:after="0"/>
              <w:rPr>
                <w:sz w:val="20"/>
                <w:szCs w:val="20"/>
                <w:color w:val="auto"/>
              </w:rPr>
            </w:pPr>
            <w:r>
              <w:rPr>
                <w:rFonts w:ascii="Arial" w:cs="Arial" w:eastAsia="Arial" w:hAnsi="Arial"/>
                <w:sz w:val="18"/>
                <w:szCs w:val="18"/>
                <w:b w:val="1"/>
                <w:bCs w:val="1"/>
                <w:color w:val="auto"/>
              </w:rPr>
              <w:t>121.6%</w:t>
            </w:r>
          </w:p>
        </w:tc>
        <w:tc>
          <w:tcPr>
            <w:tcW w:w="0" w:type="dxa"/>
            <w:vAlign w:val="bottom"/>
          </w:tcPr>
          <w:p>
            <w:pPr>
              <w:spacing w:after="0"/>
              <w:rPr>
                <w:sz w:val="1"/>
                <w:szCs w:val="1"/>
                <w:color w:val="auto"/>
              </w:rPr>
            </w:pPr>
          </w:p>
        </w:tc>
      </w:tr>
    </w:tbl>
    <w:p>
      <w:pPr>
        <w:spacing w:after="0" w:line="130" w:lineRule="exact"/>
        <w:rPr>
          <w:sz w:val="20"/>
          <w:szCs w:val="20"/>
          <w:color w:val="auto"/>
        </w:rPr>
      </w:pPr>
    </w:p>
    <w:p>
      <w:pPr>
        <w:jc w:val="right"/>
        <w:ind w:right="20"/>
        <w:spacing w:after="0"/>
        <w:tabs>
          <w:tab w:leader="none" w:pos="1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47</w:t>
      </w:r>
    </w:p>
    <w:p>
      <w:pPr>
        <w:sectPr>
          <w:pgSz w:w="11900" w:h="16838" w:orient="portrait"/>
          <w:cols w:equalWidth="0" w:num="1">
            <w:col w:w="11240"/>
          </w:cols>
          <w:pgMar w:left="240" w:top="459" w:right="419" w:bottom="1440" w:gutter="0" w:footer="0" w:header="0"/>
        </w:sectPr>
      </w:pPr>
    </w:p>
    <w:bookmarkStart w:id="51" w:name="page52"/>
    <w:bookmarkEnd w:id="5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1860"/>
        <w:spacing w:after="0"/>
        <w:rPr>
          <w:sz w:val="20"/>
          <w:szCs w:val="20"/>
          <w:color w:val="auto"/>
        </w:rPr>
      </w:pPr>
      <w:r>
        <w:rPr>
          <w:rFonts w:ascii="Arial" w:cs="Arial" w:eastAsia="Arial" w:hAnsi="Arial"/>
          <w:sz w:val="18"/>
          <w:szCs w:val="18"/>
          <w:i w:val="1"/>
          <w:iCs w:val="1"/>
          <w:color w:val="407CCA"/>
        </w:rPr>
        <w:t>Financial Metric Results</w:t>
      </w:r>
    </w:p>
    <w:p>
      <w:pPr>
        <w:spacing w:after="0" w:line="117" w:lineRule="exact"/>
        <w:rPr>
          <w:sz w:val="20"/>
          <w:szCs w:val="20"/>
          <w:color w:val="auto"/>
        </w:rPr>
      </w:pPr>
    </w:p>
    <w:p>
      <w:pPr>
        <w:jc w:val="both"/>
        <w:ind w:left="200" w:right="180" w:firstLine="771"/>
        <w:spacing w:after="0" w:line="259" w:lineRule="auto"/>
        <w:rPr>
          <w:sz w:val="20"/>
          <w:szCs w:val="20"/>
          <w:color w:val="auto"/>
        </w:rPr>
      </w:pPr>
      <w:r>
        <w:rPr>
          <w:rFonts w:ascii="Arial" w:cs="Arial" w:eastAsia="Arial" w:hAnsi="Arial"/>
          <w:sz w:val="18"/>
          <w:szCs w:val="18"/>
          <w:color w:val="auto"/>
        </w:rPr>
        <w:t>A review of our 2017 results indicated a 123.5% payout for the financial metric portion of the Corporate Scorecard as demonstrated in the chart below. AGNC exceeded the performance targets for absolute economic return, relative price-to-tangible book ratio, and operating expense ratio, but slightly underperformed on the relative economic return metric as a function of differences between AGNC’s and our peers’ business models and portfolio construction.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1034415</wp:posOffset>
            </wp:positionH>
            <wp:positionV relativeFrom="paragraph">
              <wp:posOffset>144780</wp:posOffset>
            </wp:positionV>
            <wp:extent cx="5188585" cy="325882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extLst>
                    </a:blip>
                    <a:srcRect/>
                    <a:stretch>
                      <a:fillRect/>
                    </a:stretch>
                  </pic:blipFill>
                  <pic:spPr bwMode="auto">
                    <a:xfrm>
                      <a:off x="0" y="0"/>
                      <a:ext cx="5188585" cy="32588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ind w:left="1860"/>
        <w:spacing w:after="0"/>
        <w:rPr>
          <w:sz w:val="20"/>
          <w:szCs w:val="20"/>
          <w:color w:val="auto"/>
        </w:rPr>
      </w:pPr>
      <w:r>
        <w:rPr>
          <w:rFonts w:ascii="Arial" w:cs="Arial" w:eastAsia="Arial" w:hAnsi="Arial"/>
          <w:sz w:val="18"/>
          <w:szCs w:val="18"/>
          <w:i w:val="1"/>
          <w:iCs w:val="1"/>
          <w:color w:val="407CCA"/>
        </w:rPr>
        <w:t>2017 Operational and Strategic Progress</w:t>
      </w:r>
    </w:p>
    <w:p>
      <w:pPr>
        <w:spacing w:after="0" w:line="117" w:lineRule="exact"/>
        <w:rPr>
          <w:sz w:val="20"/>
          <w:szCs w:val="20"/>
          <w:color w:val="auto"/>
        </w:rPr>
      </w:pPr>
    </w:p>
    <w:p>
      <w:pPr>
        <w:ind w:left="980"/>
        <w:spacing w:after="0"/>
        <w:rPr>
          <w:sz w:val="20"/>
          <w:szCs w:val="20"/>
          <w:color w:val="auto"/>
        </w:rPr>
      </w:pPr>
      <w:r>
        <w:rPr>
          <w:rFonts w:ascii="Arial" w:cs="Arial" w:eastAsia="Arial" w:hAnsi="Arial"/>
          <w:sz w:val="16"/>
          <w:szCs w:val="16"/>
          <w:color w:val="auto"/>
        </w:rPr>
        <w:t>We continued to make significant progress on our operational and strategic initiatives in our first full fiscal year following the Internalization.</w:t>
      </w:r>
    </w:p>
    <w:p>
      <w:pPr>
        <w:spacing w:after="0" w:line="46" w:lineRule="exact"/>
        <w:rPr>
          <w:sz w:val="20"/>
          <w:szCs w:val="20"/>
          <w:color w:val="auto"/>
        </w:rPr>
      </w:pPr>
    </w:p>
    <w:p>
      <w:pPr>
        <w:ind w:left="200"/>
        <w:spacing w:after="0"/>
        <w:rPr>
          <w:sz w:val="20"/>
          <w:szCs w:val="20"/>
          <w:color w:val="auto"/>
        </w:rPr>
      </w:pPr>
      <w:r>
        <w:rPr>
          <w:rFonts w:ascii="Arial" w:cs="Arial" w:eastAsia="Arial" w:hAnsi="Arial"/>
          <w:sz w:val="18"/>
          <w:szCs w:val="18"/>
          <w:color w:val="auto"/>
        </w:rPr>
        <w:t>Our efforts in 2017 to meet and exceed the operational and strategic metrics set forth on page 44 included the following achievements:</w:t>
      </w:r>
    </w:p>
    <w:p>
      <w:pPr>
        <w:spacing w:after="0" w:line="116" w:lineRule="exact"/>
        <w:rPr>
          <w:sz w:val="20"/>
          <w:szCs w:val="20"/>
          <w:color w:val="auto"/>
        </w:rPr>
      </w:pPr>
    </w:p>
    <w:p>
      <w:pPr>
        <w:ind w:left="960" w:right="700" w:hanging="432"/>
        <w:spacing w:after="0" w:line="258" w:lineRule="auto"/>
        <w:tabs>
          <w:tab w:leader="none" w:pos="960" w:val="left"/>
        </w:tabs>
        <w:numPr>
          <w:ilvl w:val="0"/>
          <w:numId w:val="43"/>
        </w:numPr>
        <w:rPr>
          <w:rFonts w:ascii="Arial" w:cs="Arial" w:eastAsia="Arial" w:hAnsi="Arial"/>
          <w:sz w:val="18"/>
          <w:szCs w:val="18"/>
          <w:color w:val="auto"/>
        </w:rPr>
      </w:pPr>
      <w:r>
        <w:rPr>
          <w:rFonts w:ascii="Arial" w:cs="Arial" w:eastAsia="Arial" w:hAnsi="Arial"/>
          <w:sz w:val="18"/>
          <w:szCs w:val="18"/>
          <w:color w:val="auto"/>
        </w:rPr>
        <w:t>Our Finance, Accounting and Legal teams conducted an evaluation of the Company’s overall risk profile and completed operational improvements to reflect the current risk profile and allow for efficient and effective scaling of operations</w:t>
      </w:r>
    </w:p>
    <w:p>
      <w:pPr>
        <w:spacing w:after="0" w:line="1" w:lineRule="exact"/>
        <w:rPr>
          <w:rFonts w:ascii="Arial" w:cs="Arial" w:eastAsia="Arial" w:hAnsi="Arial"/>
          <w:sz w:val="18"/>
          <w:szCs w:val="18"/>
          <w:color w:val="auto"/>
        </w:rPr>
      </w:pPr>
    </w:p>
    <w:p>
      <w:pPr>
        <w:ind w:left="960" w:right="380" w:hanging="432"/>
        <w:spacing w:after="0" w:line="265" w:lineRule="auto"/>
        <w:tabs>
          <w:tab w:leader="none" w:pos="960" w:val="left"/>
        </w:tabs>
        <w:numPr>
          <w:ilvl w:val="0"/>
          <w:numId w:val="43"/>
        </w:numPr>
        <w:rPr>
          <w:rFonts w:ascii="Arial" w:cs="Arial" w:eastAsia="Arial" w:hAnsi="Arial"/>
          <w:sz w:val="17"/>
          <w:szCs w:val="17"/>
          <w:color w:val="auto"/>
        </w:rPr>
      </w:pPr>
      <w:r>
        <w:rPr>
          <w:rFonts w:ascii="Arial" w:cs="Arial" w:eastAsia="Arial" w:hAnsi="Arial"/>
          <w:sz w:val="17"/>
          <w:szCs w:val="17"/>
          <w:color w:val="auto"/>
        </w:rPr>
        <w:t>Raised over $1.5 billion in capital at a premium to tangible net book value through two common stock transactions, one preferred equity issuance, and our ATM, further lowering our operating costs by leveraging our largely fixed costs over a larger capital base</w:t>
      </w:r>
    </w:p>
    <w:p>
      <w:pPr>
        <w:ind w:left="960" w:right="60" w:hanging="432"/>
        <w:spacing w:after="0" w:line="261" w:lineRule="auto"/>
        <w:tabs>
          <w:tab w:leader="none" w:pos="960" w:val="left"/>
        </w:tabs>
        <w:numPr>
          <w:ilvl w:val="0"/>
          <w:numId w:val="43"/>
        </w:numPr>
        <w:rPr>
          <w:rFonts w:ascii="Arial" w:cs="Arial" w:eastAsia="Arial" w:hAnsi="Arial"/>
          <w:sz w:val="18"/>
          <w:szCs w:val="18"/>
          <w:color w:val="auto"/>
        </w:rPr>
      </w:pPr>
      <w:r>
        <w:rPr>
          <w:rFonts w:ascii="Arial" w:cs="Arial" w:eastAsia="Arial" w:hAnsi="Arial"/>
          <w:sz w:val="18"/>
          <w:szCs w:val="18"/>
          <w:color w:val="auto"/>
        </w:rPr>
        <w:t>Issued a new Series C fixed-to-floating rate redeemable preferred security at an initial 7.00% dividend rate and redeemed our existing 8.00% Series A fixed rate preferred security, providing significant annual cash savings</w:t>
      </w:r>
    </w:p>
    <w:p>
      <w:pPr>
        <w:spacing w:after="0" w:line="152"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48</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60"/>
          </w:cols>
          <w:pgMar w:left="240" w:top="459" w:right="499" w:bottom="1440" w:gutter="0" w:footer="0" w:header="0"/>
        </w:sectPr>
      </w:pPr>
    </w:p>
    <w:bookmarkStart w:id="52" w:name="page53"/>
    <w:bookmarkEnd w:id="5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960" w:right="320" w:hanging="432"/>
        <w:spacing w:after="0" w:line="258" w:lineRule="auto"/>
        <w:tabs>
          <w:tab w:leader="none" w:pos="960" w:val="left"/>
        </w:tabs>
        <w:numPr>
          <w:ilvl w:val="0"/>
          <w:numId w:val="44"/>
        </w:numPr>
        <w:rPr>
          <w:rFonts w:ascii="Arial" w:cs="Arial" w:eastAsia="Arial" w:hAnsi="Arial"/>
          <w:sz w:val="18"/>
          <w:szCs w:val="18"/>
          <w:color w:val="auto"/>
        </w:rPr>
      </w:pPr>
      <w:r>
        <w:rPr>
          <w:rFonts w:ascii="Arial" w:cs="Arial" w:eastAsia="Arial" w:hAnsi="Arial"/>
          <w:sz w:val="18"/>
          <w:szCs w:val="18"/>
          <w:color w:val="auto"/>
        </w:rPr>
        <w:t>Increased investor outreach through conferences, roadshows, and quarterly updates and engagement with major stockholders on corporate governance, executive compensation, and other matters</w:t>
      </w:r>
    </w:p>
    <w:p>
      <w:pPr>
        <w:spacing w:after="0" w:line="1" w:lineRule="exact"/>
        <w:rPr>
          <w:rFonts w:ascii="Arial" w:cs="Arial" w:eastAsia="Arial" w:hAnsi="Arial"/>
          <w:sz w:val="18"/>
          <w:szCs w:val="18"/>
          <w:color w:val="auto"/>
        </w:rPr>
      </w:pPr>
    </w:p>
    <w:p>
      <w:pPr>
        <w:ind w:left="960" w:right="40" w:hanging="432"/>
        <w:spacing w:after="0" w:line="250" w:lineRule="auto"/>
        <w:tabs>
          <w:tab w:leader="none" w:pos="960" w:val="left"/>
        </w:tabs>
        <w:numPr>
          <w:ilvl w:val="0"/>
          <w:numId w:val="44"/>
        </w:numPr>
        <w:rPr>
          <w:rFonts w:ascii="Arial" w:cs="Arial" w:eastAsia="Arial" w:hAnsi="Arial"/>
          <w:sz w:val="18"/>
          <w:szCs w:val="18"/>
          <w:color w:val="auto"/>
        </w:rPr>
      </w:pPr>
      <w:r>
        <w:rPr>
          <w:rFonts w:ascii="Arial" w:cs="Arial" w:eastAsia="Arial" w:hAnsi="Arial"/>
          <w:sz w:val="18"/>
          <w:szCs w:val="18"/>
          <w:color w:val="auto"/>
        </w:rPr>
        <w:t>Completed a comprehensive review and revision of our public disclosures in light of the Internalization, including our annual proxy statement and annual report on Form 10-K</w:t>
      </w:r>
    </w:p>
    <w:p>
      <w:pPr>
        <w:ind w:left="960" w:right="20" w:hanging="432"/>
        <w:spacing w:after="0" w:line="265" w:lineRule="auto"/>
        <w:tabs>
          <w:tab w:leader="none" w:pos="960" w:val="left"/>
        </w:tabs>
        <w:numPr>
          <w:ilvl w:val="0"/>
          <w:numId w:val="44"/>
        </w:numPr>
        <w:rPr>
          <w:rFonts w:ascii="Arial" w:cs="Arial" w:eastAsia="Arial" w:hAnsi="Arial"/>
          <w:sz w:val="17"/>
          <w:szCs w:val="17"/>
          <w:color w:val="auto"/>
        </w:rPr>
      </w:pPr>
      <w:r>
        <w:rPr>
          <w:rFonts w:ascii="Arial" w:cs="Arial" w:eastAsia="Arial" w:hAnsi="Arial"/>
          <w:sz w:val="17"/>
          <w:szCs w:val="17"/>
          <w:color w:val="auto"/>
        </w:rPr>
        <w:t>Expanded our broker-dealer operations by increasing funding activity conducted through Bethesda Securities, our wholly owned broker-dealer subsidiary, from $4.7 billion as of December 31, 2016 to $16.6 billion as of December 31, 2017, generating significant interest expense savings and reducing collateral haircuts through direct access to the Fixed Income Clearing Corporation (“FICC”)</w:t>
      </w:r>
    </w:p>
    <w:p>
      <w:pPr>
        <w:ind w:left="960" w:hanging="432"/>
        <w:spacing w:after="0"/>
        <w:tabs>
          <w:tab w:leader="none" w:pos="960" w:val="left"/>
        </w:tabs>
        <w:numPr>
          <w:ilvl w:val="0"/>
          <w:numId w:val="44"/>
        </w:numPr>
        <w:rPr>
          <w:rFonts w:ascii="Arial" w:cs="Arial" w:eastAsia="Arial" w:hAnsi="Arial"/>
          <w:sz w:val="17"/>
          <w:szCs w:val="17"/>
          <w:color w:val="auto"/>
        </w:rPr>
      </w:pPr>
      <w:r>
        <w:rPr>
          <w:rFonts w:ascii="Arial" w:cs="Arial" w:eastAsia="Arial" w:hAnsi="Arial"/>
          <w:sz w:val="17"/>
          <w:szCs w:val="17"/>
          <w:color w:val="auto"/>
        </w:rPr>
        <w:t>Implemented TBA clearing functionality through Bethesda Securities and increased TBA position maintained at Bethesda Securities to</w:t>
      </w:r>
    </w:p>
    <w:p>
      <w:pPr>
        <w:spacing w:after="0" w:line="20" w:lineRule="exact"/>
        <w:rPr>
          <w:rFonts w:ascii="Arial" w:cs="Arial" w:eastAsia="Arial" w:hAnsi="Arial"/>
          <w:sz w:val="17"/>
          <w:szCs w:val="17"/>
          <w:color w:val="auto"/>
        </w:rPr>
      </w:pPr>
    </w:p>
    <w:p>
      <w:pPr>
        <w:ind w:left="960" w:right="240"/>
        <w:spacing w:after="0" w:line="250" w:lineRule="auto"/>
        <w:rPr>
          <w:rFonts w:ascii="Arial" w:cs="Arial" w:eastAsia="Arial" w:hAnsi="Arial"/>
          <w:sz w:val="17"/>
          <w:szCs w:val="17"/>
          <w:color w:val="auto"/>
        </w:rPr>
      </w:pPr>
      <w:r>
        <w:rPr>
          <w:rFonts w:ascii="Arial" w:cs="Arial" w:eastAsia="Arial" w:hAnsi="Arial"/>
          <w:sz w:val="18"/>
          <w:szCs w:val="18"/>
          <w:color w:val="auto"/>
        </w:rPr>
        <w:t>$8.7 billion as of December 31, 2017, substantially enhancing AGNC’s liquidity as a result of reduced margin requirements for direct TBA clearing through the FICC</w:t>
      </w:r>
    </w:p>
    <w:p>
      <w:pPr>
        <w:ind w:left="960" w:hanging="432"/>
        <w:spacing w:after="0"/>
        <w:tabs>
          <w:tab w:leader="none" w:pos="960" w:val="left"/>
        </w:tabs>
        <w:numPr>
          <w:ilvl w:val="0"/>
          <w:numId w:val="44"/>
        </w:numPr>
        <w:rPr>
          <w:rFonts w:ascii="Arial" w:cs="Arial" w:eastAsia="Arial" w:hAnsi="Arial"/>
          <w:sz w:val="17"/>
          <w:szCs w:val="17"/>
          <w:color w:val="auto"/>
        </w:rPr>
      </w:pPr>
      <w:r>
        <w:rPr>
          <w:rFonts w:ascii="Arial" w:cs="Arial" w:eastAsia="Arial" w:hAnsi="Arial"/>
          <w:sz w:val="17"/>
          <w:szCs w:val="17"/>
          <w:color w:val="auto"/>
        </w:rPr>
        <w:t>Fully transitioned information technology infrastructure to separate from our former external manager in a timely and cost-effective basis</w:t>
      </w:r>
    </w:p>
    <w:p>
      <w:pPr>
        <w:spacing w:after="0" w:line="222" w:lineRule="exact"/>
        <w:rPr>
          <w:sz w:val="20"/>
          <w:szCs w:val="20"/>
          <w:color w:val="auto"/>
        </w:rPr>
      </w:pPr>
    </w:p>
    <w:p>
      <w:pPr>
        <w:ind w:left="200" w:right="80" w:firstLine="881"/>
        <w:spacing w:after="0" w:line="257" w:lineRule="auto"/>
        <w:rPr>
          <w:sz w:val="20"/>
          <w:szCs w:val="20"/>
          <w:color w:val="auto"/>
        </w:rPr>
      </w:pPr>
      <w:r>
        <w:rPr>
          <w:rFonts w:ascii="Arial" w:cs="Arial" w:eastAsia="Arial" w:hAnsi="Arial"/>
          <w:sz w:val="18"/>
          <w:szCs w:val="18"/>
          <w:color w:val="auto"/>
        </w:rPr>
        <w:t>These achievements were in addition to ordinary, baseline business operations that supported our timely and accurate financial reporting, risk management and compliance activities, review of strategic opportunities, and completion of our post-Internalization work plan. In light of the above, the Compensation Committee determined that the Company had outperformed baseline expectations on the operational and strategic objectives, and these accomplishments merited a 125% payout for the operational and strategic portion of the Corporate Scorecard, in line with the outperformance associated with the financial metrics.</w:t>
      </w:r>
    </w:p>
    <w:p>
      <w:pPr>
        <w:spacing w:after="0" w:line="188" w:lineRule="exact"/>
        <w:rPr>
          <w:sz w:val="20"/>
          <w:szCs w:val="20"/>
          <w:color w:val="auto"/>
        </w:rPr>
      </w:pPr>
    </w:p>
    <w:p>
      <w:pPr>
        <w:ind w:left="1860"/>
        <w:spacing w:after="0"/>
        <w:rPr>
          <w:sz w:val="20"/>
          <w:szCs w:val="20"/>
          <w:color w:val="auto"/>
        </w:rPr>
      </w:pPr>
      <w:r>
        <w:rPr>
          <w:rFonts w:ascii="Arial" w:cs="Arial" w:eastAsia="Arial" w:hAnsi="Arial"/>
          <w:sz w:val="18"/>
          <w:szCs w:val="18"/>
          <w:i w:val="1"/>
          <w:iCs w:val="1"/>
          <w:color w:val="407CCA"/>
        </w:rPr>
        <w:t>MTGE Manager Results</w:t>
      </w:r>
    </w:p>
    <w:p>
      <w:pPr>
        <w:spacing w:after="0" w:line="117" w:lineRule="exact"/>
        <w:rPr>
          <w:sz w:val="20"/>
          <w:szCs w:val="20"/>
          <w:color w:val="auto"/>
        </w:rPr>
      </w:pPr>
    </w:p>
    <w:p>
      <w:pPr>
        <w:ind w:left="200" w:firstLine="881"/>
        <w:spacing w:after="0" w:line="253" w:lineRule="auto"/>
        <w:rPr>
          <w:sz w:val="20"/>
          <w:szCs w:val="20"/>
          <w:color w:val="auto"/>
        </w:rPr>
      </w:pPr>
      <w:r>
        <w:rPr>
          <w:rFonts w:ascii="Arial" w:cs="Arial" w:eastAsia="Arial" w:hAnsi="Arial"/>
          <w:sz w:val="18"/>
          <w:szCs w:val="18"/>
          <w:color w:val="auto"/>
        </w:rPr>
        <w:t>Based upon MTGE’s financial performance and AGNC’s execution of MTGE strategic objectives, the Compensation Committee determined that a 100% payout under the MTGE manager objectives component of the scorecard was warranted. Financial metrics pertaining to MTGE that are included in the AGNC Corporate Scorecard include economic return and price-to-book ratio relative to a set peer group and absolute economic return. MTGE significantly outperformed its absolute economic return objective but underperformed on the relative metrics, primarily driven by the performance of peers’ largely legacy credit-focused portfolios. MTGE’s objectives also include operational and strategic objectives designed to assess all functional areas and departments involved in the management and operation of MTGE. Similar to AGNC, MTGE’s manager performed well in its operational objectives across core MTGE functions, including accounting, legal, investor relations, risk management, and other functions, and undertook several significant strategic initiatives during the year to improve MTGE’s positioning and relative performance, including dedicating additional capital to its healthcare portfolio.</w:t>
      </w:r>
    </w:p>
    <w:p>
      <w:pPr>
        <w:spacing w:after="0" w:line="197"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Individual Bonus Decisions</w:t>
      </w:r>
    </w:p>
    <w:p>
      <w:pPr>
        <w:spacing w:after="0" w:line="117" w:lineRule="exact"/>
        <w:rPr>
          <w:sz w:val="20"/>
          <w:szCs w:val="20"/>
          <w:color w:val="auto"/>
        </w:rPr>
      </w:pPr>
    </w:p>
    <w:p>
      <w:pPr>
        <w:ind w:left="200" w:right="200" w:firstLine="771"/>
        <w:spacing w:after="0" w:line="264" w:lineRule="auto"/>
        <w:rPr>
          <w:sz w:val="20"/>
          <w:szCs w:val="20"/>
          <w:color w:val="auto"/>
        </w:rPr>
      </w:pPr>
      <w:r>
        <w:rPr>
          <w:rFonts w:ascii="Arial" w:cs="Arial" w:eastAsia="Arial" w:hAnsi="Arial"/>
          <w:sz w:val="18"/>
          <w:szCs w:val="18"/>
          <w:color w:val="auto"/>
        </w:rPr>
        <w:t>As noted above, short-term incentives for Messrs. Kain and Federico in 2017 were based solely on achievement of the Corporate Scorecard measures, while other NEOs’ short-term cash incentives were based predominantly on the Corporate Scorecard measures and to a lesser extent on personal performance.</w:t>
      </w:r>
    </w:p>
    <w:p>
      <w:pPr>
        <w:spacing w:after="0" w:line="181" w:lineRule="exact"/>
        <w:rPr>
          <w:sz w:val="20"/>
          <w:szCs w:val="20"/>
          <w:color w:val="auto"/>
        </w:rPr>
      </w:pPr>
    </w:p>
    <w:p>
      <w:pPr>
        <w:ind w:left="200" w:right="40" w:firstLine="771"/>
        <w:spacing w:after="0" w:line="257" w:lineRule="auto"/>
        <w:rPr>
          <w:sz w:val="20"/>
          <w:szCs w:val="20"/>
          <w:color w:val="auto"/>
        </w:rPr>
      </w:pPr>
      <w:r>
        <w:rPr>
          <w:rFonts w:ascii="Arial" w:cs="Arial" w:eastAsia="Arial" w:hAnsi="Arial"/>
          <w:sz w:val="18"/>
          <w:szCs w:val="18"/>
          <w:color w:val="auto"/>
        </w:rPr>
        <w:t>Based on the Compensation Committee’s assessment of the 2017 Corporate Scorecard, the Company’s 2017 performance resulted in a payout of 121.6% of target for the CEO and CFO. However, for 2017, the CEO and CFO agreed to a reduced payout to accommodate “above-plan” performance payouts for a number of employees of the Company without requiring an increase to the overall bonus pool. Thus, for 2017, Messrs. Kain and Federico each were awarded 121.1% of their target bonus. Mr. Kuehl was awarded a cash bonus at 117.3% of his target based on a relative weighting of the Corporate Scorecard at 80% and his personal performance at</w:t>
      </w:r>
    </w:p>
    <w:p>
      <w:pPr>
        <w:spacing w:after="0" w:line="116"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49</w:t>
      </w:r>
    </w:p>
    <w:p>
      <w:pPr>
        <w:sectPr>
          <w:pgSz w:w="11900" w:h="16838" w:orient="portrait"/>
          <w:cols w:equalWidth="0" w:num="1">
            <w:col w:w="11220"/>
          </w:cols>
          <w:pgMar w:left="240" w:top="459" w:right="439" w:bottom="1440" w:gutter="0" w:footer="0" w:header="0"/>
        </w:sectPr>
      </w:pPr>
    </w:p>
    <w:bookmarkStart w:id="53" w:name="page54"/>
    <w:bookmarkEnd w:id="5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200" w:right="320"/>
        <w:spacing w:after="0" w:line="272" w:lineRule="auto"/>
        <w:rPr>
          <w:sz w:val="20"/>
          <w:szCs w:val="20"/>
          <w:color w:val="auto"/>
        </w:rPr>
      </w:pPr>
      <w:r>
        <w:rPr>
          <w:rFonts w:ascii="Arial" w:cs="Arial" w:eastAsia="Arial" w:hAnsi="Arial"/>
          <w:sz w:val="17"/>
          <w:szCs w:val="17"/>
          <w:color w:val="auto"/>
        </w:rPr>
        <w:t>20%. In evaluating his personal performance, the Compensation Committee considered the significant positive impact that his management of the Agency portfolio had on the Company’s overall performance in 2017. Messrs. Pas and Pollack each were awarded 113% of their target bonus, which reflects a relative weighting of the Corporate Scorecard at 60% and their individual personal performance at 40%. For Mr. Pas, the Compensation Committee considered his contributions in growing the Company’s investment portfolio in non-Agency securities and in the ongoing portfolio management of MTGE, and for Mr. Pollack, the Compensation Committee reviewed his contributions to a number of our 2017 operational achievements, including increasing our stockholder engagement, attending to the ongoing governance of AGNC, the ongoing management and governance of MTGE, and implementation of our comprehensive compensation program.</w:t>
      </w:r>
    </w:p>
    <w:p>
      <w:pPr>
        <w:spacing w:after="0" w:line="178" w:lineRule="exact"/>
        <w:rPr>
          <w:sz w:val="20"/>
          <w:szCs w:val="20"/>
          <w:color w:val="auto"/>
        </w:rPr>
      </w:pPr>
    </w:p>
    <w:p>
      <w:pPr>
        <w:ind w:left="980"/>
        <w:spacing w:after="0"/>
        <w:rPr>
          <w:sz w:val="20"/>
          <w:szCs w:val="20"/>
          <w:color w:val="auto"/>
        </w:rPr>
      </w:pPr>
      <w:r>
        <w:rPr>
          <w:rFonts w:ascii="Arial" w:cs="Arial" w:eastAsia="Arial" w:hAnsi="Arial"/>
          <w:sz w:val="18"/>
          <w:szCs w:val="18"/>
          <w:color w:val="auto"/>
        </w:rPr>
        <w:t>These 2017 Bonus payments are reflected in the following table:</w:t>
      </w:r>
    </w:p>
    <w:p>
      <w:pPr>
        <w:spacing w:after="0" w:line="247" w:lineRule="exact"/>
        <w:rPr>
          <w:sz w:val="20"/>
          <w:szCs w:val="20"/>
          <w:color w:val="auto"/>
        </w:rPr>
      </w:pPr>
    </w:p>
    <w:tbl>
      <w:tblPr>
        <w:tblLayout w:type="fixed"/>
        <w:tblInd w:w="220" w:type="dxa"/>
        <w:tblCellMar>
          <w:top w:w="0" w:type="dxa"/>
          <w:left w:w="0" w:type="dxa"/>
          <w:bottom w:w="0" w:type="dxa"/>
          <w:right w:w="0" w:type="dxa"/>
        </w:tblCellMar>
      </w:tblPr>
      <w:tr>
        <w:trPr>
          <w:trHeight w:val="230"/>
        </w:trPr>
        <w:tc>
          <w:tcPr>
            <w:tcW w:w="3380" w:type="dxa"/>
            <w:vAlign w:val="bottom"/>
            <w:tcBorders>
              <w:top w:val="single" w:sz="8" w:color="407CCA"/>
              <w:bottom w:val="single" w:sz="8" w:color="407CCA"/>
            </w:tcBorders>
          </w:tcPr>
          <w:p>
            <w:pPr>
              <w:ind w:left="80"/>
              <w:spacing w:after="0"/>
              <w:rPr>
                <w:sz w:val="20"/>
                <w:szCs w:val="20"/>
                <w:color w:val="auto"/>
              </w:rPr>
            </w:pPr>
            <w:r>
              <w:rPr>
                <w:rFonts w:ascii="Arial" w:cs="Arial" w:eastAsia="Arial" w:hAnsi="Arial"/>
                <w:sz w:val="18"/>
                <w:szCs w:val="18"/>
                <w:b w:val="1"/>
                <w:bCs w:val="1"/>
                <w:color w:val="auto"/>
              </w:rPr>
              <w:t>NEO</w:t>
            </w:r>
          </w:p>
        </w:tc>
        <w:tc>
          <w:tcPr>
            <w:tcW w:w="4380" w:type="dxa"/>
            <w:vAlign w:val="bottom"/>
            <w:tcBorders>
              <w:top w:val="single" w:sz="8" w:color="407CCA"/>
              <w:bottom w:val="single" w:sz="8" w:color="407CCA"/>
            </w:tcBorders>
          </w:tcPr>
          <w:p>
            <w:pPr>
              <w:jc w:val="right"/>
              <w:ind w:right="874"/>
              <w:spacing w:after="0"/>
              <w:rPr>
                <w:sz w:val="20"/>
                <w:szCs w:val="20"/>
                <w:color w:val="auto"/>
              </w:rPr>
            </w:pPr>
            <w:r>
              <w:rPr>
                <w:rFonts w:ascii="Arial" w:cs="Arial" w:eastAsia="Arial" w:hAnsi="Arial"/>
                <w:sz w:val="13"/>
                <w:szCs w:val="13"/>
                <w:b w:val="1"/>
                <w:bCs w:val="1"/>
                <w:color w:val="auto"/>
              </w:rPr>
              <w:t>Short-Term Incentive Award ($)</w:t>
            </w:r>
          </w:p>
        </w:tc>
        <w:tc>
          <w:tcPr>
            <w:tcW w:w="3260" w:type="dxa"/>
            <w:vAlign w:val="bottom"/>
            <w:tcBorders>
              <w:top w:val="single" w:sz="8" w:color="407CCA"/>
              <w:bottom w:val="single" w:sz="8" w:color="407CCA"/>
            </w:tcBorders>
          </w:tcPr>
          <w:p>
            <w:pPr>
              <w:jc w:val="center"/>
              <w:spacing w:after="0"/>
              <w:rPr>
                <w:sz w:val="20"/>
                <w:szCs w:val="20"/>
                <w:color w:val="auto"/>
              </w:rPr>
            </w:pPr>
            <w:r>
              <w:rPr>
                <w:rFonts w:ascii="Arial" w:cs="Arial" w:eastAsia="Arial" w:hAnsi="Arial"/>
                <w:sz w:val="13"/>
                <w:szCs w:val="13"/>
                <w:b w:val="1"/>
                <w:bCs w:val="1"/>
                <w:color w:val="auto"/>
                <w:w w:val="86"/>
              </w:rPr>
              <w:t>Percentage of 2017 Target</w:t>
            </w:r>
          </w:p>
        </w:tc>
      </w:tr>
      <w:tr>
        <w:trPr>
          <w:trHeight w:val="210"/>
        </w:trPr>
        <w:tc>
          <w:tcPr>
            <w:tcW w:w="338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Gary D. Kain</w:t>
            </w:r>
          </w:p>
        </w:tc>
        <w:tc>
          <w:tcPr>
            <w:tcW w:w="4380" w:type="dxa"/>
            <w:vAlign w:val="bottom"/>
            <w:shd w:val="clear" w:color="auto" w:fill="CCEEFF"/>
          </w:tcPr>
          <w:p>
            <w:pPr>
              <w:jc w:val="right"/>
              <w:ind w:right="1374"/>
              <w:spacing w:after="0"/>
              <w:rPr>
                <w:sz w:val="20"/>
                <w:szCs w:val="20"/>
                <w:color w:val="auto"/>
              </w:rPr>
            </w:pPr>
            <w:r>
              <w:rPr>
                <w:rFonts w:ascii="Arial" w:cs="Arial" w:eastAsia="Arial" w:hAnsi="Arial"/>
                <w:sz w:val="18"/>
                <w:szCs w:val="18"/>
                <w:color w:val="auto"/>
              </w:rPr>
              <w:t>7,437,797</w:t>
            </w:r>
          </w:p>
        </w:tc>
        <w:tc>
          <w:tcPr>
            <w:tcW w:w="326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1"/>
              </w:rPr>
              <w:t>121.1%</w:t>
            </w:r>
          </w:p>
        </w:tc>
      </w:tr>
      <w:tr>
        <w:trPr>
          <w:trHeight w:val="216"/>
        </w:trPr>
        <w:tc>
          <w:tcPr>
            <w:tcW w:w="3380" w:type="dxa"/>
            <w:vAlign w:val="bottom"/>
          </w:tcPr>
          <w:p>
            <w:pPr>
              <w:ind w:left="80"/>
              <w:spacing w:after="0"/>
              <w:rPr>
                <w:sz w:val="20"/>
                <w:szCs w:val="20"/>
                <w:color w:val="auto"/>
              </w:rPr>
            </w:pPr>
            <w:r>
              <w:rPr>
                <w:rFonts w:ascii="Arial" w:cs="Arial" w:eastAsia="Arial" w:hAnsi="Arial"/>
                <w:sz w:val="18"/>
                <w:szCs w:val="18"/>
                <w:b w:val="1"/>
                <w:bCs w:val="1"/>
                <w:color w:val="auto"/>
              </w:rPr>
              <w:t>Peter J. Federico</w:t>
            </w:r>
          </w:p>
        </w:tc>
        <w:tc>
          <w:tcPr>
            <w:tcW w:w="4380" w:type="dxa"/>
            <w:vAlign w:val="bottom"/>
          </w:tcPr>
          <w:p>
            <w:pPr>
              <w:jc w:val="right"/>
              <w:ind w:right="1374"/>
              <w:spacing w:after="0"/>
              <w:rPr>
                <w:sz w:val="20"/>
                <w:szCs w:val="20"/>
                <w:color w:val="auto"/>
              </w:rPr>
            </w:pPr>
            <w:r>
              <w:rPr>
                <w:rFonts w:ascii="Arial" w:cs="Arial" w:eastAsia="Arial" w:hAnsi="Arial"/>
                <w:sz w:val="18"/>
                <w:szCs w:val="18"/>
                <w:color w:val="auto"/>
              </w:rPr>
              <w:t>2,180,462</w:t>
            </w:r>
          </w:p>
        </w:tc>
        <w:tc>
          <w:tcPr>
            <w:tcW w:w="3260" w:type="dxa"/>
            <w:vAlign w:val="bottom"/>
          </w:tcPr>
          <w:p>
            <w:pPr>
              <w:jc w:val="center"/>
              <w:spacing w:after="0"/>
              <w:rPr>
                <w:sz w:val="20"/>
                <w:szCs w:val="20"/>
                <w:color w:val="auto"/>
              </w:rPr>
            </w:pPr>
            <w:r>
              <w:rPr>
                <w:rFonts w:ascii="Arial" w:cs="Arial" w:eastAsia="Arial" w:hAnsi="Arial"/>
                <w:sz w:val="18"/>
                <w:szCs w:val="18"/>
                <w:color w:val="auto"/>
                <w:w w:val="91"/>
              </w:rPr>
              <w:t>121.1%</w:t>
            </w:r>
          </w:p>
        </w:tc>
      </w:tr>
      <w:tr>
        <w:trPr>
          <w:trHeight w:val="216"/>
        </w:trPr>
        <w:tc>
          <w:tcPr>
            <w:tcW w:w="338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Christopher J. Kuehl</w:t>
            </w:r>
          </w:p>
        </w:tc>
        <w:tc>
          <w:tcPr>
            <w:tcW w:w="4380" w:type="dxa"/>
            <w:vAlign w:val="bottom"/>
            <w:shd w:val="clear" w:color="auto" w:fill="CCEEFF"/>
          </w:tcPr>
          <w:p>
            <w:pPr>
              <w:jc w:val="right"/>
              <w:ind w:right="1374"/>
              <w:spacing w:after="0"/>
              <w:rPr>
                <w:sz w:val="20"/>
                <w:szCs w:val="20"/>
                <w:color w:val="auto"/>
              </w:rPr>
            </w:pPr>
            <w:r>
              <w:rPr>
                <w:rFonts w:ascii="Arial" w:cs="Arial" w:eastAsia="Arial" w:hAnsi="Arial"/>
                <w:sz w:val="18"/>
                <w:szCs w:val="18"/>
                <w:color w:val="auto"/>
              </w:rPr>
              <w:t>1,876,480</w:t>
            </w:r>
          </w:p>
        </w:tc>
        <w:tc>
          <w:tcPr>
            <w:tcW w:w="326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8"/>
              </w:rPr>
              <w:t>117.3%</w:t>
            </w:r>
          </w:p>
        </w:tc>
      </w:tr>
      <w:tr>
        <w:trPr>
          <w:trHeight w:val="216"/>
        </w:trPr>
        <w:tc>
          <w:tcPr>
            <w:tcW w:w="3380" w:type="dxa"/>
            <w:vAlign w:val="bottom"/>
          </w:tcPr>
          <w:p>
            <w:pPr>
              <w:ind w:left="60"/>
              <w:spacing w:after="0"/>
              <w:rPr>
                <w:sz w:val="20"/>
                <w:szCs w:val="20"/>
                <w:color w:val="auto"/>
              </w:rPr>
            </w:pPr>
            <w:r>
              <w:rPr>
                <w:rFonts w:ascii="Arial" w:cs="Arial" w:eastAsia="Arial" w:hAnsi="Arial"/>
                <w:sz w:val="18"/>
                <w:szCs w:val="18"/>
                <w:b w:val="1"/>
                <w:bCs w:val="1"/>
                <w:color w:val="auto"/>
              </w:rPr>
              <w:t>Aaron J. Pas</w:t>
            </w:r>
          </w:p>
        </w:tc>
        <w:tc>
          <w:tcPr>
            <w:tcW w:w="4380" w:type="dxa"/>
            <w:vAlign w:val="bottom"/>
          </w:tcPr>
          <w:p>
            <w:pPr>
              <w:jc w:val="right"/>
              <w:ind w:right="1374"/>
              <w:spacing w:after="0"/>
              <w:rPr>
                <w:sz w:val="20"/>
                <w:szCs w:val="20"/>
                <w:color w:val="auto"/>
              </w:rPr>
            </w:pPr>
            <w:r>
              <w:rPr>
                <w:rFonts w:ascii="Arial" w:cs="Arial" w:eastAsia="Arial" w:hAnsi="Arial"/>
                <w:sz w:val="18"/>
                <w:szCs w:val="18"/>
                <w:color w:val="auto"/>
              </w:rPr>
              <w:t>720,120</w:t>
            </w:r>
          </w:p>
        </w:tc>
        <w:tc>
          <w:tcPr>
            <w:tcW w:w="3260" w:type="dxa"/>
            <w:vAlign w:val="bottom"/>
          </w:tcPr>
          <w:p>
            <w:pPr>
              <w:jc w:val="center"/>
              <w:spacing w:after="0"/>
              <w:rPr>
                <w:sz w:val="20"/>
                <w:szCs w:val="20"/>
                <w:color w:val="auto"/>
              </w:rPr>
            </w:pPr>
            <w:r>
              <w:rPr>
                <w:rFonts w:ascii="Arial" w:cs="Arial" w:eastAsia="Arial" w:hAnsi="Arial"/>
                <w:sz w:val="18"/>
                <w:szCs w:val="18"/>
                <w:color w:val="auto"/>
                <w:w w:val="88"/>
              </w:rPr>
              <w:t>113.0%</w:t>
            </w:r>
          </w:p>
        </w:tc>
      </w:tr>
      <w:tr>
        <w:trPr>
          <w:trHeight w:val="216"/>
        </w:trPr>
        <w:tc>
          <w:tcPr>
            <w:tcW w:w="3380" w:type="dxa"/>
            <w:vAlign w:val="bottom"/>
            <w:tcBorders>
              <w:bottom w:val="single" w:sz="8" w:color="407CCA"/>
            </w:tcBorders>
            <w:shd w:val="clear" w:color="auto" w:fill="CCEEFF"/>
          </w:tcPr>
          <w:p>
            <w:pPr>
              <w:ind w:left="80"/>
              <w:spacing w:after="0"/>
              <w:rPr>
                <w:sz w:val="20"/>
                <w:szCs w:val="20"/>
                <w:color w:val="auto"/>
              </w:rPr>
            </w:pPr>
            <w:r>
              <w:rPr>
                <w:rFonts w:ascii="Arial" w:cs="Arial" w:eastAsia="Arial" w:hAnsi="Arial"/>
                <w:sz w:val="18"/>
                <w:szCs w:val="18"/>
                <w:b w:val="1"/>
                <w:bCs w:val="1"/>
                <w:color w:val="auto"/>
              </w:rPr>
              <w:t>Kenneth L. Pollack</w:t>
            </w:r>
          </w:p>
        </w:tc>
        <w:tc>
          <w:tcPr>
            <w:tcW w:w="4380" w:type="dxa"/>
            <w:vAlign w:val="bottom"/>
            <w:tcBorders>
              <w:bottom w:val="single" w:sz="8" w:color="407CCA"/>
            </w:tcBorders>
            <w:shd w:val="clear" w:color="auto" w:fill="CCEEFF"/>
          </w:tcPr>
          <w:p>
            <w:pPr>
              <w:jc w:val="right"/>
              <w:ind w:right="1374"/>
              <w:spacing w:after="0"/>
              <w:rPr>
                <w:sz w:val="20"/>
                <w:szCs w:val="20"/>
                <w:color w:val="auto"/>
              </w:rPr>
            </w:pPr>
            <w:r>
              <w:rPr>
                <w:rFonts w:ascii="Arial" w:cs="Arial" w:eastAsia="Arial" w:hAnsi="Arial"/>
                <w:sz w:val="18"/>
                <w:szCs w:val="18"/>
                <w:color w:val="auto"/>
              </w:rPr>
              <w:t>480,080</w:t>
            </w:r>
          </w:p>
        </w:tc>
        <w:tc>
          <w:tcPr>
            <w:tcW w:w="3260" w:type="dxa"/>
            <w:vAlign w:val="bottom"/>
            <w:tcBorders>
              <w:bottom w:val="single" w:sz="8" w:color="407CCA"/>
            </w:tcBorders>
            <w:shd w:val="clear" w:color="auto" w:fill="CCEEFF"/>
          </w:tcPr>
          <w:p>
            <w:pPr>
              <w:jc w:val="center"/>
              <w:spacing w:after="0"/>
              <w:rPr>
                <w:sz w:val="20"/>
                <w:szCs w:val="20"/>
                <w:color w:val="auto"/>
              </w:rPr>
            </w:pPr>
            <w:r>
              <w:rPr>
                <w:rFonts w:ascii="Arial" w:cs="Arial" w:eastAsia="Arial" w:hAnsi="Arial"/>
                <w:sz w:val="18"/>
                <w:szCs w:val="18"/>
                <w:color w:val="auto"/>
                <w:w w:val="88"/>
              </w:rPr>
              <w:t>113.0%</w:t>
            </w:r>
          </w:p>
        </w:tc>
      </w:tr>
    </w:tbl>
    <w:p>
      <w:pPr>
        <w:spacing w:after="0" w:line="202" w:lineRule="exact"/>
        <w:rPr>
          <w:sz w:val="20"/>
          <w:szCs w:val="20"/>
          <w:color w:val="auto"/>
        </w:rPr>
      </w:pPr>
    </w:p>
    <w:p>
      <w:pPr>
        <w:ind w:left="200" w:right="140" w:firstLine="881"/>
        <w:spacing w:after="0" w:line="254" w:lineRule="auto"/>
        <w:rPr>
          <w:sz w:val="20"/>
          <w:szCs w:val="20"/>
          <w:color w:val="auto"/>
        </w:rPr>
      </w:pPr>
      <w:r>
        <w:rPr>
          <w:rFonts w:ascii="Arial" w:cs="Arial" w:eastAsia="Arial" w:hAnsi="Arial"/>
          <w:sz w:val="18"/>
          <w:szCs w:val="18"/>
          <w:color w:val="auto"/>
        </w:rPr>
        <w:t>2017 cash bonus awards for certain of our NEOs had been subject to minimum guarantees, but in light of the Company’s strong performance in 2017 and based on the Committee’s evaluation of scorecard and personal performance, the Compensation Committee awarded short-term incentive compensation in excess of amounts guaranteed to these NEOs in 2017. Specifically, in connection with the hiring of Mr. Pollack in July 2016, we guaranteed that he would receive a minimum bonus equal to 75% of his base salary or $318,750 for 2017. Additionally, to encourage Messrs. Kain, Federico, and Kuehl to accept new employment agreements in November 2016 with a greater percentage of their compensation “at risk,” the Company agreed that 2017 bonuses to each of them would be at least equal to 75% of his respective target bonus. As noted above, bonus awards for each of these executives for 2017 performance exceeded these minimum amounts. There are no bonus guarantees for these executives in 2018 or beyond.</w:t>
      </w:r>
    </w:p>
    <w:p>
      <w:pPr>
        <w:spacing w:after="0" w:line="192"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2017 Long-Term Incentive Awards</w:t>
      </w:r>
    </w:p>
    <w:p>
      <w:pPr>
        <w:spacing w:after="0" w:line="117" w:lineRule="exact"/>
        <w:rPr>
          <w:sz w:val="20"/>
          <w:szCs w:val="20"/>
          <w:color w:val="auto"/>
        </w:rPr>
      </w:pPr>
    </w:p>
    <w:p>
      <w:pPr>
        <w:ind w:left="200" w:right="80" w:firstLine="771"/>
        <w:spacing w:after="0" w:line="264" w:lineRule="auto"/>
        <w:rPr>
          <w:sz w:val="20"/>
          <w:szCs w:val="20"/>
          <w:color w:val="auto"/>
        </w:rPr>
      </w:pPr>
      <w:r>
        <w:rPr>
          <w:rFonts w:ascii="Arial" w:cs="Arial" w:eastAsia="Arial" w:hAnsi="Arial"/>
          <w:sz w:val="18"/>
          <w:szCs w:val="18"/>
          <w:color w:val="auto"/>
        </w:rPr>
        <w:t>Each of our NEOs has a target long-term incentive award pursuant to the terms of their employment agreement or offer letter. For each of our executive officers, their 2017 long-term incentive awards consist of an allocation of time-vested AGNC RSUs, performance-vested AGNC RSUs, and time-vested PIP awards in MTGE, in each case as determined by the Compensation Committee.</w:t>
      </w:r>
    </w:p>
    <w:p>
      <w:pPr>
        <w:spacing w:after="0" w:line="109"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50</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40"/>
          </w:cols>
          <w:pgMar w:left="240" w:top="459" w:right="419" w:bottom="1440" w:gutter="0" w:footer="0" w:header="0"/>
        </w:sectPr>
      </w:pPr>
    </w:p>
    <w:bookmarkStart w:id="54" w:name="page55"/>
    <w:bookmarkEnd w:id="5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ind w:right="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200" w:right="720" w:firstLine="771"/>
        <w:spacing w:after="0" w:line="277" w:lineRule="auto"/>
        <w:rPr>
          <w:sz w:val="20"/>
          <w:szCs w:val="20"/>
          <w:color w:val="auto"/>
        </w:rPr>
      </w:pPr>
      <w:r>
        <w:rPr>
          <w:rFonts w:ascii="Arial" w:cs="Arial" w:eastAsia="Arial" w:hAnsi="Arial"/>
          <w:sz w:val="18"/>
          <w:szCs w:val="18"/>
          <w:color w:val="auto"/>
        </w:rPr>
        <w:t>These 2017 long-term incentive awards made by the Compensation Committee were at each NEO’s target levels as specified in their respective employment agreement or offer letter, as applicable, and are reflected in the following table:</w:t>
      </w:r>
    </w:p>
    <w:p>
      <w:pPr>
        <w:spacing w:after="0" w:line="207" w:lineRule="exact"/>
        <w:rPr>
          <w:sz w:val="20"/>
          <w:szCs w:val="20"/>
          <w:color w:val="auto"/>
        </w:rPr>
      </w:pPr>
    </w:p>
    <w:p>
      <w:pPr>
        <w:jc w:val="center"/>
        <w:ind w:right="40"/>
        <w:spacing w:after="0"/>
        <w:rPr>
          <w:sz w:val="20"/>
          <w:szCs w:val="20"/>
          <w:color w:val="auto"/>
        </w:rPr>
      </w:pPr>
      <w:r>
        <w:rPr>
          <w:rFonts w:ascii="Arial" w:cs="Arial" w:eastAsia="Arial" w:hAnsi="Arial"/>
          <w:sz w:val="13"/>
          <w:szCs w:val="13"/>
          <w:b w:val="1"/>
          <w:bCs w:val="1"/>
          <w:color w:val="auto"/>
        </w:rPr>
        <w:t>Mix of Long-Term Incentive Awards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-91440</wp:posOffset>
            </wp:positionV>
            <wp:extent cx="6997700" cy="889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tbl>
      <w:tblPr>
        <w:tblLayout w:type="fixed"/>
        <w:tblInd w:w="220" w:type="dxa"/>
        <w:tblCellMar>
          <w:top w:w="0" w:type="dxa"/>
          <w:left w:w="0" w:type="dxa"/>
          <w:bottom w:w="0" w:type="dxa"/>
          <w:right w:w="0" w:type="dxa"/>
        </w:tblCellMar>
      </w:tblPr>
      <w:tr>
        <w:trPr>
          <w:trHeight w:val="110"/>
        </w:trPr>
        <w:tc>
          <w:tcPr>
            <w:tcW w:w="3320" w:type="dxa"/>
            <w:vAlign w:val="bottom"/>
            <w:tcBorders>
              <w:top w:val="single" w:sz="8" w:color="407CCA"/>
            </w:tcBorders>
          </w:tcPr>
          <w:p>
            <w:pPr>
              <w:spacing w:after="0"/>
              <w:rPr>
                <w:sz w:val="9"/>
                <w:szCs w:val="9"/>
                <w:color w:val="auto"/>
              </w:rPr>
            </w:pPr>
          </w:p>
        </w:tc>
        <w:tc>
          <w:tcPr>
            <w:tcW w:w="2820" w:type="dxa"/>
            <w:vAlign w:val="bottom"/>
            <w:tcBorders>
              <w:top w:val="single" w:sz="8" w:color="407CCA"/>
            </w:tcBorders>
          </w:tcPr>
          <w:p>
            <w:pPr>
              <w:jc w:val="center"/>
              <w:ind w:left="1021"/>
              <w:spacing w:after="0" w:line="110" w:lineRule="exact"/>
              <w:rPr>
                <w:sz w:val="20"/>
                <w:szCs w:val="20"/>
                <w:color w:val="auto"/>
              </w:rPr>
            </w:pPr>
            <w:r>
              <w:rPr>
                <w:rFonts w:ascii="Arial" w:cs="Arial" w:eastAsia="Arial" w:hAnsi="Arial"/>
                <w:sz w:val="12"/>
                <w:szCs w:val="12"/>
                <w:b w:val="1"/>
                <w:bCs w:val="1"/>
                <w:color w:val="auto"/>
              </w:rPr>
              <w:t>AGNC</w:t>
            </w:r>
          </w:p>
        </w:tc>
        <w:tc>
          <w:tcPr>
            <w:tcW w:w="2020" w:type="dxa"/>
            <w:vAlign w:val="bottom"/>
            <w:tcBorders>
              <w:top w:val="single" w:sz="8" w:color="407CCA"/>
            </w:tcBorders>
          </w:tcPr>
          <w:p>
            <w:pPr>
              <w:jc w:val="center"/>
              <w:spacing w:after="0" w:line="110" w:lineRule="exact"/>
              <w:rPr>
                <w:sz w:val="20"/>
                <w:szCs w:val="20"/>
                <w:color w:val="auto"/>
              </w:rPr>
            </w:pPr>
            <w:r>
              <w:rPr>
                <w:rFonts w:ascii="Arial" w:cs="Arial" w:eastAsia="Arial" w:hAnsi="Arial"/>
                <w:sz w:val="12"/>
                <w:szCs w:val="12"/>
                <w:b w:val="1"/>
                <w:bCs w:val="1"/>
                <w:color w:val="auto"/>
              </w:rPr>
              <w:t>AGNC</w:t>
            </w:r>
          </w:p>
        </w:tc>
        <w:tc>
          <w:tcPr>
            <w:tcW w:w="1520" w:type="dxa"/>
            <w:vAlign w:val="bottom"/>
            <w:tcBorders>
              <w:top w:val="single" w:sz="8" w:color="407CCA"/>
            </w:tcBorders>
          </w:tcPr>
          <w:p>
            <w:pPr>
              <w:spacing w:after="0"/>
              <w:rPr>
                <w:sz w:val="9"/>
                <w:szCs w:val="9"/>
                <w:color w:val="auto"/>
              </w:rPr>
            </w:pPr>
          </w:p>
        </w:tc>
        <w:tc>
          <w:tcPr>
            <w:tcW w:w="1340" w:type="dxa"/>
            <w:vAlign w:val="bottom"/>
            <w:tcBorders>
              <w:top w:val="single" w:sz="8" w:color="407CCA"/>
            </w:tcBorders>
          </w:tcPr>
          <w:p>
            <w:pPr>
              <w:spacing w:after="0"/>
              <w:rPr>
                <w:sz w:val="9"/>
                <w:szCs w:val="9"/>
                <w:color w:val="auto"/>
              </w:rPr>
            </w:pPr>
          </w:p>
        </w:tc>
        <w:tc>
          <w:tcPr>
            <w:tcW w:w="0" w:type="dxa"/>
            <w:vAlign w:val="bottom"/>
          </w:tcPr>
          <w:p>
            <w:pPr>
              <w:spacing w:after="0"/>
              <w:rPr>
                <w:sz w:val="1"/>
                <w:szCs w:val="1"/>
                <w:color w:val="auto"/>
              </w:rPr>
            </w:pPr>
          </w:p>
        </w:tc>
      </w:tr>
      <w:tr>
        <w:trPr>
          <w:trHeight w:val="135"/>
        </w:trPr>
        <w:tc>
          <w:tcPr>
            <w:tcW w:w="3320" w:type="dxa"/>
            <w:vAlign w:val="bottom"/>
            <w:vMerge w:val="restart"/>
          </w:tcPr>
          <w:p>
            <w:pPr>
              <w:ind w:left="80"/>
              <w:spacing w:after="0"/>
              <w:rPr>
                <w:sz w:val="20"/>
                <w:szCs w:val="20"/>
                <w:color w:val="auto"/>
              </w:rPr>
            </w:pPr>
            <w:r>
              <w:rPr>
                <w:rFonts w:ascii="Arial" w:cs="Arial" w:eastAsia="Arial" w:hAnsi="Arial"/>
                <w:sz w:val="18"/>
                <w:szCs w:val="18"/>
                <w:b w:val="1"/>
                <w:bCs w:val="1"/>
                <w:color w:val="auto"/>
              </w:rPr>
              <w:t>NEO</w:t>
            </w:r>
          </w:p>
        </w:tc>
        <w:tc>
          <w:tcPr>
            <w:tcW w:w="2820" w:type="dxa"/>
            <w:vAlign w:val="bottom"/>
          </w:tcPr>
          <w:p>
            <w:pPr>
              <w:jc w:val="center"/>
              <w:ind w:left="1021"/>
              <w:spacing w:after="0" w:line="135" w:lineRule="exact"/>
              <w:rPr>
                <w:sz w:val="20"/>
                <w:szCs w:val="20"/>
                <w:color w:val="auto"/>
              </w:rPr>
            </w:pPr>
            <w:r>
              <w:rPr>
                <w:rFonts w:ascii="Arial" w:cs="Arial" w:eastAsia="Arial" w:hAnsi="Arial"/>
                <w:sz w:val="13"/>
                <w:szCs w:val="13"/>
                <w:b w:val="1"/>
                <w:bCs w:val="1"/>
                <w:color w:val="auto"/>
                <w:w w:val="87"/>
              </w:rPr>
              <w:t>Time-Vested</w:t>
            </w:r>
          </w:p>
        </w:tc>
        <w:tc>
          <w:tcPr>
            <w:tcW w:w="202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86"/>
              </w:rPr>
              <w:t>Performance-Vested</w:t>
            </w:r>
          </w:p>
        </w:tc>
        <w:tc>
          <w:tcPr>
            <w:tcW w:w="1520" w:type="dxa"/>
            <w:vAlign w:val="bottom"/>
          </w:tcPr>
          <w:p>
            <w:pPr>
              <w:jc w:val="right"/>
              <w:ind w:right="318"/>
              <w:spacing w:after="0" w:line="135" w:lineRule="exact"/>
              <w:rPr>
                <w:sz w:val="20"/>
                <w:szCs w:val="20"/>
                <w:color w:val="auto"/>
              </w:rPr>
            </w:pPr>
            <w:r>
              <w:rPr>
                <w:rFonts w:ascii="Arial" w:cs="Arial" w:eastAsia="Arial" w:hAnsi="Arial"/>
                <w:sz w:val="13"/>
                <w:szCs w:val="13"/>
                <w:b w:val="1"/>
                <w:bCs w:val="1"/>
                <w:color w:val="auto"/>
              </w:rPr>
              <w:t>MTGE PIP</w:t>
            </w:r>
          </w:p>
        </w:tc>
        <w:tc>
          <w:tcPr>
            <w:tcW w:w="1340" w:type="dxa"/>
            <w:vAlign w:val="bottom"/>
          </w:tcPr>
          <w:p>
            <w:pPr>
              <w:jc w:val="right"/>
              <w:ind w:right="238"/>
              <w:spacing w:after="0" w:line="135" w:lineRule="exact"/>
              <w:rPr>
                <w:sz w:val="20"/>
                <w:szCs w:val="20"/>
                <w:color w:val="auto"/>
              </w:rPr>
            </w:pPr>
            <w:r>
              <w:rPr>
                <w:rFonts w:ascii="Arial" w:cs="Arial" w:eastAsia="Arial" w:hAnsi="Arial"/>
                <w:sz w:val="13"/>
                <w:szCs w:val="13"/>
                <w:b w:val="1"/>
                <w:bCs w:val="1"/>
                <w:color w:val="auto"/>
              </w:rPr>
              <w:t>Total Value</w:t>
            </w:r>
          </w:p>
        </w:tc>
        <w:tc>
          <w:tcPr>
            <w:tcW w:w="0" w:type="dxa"/>
            <w:vAlign w:val="bottom"/>
          </w:tcPr>
          <w:p>
            <w:pPr>
              <w:spacing w:after="0"/>
              <w:rPr>
                <w:sz w:val="1"/>
                <w:szCs w:val="1"/>
                <w:color w:val="auto"/>
              </w:rPr>
            </w:pPr>
          </w:p>
        </w:tc>
      </w:tr>
      <w:tr>
        <w:trPr>
          <w:trHeight w:val="153"/>
        </w:trPr>
        <w:tc>
          <w:tcPr>
            <w:tcW w:w="3320" w:type="dxa"/>
            <w:vAlign w:val="bottom"/>
            <w:tcBorders>
              <w:bottom w:val="single" w:sz="8" w:color="407CCA"/>
            </w:tcBorders>
            <w:vMerge w:val="continue"/>
          </w:tcPr>
          <w:p>
            <w:pPr>
              <w:spacing w:after="0"/>
              <w:rPr>
                <w:sz w:val="13"/>
                <w:szCs w:val="13"/>
                <w:color w:val="auto"/>
              </w:rPr>
            </w:pPr>
          </w:p>
        </w:tc>
        <w:tc>
          <w:tcPr>
            <w:tcW w:w="2820" w:type="dxa"/>
            <w:vAlign w:val="bottom"/>
            <w:tcBorders>
              <w:bottom w:val="single" w:sz="8" w:color="407CCA"/>
            </w:tcBorders>
          </w:tcPr>
          <w:p>
            <w:pPr>
              <w:jc w:val="center"/>
              <w:ind w:left="1021"/>
              <w:spacing w:after="0"/>
              <w:rPr>
                <w:sz w:val="20"/>
                <w:szCs w:val="20"/>
                <w:color w:val="auto"/>
              </w:rPr>
            </w:pPr>
            <w:r>
              <w:rPr>
                <w:rFonts w:ascii="Arial" w:cs="Arial" w:eastAsia="Arial" w:hAnsi="Arial"/>
                <w:sz w:val="13"/>
                <w:szCs w:val="13"/>
                <w:b w:val="1"/>
                <w:bCs w:val="1"/>
                <w:color w:val="auto"/>
                <w:w w:val="90"/>
              </w:rPr>
              <w:t>RSUs</w:t>
            </w:r>
            <w:r>
              <w:rPr>
                <w:rFonts w:ascii="Arial" w:cs="Arial" w:eastAsia="Arial" w:hAnsi="Arial"/>
                <w:sz w:val="10"/>
                <w:szCs w:val="10"/>
                <w:b w:val="1"/>
                <w:bCs w:val="1"/>
                <w:color w:val="auto"/>
                <w:w w:val="90"/>
              </w:rPr>
              <w:t>(1)</w:t>
            </w:r>
            <w:r>
              <w:rPr>
                <w:rFonts w:ascii="Arial" w:cs="Arial" w:eastAsia="Arial" w:hAnsi="Arial"/>
                <w:sz w:val="13"/>
                <w:szCs w:val="13"/>
                <w:b w:val="1"/>
                <w:bCs w:val="1"/>
                <w:color w:val="auto"/>
                <w:w w:val="90"/>
              </w:rPr>
              <w:t xml:space="preserve"> ($)</w:t>
            </w:r>
          </w:p>
        </w:tc>
        <w:tc>
          <w:tcPr>
            <w:tcW w:w="2020" w:type="dxa"/>
            <w:vAlign w:val="bottom"/>
            <w:tcBorders>
              <w:bottom w:val="single" w:sz="8" w:color="407CCA"/>
            </w:tcBorders>
          </w:tcPr>
          <w:p>
            <w:pPr>
              <w:jc w:val="center"/>
              <w:spacing w:after="0"/>
              <w:rPr>
                <w:sz w:val="20"/>
                <w:szCs w:val="20"/>
                <w:color w:val="auto"/>
              </w:rPr>
            </w:pPr>
            <w:r>
              <w:rPr>
                <w:rFonts w:ascii="Arial" w:cs="Arial" w:eastAsia="Arial" w:hAnsi="Arial"/>
                <w:sz w:val="13"/>
                <w:szCs w:val="13"/>
                <w:b w:val="1"/>
                <w:bCs w:val="1"/>
                <w:color w:val="auto"/>
                <w:w w:val="90"/>
              </w:rPr>
              <w:t>RSUs</w:t>
            </w:r>
            <w:r>
              <w:rPr>
                <w:rFonts w:ascii="Arial" w:cs="Arial" w:eastAsia="Arial" w:hAnsi="Arial"/>
                <w:sz w:val="10"/>
                <w:szCs w:val="10"/>
                <w:b w:val="1"/>
                <w:bCs w:val="1"/>
                <w:color w:val="auto"/>
                <w:w w:val="90"/>
              </w:rPr>
              <w:t>(2)</w:t>
            </w:r>
            <w:r>
              <w:rPr>
                <w:rFonts w:ascii="Arial" w:cs="Arial" w:eastAsia="Arial" w:hAnsi="Arial"/>
                <w:sz w:val="13"/>
                <w:szCs w:val="13"/>
                <w:b w:val="1"/>
                <w:bCs w:val="1"/>
                <w:color w:val="auto"/>
                <w:w w:val="90"/>
              </w:rPr>
              <w:t xml:space="preserve"> ($)</w:t>
            </w:r>
          </w:p>
        </w:tc>
        <w:tc>
          <w:tcPr>
            <w:tcW w:w="1520" w:type="dxa"/>
            <w:vAlign w:val="bottom"/>
            <w:tcBorders>
              <w:bottom w:val="single" w:sz="8" w:color="407CCA"/>
            </w:tcBorders>
          </w:tcPr>
          <w:p>
            <w:pPr>
              <w:jc w:val="right"/>
              <w:ind w:right="298"/>
              <w:spacing w:after="0"/>
              <w:rPr>
                <w:sz w:val="20"/>
                <w:szCs w:val="20"/>
                <w:color w:val="auto"/>
              </w:rPr>
            </w:pPr>
            <w:r>
              <w:rPr>
                <w:rFonts w:ascii="Arial" w:cs="Arial" w:eastAsia="Arial" w:hAnsi="Arial"/>
                <w:sz w:val="13"/>
                <w:szCs w:val="13"/>
                <w:b w:val="1"/>
                <w:bCs w:val="1"/>
                <w:color w:val="auto"/>
              </w:rPr>
              <w:t>Shares</w:t>
            </w:r>
            <w:r>
              <w:rPr>
                <w:rFonts w:ascii="Arial" w:cs="Arial" w:eastAsia="Arial" w:hAnsi="Arial"/>
                <w:sz w:val="10"/>
                <w:szCs w:val="10"/>
                <w:b w:val="1"/>
                <w:bCs w:val="1"/>
                <w:color w:val="auto"/>
              </w:rPr>
              <w:t>(3)</w:t>
            </w:r>
            <w:r>
              <w:rPr>
                <w:rFonts w:ascii="Arial" w:cs="Arial" w:eastAsia="Arial" w:hAnsi="Arial"/>
                <w:sz w:val="13"/>
                <w:szCs w:val="13"/>
                <w:b w:val="1"/>
                <w:bCs w:val="1"/>
                <w:color w:val="auto"/>
              </w:rPr>
              <w:t xml:space="preserve"> ($)</w:t>
            </w:r>
          </w:p>
        </w:tc>
        <w:tc>
          <w:tcPr>
            <w:tcW w:w="1340" w:type="dxa"/>
            <w:vAlign w:val="bottom"/>
            <w:tcBorders>
              <w:bottom w:val="single" w:sz="8" w:color="407CCA"/>
            </w:tcBorders>
          </w:tcPr>
          <w:p>
            <w:pPr>
              <w:jc w:val="right"/>
              <w:ind w:right="198"/>
              <w:spacing w:after="0"/>
              <w:rPr>
                <w:sz w:val="20"/>
                <w:szCs w:val="20"/>
                <w:color w:val="auto"/>
              </w:rPr>
            </w:pPr>
            <w:r>
              <w:rPr>
                <w:rFonts w:ascii="Arial" w:cs="Arial" w:eastAsia="Arial" w:hAnsi="Arial"/>
                <w:sz w:val="13"/>
                <w:szCs w:val="13"/>
                <w:b w:val="1"/>
                <w:bCs w:val="1"/>
                <w:color w:val="auto"/>
              </w:rPr>
              <w:t>of Award ($)</w:t>
            </w:r>
          </w:p>
        </w:tc>
        <w:tc>
          <w:tcPr>
            <w:tcW w:w="0" w:type="dxa"/>
            <w:vAlign w:val="bottom"/>
          </w:tcPr>
          <w:p>
            <w:pPr>
              <w:spacing w:after="0"/>
              <w:rPr>
                <w:sz w:val="1"/>
                <w:szCs w:val="1"/>
                <w:color w:val="auto"/>
              </w:rPr>
            </w:pPr>
          </w:p>
        </w:tc>
      </w:tr>
      <w:tr>
        <w:trPr>
          <w:trHeight w:val="210"/>
        </w:trPr>
        <w:tc>
          <w:tcPr>
            <w:tcW w:w="332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Gary D. Kain</w:t>
            </w:r>
          </w:p>
        </w:tc>
        <w:tc>
          <w:tcPr>
            <w:tcW w:w="2820" w:type="dxa"/>
            <w:vAlign w:val="bottom"/>
            <w:shd w:val="clear" w:color="auto" w:fill="CCEEFF"/>
          </w:tcPr>
          <w:p>
            <w:pPr>
              <w:jc w:val="right"/>
              <w:ind w:right="401"/>
              <w:spacing w:after="0"/>
              <w:rPr>
                <w:sz w:val="20"/>
                <w:szCs w:val="20"/>
                <w:color w:val="auto"/>
              </w:rPr>
            </w:pPr>
            <w:r>
              <w:rPr>
                <w:rFonts w:ascii="Arial" w:cs="Arial" w:eastAsia="Arial" w:hAnsi="Arial"/>
                <w:sz w:val="18"/>
                <w:szCs w:val="18"/>
                <w:color w:val="auto"/>
              </w:rPr>
              <w:t>1,889,990</w:t>
            </w:r>
          </w:p>
        </w:tc>
        <w:tc>
          <w:tcPr>
            <w:tcW w:w="2020" w:type="dxa"/>
            <w:vAlign w:val="bottom"/>
            <w:shd w:val="clear" w:color="auto" w:fill="CCEEFF"/>
          </w:tcPr>
          <w:p>
            <w:pPr>
              <w:jc w:val="right"/>
              <w:ind w:right="381"/>
              <w:spacing w:after="0"/>
              <w:rPr>
                <w:sz w:val="20"/>
                <w:szCs w:val="20"/>
                <w:color w:val="auto"/>
              </w:rPr>
            </w:pPr>
            <w:r>
              <w:rPr>
                <w:rFonts w:ascii="Arial" w:cs="Arial" w:eastAsia="Arial" w:hAnsi="Arial"/>
                <w:sz w:val="18"/>
                <w:szCs w:val="18"/>
                <w:color w:val="auto"/>
              </w:rPr>
              <w:t>2,700,010</w:t>
            </w:r>
          </w:p>
        </w:tc>
        <w:tc>
          <w:tcPr>
            <w:tcW w:w="1520" w:type="dxa"/>
            <w:vAlign w:val="bottom"/>
            <w:shd w:val="clear" w:color="auto" w:fill="CCEEFF"/>
          </w:tcPr>
          <w:p>
            <w:pPr>
              <w:jc w:val="right"/>
              <w:ind w:right="298"/>
              <w:spacing w:after="0"/>
              <w:rPr>
                <w:sz w:val="20"/>
                <w:szCs w:val="20"/>
                <w:color w:val="auto"/>
              </w:rPr>
            </w:pPr>
            <w:r>
              <w:rPr>
                <w:rFonts w:ascii="Arial" w:cs="Arial" w:eastAsia="Arial" w:hAnsi="Arial"/>
                <w:sz w:val="18"/>
                <w:szCs w:val="18"/>
                <w:color w:val="auto"/>
              </w:rPr>
              <w:t>810,000</w:t>
            </w:r>
          </w:p>
        </w:tc>
        <w:tc>
          <w:tcPr>
            <w:tcW w:w="1340" w:type="dxa"/>
            <w:vAlign w:val="bottom"/>
            <w:shd w:val="clear" w:color="auto" w:fill="CCEEFF"/>
          </w:tcPr>
          <w:p>
            <w:pPr>
              <w:jc w:val="right"/>
              <w:ind w:right="158"/>
              <w:spacing w:after="0"/>
              <w:rPr>
                <w:sz w:val="20"/>
                <w:szCs w:val="20"/>
                <w:color w:val="auto"/>
              </w:rPr>
            </w:pPr>
            <w:r>
              <w:rPr>
                <w:rFonts w:ascii="Arial" w:cs="Arial" w:eastAsia="Arial" w:hAnsi="Arial"/>
                <w:sz w:val="18"/>
                <w:szCs w:val="18"/>
                <w:color w:val="auto"/>
              </w:rPr>
              <w:t>5,400,000</w:t>
            </w:r>
          </w:p>
        </w:tc>
        <w:tc>
          <w:tcPr>
            <w:tcW w:w="0" w:type="dxa"/>
            <w:vAlign w:val="bottom"/>
          </w:tcPr>
          <w:p>
            <w:pPr>
              <w:spacing w:after="0"/>
              <w:rPr>
                <w:sz w:val="1"/>
                <w:szCs w:val="1"/>
                <w:color w:val="auto"/>
              </w:rPr>
            </w:pPr>
          </w:p>
        </w:tc>
      </w:tr>
      <w:tr>
        <w:trPr>
          <w:trHeight w:val="216"/>
        </w:trPr>
        <w:tc>
          <w:tcPr>
            <w:tcW w:w="3320" w:type="dxa"/>
            <w:vAlign w:val="bottom"/>
          </w:tcPr>
          <w:p>
            <w:pPr>
              <w:ind w:left="80"/>
              <w:spacing w:after="0"/>
              <w:rPr>
                <w:sz w:val="20"/>
                <w:szCs w:val="20"/>
                <w:color w:val="auto"/>
              </w:rPr>
            </w:pPr>
            <w:r>
              <w:rPr>
                <w:rFonts w:ascii="Arial" w:cs="Arial" w:eastAsia="Arial" w:hAnsi="Arial"/>
                <w:sz w:val="18"/>
                <w:szCs w:val="18"/>
                <w:b w:val="1"/>
                <w:bCs w:val="1"/>
                <w:color w:val="auto"/>
              </w:rPr>
              <w:t>Peter J. Federico</w:t>
            </w:r>
          </w:p>
        </w:tc>
        <w:tc>
          <w:tcPr>
            <w:tcW w:w="2820" w:type="dxa"/>
            <w:vAlign w:val="bottom"/>
          </w:tcPr>
          <w:p>
            <w:pPr>
              <w:jc w:val="right"/>
              <w:ind w:right="401"/>
              <w:spacing w:after="0"/>
              <w:rPr>
                <w:sz w:val="20"/>
                <w:szCs w:val="20"/>
                <w:color w:val="auto"/>
              </w:rPr>
            </w:pPr>
            <w:r>
              <w:rPr>
                <w:rFonts w:ascii="Arial" w:cs="Arial" w:eastAsia="Arial" w:hAnsi="Arial"/>
                <w:sz w:val="18"/>
                <w:szCs w:val="18"/>
                <w:color w:val="auto"/>
              </w:rPr>
              <w:t>629,994</w:t>
            </w:r>
          </w:p>
        </w:tc>
        <w:tc>
          <w:tcPr>
            <w:tcW w:w="2020" w:type="dxa"/>
            <w:vAlign w:val="bottom"/>
          </w:tcPr>
          <w:p>
            <w:pPr>
              <w:jc w:val="right"/>
              <w:ind w:right="381"/>
              <w:spacing w:after="0"/>
              <w:rPr>
                <w:sz w:val="20"/>
                <w:szCs w:val="20"/>
                <w:color w:val="auto"/>
              </w:rPr>
            </w:pPr>
            <w:r>
              <w:rPr>
                <w:rFonts w:ascii="Arial" w:cs="Arial" w:eastAsia="Arial" w:hAnsi="Arial"/>
                <w:sz w:val="18"/>
                <w:szCs w:val="18"/>
                <w:color w:val="auto"/>
              </w:rPr>
              <w:t>900,006</w:t>
            </w:r>
          </w:p>
        </w:tc>
        <w:tc>
          <w:tcPr>
            <w:tcW w:w="1520" w:type="dxa"/>
            <w:vAlign w:val="bottom"/>
          </w:tcPr>
          <w:p>
            <w:pPr>
              <w:jc w:val="right"/>
              <w:ind w:right="298"/>
              <w:spacing w:after="0"/>
              <w:rPr>
                <w:sz w:val="20"/>
                <w:szCs w:val="20"/>
                <w:color w:val="auto"/>
              </w:rPr>
            </w:pPr>
            <w:r>
              <w:rPr>
                <w:rFonts w:ascii="Arial" w:cs="Arial" w:eastAsia="Arial" w:hAnsi="Arial"/>
                <w:sz w:val="18"/>
                <w:szCs w:val="18"/>
                <w:color w:val="auto"/>
              </w:rPr>
              <w:t>270,000</w:t>
            </w:r>
          </w:p>
        </w:tc>
        <w:tc>
          <w:tcPr>
            <w:tcW w:w="1340" w:type="dxa"/>
            <w:vAlign w:val="bottom"/>
          </w:tcPr>
          <w:p>
            <w:pPr>
              <w:jc w:val="right"/>
              <w:ind w:right="158"/>
              <w:spacing w:after="0"/>
              <w:rPr>
                <w:sz w:val="20"/>
                <w:szCs w:val="20"/>
                <w:color w:val="auto"/>
              </w:rPr>
            </w:pPr>
            <w:r>
              <w:rPr>
                <w:rFonts w:ascii="Arial" w:cs="Arial" w:eastAsia="Arial" w:hAnsi="Arial"/>
                <w:sz w:val="18"/>
                <w:szCs w:val="18"/>
                <w:color w:val="auto"/>
              </w:rPr>
              <w:t>1,800,000</w:t>
            </w:r>
          </w:p>
        </w:tc>
        <w:tc>
          <w:tcPr>
            <w:tcW w:w="0" w:type="dxa"/>
            <w:vAlign w:val="bottom"/>
          </w:tcPr>
          <w:p>
            <w:pPr>
              <w:spacing w:after="0"/>
              <w:rPr>
                <w:sz w:val="1"/>
                <w:szCs w:val="1"/>
                <w:color w:val="auto"/>
              </w:rPr>
            </w:pPr>
          </w:p>
        </w:tc>
      </w:tr>
      <w:tr>
        <w:trPr>
          <w:trHeight w:val="216"/>
        </w:trPr>
        <w:tc>
          <w:tcPr>
            <w:tcW w:w="332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Christopher J. Kuehl</w:t>
            </w:r>
          </w:p>
        </w:tc>
        <w:tc>
          <w:tcPr>
            <w:tcW w:w="2820" w:type="dxa"/>
            <w:vAlign w:val="bottom"/>
            <w:shd w:val="clear" w:color="auto" w:fill="CCEEFF"/>
          </w:tcPr>
          <w:p>
            <w:pPr>
              <w:jc w:val="right"/>
              <w:ind w:right="401"/>
              <w:spacing w:after="0"/>
              <w:rPr>
                <w:sz w:val="20"/>
                <w:szCs w:val="20"/>
                <w:color w:val="auto"/>
              </w:rPr>
            </w:pPr>
            <w:r>
              <w:rPr>
                <w:rFonts w:ascii="Arial" w:cs="Arial" w:eastAsia="Arial" w:hAnsi="Arial"/>
                <w:sz w:val="18"/>
                <w:szCs w:val="18"/>
                <w:color w:val="auto"/>
              </w:rPr>
              <w:t>349,994</w:t>
            </w:r>
          </w:p>
        </w:tc>
        <w:tc>
          <w:tcPr>
            <w:tcW w:w="2020" w:type="dxa"/>
            <w:vAlign w:val="bottom"/>
            <w:shd w:val="clear" w:color="auto" w:fill="CCEEFF"/>
          </w:tcPr>
          <w:p>
            <w:pPr>
              <w:jc w:val="right"/>
              <w:ind w:right="381"/>
              <w:spacing w:after="0"/>
              <w:rPr>
                <w:sz w:val="20"/>
                <w:szCs w:val="20"/>
                <w:color w:val="auto"/>
              </w:rPr>
            </w:pPr>
            <w:r>
              <w:rPr>
                <w:rFonts w:ascii="Arial" w:cs="Arial" w:eastAsia="Arial" w:hAnsi="Arial"/>
                <w:sz w:val="18"/>
                <w:szCs w:val="18"/>
                <w:color w:val="auto"/>
              </w:rPr>
              <w:t>700,006</w:t>
            </w:r>
          </w:p>
        </w:tc>
        <w:tc>
          <w:tcPr>
            <w:tcW w:w="1520" w:type="dxa"/>
            <w:vAlign w:val="bottom"/>
            <w:shd w:val="clear" w:color="auto" w:fill="CCEEFF"/>
          </w:tcPr>
          <w:p>
            <w:pPr>
              <w:jc w:val="right"/>
              <w:ind w:right="298"/>
              <w:spacing w:after="0"/>
              <w:rPr>
                <w:sz w:val="20"/>
                <w:szCs w:val="20"/>
                <w:color w:val="auto"/>
              </w:rPr>
            </w:pPr>
            <w:r>
              <w:rPr>
                <w:rFonts w:ascii="Arial" w:cs="Arial" w:eastAsia="Arial" w:hAnsi="Arial"/>
                <w:sz w:val="18"/>
                <w:szCs w:val="18"/>
                <w:color w:val="auto"/>
              </w:rPr>
              <w:t>350,000</w:t>
            </w:r>
          </w:p>
        </w:tc>
        <w:tc>
          <w:tcPr>
            <w:tcW w:w="1340" w:type="dxa"/>
            <w:vAlign w:val="bottom"/>
            <w:shd w:val="clear" w:color="auto" w:fill="CCEEFF"/>
          </w:tcPr>
          <w:p>
            <w:pPr>
              <w:jc w:val="right"/>
              <w:ind w:right="158"/>
              <w:spacing w:after="0"/>
              <w:rPr>
                <w:sz w:val="20"/>
                <w:szCs w:val="20"/>
                <w:color w:val="auto"/>
              </w:rPr>
            </w:pPr>
            <w:r>
              <w:rPr>
                <w:rFonts w:ascii="Arial" w:cs="Arial" w:eastAsia="Arial" w:hAnsi="Arial"/>
                <w:sz w:val="18"/>
                <w:szCs w:val="18"/>
                <w:color w:val="auto"/>
              </w:rPr>
              <w:t>1,400,000</w:t>
            </w:r>
          </w:p>
        </w:tc>
        <w:tc>
          <w:tcPr>
            <w:tcW w:w="0" w:type="dxa"/>
            <w:vAlign w:val="bottom"/>
          </w:tcPr>
          <w:p>
            <w:pPr>
              <w:spacing w:after="0"/>
              <w:rPr>
                <w:sz w:val="1"/>
                <w:szCs w:val="1"/>
                <w:color w:val="auto"/>
              </w:rPr>
            </w:pPr>
          </w:p>
        </w:tc>
      </w:tr>
      <w:tr>
        <w:trPr>
          <w:trHeight w:val="216"/>
        </w:trPr>
        <w:tc>
          <w:tcPr>
            <w:tcW w:w="3320" w:type="dxa"/>
            <w:vAlign w:val="bottom"/>
          </w:tcPr>
          <w:p>
            <w:pPr>
              <w:ind w:left="60"/>
              <w:spacing w:after="0"/>
              <w:rPr>
                <w:sz w:val="20"/>
                <w:szCs w:val="20"/>
                <w:color w:val="auto"/>
              </w:rPr>
            </w:pPr>
            <w:r>
              <w:rPr>
                <w:rFonts w:ascii="Arial" w:cs="Arial" w:eastAsia="Arial" w:hAnsi="Arial"/>
                <w:sz w:val="18"/>
                <w:szCs w:val="18"/>
                <w:b w:val="1"/>
                <w:bCs w:val="1"/>
                <w:color w:val="auto"/>
              </w:rPr>
              <w:t>Aaron J. Pas</w:t>
            </w:r>
          </w:p>
        </w:tc>
        <w:tc>
          <w:tcPr>
            <w:tcW w:w="2820" w:type="dxa"/>
            <w:vAlign w:val="bottom"/>
          </w:tcPr>
          <w:p>
            <w:pPr>
              <w:jc w:val="right"/>
              <w:ind w:right="401"/>
              <w:spacing w:after="0"/>
              <w:rPr>
                <w:sz w:val="20"/>
                <w:szCs w:val="20"/>
                <w:color w:val="auto"/>
              </w:rPr>
            </w:pPr>
            <w:r>
              <w:rPr>
                <w:rFonts w:ascii="Arial" w:cs="Arial" w:eastAsia="Arial" w:hAnsi="Arial"/>
                <w:sz w:val="18"/>
                <w:szCs w:val="18"/>
                <w:color w:val="auto"/>
              </w:rPr>
              <w:t>212,506</w:t>
            </w:r>
          </w:p>
        </w:tc>
        <w:tc>
          <w:tcPr>
            <w:tcW w:w="2020" w:type="dxa"/>
            <w:vAlign w:val="bottom"/>
          </w:tcPr>
          <w:p>
            <w:pPr>
              <w:jc w:val="right"/>
              <w:ind w:right="381"/>
              <w:spacing w:after="0"/>
              <w:rPr>
                <w:sz w:val="20"/>
                <w:szCs w:val="20"/>
                <w:color w:val="auto"/>
              </w:rPr>
            </w:pPr>
            <w:r>
              <w:rPr>
                <w:rFonts w:ascii="Arial" w:cs="Arial" w:eastAsia="Arial" w:hAnsi="Arial"/>
                <w:sz w:val="18"/>
                <w:szCs w:val="18"/>
                <w:color w:val="auto"/>
              </w:rPr>
              <w:t>106,244</w:t>
            </w:r>
          </w:p>
        </w:tc>
        <w:tc>
          <w:tcPr>
            <w:tcW w:w="1520" w:type="dxa"/>
            <w:vAlign w:val="bottom"/>
          </w:tcPr>
          <w:p>
            <w:pPr>
              <w:jc w:val="right"/>
              <w:ind w:right="298"/>
              <w:spacing w:after="0"/>
              <w:rPr>
                <w:sz w:val="20"/>
                <w:szCs w:val="20"/>
                <w:color w:val="auto"/>
              </w:rPr>
            </w:pPr>
            <w:r>
              <w:rPr>
                <w:rFonts w:ascii="Arial" w:cs="Arial" w:eastAsia="Arial" w:hAnsi="Arial"/>
                <w:sz w:val="18"/>
                <w:szCs w:val="18"/>
                <w:color w:val="auto"/>
              </w:rPr>
              <w:t>106,250</w:t>
            </w:r>
          </w:p>
        </w:tc>
        <w:tc>
          <w:tcPr>
            <w:tcW w:w="1340" w:type="dxa"/>
            <w:vAlign w:val="bottom"/>
          </w:tcPr>
          <w:p>
            <w:pPr>
              <w:jc w:val="right"/>
              <w:ind w:right="158"/>
              <w:spacing w:after="0"/>
              <w:rPr>
                <w:sz w:val="20"/>
                <w:szCs w:val="20"/>
                <w:color w:val="auto"/>
              </w:rPr>
            </w:pPr>
            <w:r>
              <w:rPr>
                <w:rFonts w:ascii="Arial" w:cs="Arial" w:eastAsia="Arial" w:hAnsi="Arial"/>
                <w:sz w:val="18"/>
                <w:szCs w:val="18"/>
                <w:color w:val="auto"/>
              </w:rPr>
              <w:t>425,000</w:t>
            </w:r>
          </w:p>
        </w:tc>
        <w:tc>
          <w:tcPr>
            <w:tcW w:w="0" w:type="dxa"/>
            <w:vAlign w:val="bottom"/>
          </w:tcPr>
          <w:p>
            <w:pPr>
              <w:spacing w:after="0"/>
              <w:rPr>
                <w:sz w:val="1"/>
                <w:szCs w:val="1"/>
                <w:color w:val="auto"/>
              </w:rPr>
            </w:pPr>
          </w:p>
        </w:tc>
      </w:tr>
      <w:tr>
        <w:trPr>
          <w:trHeight w:val="216"/>
        </w:trPr>
        <w:tc>
          <w:tcPr>
            <w:tcW w:w="3320" w:type="dxa"/>
            <w:vAlign w:val="bottom"/>
            <w:tcBorders>
              <w:bottom w:val="single" w:sz="8" w:color="407CCA"/>
            </w:tcBorders>
            <w:shd w:val="clear" w:color="auto" w:fill="CCEEFF"/>
          </w:tcPr>
          <w:p>
            <w:pPr>
              <w:ind w:left="80"/>
              <w:spacing w:after="0"/>
              <w:rPr>
                <w:sz w:val="20"/>
                <w:szCs w:val="20"/>
                <w:color w:val="auto"/>
              </w:rPr>
            </w:pPr>
            <w:r>
              <w:rPr>
                <w:rFonts w:ascii="Arial" w:cs="Arial" w:eastAsia="Arial" w:hAnsi="Arial"/>
                <w:sz w:val="18"/>
                <w:szCs w:val="18"/>
                <w:b w:val="1"/>
                <w:bCs w:val="1"/>
                <w:color w:val="auto"/>
              </w:rPr>
              <w:t>Kenneth L. Pollack</w:t>
            </w:r>
          </w:p>
        </w:tc>
        <w:tc>
          <w:tcPr>
            <w:tcW w:w="2820" w:type="dxa"/>
            <w:vAlign w:val="bottom"/>
            <w:tcBorders>
              <w:bottom w:val="single" w:sz="8" w:color="407CCA"/>
            </w:tcBorders>
            <w:shd w:val="clear" w:color="auto" w:fill="CCEEFF"/>
          </w:tcPr>
          <w:p>
            <w:pPr>
              <w:jc w:val="right"/>
              <w:ind w:right="401"/>
              <w:spacing w:after="0"/>
              <w:rPr>
                <w:sz w:val="20"/>
                <w:szCs w:val="20"/>
                <w:color w:val="auto"/>
              </w:rPr>
            </w:pPr>
            <w:r>
              <w:rPr>
                <w:rFonts w:ascii="Arial" w:cs="Arial" w:eastAsia="Arial" w:hAnsi="Arial"/>
                <w:sz w:val="18"/>
                <w:szCs w:val="18"/>
                <w:color w:val="auto"/>
              </w:rPr>
              <w:t>120,000</w:t>
            </w:r>
          </w:p>
        </w:tc>
        <w:tc>
          <w:tcPr>
            <w:tcW w:w="2020" w:type="dxa"/>
            <w:vAlign w:val="bottom"/>
            <w:tcBorders>
              <w:bottom w:val="single" w:sz="8" w:color="407CCA"/>
            </w:tcBorders>
            <w:shd w:val="clear" w:color="auto" w:fill="CCEEFF"/>
          </w:tcPr>
          <w:p>
            <w:pPr>
              <w:jc w:val="right"/>
              <w:ind w:right="381"/>
              <w:spacing w:after="0"/>
              <w:rPr>
                <w:sz w:val="20"/>
                <w:szCs w:val="20"/>
                <w:color w:val="auto"/>
              </w:rPr>
            </w:pPr>
            <w:r>
              <w:rPr>
                <w:rFonts w:ascii="Arial" w:cs="Arial" w:eastAsia="Arial" w:hAnsi="Arial"/>
                <w:sz w:val="18"/>
                <w:szCs w:val="18"/>
                <w:color w:val="auto"/>
              </w:rPr>
              <w:t>60,000</w:t>
            </w:r>
          </w:p>
        </w:tc>
        <w:tc>
          <w:tcPr>
            <w:tcW w:w="1520" w:type="dxa"/>
            <w:vAlign w:val="bottom"/>
            <w:tcBorders>
              <w:bottom w:val="single" w:sz="8" w:color="407CCA"/>
            </w:tcBorders>
            <w:shd w:val="clear" w:color="auto" w:fill="CCEEFF"/>
          </w:tcPr>
          <w:p>
            <w:pPr>
              <w:jc w:val="right"/>
              <w:ind w:right="298"/>
              <w:spacing w:after="0"/>
              <w:rPr>
                <w:sz w:val="20"/>
                <w:szCs w:val="20"/>
                <w:color w:val="auto"/>
              </w:rPr>
            </w:pPr>
            <w:r>
              <w:rPr>
                <w:rFonts w:ascii="Arial" w:cs="Arial" w:eastAsia="Arial" w:hAnsi="Arial"/>
                <w:sz w:val="18"/>
                <w:szCs w:val="18"/>
                <w:color w:val="auto"/>
              </w:rPr>
              <w:t>60,000</w:t>
            </w:r>
          </w:p>
        </w:tc>
        <w:tc>
          <w:tcPr>
            <w:tcW w:w="1340" w:type="dxa"/>
            <w:vAlign w:val="bottom"/>
            <w:tcBorders>
              <w:bottom w:val="single" w:sz="8" w:color="407CCA"/>
            </w:tcBorders>
            <w:shd w:val="clear" w:color="auto" w:fill="CCEEFF"/>
          </w:tcPr>
          <w:p>
            <w:pPr>
              <w:jc w:val="right"/>
              <w:ind w:right="158"/>
              <w:spacing w:after="0"/>
              <w:rPr>
                <w:sz w:val="20"/>
                <w:szCs w:val="20"/>
                <w:color w:val="auto"/>
              </w:rPr>
            </w:pPr>
            <w:r>
              <w:rPr>
                <w:rFonts w:ascii="Arial" w:cs="Arial" w:eastAsia="Arial" w:hAnsi="Arial"/>
                <w:sz w:val="18"/>
                <w:szCs w:val="18"/>
                <w:color w:val="auto"/>
              </w:rPr>
              <w:t>240,000</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222885</wp:posOffset>
            </wp:positionV>
            <wp:extent cx="2444115" cy="889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extLst>
                    </a:blip>
                    <a:srcRect/>
                    <a:stretch>
                      <a:fillRect/>
                    </a:stretch>
                  </pic:blipFill>
                  <pic:spPr bwMode="auto">
                    <a:xfrm>
                      <a:off x="0" y="0"/>
                      <a:ext cx="2444115" cy="8890"/>
                    </a:xfrm>
                    <a:prstGeom prst="rect">
                      <a:avLst/>
                    </a:prstGeom>
                    <a:noFill/>
                  </pic:spPr>
                </pic:pic>
              </a:graphicData>
            </a:graphic>
          </wp:anchor>
        </w:drawing>
      </w:r>
    </w:p>
    <w:p>
      <w:pPr>
        <w:spacing w:after="0" w:line="200" w:lineRule="exact"/>
        <w:rPr>
          <w:sz w:val="20"/>
          <w:szCs w:val="20"/>
          <w:color w:val="auto"/>
        </w:rPr>
      </w:pPr>
    </w:p>
    <w:p>
      <w:pPr>
        <w:spacing w:after="0" w:line="288" w:lineRule="exact"/>
        <w:rPr>
          <w:sz w:val="20"/>
          <w:szCs w:val="20"/>
          <w:color w:val="auto"/>
        </w:rPr>
      </w:pPr>
    </w:p>
    <w:p>
      <w:pPr>
        <w:ind w:left="200"/>
        <w:spacing w:after="0"/>
        <w:rPr>
          <w:sz w:val="20"/>
          <w:szCs w:val="20"/>
          <w:color w:val="auto"/>
        </w:rPr>
      </w:pPr>
      <w:r>
        <w:rPr>
          <w:rFonts w:ascii="Arial" w:cs="Arial" w:eastAsia="Arial" w:hAnsi="Arial"/>
          <w:sz w:val="14"/>
          <w:szCs w:val="14"/>
          <w:color w:val="auto"/>
        </w:rPr>
        <w:t>1 Awards vest annually over a three-year period, and distributions may be deferred for up to 10 years.</w:t>
      </w:r>
    </w:p>
    <w:p>
      <w:pPr>
        <w:spacing w:after="0" w:line="109" w:lineRule="exact"/>
        <w:rPr>
          <w:sz w:val="20"/>
          <w:szCs w:val="20"/>
          <w:color w:val="auto"/>
        </w:rPr>
      </w:pPr>
    </w:p>
    <w:p>
      <w:pPr>
        <w:ind w:left="320" w:right="180" w:hanging="107"/>
        <w:spacing w:after="0" w:line="291" w:lineRule="auto"/>
        <w:rPr>
          <w:sz w:val="20"/>
          <w:szCs w:val="20"/>
          <w:color w:val="auto"/>
        </w:rPr>
      </w:pPr>
      <w:r>
        <w:rPr>
          <w:rFonts w:ascii="Arial" w:cs="Arial" w:eastAsia="Arial" w:hAnsi="Arial"/>
          <w:sz w:val="13"/>
          <w:szCs w:val="13"/>
          <w:color w:val="auto"/>
        </w:rPr>
        <w:t>2 Represents target grant-date fair value and assumes performance achievement at 100% of target. Performance payouts may range from 0% to 200% of target based on actual performance. Awards are subject to 3-year cliff vesting and distributions may be deferred for up to 10 years. See “Incentive Compensation” in “Compensation Discussion and Analysis.”</w:t>
      </w:r>
    </w:p>
    <w:p>
      <w:pPr>
        <w:spacing w:after="0" w:line="155" w:lineRule="exact"/>
        <w:rPr>
          <w:sz w:val="20"/>
          <w:szCs w:val="20"/>
          <w:color w:val="auto"/>
        </w:rPr>
      </w:pPr>
    </w:p>
    <w:p>
      <w:pPr>
        <w:ind w:left="200" w:right="200" w:firstLine="771"/>
        <w:spacing w:after="0" w:line="259" w:lineRule="auto"/>
        <w:rPr>
          <w:sz w:val="20"/>
          <w:szCs w:val="20"/>
          <w:color w:val="auto"/>
        </w:rPr>
      </w:pPr>
      <w:r>
        <w:rPr>
          <w:rFonts w:ascii="Arial" w:cs="Arial" w:eastAsia="Arial" w:hAnsi="Arial"/>
          <w:sz w:val="18"/>
          <w:szCs w:val="18"/>
          <w:color w:val="auto"/>
        </w:rPr>
        <w:t>The grant-date fair value of these awards is included in the Summary Compensation Table and Grants of Plan-Based Awards Table below. The ultimate value of the AGNC RSUs will depend on AGNC’s total stockholder return over the vesting period, and in the case of the performance-vested RSUs, AGNC’s absolute and relative economic return over the three-year performance period. The ultimate value of the MTGE PIP shares will depend on MTGE’s total stockholder return over the vesting period.</w:t>
      </w:r>
    </w:p>
    <w:p>
      <w:pPr>
        <w:spacing w:after="0" w:line="183"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Other Compensation Policies and Practices</w:t>
      </w:r>
    </w:p>
    <w:p>
      <w:pPr>
        <w:spacing w:after="0" w:line="121"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Stock Ownership Guidelines</w:t>
      </w:r>
    </w:p>
    <w:p>
      <w:pPr>
        <w:spacing w:after="0" w:line="117" w:lineRule="exact"/>
        <w:rPr>
          <w:sz w:val="20"/>
          <w:szCs w:val="20"/>
          <w:color w:val="auto"/>
        </w:rPr>
      </w:pPr>
    </w:p>
    <w:p>
      <w:pPr>
        <w:ind w:left="200" w:right="20" w:firstLine="771"/>
        <w:spacing w:after="0" w:line="273" w:lineRule="auto"/>
        <w:rPr>
          <w:sz w:val="20"/>
          <w:szCs w:val="20"/>
          <w:color w:val="auto"/>
        </w:rPr>
      </w:pPr>
      <w:r>
        <w:rPr>
          <w:rFonts w:ascii="Arial" w:cs="Arial" w:eastAsia="Arial" w:hAnsi="Arial"/>
          <w:sz w:val="17"/>
          <w:szCs w:val="17"/>
          <w:color w:val="auto"/>
        </w:rPr>
        <w:t>We strongly encourage all of our executive officers to hold a significant number of shares of Company common stock. We have adopted stock ownership guidelines for our most senior officers in furtherance of this objective. The guidelines require our most senior executive officers to own, within five years of adoption of the policy or becoming subject to the policy, a minimum number of shares of our common stock based on a multiple of base salary, which is 6x for our CEO and Chief Investment Officer and 3x for our President and any Executive Vice President. Each executive officer is expected to retain at least 50% of the shares of common stock received upon vesting or earn-out of stock-based compensation, net of any shares withheld or sold to pay taxes on such income, until the foregoing ownership requirements are met.</w:t>
      </w:r>
    </w:p>
    <w:p>
      <w:pPr>
        <w:spacing w:after="0" w:line="178" w:lineRule="exact"/>
        <w:rPr>
          <w:sz w:val="20"/>
          <w:szCs w:val="20"/>
          <w:color w:val="auto"/>
        </w:rPr>
      </w:pPr>
    </w:p>
    <w:p>
      <w:pPr>
        <w:ind w:left="200" w:right="180" w:firstLine="771"/>
        <w:spacing w:after="0" w:line="279" w:lineRule="auto"/>
        <w:rPr>
          <w:sz w:val="20"/>
          <w:szCs w:val="20"/>
          <w:color w:val="auto"/>
        </w:rPr>
      </w:pPr>
      <w:r>
        <w:rPr>
          <w:rFonts w:ascii="Arial" w:cs="Arial" w:eastAsia="Arial" w:hAnsi="Arial"/>
          <w:sz w:val="17"/>
          <w:szCs w:val="17"/>
          <w:color w:val="auto"/>
        </w:rPr>
        <w:t>The NEOs’ ownership of our common stock is shown in the table on pages 58 and 64 of this proxy statement. As of December 31, 2017, Mr. Kain held in excess of 12 times, and Messrs. Federico and Kuehl each held in excess of six times their respective base salary calculated in accordance with our guidelines. Shares of time-vested restricted stock units (net of anticipated tax withholdings) granted under the 2016 Plan (whether vested, unvested, or subject to a deferral election) are included in determining the number of shares held for this purpose.</w:t>
      </w:r>
    </w:p>
    <w:p>
      <w:pPr>
        <w:spacing w:after="0" w:line="171"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Anti-Hedging and Pledging Policy</w:t>
      </w:r>
    </w:p>
    <w:p>
      <w:pPr>
        <w:spacing w:after="0" w:line="117" w:lineRule="exact"/>
        <w:rPr>
          <w:sz w:val="20"/>
          <w:szCs w:val="20"/>
          <w:color w:val="auto"/>
        </w:rPr>
      </w:pPr>
    </w:p>
    <w:p>
      <w:pPr>
        <w:ind w:left="200" w:right="60" w:firstLine="771"/>
        <w:spacing w:after="0" w:line="279" w:lineRule="auto"/>
        <w:rPr>
          <w:sz w:val="20"/>
          <w:szCs w:val="20"/>
          <w:color w:val="auto"/>
        </w:rPr>
      </w:pPr>
      <w:r>
        <w:rPr>
          <w:rFonts w:ascii="Arial" w:cs="Arial" w:eastAsia="Arial" w:hAnsi="Arial"/>
          <w:sz w:val="17"/>
          <w:szCs w:val="17"/>
          <w:color w:val="auto"/>
        </w:rPr>
        <w:t>Our Board of Directors has adopted a policy prohibiting our executive officers and directors from any hedging, pledging, or entering into margin loans with respect to any shares of our common stock or from engaging in short sales of our common stock or entering into any other transaction or derivative agreement where he or she would earn a profit based on a decline of our stock price. By way of example, transactions prohibited under the policy may include options, short sales, puts, calls, or derivative actions such as forwards, futures, or swaps.</w:t>
      </w:r>
    </w:p>
    <w:p>
      <w:pPr>
        <w:spacing w:after="0" w:line="100" w:lineRule="exact"/>
        <w:rPr>
          <w:sz w:val="20"/>
          <w:szCs w:val="20"/>
          <w:color w:val="auto"/>
        </w:rPr>
      </w:pPr>
    </w:p>
    <w:p>
      <w:pPr>
        <w:jc w:val="right"/>
        <w:ind w:right="20"/>
        <w:spacing w:after="0"/>
        <w:tabs>
          <w:tab w:leader="none" w:pos="1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51</w:t>
      </w:r>
    </w:p>
    <w:p>
      <w:pPr>
        <w:sectPr>
          <w:pgSz w:w="11900" w:h="16838" w:orient="portrait"/>
          <w:cols w:equalWidth="0" w:num="1">
            <w:col w:w="11240"/>
          </w:cols>
          <w:pgMar w:left="240" w:top="459" w:right="419" w:bottom="1440" w:gutter="0" w:footer="0" w:header="0"/>
        </w:sectPr>
      </w:pPr>
    </w:p>
    <w:bookmarkStart w:id="55" w:name="page56"/>
    <w:bookmarkEnd w:id="5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Clawback Policy</w:t>
      </w:r>
    </w:p>
    <w:p>
      <w:pPr>
        <w:spacing w:after="0" w:line="117" w:lineRule="exact"/>
        <w:rPr>
          <w:sz w:val="20"/>
          <w:szCs w:val="20"/>
          <w:color w:val="auto"/>
        </w:rPr>
      </w:pPr>
    </w:p>
    <w:p>
      <w:pPr>
        <w:ind w:left="200" w:right="20" w:firstLine="771"/>
        <w:spacing w:after="0" w:line="255" w:lineRule="auto"/>
        <w:rPr>
          <w:sz w:val="20"/>
          <w:szCs w:val="20"/>
          <w:color w:val="auto"/>
        </w:rPr>
      </w:pPr>
      <w:r>
        <w:rPr>
          <w:rFonts w:ascii="Arial" w:cs="Arial" w:eastAsia="Arial" w:hAnsi="Arial"/>
          <w:sz w:val="18"/>
          <w:szCs w:val="18"/>
          <w:color w:val="auto"/>
        </w:rPr>
        <w:t>We have adopted a clawback policy relating to recovery of certain excess performance-based compensation in the event of an accounting restatement by the Company due to material noncompliance with any financial reporting requirement under U.S. federal securities laws resulting at least in part from the willful fraud, dishonesty, or recklessness of one of the Company’s executive officers in the performance of his or her duties to the Company. Under this policy, the Company would be entitled to seek recovery of the portion of any performance-based compensation paid to our executive officers that would not have been earned had the Company’s restated financial statements been used in the determination of the amount of performance-based compensation originally awarded. This policy includes a three year look back period and will apply to compensation paid to our executive officers following the Internalization.</w:t>
      </w:r>
    </w:p>
    <w:p>
      <w:pPr>
        <w:spacing w:after="0" w:line="189"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Employment Agreements</w:t>
      </w:r>
    </w:p>
    <w:p>
      <w:pPr>
        <w:spacing w:after="0" w:line="117" w:lineRule="exact"/>
        <w:rPr>
          <w:sz w:val="20"/>
          <w:szCs w:val="20"/>
          <w:color w:val="auto"/>
        </w:rPr>
      </w:pPr>
    </w:p>
    <w:p>
      <w:pPr>
        <w:ind w:left="200" w:right="100" w:firstLine="771"/>
        <w:spacing w:after="0" w:line="272" w:lineRule="auto"/>
        <w:rPr>
          <w:sz w:val="20"/>
          <w:szCs w:val="20"/>
          <w:color w:val="auto"/>
        </w:rPr>
      </w:pPr>
      <w:r>
        <w:rPr>
          <w:rFonts w:ascii="Arial" w:cs="Arial" w:eastAsia="Arial" w:hAnsi="Arial"/>
          <w:sz w:val="17"/>
          <w:szCs w:val="17"/>
          <w:color w:val="auto"/>
        </w:rPr>
        <w:t>At the time of the Internalization, the Company inherited the employment agreements that Messrs. Kain, Federico, and Kuehl had in place with our external manager. The Compensation Committee, with the assistance of FW Cook, worked with each of these executives, who voluntarily agreed to negotiate new employment agreements that would shift the balance of their compensation from fixed elements to incentive compensation, thereby further aligning their interests with those of our stockholders on a short- and long-term basis. These new employment agreements, entered into in November 2016, secured the retention of these executives who had a track-record of strong performance. They also are intended to provide appropriate and balanced incentives toward achieving the annual and long-term strategic objectives set by the Compensation Committee and to create a stronger alignment of interests between our executives and our stockholders.</w:t>
      </w:r>
    </w:p>
    <w:p>
      <w:pPr>
        <w:spacing w:after="0" w:line="178" w:lineRule="exact"/>
        <w:rPr>
          <w:sz w:val="20"/>
          <w:szCs w:val="20"/>
          <w:color w:val="auto"/>
        </w:rPr>
      </w:pPr>
    </w:p>
    <w:p>
      <w:pPr>
        <w:ind w:left="200" w:firstLine="771"/>
        <w:spacing w:after="0" w:line="284" w:lineRule="auto"/>
        <w:rPr>
          <w:sz w:val="20"/>
          <w:szCs w:val="20"/>
          <w:color w:val="auto"/>
        </w:rPr>
      </w:pPr>
      <w:r>
        <w:rPr>
          <w:rFonts w:ascii="Arial" w:cs="Arial" w:eastAsia="Arial" w:hAnsi="Arial"/>
          <w:sz w:val="16"/>
          <w:szCs w:val="16"/>
          <w:color w:val="auto"/>
        </w:rPr>
        <w:t>For example, in connection with the renegotiation of his employment agreement, Mr. Kain voluntarily agreed to significant reductions to his base and target incentive compensation to be implemented over the 18-month period following the Internalization. Mr. Kain’s base compensation prior to the Internalization and pursuant to the terms of his prior employment contract was indexed to overall stockholders’ equity of the Company and MTGE such that issuances of new equity in either company could result in an increase in his base pay. Mr. Kain’s annual base salary for 2017 reflected a reduction of approximately $1,000,000 from his base salary of $4.4 million at the time of the Internalization. Commencing January 1, 2018, Mr. Kain’s annual base salary has been further reduced to $1,800,000, per the terms of his amended employment agreement, which is a 59% reduction in Mr. Kain’s base salary over an 18-month period since the Internalization. In contrast to the employment agreement in effect at the time of the Internalization,</w:t>
      </w:r>
    </w:p>
    <w:p>
      <w:pPr>
        <w:spacing w:after="0" w:line="3" w:lineRule="exact"/>
        <w:rPr>
          <w:sz w:val="20"/>
          <w:szCs w:val="20"/>
          <w:color w:val="auto"/>
        </w:rPr>
      </w:pPr>
    </w:p>
    <w:p>
      <w:pPr>
        <w:ind w:left="200" w:right="280"/>
        <w:spacing w:after="0" w:line="255" w:lineRule="auto"/>
        <w:rPr>
          <w:sz w:val="20"/>
          <w:szCs w:val="20"/>
          <w:color w:val="auto"/>
        </w:rPr>
      </w:pPr>
      <w:r>
        <w:rPr>
          <w:rFonts w:ascii="Arial" w:cs="Arial" w:eastAsia="Arial" w:hAnsi="Arial"/>
          <w:sz w:val="18"/>
          <w:szCs w:val="18"/>
          <w:color w:val="auto"/>
        </w:rPr>
        <w:t>Mr. Kain’s base salary did not increase as a result of the $1.4 billion in equity capital raised by the Company in 2017. Mr. Kain’s restructured employment agreement emphasizes performance-based compensation, and a full 88% of his target total compensation will be comprised of incentive compensation in 2018.</w:t>
      </w:r>
    </w:p>
    <w:p>
      <w:pPr>
        <w:spacing w:after="0" w:line="190" w:lineRule="exact"/>
        <w:rPr>
          <w:sz w:val="20"/>
          <w:szCs w:val="20"/>
          <w:color w:val="auto"/>
        </w:rPr>
      </w:pPr>
    </w:p>
    <w:p>
      <w:pPr>
        <w:ind w:left="200" w:right="200" w:firstLine="771"/>
        <w:spacing w:after="0" w:line="293" w:lineRule="auto"/>
        <w:rPr>
          <w:sz w:val="20"/>
          <w:szCs w:val="20"/>
          <w:color w:val="auto"/>
        </w:rPr>
      </w:pPr>
      <w:r>
        <w:rPr>
          <w:rFonts w:ascii="Arial" w:cs="Arial" w:eastAsia="Arial" w:hAnsi="Arial"/>
          <w:sz w:val="16"/>
          <w:szCs w:val="16"/>
          <w:color w:val="auto"/>
        </w:rPr>
        <w:t xml:space="preserve">The employment agreements include certain severance payments and benefits if an NEO that is party to an employment agreement is terminated by the Company without “cause” or by the NEO for “good reason,” as each term is defined in each respective employment agreement, and were the result of arms-length negotiations with these NEOs. The severance provisions included in the employment agreements related to a change of control include a “double trigger” requirement, which we determined was appropriate and in the best interest of our stockholders. </w:t>
      </w:r>
      <w:r>
        <w:rPr>
          <w:rFonts w:ascii="Arial" w:cs="Arial" w:eastAsia="Arial" w:hAnsi="Arial"/>
          <w:sz w:val="16"/>
          <w:szCs w:val="16"/>
          <w:i w:val="1"/>
          <w:iCs w:val="1"/>
          <w:color w:val="auto"/>
        </w:rPr>
        <w:t>See</w:t>
      </w:r>
      <w:r>
        <w:rPr>
          <w:rFonts w:ascii="Arial" w:cs="Arial" w:eastAsia="Arial" w:hAnsi="Arial"/>
          <w:sz w:val="16"/>
          <w:szCs w:val="16"/>
          <w:color w:val="auto"/>
        </w:rPr>
        <w:t xml:space="preserve"> “Severance and Change of Control Payments” below. The employment agreements with these NEOs also include covenants related to post-employment obligations in areas such as competition with us, solicitation of our employees, and the confidentiality of certain information.</w:t>
      </w:r>
    </w:p>
    <w:p>
      <w:pPr>
        <w:spacing w:after="0" w:line="93"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52</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20"/>
          </w:cols>
          <w:pgMar w:left="240" w:top="459" w:right="439" w:bottom="1440" w:gutter="0" w:footer="0" w:header="0"/>
        </w:sectPr>
      </w:pPr>
    </w:p>
    <w:bookmarkStart w:id="56" w:name="page57"/>
    <w:bookmarkEnd w:id="5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200" w:right="540" w:firstLine="771"/>
        <w:spacing w:after="0" w:line="291" w:lineRule="auto"/>
        <w:rPr>
          <w:sz w:val="20"/>
          <w:szCs w:val="20"/>
          <w:color w:val="auto"/>
        </w:rPr>
      </w:pPr>
      <w:r>
        <w:rPr>
          <w:rFonts w:ascii="Arial" w:cs="Arial" w:eastAsia="Arial" w:hAnsi="Arial"/>
          <w:sz w:val="16"/>
          <w:szCs w:val="16"/>
          <w:color w:val="auto"/>
        </w:rPr>
        <w:t>The Compensation Committee reviews the compensation of our executive officers on an annual basis and will make adjustments when warranted by personal performance and internal and external pay equity. After reviewing the overall compensation program for Mr. Pollack,</w:t>
      </w:r>
    </w:p>
    <w:p>
      <w:pPr>
        <w:ind w:left="200" w:right="40"/>
        <w:spacing w:after="0" w:line="268" w:lineRule="auto"/>
        <w:rPr>
          <w:sz w:val="20"/>
          <w:szCs w:val="20"/>
          <w:color w:val="auto"/>
        </w:rPr>
      </w:pPr>
      <w:r>
        <w:rPr>
          <w:rFonts w:ascii="Arial" w:cs="Arial" w:eastAsia="Arial" w:hAnsi="Arial"/>
          <w:sz w:val="17"/>
          <w:szCs w:val="17"/>
          <w:color w:val="auto"/>
        </w:rPr>
        <w:t>Mr. Pollack’s role in the Company, the contributions he has made and is expected to make in the future, and the compensation paid to general counsels of other mortgage REITs and asset management companies, the Committee determined that adjustments to Mr. Pollack’s compensation were warranted. On December 18, 2017, the Company entered into an employment agreement with Mr. Pollack, effective January 1, 2018. Pursuant to the terms of the employment agreement effective January 1, 2018, Mr. Pollack’s base salary will be increased from $425,000 to $500,000 per year, and his target annual long-term equity incentive award will be increased from 80% to 100% of his base salary. The target percentage for his annual cash bonus was unchanged and remains set at 100% of his base salary. Mr. Pollack will be eligible to receive certain severance benefits if his employment is terminated by the Company without cause or in relation to a change of control or by Mr. Pollack for good reason, consistent with those provided for other NEOs as outlined above and as set forth in his employment agreement. Mr. Pollack is also subject to restrictive covenants if his employment with the Company is terminated.</w:t>
      </w:r>
    </w:p>
    <w:p>
      <w:pPr>
        <w:spacing w:after="0" w:line="182"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Retention Bonus Payment</w:t>
      </w:r>
    </w:p>
    <w:p>
      <w:pPr>
        <w:spacing w:after="0" w:line="117" w:lineRule="exact"/>
        <w:rPr>
          <w:sz w:val="20"/>
          <w:szCs w:val="20"/>
          <w:color w:val="auto"/>
        </w:rPr>
      </w:pPr>
    </w:p>
    <w:p>
      <w:pPr>
        <w:ind w:left="200" w:right="40" w:firstLine="771"/>
        <w:spacing w:after="0" w:line="312" w:lineRule="auto"/>
        <w:rPr>
          <w:sz w:val="20"/>
          <w:szCs w:val="20"/>
          <w:color w:val="auto"/>
        </w:rPr>
      </w:pPr>
      <w:r>
        <w:rPr>
          <w:rFonts w:ascii="Arial" w:cs="Arial" w:eastAsia="Arial" w:hAnsi="Arial"/>
          <w:sz w:val="16"/>
          <w:szCs w:val="16"/>
          <w:color w:val="auto"/>
        </w:rPr>
        <w:t>We completed the Internalization in part to reduce our overall cost of operations and to ensure the ongoing continuity of our business and relationship with our portfolio management team. As part of a retention bonus award granted in connection with the Internalization, Mr. Pas (who was not an executive officer of the Company at the time this award was granted) received a bonus of $398,438 on each of March 1, 2017 and March 1, 2018.</w:t>
      </w:r>
    </w:p>
    <w:p>
      <w:pPr>
        <w:spacing w:after="0" w:line="147"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Risk Assessment and Compensation</w:t>
      </w:r>
    </w:p>
    <w:p>
      <w:pPr>
        <w:spacing w:after="0" w:line="117" w:lineRule="exact"/>
        <w:rPr>
          <w:sz w:val="20"/>
          <w:szCs w:val="20"/>
          <w:color w:val="auto"/>
        </w:rPr>
      </w:pPr>
    </w:p>
    <w:p>
      <w:pPr>
        <w:ind w:left="200" w:firstLine="771"/>
        <w:spacing w:after="0" w:line="287" w:lineRule="auto"/>
        <w:rPr>
          <w:sz w:val="20"/>
          <w:szCs w:val="20"/>
          <w:color w:val="auto"/>
        </w:rPr>
      </w:pPr>
      <w:r>
        <w:rPr>
          <w:rFonts w:ascii="Arial" w:cs="Arial" w:eastAsia="Arial" w:hAnsi="Arial"/>
          <w:sz w:val="16"/>
          <w:szCs w:val="16"/>
          <w:color w:val="auto"/>
        </w:rPr>
        <w:t>The Compensation Committee regularly monitors the risks and rewards associated with our compensation program. The Compensation Committee also established our compensation program with the intent to align our interests with stockholders and prevent unnecessary or excessive risk-taking. We believe that our compensation policies and practices are well balanced and designed to avoid creating incentives that encourage unnecessary or excessive risks that could potentially have a material adverse effect on our Company. As described in this Compensation Discussion and Analysis section, we use variable compensation for all of our NEOs, with a focus on performance. We have designed a compensation program that contains a mix of short- and long-term, cash and equity incentive compensation to ensure management focuses on the long-term impact of short-term decisions and that management’s interests are aligned with stockholders. Compliance with the operational risk management guidelines designed to address excessive risk taking and approved by our Board is part of the strategic measures within our scorecard objectives included in our compensation program. The Compensation Committee continually assesses our executive compensation programs and has implemented additional policies and practices that we believe have further mitigated compensation driven risk, including the adoption of a clawback policy applicable to the period following the Internalization and senior executive officer stock ownership guidelines, as described above.</w:t>
      </w:r>
    </w:p>
    <w:p>
      <w:pPr>
        <w:spacing w:after="0" w:line="173"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Tax Considerations</w:t>
      </w:r>
    </w:p>
    <w:p>
      <w:pPr>
        <w:spacing w:after="0" w:line="117" w:lineRule="exact"/>
        <w:rPr>
          <w:sz w:val="20"/>
          <w:szCs w:val="20"/>
          <w:color w:val="auto"/>
        </w:rPr>
      </w:pPr>
    </w:p>
    <w:p>
      <w:pPr>
        <w:ind w:left="200" w:right="80" w:firstLine="771"/>
        <w:spacing w:after="0" w:line="279" w:lineRule="auto"/>
        <w:rPr>
          <w:sz w:val="20"/>
          <w:szCs w:val="20"/>
          <w:color w:val="auto"/>
        </w:rPr>
      </w:pPr>
      <w:r>
        <w:rPr>
          <w:rFonts w:ascii="Arial" w:cs="Arial" w:eastAsia="Arial" w:hAnsi="Arial"/>
          <w:sz w:val="17"/>
          <w:szCs w:val="17"/>
          <w:color w:val="auto"/>
        </w:rPr>
        <w:t>Section 162(m) of the Code generally prohibited any publicly held corporation from taking a federal income tax deduction for compensation in excess of $1 million in any taxable year to an executive officer who is named in the Summary Compensation Table. Exceptions were made for qualified performance-based compensation, among other things. The Tax Cuts and Jobs Act, which was signed into law December 22, 2017, eliminated this performance-based exception, effective January 1, 2018, subject to a special rule that</w:t>
      </w:r>
    </w:p>
    <w:p>
      <w:pPr>
        <w:spacing w:after="0" w:line="100"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53</w:t>
      </w:r>
    </w:p>
    <w:p>
      <w:pPr>
        <w:sectPr>
          <w:pgSz w:w="11900" w:h="16838" w:orient="portrait"/>
          <w:cols w:equalWidth="0" w:num="1">
            <w:col w:w="11220"/>
          </w:cols>
          <w:pgMar w:left="240" w:top="459" w:right="439" w:bottom="1440" w:gutter="0" w:footer="0" w:header="0"/>
        </w:sectPr>
      </w:pPr>
    </w:p>
    <w:bookmarkStart w:id="57" w:name="page58"/>
    <w:bookmarkEnd w:id="5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200"/>
        <w:spacing w:after="0" w:line="289" w:lineRule="auto"/>
        <w:rPr>
          <w:sz w:val="20"/>
          <w:szCs w:val="20"/>
          <w:color w:val="auto"/>
        </w:rPr>
      </w:pPr>
      <w:r>
        <w:rPr>
          <w:rFonts w:ascii="Arial" w:cs="Arial" w:eastAsia="Arial" w:hAnsi="Arial"/>
          <w:sz w:val="16"/>
          <w:szCs w:val="16"/>
          <w:color w:val="auto"/>
        </w:rPr>
        <w:t>“grandfathers” certain awards and arrangements that were in effect on or before November 2, 2017. In structuring our compensation programs, the Compensation Committee had considered this and other provisions; however, the Compensation Committee did not believe that it was necessarily in our best interests and the best interests of our stockholders for all compensation to meet the requirements of Section 162(m) for deductibility. Annual bonuses and time-vesting awards made under the 2016 Plan and the MTGE PIP were not qualified performance awards under Section 162(m), as the Compensation Committee determined that it was appropriate at times to make compensation awards that were non-deductible under Section 162(m) given our overall compensation objectives and considering that as a REIT, we are generally not subject to federal and state corporate income tax. From and after January 1, 2018, compensation awarded in excess of $1 million to our NEOs generally will not be deductible. While the Tax Cuts and Jobs Act will limit the deductibility of compensation paid to the NEOs, the Committee will continue to retain flexibility to design compensation programs that are in the best long-term interests of the Company and our stockholders, with deductibility of compensation being one of a variety of considerations.</w:t>
      </w:r>
    </w:p>
    <w:p>
      <w:pPr>
        <w:spacing w:after="0" w:line="379" w:lineRule="exact"/>
        <w:rPr>
          <w:sz w:val="20"/>
          <w:szCs w:val="20"/>
          <w:color w:val="auto"/>
        </w:rPr>
      </w:pPr>
    </w:p>
    <w:p>
      <w:pPr>
        <w:jc w:val="center"/>
        <w:ind w:right="-219"/>
        <w:spacing w:after="0"/>
        <w:rPr>
          <w:sz w:val="20"/>
          <w:szCs w:val="20"/>
          <w:color w:val="auto"/>
        </w:rPr>
      </w:pPr>
      <w:r>
        <w:rPr>
          <w:rFonts w:ascii="Arial" w:cs="Arial" w:eastAsia="Arial" w:hAnsi="Arial"/>
          <w:sz w:val="18"/>
          <w:szCs w:val="18"/>
          <w:b w:val="1"/>
          <w:bCs w:val="1"/>
          <w:color w:val="auto"/>
        </w:rPr>
        <w:t>Report of the Compensation and Corporate Governance Committee</w:t>
      </w:r>
    </w:p>
    <w:p>
      <w:pPr>
        <w:spacing w:after="0" w:line="229" w:lineRule="exact"/>
        <w:rPr>
          <w:sz w:val="20"/>
          <w:szCs w:val="20"/>
          <w:color w:val="auto"/>
        </w:rPr>
      </w:pPr>
    </w:p>
    <w:p>
      <w:pPr>
        <w:ind w:left="200" w:firstLine="881"/>
        <w:spacing w:after="0" w:line="286" w:lineRule="auto"/>
        <w:rPr>
          <w:sz w:val="20"/>
          <w:szCs w:val="20"/>
          <w:color w:val="auto"/>
        </w:rPr>
      </w:pPr>
      <w:r>
        <w:rPr>
          <w:rFonts w:ascii="Arial" w:cs="Arial" w:eastAsia="Arial" w:hAnsi="Arial"/>
          <w:sz w:val="17"/>
          <w:szCs w:val="17"/>
          <w:color w:val="auto"/>
        </w:rPr>
        <w:t>Our Compensation and Corporate Governance Committee reviewed and discussed with our management the “Compensation Discussion and Analysis” contained in this proxy statement. Based on that review and discussions, our Compensation and Corporate Governance Committee recommends to the Board of Directors that the “Compensation Discussion and Analysis” be included in this proxy statement.</w:t>
      </w:r>
    </w:p>
    <w:p>
      <w:pPr>
        <w:spacing w:after="0" w:line="166" w:lineRule="exact"/>
        <w:rPr>
          <w:sz w:val="20"/>
          <w:szCs w:val="20"/>
          <w:color w:val="auto"/>
        </w:rPr>
      </w:pPr>
    </w:p>
    <w:p>
      <w:pPr>
        <w:ind w:left="7280"/>
        <w:spacing w:after="0"/>
        <w:rPr>
          <w:sz w:val="20"/>
          <w:szCs w:val="20"/>
          <w:color w:val="auto"/>
        </w:rPr>
      </w:pPr>
      <w:r>
        <w:rPr>
          <w:rFonts w:ascii="Arial" w:cs="Arial" w:eastAsia="Arial" w:hAnsi="Arial"/>
          <w:sz w:val="18"/>
          <w:szCs w:val="18"/>
          <w:i w:val="1"/>
          <w:iCs w:val="1"/>
          <w:color w:val="auto"/>
        </w:rPr>
        <w:t>By the Compensation and Corporate</w:t>
      </w:r>
    </w:p>
    <w:p>
      <w:pPr>
        <w:spacing w:after="0" w:line="23" w:lineRule="exact"/>
        <w:rPr>
          <w:sz w:val="20"/>
          <w:szCs w:val="20"/>
          <w:color w:val="auto"/>
        </w:rPr>
      </w:pPr>
    </w:p>
    <w:p>
      <w:pPr>
        <w:ind w:left="7280"/>
        <w:spacing w:after="0"/>
        <w:rPr>
          <w:sz w:val="20"/>
          <w:szCs w:val="20"/>
          <w:color w:val="auto"/>
        </w:rPr>
      </w:pPr>
      <w:r>
        <w:rPr>
          <w:rFonts w:ascii="Arial" w:cs="Arial" w:eastAsia="Arial" w:hAnsi="Arial"/>
          <w:sz w:val="18"/>
          <w:szCs w:val="18"/>
          <w:i w:val="1"/>
          <w:iCs w:val="1"/>
          <w:color w:val="auto"/>
        </w:rPr>
        <w:t>Governance Committee:</w:t>
      </w:r>
    </w:p>
    <w:p>
      <w:pPr>
        <w:spacing w:after="0" w:line="9" w:lineRule="exact"/>
        <w:rPr>
          <w:sz w:val="20"/>
          <w:szCs w:val="20"/>
          <w:color w:val="auto"/>
        </w:rPr>
      </w:pPr>
    </w:p>
    <w:p>
      <w:pPr>
        <w:ind w:left="7280"/>
        <w:spacing w:after="0"/>
        <w:rPr>
          <w:sz w:val="20"/>
          <w:szCs w:val="20"/>
          <w:color w:val="auto"/>
        </w:rPr>
      </w:pPr>
      <w:r>
        <w:rPr>
          <w:rFonts w:ascii="Arial" w:cs="Arial" w:eastAsia="Arial" w:hAnsi="Arial"/>
          <w:sz w:val="18"/>
          <w:szCs w:val="18"/>
          <w:color w:val="auto"/>
        </w:rPr>
        <w:t>Morris A. Davis, Chair</w:t>
      </w:r>
    </w:p>
    <w:p>
      <w:pPr>
        <w:spacing w:after="0" w:line="9" w:lineRule="exact"/>
        <w:rPr>
          <w:sz w:val="20"/>
          <w:szCs w:val="20"/>
          <w:color w:val="auto"/>
        </w:rPr>
      </w:pPr>
    </w:p>
    <w:p>
      <w:pPr>
        <w:ind w:left="7280"/>
        <w:spacing w:after="0"/>
        <w:rPr>
          <w:sz w:val="20"/>
          <w:szCs w:val="20"/>
          <w:color w:val="auto"/>
        </w:rPr>
      </w:pPr>
      <w:r>
        <w:rPr>
          <w:rFonts w:ascii="Arial" w:cs="Arial" w:eastAsia="Arial" w:hAnsi="Arial"/>
          <w:sz w:val="18"/>
          <w:szCs w:val="18"/>
          <w:color w:val="auto"/>
        </w:rPr>
        <w:t>Larry K. Harvey</w:t>
      </w:r>
    </w:p>
    <w:p>
      <w:pPr>
        <w:spacing w:after="0" w:line="9" w:lineRule="exact"/>
        <w:rPr>
          <w:sz w:val="20"/>
          <w:szCs w:val="20"/>
          <w:color w:val="auto"/>
        </w:rPr>
      </w:pPr>
    </w:p>
    <w:p>
      <w:pPr>
        <w:ind w:left="7280"/>
        <w:spacing w:after="0"/>
        <w:rPr>
          <w:sz w:val="20"/>
          <w:szCs w:val="20"/>
          <w:color w:val="auto"/>
        </w:rPr>
      </w:pPr>
      <w:r>
        <w:rPr>
          <w:rFonts w:ascii="Arial" w:cs="Arial" w:eastAsia="Arial" w:hAnsi="Arial"/>
          <w:sz w:val="18"/>
          <w:szCs w:val="18"/>
          <w:color w:val="auto"/>
        </w:rPr>
        <w:t>Prue B. Larocca</w:t>
      </w:r>
    </w:p>
    <w:p>
      <w:pPr>
        <w:spacing w:after="0" w:line="9" w:lineRule="exact"/>
        <w:rPr>
          <w:sz w:val="20"/>
          <w:szCs w:val="20"/>
          <w:color w:val="auto"/>
        </w:rPr>
      </w:pPr>
    </w:p>
    <w:p>
      <w:pPr>
        <w:ind w:left="7280"/>
        <w:spacing w:after="0"/>
        <w:rPr>
          <w:sz w:val="20"/>
          <w:szCs w:val="20"/>
          <w:color w:val="auto"/>
        </w:rPr>
      </w:pPr>
      <w:r>
        <w:rPr>
          <w:rFonts w:ascii="Arial" w:cs="Arial" w:eastAsia="Arial" w:hAnsi="Arial"/>
          <w:sz w:val="18"/>
          <w:szCs w:val="18"/>
          <w:color w:val="auto"/>
        </w:rPr>
        <w:t>Paul E. Mullings</w:t>
      </w:r>
    </w:p>
    <w:p>
      <w:pPr>
        <w:spacing w:after="0" w:line="139"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54</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00"/>
          </w:cols>
          <w:pgMar w:left="240" w:top="459" w:right="459" w:bottom="1440" w:gutter="0" w:footer="0" w:header="0"/>
        </w:sectPr>
      </w:pPr>
    </w:p>
    <w:bookmarkStart w:id="58" w:name="page59"/>
    <w:bookmarkEnd w:id="5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5" w:lineRule="exact"/>
        <w:rPr>
          <w:sz w:val="20"/>
          <w:szCs w:val="20"/>
          <w:color w:val="auto"/>
        </w:rPr>
      </w:pPr>
    </w:p>
    <w:p>
      <w:pPr>
        <w:jc w:val="center"/>
        <w:ind w:right="-199"/>
        <w:spacing w:after="0"/>
        <w:rPr>
          <w:sz w:val="20"/>
          <w:szCs w:val="20"/>
          <w:color w:val="auto"/>
        </w:rPr>
      </w:pPr>
      <w:r>
        <w:rPr>
          <w:rFonts w:ascii="Arial" w:cs="Arial" w:eastAsia="Arial" w:hAnsi="Arial"/>
          <w:sz w:val="18"/>
          <w:szCs w:val="18"/>
          <w:b w:val="1"/>
          <w:bCs w:val="1"/>
          <w:color w:val="auto"/>
        </w:rPr>
        <w:t>Summary Compensation Table</w:t>
      </w:r>
    </w:p>
    <w:p>
      <w:pPr>
        <w:spacing w:after="0" w:line="229" w:lineRule="exact"/>
        <w:rPr>
          <w:sz w:val="20"/>
          <w:szCs w:val="20"/>
          <w:color w:val="auto"/>
        </w:rPr>
      </w:pPr>
    </w:p>
    <w:p>
      <w:pPr>
        <w:ind w:left="200" w:right="20" w:firstLine="771"/>
        <w:spacing w:after="0" w:line="279" w:lineRule="auto"/>
        <w:rPr>
          <w:sz w:val="20"/>
          <w:szCs w:val="20"/>
          <w:color w:val="auto"/>
        </w:rPr>
      </w:pPr>
      <w:r>
        <w:rPr>
          <w:rFonts w:ascii="Arial" w:cs="Arial" w:eastAsia="Arial" w:hAnsi="Arial"/>
          <w:sz w:val="17"/>
          <w:szCs w:val="17"/>
          <w:color w:val="auto"/>
        </w:rPr>
        <w:t>The following table provides information concerning the compensation of our NEOs earned during our fiscal year ended December 31, 2017 and for the period from July 1, 2016 through December 31, 2016. Prior to July 1, 2016 and to the extent that our NEOs provided service to us, they were compensated by our former external manager and not directly by the Company. We did not pay any compensation to our NEOs prior to the Internalization. Consequently, we did not pay any compensation directly to the NEOs in 2015 either.</w:t>
      </w:r>
    </w:p>
    <w:p>
      <w:pPr>
        <w:spacing w:after="0" w:line="171" w:lineRule="exact"/>
        <w:rPr>
          <w:sz w:val="20"/>
          <w:szCs w:val="20"/>
          <w:color w:val="auto"/>
        </w:rPr>
      </w:pPr>
    </w:p>
    <w:p>
      <w:pPr>
        <w:ind w:left="200" w:firstLine="771"/>
        <w:spacing w:after="0" w:line="271" w:lineRule="auto"/>
        <w:rPr>
          <w:sz w:val="20"/>
          <w:szCs w:val="20"/>
          <w:color w:val="auto"/>
        </w:rPr>
      </w:pPr>
      <w:r>
        <w:rPr>
          <w:rFonts w:ascii="Arial" w:cs="Arial" w:eastAsia="Arial" w:hAnsi="Arial"/>
          <w:sz w:val="17"/>
          <w:szCs w:val="17"/>
          <w:color w:val="auto"/>
        </w:rPr>
        <w:t>In the column “Salary,” we disclose the amount of base salary paid to the NEO during the fiscal year. See “Employment Agreements” under “Compensation Discussion and Analysis,” above, for a description of the base salaries payable under each NEO’s employment agreement. In the column “Bonus,” we disclose the amount of short-term cash incentive payments earned by the NEO during the fiscal year. See “Annual Cash Bonus” for a description of the annual scorecard for calculating the cash component of our incentive compensation awards for 2017 that were paid in 2018, and which are included in the Summary Compensation Table for 2017. In the column “Stock Awards,” we disclose awards of RSUs under the 2016 Plan, which includes both performance-based vesting and time-based vesting awards. The grant date fair value of the RSU awards assumes performance achievement at 100% of the target amount. Performance payouts may range from 0% to 200% of the target amount based on actual performance achieved. See “Equity Incentive Compensation” under “Compensation Discussion and Analysis,” above.</w:t>
      </w:r>
    </w:p>
    <w:p>
      <w:pPr>
        <w:spacing w:after="0" w:line="107"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55</w:t>
      </w:r>
    </w:p>
    <w:p>
      <w:pPr>
        <w:sectPr>
          <w:pgSz w:w="11900" w:h="16838" w:orient="portrait"/>
          <w:cols w:equalWidth="0" w:num="1">
            <w:col w:w="11220"/>
          </w:cols>
          <w:pgMar w:left="240" w:top="459" w:right="439" w:bottom="1440" w:gutter="0" w:footer="0" w:header="0"/>
        </w:sectPr>
      </w:pPr>
    </w:p>
    <w:bookmarkStart w:id="59" w:name="page60"/>
    <w:bookmarkEnd w:id="5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200" w:right="180" w:firstLine="771"/>
        <w:spacing w:after="0" w:line="257" w:lineRule="auto"/>
        <w:rPr>
          <w:sz w:val="20"/>
          <w:szCs w:val="20"/>
          <w:color w:val="auto"/>
        </w:rPr>
      </w:pPr>
      <w:r>
        <w:rPr>
          <w:rFonts w:ascii="Arial" w:cs="Arial" w:eastAsia="Arial" w:hAnsi="Arial"/>
          <w:sz w:val="18"/>
          <w:szCs w:val="18"/>
          <w:color w:val="auto"/>
        </w:rPr>
        <w:t>In the column “Non-Equity Incentive Plan Compensation,” we disclose the amount of the NEO’s awards under the MTGE PIP equal to the cash amount that we funded for the purchase of MTGE shares on the open market, which are held in a trust for the participant until distribution. See “Equity Incentive Compensation” under “Compensation Discussion and Analysis,” above. The amounts in the column “All Other Compensation” represent employer matches for employee contributions to our 401(k) plan. The NEOs did not have any perquisites or other personal benefits in excess of the reporting thresholds during the fiscal year.</w:t>
      </w:r>
    </w:p>
    <w:p>
      <w:pPr>
        <w:sectPr>
          <w:pgSz w:w="11900" w:h="16838" w:orient="portrait"/>
          <w:cols w:equalWidth="0" w:num="1">
            <w:col w:w="11240"/>
          </w:cols>
          <w:pgMar w:left="240" w:top="459" w:right="419" w:bottom="1440" w:gutter="0" w:footer="0" w:header="0"/>
        </w:sectPr>
      </w:pPr>
    </w:p>
    <w:p>
      <w:pPr>
        <w:spacing w:after="0" w:line="200" w:lineRule="exact"/>
        <w:rPr>
          <w:sz w:val="20"/>
          <w:szCs w:val="20"/>
          <w:color w:val="auto"/>
        </w:rPr>
      </w:pPr>
    </w:p>
    <w:p>
      <w:pPr>
        <w:spacing w:after="0" w:line="362"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auto"/>
        </w:rPr>
        <w:t>Name and Principal Position</w:t>
      </w:r>
    </w:p>
    <w:p>
      <w:pPr>
        <w:spacing w:after="0" w:line="20" w:lineRule="exact"/>
        <w:rPr>
          <w:sz w:val="20"/>
          <w:szCs w:val="20"/>
          <w:color w:val="auto"/>
        </w:rPr>
      </w:pPr>
      <w:r>
        <w:rPr>
          <w:sz w:val="20"/>
          <w:szCs w:val="20"/>
          <w:color w:val="auto"/>
        </w:rPr>
        <w:br w:type="column"/>
      </w:r>
    </w:p>
    <w:p>
      <w:pPr>
        <w:spacing w:after="0" w:line="190"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49"/>
        </w:trPr>
        <w:tc>
          <w:tcPr>
            <w:tcW w:w="600" w:type="dxa"/>
            <w:vAlign w:val="bottom"/>
          </w:tcPr>
          <w:p>
            <w:pPr>
              <w:spacing w:after="0"/>
              <w:rPr>
                <w:sz w:val="13"/>
                <w:szCs w:val="13"/>
                <w:color w:val="auto"/>
              </w:rPr>
            </w:pPr>
          </w:p>
        </w:tc>
        <w:tc>
          <w:tcPr>
            <w:tcW w:w="900" w:type="dxa"/>
            <w:vAlign w:val="bottom"/>
          </w:tcPr>
          <w:p>
            <w:pPr>
              <w:spacing w:after="0"/>
              <w:rPr>
                <w:sz w:val="13"/>
                <w:szCs w:val="13"/>
                <w:color w:val="auto"/>
              </w:rPr>
            </w:pPr>
          </w:p>
        </w:tc>
        <w:tc>
          <w:tcPr>
            <w:tcW w:w="940" w:type="dxa"/>
            <w:vAlign w:val="bottom"/>
          </w:tcPr>
          <w:p>
            <w:pPr>
              <w:spacing w:after="0"/>
              <w:rPr>
                <w:sz w:val="13"/>
                <w:szCs w:val="13"/>
                <w:color w:val="auto"/>
              </w:rPr>
            </w:pPr>
          </w:p>
        </w:tc>
        <w:tc>
          <w:tcPr>
            <w:tcW w:w="1020" w:type="dxa"/>
            <w:vAlign w:val="bottom"/>
          </w:tcPr>
          <w:p>
            <w:pPr>
              <w:spacing w:after="0"/>
              <w:rPr>
                <w:sz w:val="13"/>
                <w:szCs w:val="13"/>
                <w:color w:val="auto"/>
              </w:rPr>
            </w:pPr>
          </w:p>
        </w:tc>
        <w:tc>
          <w:tcPr>
            <w:tcW w:w="1100" w:type="dxa"/>
            <w:vAlign w:val="bottom"/>
          </w:tcPr>
          <w:p>
            <w:pPr>
              <w:jc w:val="center"/>
              <w:spacing w:after="0"/>
              <w:rPr>
                <w:sz w:val="20"/>
                <w:szCs w:val="20"/>
                <w:color w:val="auto"/>
              </w:rPr>
            </w:pPr>
            <w:r>
              <w:rPr>
                <w:rFonts w:ascii="Arial" w:cs="Arial" w:eastAsia="Arial" w:hAnsi="Arial"/>
                <w:sz w:val="13"/>
                <w:szCs w:val="13"/>
                <w:b w:val="1"/>
                <w:bCs w:val="1"/>
                <w:color w:val="auto"/>
                <w:w w:val="92"/>
              </w:rPr>
              <w:t>Non-Equity</w:t>
            </w:r>
          </w:p>
        </w:tc>
        <w:tc>
          <w:tcPr>
            <w:tcW w:w="1180" w:type="dxa"/>
            <w:vAlign w:val="bottom"/>
          </w:tcPr>
          <w:p>
            <w:pPr>
              <w:spacing w:after="0"/>
              <w:rPr>
                <w:sz w:val="13"/>
                <w:szCs w:val="13"/>
                <w:color w:val="auto"/>
              </w:rPr>
            </w:pPr>
          </w:p>
        </w:tc>
        <w:tc>
          <w:tcPr>
            <w:tcW w:w="560" w:type="dxa"/>
            <w:vAlign w:val="bottom"/>
          </w:tcPr>
          <w:p>
            <w:pPr>
              <w:spacing w:after="0"/>
              <w:rPr>
                <w:sz w:val="13"/>
                <w:szCs w:val="13"/>
                <w:color w:val="auto"/>
              </w:rPr>
            </w:pPr>
          </w:p>
        </w:tc>
      </w:tr>
      <w:tr>
        <w:trPr>
          <w:trHeight w:val="135"/>
        </w:trPr>
        <w:tc>
          <w:tcPr>
            <w:tcW w:w="600" w:type="dxa"/>
            <w:vAlign w:val="bottom"/>
          </w:tcPr>
          <w:p>
            <w:pPr>
              <w:spacing w:after="0"/>
              <w:rPr>
                <w:sz w:val="11"/>
                <w:szCs w:val="11"/>
                <w:color w:val="auto"/>
              </w:rPr>
            </w:pPr>
          </w:p>
        </w:tc>
        <w:tc>
          <w:tcPr>
            <w:tcW w:w="900" w:type="dxa"/>
            <w:vAlign w:val="bottom"/>
          </w:tcPr>
          <w:p>
            <w:pPr>
              <w:spacing w:after="0"/>
              <w:rPr>
                <w:sz w:val="11"/>
                <w:szCs w:val="11"/>
                <w:color w:val="auto"/>
              </w:rPr>
            </w:pPr>
          </w:p>
        </w:tc>
        <w:tc>
          <w:tcPr>
            <w:tcW w:w="940" w:type="dxa"/>
            <w:vAlign w:val="bottom"/>
          </w:tcPr>
          <w:p>
            <w:pPr>
              <w:spacing w:after="0"/>
              <w:rPr>
                <w:sz w:val="11"/>
                <w:szCs w:val="11"/>
                <w:color w:val="auto"/>
              </w:rPr>
            </w:pPr>
          </w:p>
        </w:tc>
        <w:tc>
          <w:tcPr>
            <w:tcW w:w="1020" w:type="dxa"/>
            <w:vAlign w:val="bottom"/>
          </w:tcPr>
          <w:p>
            <w:pPr>
              <w:jc w:val="center"/>
              <w:ind w:left="17"/>
              <w:spacing w:after="0" w:line="135" w:lineRule="exact"/>
              <w:rPr>
                <w:sz w:val="20"/>
                <w:szCs w:val="20"/>
                <w:color w:val="auto"/>
              </w:rPr>
            </w:pPr>
            <w:r>
              <w:rPr>
                <w:rFonts w:ascii="Arial" w:cs="Arial" w:eastAsia="Arial" w:hAnsi="Arial"/>
                <w:sz w:val="13"/>
                <w:szCs w:val="13"/>
                <w:b w:val="1"/>
                <w:bCs w:val="1"/>
                <w:color w:val="auto"/>
                <w:w w:val="84"/>
              </w:rPr>
              <w:t>Stock</w:t>
            </w:r>
          </w:p>
        </w:tc>
        <w:tc>
          <w:tcPr>
            <w:tcW w:w="110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89"/>
              </w:rPr>
              <w:t>Incentive Plan</w:t>
            </w:r>
          </w:p>
        </w:tc>
        <w:tc>
          <w:tcPr>
            <w:tcW w:w="1180" w:type="dxa"/>
            <w:vAlign w:val="bottom"/>
          </w:tcPr>
          <w:p>
            <w:pPr>
              <w:jc w:val="center"/>
              <w:ind w:right="77"/>
              <w:spacing w:after="0" w:line="135" w:lineRule="exact"/>
              <w:rPr>
                <w:sz w:val="20"/>
                <w:szCs w:val="20"/>
                <w:color w:val="auto"/>
              </w:rPr>
            </w:pPr>
            <w:r>
              <w:rPr>
                <w:rFonts w:ascii="Arial" w:cs="Arial" w:eastAsia="Arial" w:hAnsi="Arial"/>
                <w:sz w:val="13"/>
                <w:szCs w:val="13"/>
                <w:b w:val="1"/>
                <w:bCs w:val="1"/>
                <w:color w:val="auto"/>
                <w:w w:val="94"/>
              </w:rPr>
              <w:t>All Other</w:t>
            </w:r>
          </w:p>
        </w:tc>
        <w:tc>
          <w:tcPr>
            <w:tcW w:w="560" w:type="dxa"/>
            <w:vAlign w:val="bottom"/>
          </w:tcPr>
          <w:p>
            <w:pPr>
              <w:spacing w:after="0"/>
              <w:rPr>
                <w:sz w:val="11"/>
                <w:szCs w:val="11"/>
                <w:color w:val="auto"/>
              </w:rPr>
            </w:pPr>
          </w:p>
        </w:tc>
      </w:tr>
      <w:tr>
        <w:trPr>
          <w:trHeight w:val="135"/>
        </w:trPr>
        <w:tc>
          <w:tcPr>
            <w:tcW w:w="600" w:type="dxa"/>
            <w:vAlign w:val="bottom"/>
          </w:tcPr>
          <w:p>
            <w:pPr>
              <w:spacing w:after="0"/>
              <w:rPr>
                <w:sz w:val="11"/>
                <w:szCs w:val="11"/>
                <w:color w:val="auto"/>
              </w:rPr>
            </w:pPr>
          </w:p>
        </w:tc>
        <w:tc>
          <w:tcPr>
            <w:tcW w:w="900" w:type="dxa"/>
            <w:vAlign w:val="bottom"/>
          </w:tcPr>
          <w:p>
            <w:pPr>
              <w:jc w:val="center"/>
              <w:ind w:right="37"/>
              <w:spacing w:after="0" w:line="135" w:lineRule="exact"/>
              <w:rPr>
                <w:sz w:val="20"/>
                <w:szCs w:val="20"/>
                <w:color w:val="auto"/>
              </w:rPr>
            </w:pPr>
            <w:r>
              <w:rPr>
                <w:rFonts w:ascii="Arial" w:cs="Arial" w:eastAsia="Arial" w:hAnsi="Arial"/>
                <w:sz w:val="13"/>
                <w:szCs w:val="13"/>
                <w:b w:val="1"/>
                <w:bCs w:val="1"/>
                <w:color w:val="auto"/>
                <w:w w:val="92"/>
              </w:rPr>
              <w:t>Salary</w:t>
            </w:r>
          </w:p>
        </w:tc>
        <w:tc>
          <w:tcPr>
            <w:tcW w:w="94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79"/>
              </w:rPr>
              <w:t>Bonus</w:t>
            </w:r>
          </w:p>
        </w:tc>
        <w:tc>
          <w:tcPr>
            <w:tcW w:w="1020" w:type="dxa"/>
            <w:vAlign w:val="bottom"/>
          </w:tcPr>
          <w:p>
            <w:pPr>
              <w:jc w:val="center"/>
              <w:ind w:left="37"/>
              <w:spacing w:after="0" w:line="135" w:lineRule="exact"/>
              <w:rPr>
                <w:sz w:val="20"/>
                <w:szCs w:val="20"/>
                <w:color w:val="auto"/>
              </w:rPr>
            </w:pPr>
            <w:r>
              <w:rPr>
                <w:rFonts w:ascii="Arial" w:cs="Arial" w:eastAsia="Arial" w:hAnsi="Arial"/>
                <w:sz w:val="13"/>
                <w:szCs w:val="13"/>
                <w:b w:val="1"/>
                <w:bCs w:val="1"/>
                <w:color w:val="auto"/>
                <w:w w:val="87"/>
              </w:rPr>
              <w:t>Awards</w:t>
            </w:r>
            <w:r>
              <w:rPr>
                <w:rFonts w:ascii="Arial" w:cs="Arial" w:eastAsia="Arial" w:hAnsi="Arial"/>
                <w:sz w:val="10"/>
                <w:szCs w:val="10"/>
                <w:b w:val="1"/>
                <w:bCs w:val="1"/>
                <w:color w:val="auto"/>
                <w:w w:val="87"/>
              </w:rPr>
              <w:t>(2)</w:t>
            </w:r>
          </w:p>
        </w:tc>
        <w:tc>
          <w:tcPr>
            <w:tcW w:w="110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86"/>
              </w:rPr>
              <w:t>Compensation</w:t>
            </w:r>
          </w:p>
        </w:tc>
        <w:tc>
          <w:tcPr>
            <w:tcW w:w="1180" w:type="dxa"/>
            <w:vAlign w:val="bottom"/>
          </w:tcPr>
          <w:p>
            <w:pPr>
              <w:jc w:val="center"/>
              <w:ind w:right="97"/>
              <w:spacing w:after="0" w:line="135" w:lineRule="exact"/>
              <w:rPr>
                <w:sz w:val="20"/>
                <w:szCs w:val="20"/>
                <w:color w:val="auto"/>
              </w:rPr>
            </w:pPr>
            <w:r>
              <w:rPr>
                <w:rFonts w:ascii="Arial" w:cs="Arial" w:eastAsia="Arial" w:hAnsi="Arial"/>
                <w:sz w:val="13"/>
                <w:szCs w:val="13"/>
                <w:b w:val="1"/>
                <w:bCs w:val="1"/>
                <w:color w:val="auto"/>
                <w:w w:val="86"/>
              </w:rPr>
              <w:t>Compensation</w:t>
            </w:r>
          </w:p>
        </w:tc>
        <w:tc>
          <w:tcPr>
            <w:tcW w:w="560" w:type="dxa"/>
            <w:vAlign w:val="bottom"/>
          </w:tcPr>
          <w:p>
            <w:pPr>
              <w:jc w:val="center"/>
              <w:ind w:left="217"/>
              <w:spacing w:after="0" w:line="135" w:lineRule="exact"/>
              <w:rPr>
                <w:sz w:val="20"/>
                <w:szCs w:val="20"/>
                <w:color w:val="auto"/>
              </w:rPr>
            </w:pPr>
            <w:r>
              <w:rPr>
                <w:rFonts w:ascii="Arial" w:cs="Arial" w:eastAsia="Arial" w:hAnsi="Arial"/>
                <w:sz w:val="13"/>
                <w:szCs w:val="13"/>
                <w:b w:val="1"/>
                <w:bCs w:val="1"/>
                <w:color w:val="auto"/>
                <w:w w:val="89"/>
              </w:rPr>
              <w:t>Total</w:t>
            </w:r>
          </w:p>
        </w:tc>
      </w:tr>
      <w:tr>
        <w:trPr>
          <w:trHeight w:val="165"/>
        </w:trPr>
        <w:tc>
          <w:tcPr>
            <w:tcW w:w="600" w:type="dxa"/>
            <w:vAlign w:val="bottom"/>
          </w:tcPr>
          <w:p>
            <w:pPr>
              <w:spacing w:after="0"/>
              <w:rPr>
                <w:sz w:val="20"/>
                <w:szCs w:val="20"/>
                <w:color w:val="auto"/>
              </w:rPr>
            </w:pPr>
            <w:r>
              <w:rPr>
                <w:rFonts w:ascii="Arial" w:cs="Arial" w:eastAsia="Arial" w:hAnsi="Arial"/>
                <w:sz w:val="13"/>
                <w:szCs w:val="13"/>
                <w:b w:val="1"/>
                <w:bCs w:val="1"/>
                <w:color w:val="auto"/>
              </w:rPr>
              <w:t>Year</w:t>
            </w:r>
            <w:r>
              <w:rPr>
                <w:rFonts w:ascii="Arial" w:cs="Arial" w:eastAsia="Arial" w:hAnsi="Arial"/>
                <w:sz w:val="10"/>
                <w:szCs w:val="10"/>
                <w:b w:val="1"/>
                <w:bCs w:val="1"/>
                <w:color w:val="auto"/>
              </w:rPr>
              <w:t>(1)</w:t>
            </w:r>
          </w:p>
        </w:tc>
        <w:tc>
          <w:tcPr>
            <w:tcW w:w="900" w:type="dxa"/>
            <w:vAlign w:val="bottom"/>
          </w:tcPr>
          <w:p>
            <w:pPr>
              <w:jc w:val="right"/>
              <w:ind w:right="357"/>
              <w:spacing w:after="0"/>
              <w:rPr>
                <w:sz w:val="20"/>
                <w:szCs w:val="20"/>
                <w:color w:val="auto"/>
              </w:rPr>
            </w:pPr>
            <w:r>
              <w:rPr>
                <w:rFonts w:ascii="Arial" w:cs="Arial" w:eastAsia="Arial" w:hAnsi="Arial"/>
                <w:sz w:val="13"/>
                <w:szCs w:val="13"/>
                <w:b w:val="1"/>
                <w:bCs w:val="1"/>
                <w:color w:val="auto"/>
              </w:rPr>
              <w:t>($)</w:t>
            </w:r>
          </w:p>
        </w:tc>
        <w:tc>
          <w:tcPr>
            <w:tcW w:w="940" w:type="dxa"/>
            <w:vAlign w:val="bottom"/>
          </w:tcPr>
          <w:p>
            <w:pPr>
              <w:jc w:val="right"/>
              <w:ind w:right="297"/>
              <w:spacing w:after="0"/>
              <w:rPr>
                <w:sz w:val="20"/>
                <w:szCs w:val="20"/>
                <w:color w:val="auto"/>
              </w:rPr>
            </w:pPr>
            <w:r>
              <w:rPr>
                <w:rFonts w:ascii="Arial" w:cs="Arial" w:eastAsia="Arial" w:hAnsi="Arial"/>
                <w:sz w:val="13"/>
                <w:szCs w:val="13"/>
                <w:b w:val="1"/>
                <w:bCs w:val="1"/>
                <w:color w:val="auto"/>
              </w:rPr>
              <w:t>($)</w:t>
            </w:r>
          </w:p>
        </w:tc>
        <w:tc>
          <w:tcPr>
            <w:tcW w:w="1020" w:type="dxa"/>
            <w:vAlign w:val="bottom"/>
          </w:tcPr>
          <w:p>
            <w:pPr>
              <w:jc w:val="center"/>
              <w:ind w:left="37"/>
              <w:spacing w:after="0"/>
              <w:rPr>
                <w:sz w:val="20"/>
                <w:szCs w:val="20"/>
                <w:color w:val="auto"/>
              </w:rPr>
            </w:pPr>
            <w:r>
              <w:rPr>
                <w:rFonts w:ascii="Arial" w:cs="Arial" w:eastAsia="Arial" w:hAnsi="Arial"/>
                <w:sz w:val="13"/>
                <w:szCs w:val="13"/>
                <w:b w:val="1"/>
                <w:bCs w:val="1"/>
                <w:color w:val="auto"/>
              </w:rPr>
              <w:t>($)</w:t>
            </w:r>
          </w:p>
        </w:tc>
        <w:tc>
          <w:tcPr>
            <w:tcW w:w="1100" w:type="dxa"/>
            <w:vAlign w:val="bottom"/>
          </w:tcPr>
          <w:p>
            <w:pPr>
              <w:jc w:val="center"/>
              <w:spacing w:after="0"/>
              <w:rPr>
                <w:sz w:val="20"/>
                <w:szCs w:val="20"/>
                <w:color w:val="auto"/>
              </w:rPr>
            </w:pPr>
            <w:r>
              <w:rPr>
                <w:rFonts w:ascii="Arial" w:cs="Arial" w:eastAsia="Arial" w:hAnsi="Arial"/>
                <w:sz w:val="13"/>
                <w:szCs w:val="13"/>
                <w:b w:val="1"/>
                <w:bCs w:val="1"/>
                <w:color w:val="auto"/>
                <w:w w:val="87"/>
              </w:rPr>
              <w:t>($)</w:t>
            </w:r>
          </w:p>
        </w:tc>
        <w:tc>
          <w:tcPr>
            <w:tcW w:w="1180" w:type="dxa"/>
            <w:vAlign w:val="bottom"/>
          </w:tcPr>
          <w:p>
            <w:pPr>
              <w:jc w:val="center"/>
              <w:ind w:right="77"/>
              <w:spacing w:after="0"/>
              <w:rPr>
                <w:sz w:val="20"/>
                <w:szCs w:val="20"/>
                <w:color w:val="auto"/>
              </w:rPr>
            </w:pPr>
            <w:r>
              <w:rPr>
                <w:rFonts w:ascii="Arial" w:cs="Arial" w:eastAsia="Arial" w:hAnsi="Arial"/>
                <w:sz w:val="13"/>
                <w:szCs w:val="13"/>
                <w:b w:val="1"/>
                <w:bCs w:val="1"/>
                <w:color w:val="auto"/>
              </w:rPr>
              <w:t>($)</w:t>
            </w:r>
          </w:p>
        </w:tc>
        <w:tc>
          <w:tcPr>
            <w:tcW w:w="560" w:type="dxa"/>
            <w:vAlign w:val="bottom"/>
          </w:tcPr>
          <w:p>
            <w:pPr>
              <w:jc w:val="right"/>
              <w:spacing w:after="0"/>
              <w:rPr>
                <w:sz w:val="20"/>
                <w:szCs w:val="20"/>
                <w:color w:val="auto"/>
              </w:rPr>
            </w:pPr>
            <w:r>
              <w:rPr>
                <w:rFonts w:ascii="Arial" w:cs="Arial" w:eastAsia="Arial" w:hAnsi="Arial"/>
                <w:sz w:val="13"/>
                <w:szCs w:val="13"/>
                <w:b w:val="1"/>
                <w:bCs w:val="1"/>
                <w:color w:val="auto"/>
              </w:rPr>
              <w:t>($)</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-2799080</wp:posOffset>
            </wp:positionH>
            <wp:positionV relativeFrom="paragraph">
              <wp:posOffset>-358140</wp:posOffset>
            </wp:positionV>
            <wp:extent cx="6997700" cy="889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 w:lineRule="exact"/>
        <w:rPr>
          <w:sz w:val="20"/>
          <w:szCs w:val="20"/>
          <w:color w:val="auto"/>
        </w:rPr>
      </w:pPr>
    </w:p>
    <w:p>
      <w:pPr>
        <w:sectPr>
          <w:pgSz w:w="11900" w:h="16838" w:orient="portrait"/>
          <w:cols w:equalWidth="0" w:num="2">
            <w:col w:w="3900" w:space="720"/>
            <w:col w:w="6620"/>
          </w:cols>
          <w:pgMar w:left="240" w:top="459" w:right="419" w:bottom="1440" w:gutter="0" w:footer="0" w:header="0"/>
          <w:type w:val="continuous"/>
        </w:sectPr>
      </w:pPr>
    </w:p>
    <w:tbl>
      <w:tblPr>
        <w:tblLayout w:type="fixed"/>
        <w:tblInd w:w="200" w:type="dxa"/>
        <w:tblCellMar>
          <w:top w:w="0" w:type="dxa"/>
          <w:left w:w="0" w:type="dxa"/>
          <w:bottom w:w="0" w:type="dxa"/>
          <w:right w:w="0" w:type="dxa"/>
        </w:tblCellMar>
      </w:tblPr>
      <w:tr>
        <w:trPr>
          <w:trHeight w:val="212"/>
        </w:trPr>
        <w:tc>
          <w:tcPr>
            <w:tcW w:w="20" w:type="dxa"/>
            <w:vAlign w:val="bottom"/>
          </w:tcPr>
          <w:p>
            <w:pPr>
              <w:spacing w:after="0"/>
              <w:rPr>
                <w:sz w:val="18"/>
                <w:szCs w:val="18"/>
                <w:color w:val="auto"/>
              </w:rPr>
            </w:pPr>
          </w:p>
        </w:tc>
        <w:tc>
          <w:tcPr>
            <w:tcW w:w="4180" w:type="dxa"/>
            <w:vAlign w:val="bottom"/>
            <w:tcBorders>
              <w:top w:val="single" w:sz="8" w:color="407CCA"/>
            </w:tcBorders>
            <w:gridSpan w:val="2"/>
            <w:shd w:val="clear" w:color="auto" w:fill="D8D8D8"/>
          </w:tcPr>
          <w:p>
            <w:pPr>
              <w:spacing w:after="0"/>
              <w:rPr>
                <w:sz w:val="20"/>
                <w:szCs w:val="20"/>
                <w:color w:val="auto"/>
              </w:rPr>
            </w:pPr>
            <w:r>
              <w:rPr>
                <w:rFonts w:ascii="Arial" w:cs="Arial" w:eastAsia="Arial" w:hAnsi="Arial"/>
                <w:sz w:val="18"/>
                <w:szCs w:val="18"/>
                <w:color w:val="auto"/>
              </w:rPr>
              <w:t>Gary D. Kain</w:t>
            </w:r>
          </w:p>
        </w:tc>
        <w:tc>
          <w:tcPr>
            <w:tcW w:w="730" w:type="dxa"/>
            <w:vAlign w:val="bottom"/>
            <w:tcBorders>
              <w:top w:val="single" w:sz="8" w:color="407CCA"/>
            </w:tcBorders>
            <w:shd w:val="clear" w:color="auto" w:fill="D8D8D8"/>
          </w:tcPr>
          <w:p>
            <w:pPr>
              <w:jc w:val="right"/>
              <w:ind w:right="60"/>
              <w:spacing w:after="0"/>
              <w:rPr>
                <w:sz w:val="20"/>
                <w:szCs w:val="20"/>
                <w:color w:val="auto"/>
              </w:rPr>
            </w:pPr>
            <w:r>
              <w:rPr>
                <w:rFonts w:ascii="Arial" w:cs="Arial" w:eastAsia="Arial" w:hAnsi="Arial"/>
                <w:sz w:val="18"/>
                <w:szCs w:val="18"/>
                <w:color w:val="auto"/>
              </w:rPr>
              <w:t>2017</w:t>
            </w:r>
          </w:p>
        </w:tc>
        <w:tc>
          <w:tcPr>
            <w:tcW w:w="990" w:type="dxa"/>
            <w:vAlign w:val="bottom"/>
            <w:tcBorders>
              <w:top w:val="single" w:sz="8" w:color="407CCA"/>
            </w:tcBorders>
            <w:shd w:val="clear" w:color="auto" w:fill="D8D8D8"/>
          </w:tcPr>
          <w:p>
            <w:pPr>
              <w:jc w:val="center"/>
              <w:spacing w:after="0"/>
              <w:rPr>
                <w:sz w:val="20"/>
                <w:szCs w:val="20"/>
                <w:color w:val="auto"/>
              </w:rPr>
            </w:pPr>
            <w:r>
              <w:rPr>
                <w:rFonts w:ascii="Arial" w:cs="Arial" w:eastAsia="Arial" w:hAnsi="Arial"/>
                <w:sz w:val="18"/>
                <w:szCs w:val="18"/>
                <w:color w:val="auto"/>
                <w:w w:val="89"/>
              </w:rPr>
              <w:t>3,400,000</w:t>
            </w:r>
          </w:p>
        </w:tc>
        <w:tc>
          <w:tcPr>
            <w:tcW w:w="1000" w:type="dxa"/>
            <w:vAlign w:val="bottom"/>
            <w:tcBorders>
              <w:top w:val="single" w:sz="8" w:color="407CCA"/>
            </w:tcBorders>
            <w:shd w:val="clear" w:color="auto" w:fill="D8D8D8"/>
          </w:tcPr>
          <w:p>
            <w:pPr>
              <w:jc w:val="center"/>
              <w:spacing w:after="0"/>
              <w:rPr>
                <w:sz w:val="20"/>
                <w:szCs w:val="20"/>
                <w:color w:val="auto"/>
              </w:rPr>
            </w:pPr>
            <w:r>
              <w:rPr>
                <w:rFonts w:ascii="Arial" w:cs="Arial" w:eastAsia="Arial" w:hAnsi="Arial"/>
                <w:sz w:val="18"/>
                <w:szCs w:val="18"/>
                <w:color w:val="auto"/>
                <w:w w:val="89"/>
              </w:rPr>
              <w:t>7,437,797</w:t>
            </w:r>
          </w:p>
        </w:tc>
        <w:tc>
          <w:tcPr>
            <w:tcW w:w="1040" w:type="dxa"/>
            <w:vAlign w:val="bottom"/>
            <w:tcBorders>
              <w:top w:val="single" w:sz="8" w:color="407CCA"/>
            </w:tcBorders>
            <w:shd w:val="clear" w:color="auto" w:fill="D8D8D8"/>
          </w:tcPr>
          <w:p>
            <w:pPr>
              <w:jc w:val="center"/>
              <w:spacing w:after="0"/>
              <w:rPr>
                <w:sz w:val="20"/>
                <w:szCs w:val="20"/>
                <w:color w:val="auto"/>
              </w:rPr>
            </w:pPr>
            <w:r>
              <w:rPr>
                <w:rFonts w:ascii="Arial" w:cs="Arial" w:eastAsia="Arial" w:hAnsi="Arial"/>
                <w:sz w:val="18"/>
                <w:szCs w:val="18"/>
                <w:color w:val="auto"/>
                <w:w w:val="89"/>
              </w:rPr>
              <w:t>4,590,000</w:t>
            </w:r>
          </w:p>
        </w:tc>
        <w:tc>
          <w:tcPr>
            <w:tcW w:w="1060" w:type="dxa"/>
            <w:vAlign w:val="bottom"/>
            <w:tcBorders>
              <w:top w:val="single" w:sz="8" w:color="407CCA"/>
            </w:tcBorders>
            <w:shd w:val="clear" w:color="auto" w:fill="D8D8D8"/>
          </w:tcPr>
          <w:p>
            <w:pPr>
              <w:jc w:val="center"/>
              <w:spacing w:after="0"/>
              <w:rPr>
                <w:sz w:val="20"/>
                <w:szCs w:val="20"/>
                <w:color w:val="auto"/>
              </w:rPr>
            </w:pPr>
            <w:r>
              <w:rPr>
                <w:rFonts w:ascii="Arial" w:cs="Arial" w:eastAsia="Arial" w:hAnsi="Arial"/>
                <w:sz w:val="18"/>
                <w:szCs w:val="18"/>
                <w:color w:val="auto"/>
                <w:w w:val="89"/>
              </w:rPr>
              <w:t>810,000</w:t>
            </w:r>
          </w:p>
        </w:tc>
        <w:tc>
          <w:tcPr>
            <w:tcW w:w="920" w:type="dxa"/>
            <w:vAlign w:val="bottom"/>
            <w:tcBorders>
              <w:top w:val="single" w:sz="8" w:color="407CCA"/>
            </w:tcBorders>
            <w:shd w:val="clear" w:color="auto" w:fill="D8D8D8"/>
          </w:tcPr>
          <w:p>
            <w:pPr>
              <w:jc w:val="right"/>
              <w:ind w:right="150"/>
              <w:spacing w:after="0"/>
              <w:rPr>
                <w:sz w:val="20"/>
                <w:szCs w:val="20"/>
                <w:color w:val="auto"/>
              </w:rPr>
            </w:pPr>
            <w:r>
              <w:rPr>
                <w:rFonts w:ascii="Arial" w:cs="Arial" w:eastAsia="Arial" w:hAnsi="Arial"/>
                <w:sz w:val="18"/>
                <w:szCs w:val="18"/>
                <w:color w:val="auto"/>
              </w:rPr>
              <w:t>8,100</w:t>
            </w:r>
          </w:p>
        </w:tc>
        <w:tc>
          <w:tcPr>
            <w:tcW w:w="1100" w:type="dxa"/>
            <w:vAlign w:val="bottom"/>
            <w:tcBorders>
              <w:top w:val="single" w:sz="8" w:color="407CCA"/>
            </w:tcBorders>
            <w:shd w:val="clear" w:color="auto" w:fill="D8D8D8"/>
          </w:tcPr>
          <w:p>
            <w:pPr>
              <w:jc w:val="center"/>
              <w:ind w:left="90"/>
              <w:spacing w:after="0"/>
              <w:rPr>
                <w:sz w:val="20"/>
                <w:szCs w:val="20"/>
                <w:color w:val="auto"/>
              </w:rPr>
            </w:pPr>
            <w:r>
              <w:rPr>
                <w:rFonts w:ascii="Arial" w:cs="Arial" w:eastAsia="Arial" w:hAnsi="Arial"/>
                <w:sz w:val="18"/>
                <w:szCs w:val="18"/>
                <w:color w:val="auto"/>
                <w:w w:val="88"/>
              </w:rPr>
              <w:t>16,245,897</w:t>
            </w:r>
          </w:p>
        </w:tc>
      </w:tr>
      <w:tr>
        <w:trPr>
          <w:trHeight w:val="216"/>
        </w:trPr>
        <w:tc>
          <w:tcPr>
            <w:tcW w:w="20" w:type="dxa"/>
            <w:vAlign w:val="bottom"/>
          </w:tcPr>
          <w:p>
            <w:pPr>
              <w:spacing w:after="0"/>
              <w:rPr>
                <w:sz w:val="18"/>
                <w:szCs w:val="18"/>
                <w:color w:val="auto"/>
              </w:rPr>
            </w:pPr>
          </w:p>
        </w:tc>
        <w:tc>
          <w:tcPr>
            <w:tcW w:w="4180" w:type="dxa"/>
            <w:vAlign w:val="bottom"/>
            <w:gridSpan w:val="2"/>
            <w:shd w:val="clear" w:color="auto" w:fill="D8D8D8"/>
          </w:tcPr>
          <w:p>
            <w:pPr>
              <w:spacing w:after="0"/>
              <w:rPr>
                <w:sz w:val="20"/>
                <w:szCs w:val="20"/>
                <w:color w:val="auto"/>
              </w:rPr>
            </w:pPr>
            <w:r>
              <w:rPr>
                <w:rFonts w:ascii="Arial" w:cs="Arial" w:eastAsia="Arial" w:hAnsi="Arial"/>
                <w:sz w:val="18"/>
                <w:szCs w:val="18"/>
                <w:i w:val="1"/>
                <w:iCs w:val="1"/>
                <w:color w:val="auto"/>
                <w:w w:val="93"/>
              </w:rPr>
              <w:t>Chief Executive Officer, President and Chief Investment</w:t>
            </w:r>
          </w:p>
        </w:tc>
        <w:tc>
          <w:tcPr>
            <w:tcW w:w="730" w:type="dxa"/>
            <w:vAlign w:val="bottom"/>
            <w:shd w:val="clear" w:color="auto" w:fill="D8D8D8"/>
          </w:tcPr>
          <w:p>
            <w:pPr>
              <w:jc w:val="right"/>
              <w:ind w:right="60"/>
              <w:spacing w:after="0"/>
              <w:rPr>
                <w:sz w:val="20"/>
                <w:szCs w:val="20"/>
                <w:color w:val="auto"/>
              </w:rPr>
            </w:pPr>
            <w:r>
              <w:rPr>
                <w:rFonts w:ascii="Arial" w:cs="Arial" w:eastAsia="Arial" w:hAnsi="Arial"/>
                <w:sz w:val="18"/>
                <w:szCs w:val="18"/>
                <w:color w:val="auto"/>
              </w:rPr>
              <w:t>2016</w:t>
            </w:r>
          </w:p>
        </w:tc>
        <w:tc>
          <w:tcPr>
            <w:tcW w:w="99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2,194,915</w:t>
            </w:r>
          </w:p>
        </w:tc>
        <w:tc>
          <w:tcPr>
            <w:tcW w:w="100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3,308,254</w:t>
            </w:r>
          </w:p>
        </w:tc>
        <w:tc>
          <w:tcPr>
            <w:tcW w:w="1040" w:type="dxa"/>
            <w:vAlign w:val="bottom"/>
            <w:shd w:val="clear" w:color="auto" w:fill="D8D8D8"/>
          </w:tcPr>
          <w:p>
            <w:pPr>
              <w:ind w:left="400"/>
              <w:spacing w:after="0"/>
              <w:rPr>
                <w:sz w:val="20"/>
                <w:szCs w:val="20"/>
                <w:color w:val="auto"/>
              </w:rPr>
            </w:pPr>
            <w:r>
              <w:rPr>
                <w:rFonts w:ascii="Arial" w:cs="Arial" w:eastAsia="Arial" w:hAnsi="Arial"/>
                <w:sz w:val="18"/>
                <w:szCs w:val="18"/>
                <w:color w:val="auto"/>
              </w:rPr>
              <w:t>–</w:t>
            </w:r>
          </w:p>
        </w:tc>
        <w:tc>
          <w:tcPr>
            <w:tcW w:w="1060" w:type="dxa"/>
            <w:vAlign w:val="bottom"/>
            <w:shd w:val="clear" w:color="auto" w:fill="D8D8D8"/>
          </w:tcPr>
          <w:p>
            <w:pPr>
              <w:ind w:left="400"/>
              <w:spacing w:after="0"/>
              <w:rPr>
                <w:sz w:val="20"/>
                <w:szCs w:val="20"/>
                <w:color w:val="auto"/>
              </w:rPr>
            </w:pPr>
            <w:r>
              <w:rPr>
                <w:rFonts w:ascii="Arial" w:cs="Arial" w:eastAsia="Arial" w:hAnsi="Arial"/>
                <w:sz w:val="18"/>
                <w:szCs w:val="18"/>
                <w:color w:val="auto"/>
              </w:rPr>
              <w:t>–</w:t>
            </w:r>
          </w:p>
        </w:tc>
        <w:tc>
          <w:tcPr>
            <w:tcW w:w="920" w:type="dxa"/>
            <w:vAlign w:val="bottom"/>
            <w:shd w:val="clear" w:color="auto" w:fill="D8D8D8"/>
          </w:tcPr>
          <w:p>
            <w:pPr>
              <w:jc w:val="right"/>
              <w:ind w:right="350"/>
              <w:spacing w:after="0"/>
              <w:rPr>
                <w:sz w:val="20"/>
                <w:szCs w:val="20"/>
                <w:color w:val="auto"/>
              </w:rPr>
            </w:pPr>
            <w:r>
              <w:rPr>
                <w:rFonts w:ascii="Arial" w:cs="Arial" w:eastAsia="Arial" w:hAnsi="Arial"/>
                <w:sz w:val="18"/>
                <w:szCs w:val="18"/>
                <w:color w:val="auto"/>
              </w:rPr>
              <w:t>–</w:t>
            </w:r>
          </w:p>
        </w:tc>
        <w:tc>
          <w:tcPr>
            <w:tcW w:w="1100" w:type="dxa"/>
            <w:vAlign w:val="bottom"/>
            <w:shd w:val="clear" w:color="auto" w:fill="D8D8D8"/>
          </w:tcPr>
          <w:p>
            <w:pPr>
              <w:jc w:val="center"/>
              <w:ind w:left="90"/>
              <w:spacing w:after="0"/>
              <w:rPr>
                <w:sz w:val="20"/>
                <w:szCs w:val="20"/>
                <w:color w:val="auto"/>
              </w:rPr>
            </w:pPr>
            <w:r>
              <w:rPr>
                <w:rFonts w:ascii="Arial" w:cs="Arial" w:eastAsia="Arial" w:hAnsi="Arial"/>
                <w:sz w:val="18"/>
                <w:szCs w:val="18"/>
                <w:color w:val="auto"/>
                <w:w w:val="89"/>
              </w:rPr>
              <w:t>5,503,169</w:t>
            </w:r>
          </w:p>
        </w:tc>
      </w:tr>
      <w:tr>
        <w:trPr>
          <w:trHeight w:val="230"/>
        </w:trPr>
        <w:tc>
          <w:tcPr>
            <w:tcW w:w="20" w:type="dxa"/>
            <w:vAlign w:val="bottom"/>
          </w:tcPr>
          <w:p>
            <w:pPr>
              <w:spacing w:after="0"/>
              <w:rPr>
                <w:sz w:val="19"/>
                <w:szCs w:val="19"/>
                <w:color w:val="auto"/>
              </w:rPr>
            </w:pPr>
          </w:p>
        </w:tc>
        <w:tc>
          <w:tcPr>
            <w:tcW w:w="4180" w:type="dxa"/>
            <w:vAlign w:val="bottom"/>
            <w:gridSpan w:val="2"/>
            <w:shd w:val="clear" w:color="auto" w:fill="D8D8D8"/>
          </w:tcPr>
          <w:p>
            <w:pPr>
              <w:spacing w:after="0"/>
              <w:rPr>
                <w:sz w:val="20"/>
                <w:szCs w:val="20"/>
                <w:color w:val="auto"/>
              </w:rPr>
            </w:pPr>
            <w:r>
              <w:rPr>
                <w:rFonts w:ascii="Arial" w:cs="Arial" w:eastAsia="Arial" w:hAnsi="Arial"/>
                <w:sz w:val="18"/>
                <w:szCs w:val="18"/>
                <w:i w:val="1"/>
                <w:iCs w:val="1"/>
                <w:color w:val="auto"/>
              </w:rPr>
              <w:t>Officer</w:t>
            </w:r>
          </w:p>
        </w:tc>
        <w:tc>
          <w:tcPr>
            <w:tcW w:w="730" w:type="dxa"/>
            <w:vAlign w:val="bottom"/>
            <w:shd w:val="clear" w:color="auto" w:fill="D8D8D8"/>
          </w:tcPr>
          <w:p>
            <w:pPr>
              <w:spacing w:after="0"/>
              <w:rPr>
                <w:sz w:val="19"/>
                <w:szCs w:val="19"/>
                <w:color w:val="auto"/>
              </w:rPr>
            </w:pPr>
          </w:p>
        </w:tc>
        <w:tc>
          <w:tcPr>
            <w:tcW w:w="990" w:type="dxa"/>
            <w:vAlign w:val="bottom"/>
            <w:shd w:val="clear" w:color="auto" w:fill="D8D8D8"/>
          </w:tcPr>
          <w:p>
            <w:pPr>
              <w:spacing w:after="0"/>
              <w:rPr>
                <w:sz w:val="19"/>
                <w:szCs w:val="19"/>
                <w:color w:val="auto"/>
              </w:rPr>
            </w:pPr>
          </w:p>
        </w:tc>
        <w:tc>
          <w:tcPr>
            <w:tcW w:w="1000" w:type="dxa"/>
            <w:vAlign w:val="bottom"/>
            <w:shd w:val="clear" w:color="auto" w:fill="D8D8D8"/>
          </w:tcPr>
          <w:p>
            <w:pPr>
              <w:spacing w:after="0"/>
              <w:rPr>
                <w:sz w:val="19"/>
                <w:szCs w:val="19"/>
                <w:color w:val="auto"/>
              </w:rPr>
            </w:pPr>
          </w:p>
        </w:tc>
        <w:tc>
          <w:tcPr>
            <w:tcW w:w="1040" w:type="dxa"/>
            <w:vAlign w:val="bottom"/>
            <w:shd w:val="clear" w:color="auto" w:fill="D8D8D8"/>
          </w:tcPr>
          <w:p>
            <w:pPr>
              <w:spacing w:after="0"/>
              <w:rPr>
                <w:sz w:val="19"/>
                <w:szCs w:val="19"/>
                <w:color w:val="auto"/>
              </w:rPr>
            </w:pPr>
          </w:p>
        </w:tc>
        <w:tc>
          <w:tcPr>
            <w:tcW w:w="1060" w:type="dxa"/>
            <w:vAlign w:val="bottom"/>
            <w:shd w:val="clear" w:color="auto" w:fill="D8D8D8"/>
          </w:tcPr>
          <w:p>
            <w:pPr>
              <w:spacing w:after="0"/>
              <w:rPr>
                <w:sz w:val="19"/>
                <w:szCs w:val="19"/>
                <w:color w:val="auto"/>
              </w:rPr>
            </w:pPr>
          </w:p>
        </w:tc>
        <w:tc>
          <w:tcPr>
            <w:tcW w:w="920" w:type="dxa"/>
            <w:vAlign w:val="bottom"/>
            <w:shd w:val="clear" w:color="auto" w:fill="D8D8D8"/>
          </w:tcPr>
          <w:p>
            <w:pPr>
              <w:spacing w:after="0"/>
              <w:rPr>
                <w:sz w:val="19"/>
                <w:szCs w:val="19"/>
                <w:color w:val="auto"/>
              </w:rPr>
            </w:pPr>
          </w:p>
        </w:tc>
        <w:tc>
          <w:tcPr>
            <w:tcW w:w="1100" w:type="dxa"/>
            <w:vAlign w:val="bottom"/>
            <w:shd w:val="clear" w:color="auto" w:fill="D8D8D8"/>
          </w:tcPr>
          <w:p>
            <w:pPr>
              <w:spacing w:after="0"/>
              <w:rPr>
                <w:sz w:val="19"/>
                <w:szCs w:val="19"/>
                <w:color w:val="auto"/>
              </w:rPr>
            </w:pPr>
          </w:p>
        </w:tc>
      </w:tr>
      <w:tr>
        <w:trPr>
          <w:trHeight w:val="310"/>
        </w:trPr>
        <w:tc>
          <w:tcPr>
            <w:tcW w:w="4200" w:type="dxa"/>
            <w:vAlign w:val="bottom"/>
            <w:gridSpan w:val="3"/>
          </w:tcPr>
          <w:p>
            <w:pPr>
              <w:spacing w:after="0"/>
              <w:rPr>
                <w:sz w:val="20"/>
                <w:szCs w:val="20"/>
                <w:color w:val="auto"/>
              </w:rPr>
            </w:pPr>
            <w:r>
              <w:rPr>
                <w:rFonts w:ascii="Arial" w:cs="Arial" w:eastAsia="Arial" w:hAnsi="Arial"/>
                <w:sz w:val="18"/>
                <w:szCs w:val="18"/>
                <w:color w:val="auto"/>
              </w:rPr>
              <w:t>Peter J. Federico</w:t>
            </w:r>
          </w:p>
        </w:tc>
        <w:tc>
          <w:tcPr>
            <w:tcW w:w="730" w:type="dxa"/>
            <w:vAlign w:val="bottom"/>
          </w:tcPr>
          <w:p>
            <w:pPr>
              <w:jc w:val="right"/>
              <w:ind w:right="60"/>
              <w:spacing w:after="0"/>
              <w:rPr>
                <w:sz w:val="20"/>
                <w:szCs w:val="20"/>
                <w:color w:val="auto"/>
              </w:rPr>
            </w:pPr>
            <w:r>
              <w:rPr>
                <w:rFonts w:ascii="Arial" w:cs="Arial" w:eastAsia="Arial" w:hAnsi="Arial"/>
                <w:sz w:val="18"/>
                <w:szCs w:val="18"/>
                <w:color w:val="auto"/>
              </w:rPr>
              <w:t>2017</w:t>
            </w:r>
          </w:p>
        </w:tc>
        <w:tc>
          <w:tcPr>
            <w:tcW w:w="990" w:type="dxa"/>
            <w:vAlign w:val="bottom"/>
          </w:tcPr>
          <w:p>
            <w:pPr>
              <w:jc w:val="center"/>
              <w:spacing w:after="0"/>
              <w:rPr>
                <w:sz w:val="20"/>
                <w:szCs w:val="20"/>
                <w:color w:val="auto"/>
              </w:rPr>
            </w:pPr>
            <w:r>
              <w:rPr>
                <w:rFonts w:ascii="Arial" w:cs="Arial" w:eastAsia="Arial" w:hAnsi="Arial"/>
                <w:sz w:val="18"/>
                <w:szCs w:val="18"/>
                <w:color w:val="auto"/>
                <w:w w:val="92"/>
              </w:rPr>
              <w:t>900,000</w:t>
            </w:r>
          </w:p>
        </w:tc>
        <w:tc>
          <w:tcPr>
            <w:tcW w:w="1000" w:type="dxa"/>
            <w:vAlign w:val="bottom"/>
          </w:tcPr>
          <w:p>
            <w:pPr>
              <w:jc w:val="center"/>
              <w:spacing w:after="0"/>
              <w:rPr>
                <w:sz w:val="20"/>
                <w:szCs w:val="20"/>
                <w:color w:val="auto"/>
              </w:rPr>
            </w:pPr>
            <w:r>
              <w:rPr>
                <w:rFonts w:ascii="Arial" w:cs="Arial" w:eastAsia="Arial" w:hAnsi="Arial"/>
                <w:sz w:val="18"/>
                <w:szCs w:val="18"/>
                <w:color w:val="auto"/>
                <w:w w:val="89"/>
              </w:rPr>
              <w:t>2,180,462</w:t>
            </w:r>
          </w:p>
        </w:tc>
        <w:tc>
          <w:tcPr>
            <w:tcW w:w="1040" w:type="dxa"/>
            <w:vAlign w:val="bottom"/>
          </w:tcPr>
          <w:p>
            <w:pPr>
              <w:jc w:val="center"/>
              <w:spacing w:after="0"/>
              <w:rPr>
                <w:sz w:val="20"/>
                <w:szCs w:val="20"/>
                <w:color w:val="auto"/>
              </w:rPr>
            </w:pPr>
            <w:r>
              <w:rPr>
                <w:rFonts w:ascii="Arial" w:cs="Arial" w:eastAsia="Arial" w:hAnsi="Arial"/>
                <w:sz w:val="18"/>
                <w:szCs w:val="18"/>
                <w:color w:val="auto"/>
                <w:w w:val="89"/>
              </w:rPr>
              <w:t>1,530,000</w:t>
            </w:r>
          </w:p>
        </w:tc>
        <w:tc>
          <w:tcPr>
            <w:tcW w:w="1060" w:type="dxa"/>
            <w:vAlign w:val="bottom"/>
          </w:tcPr>
          <w:p>
            <w:pPr>
              <w:jc w:val="center"/>
              <w:spacing w:after="0"/>
              <w:rPr>
                <w:sz w:val="20"/>
                <w:szCs w:val="20"/>
                <w:color w:val="auto"/>
              </w:rPr>
            </w:pPr>
            <w:r>
              <w:rPr>
                <w:rFonts w:ascii="Arial" w:cs="Arial" w:eastAsia="Arial" w:hAnsi="Arial"/>
                <w:sz w:val="18"/>
                <w:szCs w:val="18"/>
                <w:color w:val="auto"/>
                <w:w w:val="89"/>
              </w:rPr>
              <w:t>270,000</w:t>
            </w:r>
          </w:p>
        </w:tc>
        <w:tc>
          <w:tcPr>
            <w:tcW w:w="920" w:type="dxa"/>
            <w:vAlign w:val="bottom"/>
          </w:tcPr>
          <w:p>
            <w:pPr>
              <w:jc w:val="right"/>
              <w:ind w:right="150"/>
              <w:spacing w:after="0"/>
              <w:rPr>
                <w:sz w:val="20"/>
                <w:szCs w:val="20"/>
                <w:color w:val="auto"/>
              </w:rPr>
            </w:pPr>
            <w:r>
              <w:rPr>
                <w:rFonts w:ascii="Arial" w:cs="Arial" w:eastAsia="Arial" w:hAnsi="Arial"/>
                <w:sz w:val="18"/>
                <w:szCs w:val="18"/>
                <w:color w:val="auto"/>
              </w:rPr>
              <w:t>8,100</w:t>
            </w:r>
          </w:p>
        </w:tc>
        <w:tc>
          <w:tcPr>
            <w:tcW w:w="1100" w:type="dxa"/>
            <w:vAlign w:val="bottom"/>
          </w:tcPr>
          <w:p>
            <w:pPr>
              <w:jc w:val="center"/>
              <w:ind w:left="90"/>
              <w:spacing w:after="0"/>
              <w:rPr>
                <w:sz w:val="20"/>
                <w:szCs w:val="20"/>
                <w:color w:val="auto"/>
              </w:rPr>
            </w:pPr>
            <w:r>
              <w:rPr>
                <w:rFonts w:ascii="Arial" w:cs="Arial" w:eastAsia="Arial" w:hAnsi="Arial"/>
                <w:sz w:val="18"/>
                <w:szCs w:val="18"/>
                <w:color w:val="auto"/>
                <w:w w:val="89"/>
              </w:rPr>
              <w:t>4,888,562</w:t>
            </w:r>
          </w:p>
        </w:tc>
      </w:tr>
      <w:tr>
        <w:trPr>
          <w:trHeight w:val="230"/>
        </w:trPr>
        <w:tc>
          <w:tcPr>
            <w:tcW w:w="4200" w:type="dxa"/>
            <w:vAlign w:val="bottom"/>
            <w:gridSpan w:val="3"/>
          </w:tcPr>
          <w:p>
            <w:pPr>
              <w:spacing w:after="0"/>
              <w:rPr>
                <w:sz w:val="20"/>
                <w:szCs w:val="20"/>
                <w:color w:val="auto"/>
              </w:rPr>
            </w:pPr>
            <w:r>
              <w:rPr>
                <w:rFonts w:ascii="Arial" w:cs="Arial" w:eastAsia="Arial" w:hAnsi="Arial"/>
                <w:sz w:val="18"/>
                <w:szCs w:val="18"/>
                <w:i w:val="1"/>
                <w:iCs w:val="1"/>
                <w:color w:val="auto"/>
              </w:rPr>
              <w:t>Executive Vice President and Chief Financial Officer</w:t>
            </w:r>
          </w:p>
        </w:tc>
        <w:tc>
          <w:tcPr>
            <w:tcW w:w="730" w:type="dxa"/>
            <w:vAlign w:val="bottom"/>
          </w:tcPr>
          <w:p>
            <w:pPr>
              <w:jc w:val="right"/>
              <w:ind w:right="60"/>
              <w:spacing w:after="0"/>
              <w:rPr>
                <w:sz w:val="20"/>
                <w:szCs w:val="20"/>
                <w:color w:val="auto"/>
              </w:rPr>
            </w:pPr>
            <w:r>
              <w:rPr>
                <w:rFonts w:ascii="Arial" w:cs="Arial" w:eastAsia="Arial" w:hAnsi="Arial"/>
                <w:sz w:val="18"/>
                <w:szCs w:val="18"/>
                <w:color w:val="auto"/>
              </w:rPr>
              <w:t>2016</w:t>
            </w:r>
          </w:p>
        </w:tc>
        <w:tc>
          <w:tcPr>
            <w:tcW w:w="990" w:type="dxa"/>
            <w:vAlign w:val="bottom"/>
          </w:tcPr>
          <w:p>
            <w:pPr>
              <w:jc w:val="center"/>
              <w:spacing w:after="0"/>
              <w:rPr>
                <w:sz w:val="20"/>
                <w:szCs w:val="20"/>
                <w:color w:val="auto"/>
              </w:rPr>
            </w:pPr>
            <w:r>
              <w:rPr>
                <w:rFonts w:ascii="Arial" w:cs="Arial" w:eastAsia="Arial" w:hAnsi="Arial"/>
                <w:sz w:val="18"/>
                <w:szCs w:val="18"/>
                <w:color w:val="auto"/>
                <w:w w:val="92"/>
              </w:rPr>
              <w:t>416,667</w:t>
            </w:r>
          </w:p>
        </w:tc>
        <w:tc>
          <w:tcPr>
            <w:tcW w:w="1000" w:type="dxa"/>
            <w:vAlign w:val="bottom"/>
          </w:tcPr>
          <w:p>
            <w:pPr>
              <w:jc w:val="center"/>
              <w:spacing w:after="0"/>
              <w:rPr>
                <w:sz w:val="20"/>
                <w:szCs w:val="20"/>
                <w:color w:val="auto"/>
              </w:rPr>
            </w:pPr>
            <w:r>
              <w:rPr>
                <w:rFonts w:ascii="Arial" w:cs="Arial" w:eastAsia="Arial" w:hAnsi="Arial"/>
                <w:sz w:val="18"/>
                <w:szCs w:val="18"/>
                <w:color w:val="auto"/>
                <w:w w:val="92"/>
              </w:rPr>
              <w:t>969,846</w:t>
            </w:r>
          </w:p>
        </w:tc>
        <w:tc>
          <w:tcPr>
            <w:tcW w:w="1040" w:type="dxa"/>
            <w:vAlign w:val="bottom"/>
          </w:tcPr>
          <w:p>
            <w:pPr>
              <w:jc w:val="center"/>
              <w:spacing w:after="0"/>
              <w:rPr>
                <w:sz w:val="20"/>
                <w:szCs w:val="20"/>
                <w:color w:val="auto"/>
              </w:rPr>
            </w:pPr>
            <w:r>
              <w:rPr>
                <w:rFonts w:ascii="Arial" w:cs="Arial" w:eastAsia="Arial" w:hAnsi="Arial"/>
                <w:sz w:val="18"/>
                <w:szCs w:val="18"/>
                <w:color w:val="auto"/>
                <w:w w:val="92"/>
              </w:rPr>
              <w:t>740,424</w:t>
            </w:r>
          </w:p>
        </w:tc>
        <w:tc>
          <w:tcPr>
            <w:tcW w:w="1060" w:type="dxa"/>
            <w:vAlign w:val="bottom"/>
          </w:tcPr>
          <w:p>
            <w:pPr>
              <w:ind w:left="400"/>
              <w:spacing w:after="0"/>
              <w:rPr>
                <w:sz w:val="20"/>
                <w:szCs w:val="20"/>
                <w:color w:val="auto"/>
              </w:rPr>
            </w:pPr>
            <w:r>
              <w:rPr>
                <w:rFonts w:ascii="Arial" w:cs="Arial" w:eastAsia="Arial" w:hAnsi="Arial"/>
                <w:sz w:val="18"/>
                <w:szCs w:val="18"/>
                <w:color w:val="auto"/>
              </w:rPr>
              <w:t>–</w:t>
            </w:r>
          </w:p>
        </w:tc>
        <w:tc>
          <w:tcPr>
            <w:tcW w:w="920" w:type="dxa"/>
            <w:vAlign w:val="bottom"/>
          </w:tcPr>
          <w:p>
            <w:pPr>
              <w:jc w:val="right"/>
              <w:ind w:right="350"/>
              <w:spacing w:after="0"/>
              <w:rPr>
                <w:sz w:val="20"/>
                <w:szCs w:val="20"/>
                <w:color w:val="auto"/>
              </w:rPr>
            </w:pPr>
            <w:r>
              <w:rPr>
                <w:rFonts w:ascii="Arial" w:cs="Arial" w:eastAsia="Arial" w:hAnsi="Arial"/>
                <w:sz w:val="18"/>
                <w:szCs w:val="18"/>
                <w:color w:val="auto"/>
              </w:rPr>
              <w:t>–</w:t>
            </w:r>
          </w:p>
        </w:tc>
        <w:tc>
          <w:tcPr>
            <w:tcW w:w="1100" w:type="dxa"/>
            <w:vAlign w:val="bottom"/>
          </w:tcPr>
          <w:p>
            <w:pPr>
              <w:jc w:val="center"/>
              <w:ind w:left="90"/>
              <w:spacing w:after="0"/>
              <w:rPr>
                <w:sz w:val="20"/>
                <w:szCs w:val="20"/>
                <w:color w:val="auto"/>
              </w:rPr>
            </w:pPr>
            <w:r>
              <w:rPr>
                <w:rFonts w:ascii="Arial" w:cs="Arial" w:eastAsia="Arial" w:hAnsi="Arial"/>
                <w:sz w:val="18"/>
                <w:szCs w:val="18"/>
                <w:color w:val="auto"/>
                <w:w w:val="89"/>
              </w:rPr>
              <w:t>2,126,937</w:t>
            </w:r>
          </w:p>
        </w:tc>
      </w:tr>
      <w:tr>
        <w:trPr>
          <w:trHeight w:val="216"/>
        </w:trPr>
        <w:tc>
          <w:tcPr>
            <w:tcW w:w="3860" w:type="dxa"/>
            <w:vAlign w:val="bottom"/>
            <w:gridSpan w:val="2"/>
          </w:tcPr>
          <w:p>
            <w:pPr>
              <w:spacing w:after="0"/>
              <w:rPr>
                <w:sz w:val="18"/>
                <w:szCs w:val="18"/>
                <w:color w:val="auto"/>
              </w:rPr>
            </w:pPr>
          </w:p>
        </w:tc>
        <w:tc>
          <w:tcPr>
            <w:tcW w:w="340" w:type="dxa"/>
            <w:vAlign w:val="bottom"/>
          </w:tcPr>
          <w:p>
            <w:pPr>
              <w:spacing w:after="0"/>
              <w:rPr>
                <w:sz w:val="18"/>
                <w:szCs w:val="18"/>
                <w:color w:val="auto"/>
              </w:rPr>
            </w:pPr>
          </w:p>
        </w:tc>
        <w:tc>
          <w:tcPr>
            <w:tcW w:w="730" w:type="dxa"/>
            <w:vAlign w:val="bottom"/>
          </w:tcPr>
          <w:p>
            <w:pPr>
              <w:spacing w:after="0"/>
              <w:rPr>
                <w:sz w:val="18"/>
                <w:szCs w:val="18"/>
                <w:color w:val="auto"/>
              </w:rPr>
            </w:pPr>
          </w:p>
        </w:tc>
        <w:tc>
          <w:tcPr>
            <w:tcW w:w="99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1100" w:type="dxa"/>
            <w:vAlign w:val="bottom"/>
          </w:tcPr>
          <w:p>
            <w:pPr>
              <w:spacing w:after="0"/>
              <w:rPr>
                <w:sz w:val="18"/>
                <w:szCs w:val="18"/>
                <w:color w:val="auto"/>
              </w:rPr>
            </w:pPr>
          </w:p>
        </w:tc>
      </w:tr>
      <w:tr>
        <w:trPr>
          <w:trHeight w:val="324"/>
        </w:trPr>
        <w:tc>
          <w:tcPr>
            <w:tcW w:w="20" w:type="dxa"/>
            <w:vAlign w:val="bottom"/>
          </w:tcPr>
          <w:p>
            <w:pPr>
              <w:spacing w:after="0"/>
              <w:rPr>
                <w:sz w:val="24"/>
                <w:szCs w:val="24"/>
                <w:color w:val="auto"/>
              </w:rPr>
            </w:pPr>
          </w:p>
        </w:tc>
        <w:tc>
          <w:tcPr>
            <w:tcW w:w="4180" w:type="dxa"/>
            <w:vAlign w:val="bottom"/>
            <w:gridSpan w:val="2"/>
            <w:shd w:val="clear" w:color="auto" w:fill="D8D8D8"/>
          </w:tcPr>
          <w:p>
            <w:pPr>
              <w:spacing w:after="0"/>
              <w:rPr>
                <w:sz w:val="20"/>
                <w:szCs w:val="20"/>
                <w:color w:val="auto"/>
              </w:rPr>
            </w:pPr>
            <w:r>
              <w:rPr>
                <w:rFonts w:ascii="Arial" w:cs="Arial" w:eastAsia="Arial" w:hAnsi="Arial"/>
                <w:sz w:val="18"/>
                <w:szCs w:val="18"/>
                <w:color w:val="auto"/>
              </w:rPr>
              <w:t>Christopher J. Kuehl</w:t>
            </w:r>
          </w:p>
        </w:tc>
        <w:tc>
          <w:tcPr>
            <w:tcW w:w="730" w:type="dxa"/>
            <w:vAlign w:val="bottom"/>
            <w:shd w:val="clear" w:color="auto" w:fill="D8D8D8"/>
          </w:tcPr>
          <w:p>
            <w:pPr>
              <w:jc w:val="right"/>
              <w:ind w:right="60"/>
              <w:spacing w:after="0"/>
              <w:rPr>
                <w:sz w:val="20"/>
                <w:szCs w:val="20"/>
                <w:color w:val="auto"/>
              </w:rPr>
            </w:pPr>
            <w:r>
              <w:rPr>
                <w:rFonts w:ascii="Arial" w:cs="Arial" w:eastAsia="Arial" w:hAnsi="Arial"/>
                <w:sz w:val="18"/>
                <w:szCs w:val="18"/>
                <w:color w:val="auto"/>
              </w:rPr>
              <w:t>2017</w:t>
            </w:r>
          </w:p>
        </w:tc>
        <w:tc>
          <w:tcPr>
            <w:tcW w:w="99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92"/>
              </w:rPr>
              <w:t>900,000</w:t>
            </w:r>
          </w:p>
        </w:tc>
        <w:tc>
          <w:tcPr>
            <w:tcW w:w="100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1,876,480</w:t>
            </w:r>
          </w:p>
        </w:tc>
        <w:tc>
          <w:tcPr>
            <w:tcW w:w="104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1,050,000</w:t>
            </w:r>
          </w:p>
        </w:tc>
        <w:tc>
          <w:tcPr>
            <w:tcW w:w="106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350,000</w:t>
            </w:r>
          </w:p>
        </w:tc>
        <w:tc>
          <w:tcPr>
            <w:tcW w:w="920" w:type="dxa"/>
            <w:vAlign w:val="bottom"/>
            <w:shd w:val="clear" w:color="auto" w:fill="D8D8D8"/>
          </w:tcPr>
          <w:p>
            <w:pPr>
              <w:jc w:val="right"/>
              <w:ind w:right="150"/>
              <w:spacing w:after="0"/>
              <w:rPr>
                <w:sz w:val="20"/>
                <w:szCs w:val="20"/>
                <w:color w:val="auto"/>
              </w:rPr>
            </w:pPr>
            <w:r>
              <w:rPr>
                <w:rFonts w:ascii="Arial" w:cs="Arial" w:eastAsia="Arial" w:hAnsi="Arial"/>
                <w:sz w:val="18"/>
                <w:szCs w:val="18"/>
                <w:color w:val="auto"/>
              </w:rPr>
              <w:t>8,100</w:t>
            </w:r>
          </w:p>
        </w:tc>
        <w:tc>
          <w:tcPr>
            <w:tcW w:w="1100" w:type="dxa"/>
            <w:vAlign w:val="bottom"/>
            <w:shd w:val="clear" w:color="auto" w:fill="D8D8D8"/>
          </w:tcPr>
          <w:p>
            <w:pPr>
              <w:jc w:val="center"/>
              <w:ind w:left="90"/>
              <w:spacing w:after="0"/>
              <w:rPr>
                <w:sz w:val="20"/>
                <w:szCs w:val="20"/>
                <w:color w:val="auto"/>
              </w:rPr>
            </w:pPr>
            <w:r>
              <w:rPr>
                <w:rFonts w:ascii="Arial" w:cs="Arial" w:eastAsia="Arial" w:hAnsi="Arial"/>
                <w:sz w:val="18"/>
                <w:szCs w:val="18"/>
                <w:color w:val="auto"/>
                <w:w w:val="89"/>
              </w:rPr>
              <w:t>4,184,580</w:t>
            </w:r>
          </w:p>
        </w:tc>
      </w:tr>
      <w:tr>
        <w:trPr>
          <w:trHeight w:val="230"/>
        </w:trPr>
        <w:tc>
          <w:tcPr>
            <w:tcW w:w="20" w:type="dxa"/>
            <w:vAlign w:val="bottom"/>
          </w:tcPr>
          <w:p>
            <w:pPr>
              <w:spacing w:after="0"/>
              <w:rPr>
                <w:sz w:val="19"/>
                <w:szCs w:val="19"/>
                <w:color w:val="auto"/>
              </w:rPr>
            </w:pPr>
          </w:p>
        </w:tc>
        <w:tc>
          <w:tcPr>
            <w:tcW w:w="4180" w:type="dxa"/>
            <w:vAlign w:val="bottom"/>
            <w:gridSpan w:val="2"/>
            <w:shd w:val="clear" w:color="auto" w:fill="D8D8D8"/>
          </w:tcPr>
          <w:p>
            <w:pPr>
              <w:spacing w:after="0"/>
              <w:rPr>
                <w:sz w:val="20"/>
                <w:szCs w:val="20"/>
                <w:color w:val="auto"/>
              </w:rPr>
            </w:pPr>
            <w:r>
              <w:rPr>
                <w:rFonts w:ascii="Arial" w:cs="Arial" w:eastAsia="Arial" w:hAnsi="Arial"/>
                <w:sz w:val="18"/>
                <w:szCs w:val="18"/>
                <w:i w:val="1"/>
                <w:iCs w:val="1"/>
                <w:color w:val="auto"/>
              </w:rPr>
              <w:t>Executive Vice President</w:t>
            </w:r>
          </w:p>
        </w:tc>
        <w:tc>
          <w:tcPr>
            <w:tcW w:w="730" w:type="dxa"/>
            <w:vAlign w:val="bottom"/>
            <w:shd w:val="clear" w:color="auto" w:fill="D8D8D8"/>
          </w:tcPr>
          <w:p>
            <w:pPr>
              <w:jc w:val="right"/>
              <w:ind w:right="60"/>
              <w:spacing w:after="0"/>
              <w:rPr>
                <w:sz w:val="20"/>
                <w:szCs w:val="20"/>
                <w:color w:val="auto"/>
              </w:rPr>
            </w:pPr>
            <w:r>
              <w:rPr>
                <w:rFonts w:ascii="Arial" w:cs="Arial" w:eastAsia="Arial" w:hAnsi="Arial"/>
                <w:sz w:val="18"/>
                <w:szCs w:val="18"/>
                <w:color w:val="auto"/>
              </w:rPr>
              <w:t>2016</w:t>
            </w:r>
          </w:p>
        </w:tc>
        <w:tc>
          <w:tcPr>
            <w:tcW w:w="99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92"/>
              </w:rPr>
              <w:t>450,000</w:t>
            </w:r>
          </w:p>
        </w:tc>
        <w:tc>
          <w:tcPr>
            <w:tcW w:w="100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92"/>
              </w:rPr>
              <w:t>848,000</w:t>
            </w:r>
          </w:p>
        </w:tc>
        <w:tc>
          <w:tcPr>
            <w:tcW w:w="104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1,073,758</w:t>
            </w:r>
          </w:p>
        </w:tc>
        <w:tc>
          <w:tcPr>
            <w:tcW w:w="1060" w:type="dxa"/>
            <w:vAlign w:val="bottom"/>
            <w:shd w:val="clear" w:color="auto" w:fill="D8D8D8"/>
          </w:tcPr>
          <w:p>
            <w:pPr>
              <w:ind w:left="400"/>
              <w:spacing w:after="0"/>
              <w:rPr>
                <w:sz w:val="20"/>
                <w:szCs w:val="20"/>
                <w:color w:val="auto"/>
              </w:rPr>
            </w:pPr>
            <w:r>
              <w:rPr>
                <w:rFonts w:ascii="Arial" w:cs="Arial" w:eastAsia="Arial" w:hAnsi="Arial"/>
                <w:sz w:val="18"/>
                <w:szCs w:val="18"/>
                <w:color w:val="auto"/>
              </w:rPr>
              <w:t>–</w:t>
            </w:r>
          </w:p>
        </w:tc>
        <w:tc>
          <w:tcPr>
            <w:tcW w:w="920" w:type="dxa"/>
            <w:vAlign w:val="bottom"/>
            <w:shd w:val="clear" w:color="auto" w:fill="D8D8D8"/>
          </w:tcPr>
          <w:p>
            <w:pPr>
              <w:jc w:val="right"/>
              <w:ind w:right="350"/>
              <w:spacing w:after="0"/>
              <w:rPr>
                <w:sz w:val="20"/>
                <w:szCs w:val="20"/>
                <w:color w:val="auto"/>
              </w:rPr>
            </w:pPr>
            <w:r>
              <w:rPr>
                <w:rFonts w:ascii="Arial" w:cs="Arial" w:eastAsia="Arial" w:hAnsi="Arial"/>
                <w:sz w:val="18"/>
                <w:szCs w:val="18"/>
                <w:color w:val="auto"/>
              </w:rPr>
              <w:t>–</w:t>
            </w:r>
          </w:p>
        </w:tc>
        <w:tc>
          <w:tcPr>
            <w:tcW w:w="1100" w:type="dxa"/>
            <w:vAlign w:val="bottom"/>
            <w:shd w:val="clear" w:color="auto" w:fill="D8D8D8"/>
          </w:tcPr>
          <w:p>
            <w:pPr>
              <w:jc w:val="center"/>
              <w:ind w:left="90"/>
              <w:spacing w:after="0"/>
              <w:rPr>
                <w:sz w:val="20"/>
                <w:szCs w:val="20"/>
                <w:color w:val="auto"/>
              </w:rPr>
            </w:pPr>
            <w:r>
              <w:rPr>
                <w:rFonts w:ascii="Arial" w:cs="Arial" w:eastAsia="Arial" w:hAnsi="Arial"/>
                <w:sz w:val="18"/>
                <w:szCs w:val="18"/>
                <w:color w:val="auto"/>
                <w:w w:val="89"/>
              </w:rPr>
              <w:t>2,371,758</w:t>
            </w:r>
          </w:p>
        </w:tc>
      </w:tr>
      <w:tr>
        <w:trPr>
          <w:trHeight w:val="310"/>
        </w:trPr>
        <w:tc>
          <w:tcPr>
            <w:tcW w:w="4200" w:type="dxa"/>
            <w:vAlign w:val="bottom"/>
            <w:gridSpan w:val="3"/>
          </w:tcPr>
          <w:p>
            <w:pPr>
              <w:spacing w:after="0"/>
              <w:rPr>
                <w:sz w:val="20"/>
                <w:szCs w:val="20"/>
                <w:color w:val="auto"/>
              </w:rPr>
            </w:pPr>
            <w:r>
              <w:rPr>
                <w:rFonts w:ascii="Arial" w:cs="Arial" w:eastAsia="Arial" w:hAnsi="Arial"/>
                <w:sz w:val="18"/>
                <w:szCs w:val="18"/>
                <w:color w:val="auto"/>
              </w:rPr>
              <w:t>Aaron J. Pas</w:t>
            </w:r>
          </w:p>
        </w:tc>
        <w:tc>
          <w:tcPr>
            <w:tcW w:w="730" w:type="dxa"/>
            <w:vAlign w:val="bottom"/>
          </w:tcPr>
          <w:p>
            <w:pPr>
              <w:jc w:val="right"/>
              <w:ind w:right="60"/>
              <w:spacing w:after="0"/>
              <w:rPr>
                <w:sz w:val="20"/>
                <w:szCs w:val="20"/>
                <w:color w:val="auto"/>
              </w:rPr>
            </w:pPr>
            <w:r>
              <w:rPr>
                <w:rFonts w:ascii="Arial" w:cs="Arial" w:eastAsia="Arial" w:hAnsi="Arial"/>
                <w:sz w:val="18"/>
                <w:szCs w:val="18"/>
                <w:color w:val="auto"/>
              </w:rPr>
              <w:t>2017</w:t>
            </w:r>
          </w:p>
        </w:tc>
        <w:tc>
          <w:tcPr>
            <w:tcW w:w="990" w:type="dxa"/>
            <w:vAlign w:val="bottom"/>
          </w:tcPr>
          <w:p>
            <w:pPr>
              <w:jc w:val="center"/>
              <w:spacing w:after="0"/>
              <w:rPr>
                <w:sz w:val="20"/>
                <w:szCs w:val="20"/>
                <w:color w:val="auto"/>
              </w:rPr>
            </w:pPr>
            <w:r>
              <w:rPr>
                <w:rFonts w:ascii="Arial" w:cs="Arial" w:eastAsia="Arial" w:hAnsi="Arial"/>
                <w:sz w:val="18"/>
                <w:szCs w:val="18"/>
                <w:color w:val="auto"/>
                <w:w w:val="92"/>
              </w:rPr>
              <w:t>425,000</w:t>
            </w:r>
          </w:p>
        </w:tc>
        <w:tc>
          <w:tcPr>
            <w:tcW w:w="1000" w:type="dxa"/>
            <w:vAlign w:val="bottom"/>
          </w:tcPr>
          <w:p>
            <w:pPr>
              <w:jc w:val="center"/>
              <w:spacing w:after="0"/>
              <w:rPr>
                <w:sz w:val="20"/>
                <w:szCs w:val="20"/>
                <w:color w:val="auto"/>
              </w:rPr>
            </w:pPr>
            <w:r>
              <w:rPr>
                <w:rFonts w:ascii="Arial" w:cs="Arial" w:eastAsia="Arial" w:hAnsi="Arial"/>
                <w:sz w:val="18"/>
                <w:szCs w:val="18"/>
                <w:color w:val="auto"/>
                <w:w w:val="92"/>
              </w:rPr>
              <w:t>720,120</w:t>
            </w:r>
          </w:p>
        </w:tc>
        <w:tc>
          <w:tcPr>
            <w:tcW w:w="1040" w:type="dxa"/>
            <w:vAlign w:val="bottom"/>
          </w:tcPr>
          <w:p>
            <w:pPr>
              <w:jc w:val="center"/>
              <w:spacing w:after="0"/>
              <w:rPr>
                <w:sz w:val="20"/>
                <w:szCs w:val="20"/>
                <w:color w:val="auto"/>
              </w:rPr>
            </w:pPr>
            <w:r>
              <w:rPr>
                <w:rFonts w:ascii="Arial" w:cs="Arial" w:eastAsia="Arial" w:hAnsi="Arial"/>
                <w:sz w:val="18"/>
                <w:szCs w:val="18"/>
                <w:color w:val="auto"/>
                <w:w w:val="92"/>
              </w:rPr>
              <w:t>318,750</w:t>
            </w:r>
          </w:p>
        </w:tc>
        <w:tc>
          <w:tcPr>
            <w:tcW w:w="1060" w:type="dxa"/>
            <w:vAlign w:val="bottom"/>
          </w:tcPr>
          <w:p>
            <w:pPr>
              <w:jc w:val="center"/>
              <w:spacing w:after="0"/>
              <w:rPr>
                <w:sz w:val="20"/>
                <w:szCs w:val="20"/>
                <w:color w:val="auto"/>
              </w:rPr>
            </w:pPr>
            <w:r>
              <w:rPr>
                <w:rFonts w:ascii="Arial" w:cs="Arial" w:eastAsia="Arial" w:hAnsi="Arial"/>
                <w:sz w:val="18"/>
                <w:szCs w:val="18"/>
                <w:color w:val="auto"/>
                <w:w w:val="89"/>
              </w:rPr>
              <w:t>106,250</w:t>
            </w:r>
          </w:p>
        </w:tc>
        <w:tc>
          <w:tcPr>
            <w:tcW w:w="920" w:type="dxa"/>
            <w:vAlign w:val="bottom"/>
          </w:tcPr>
          <w:p>
            <w:pPr>
              <w:jc w:val="right"/>
              <w:ind w:right="150"/>
              <w:spacing w:after="0"/>
              <w:rPr>
                <w:sz w:val="20"/>
                <w:szCs w:val="20"/>
                <w:color w:val="auto"/>
              </w:rPr>
            </w:pPr>
            <w:r>
              <w:rPr>
                <w:rFonts w:ascii="Arial" w:cs="Arial" w:eastAsia="Arial" w:hAnsi="Arial"/>
                <w:sz w:val="18"/>
                <w:szCs w:val="18"/>
                <w:color w:val="auto"/>
              </w:rPr>
              <w:t>8,100</w:t>
            </w:r>
          </w:p>
        </w:tc>
        <w:tc>
          <w:tcPr>
            <w:tcW w:w="1100" w:type="dxa"/>
            <w:vAlign w:val="bottom"/>
          </w:tcPr>
          <w:p>
            <w:pPr>
              <w:jc w:val="center"/>
              <w:ind w:left="90"/>
              <w:spacing w:after="0"/>
              <w:rPr>
                <w:sz w:val="20"/>
                <w:szCs w:val="20"/>
                <w:color w:val="auto"/>
              </w:rPr>
            </w:pPr>
            <w:r>
              <w:rPr>
                <w:rFonts w:ascii="Arial" w:cs="Arial" w:eastAsia="Arial" w:hAnsi="Arial"/>
                <w:sz w:val="18"/>
                <w:szCs w:val="18"/>
                <w:color w:val="auto"/>
                <w:w w:val="89"/>
              </w:rPr>
              <w:t>1,578,220</w:t>
            </w:r>
          </w:p>
        </w:tc>
      </w:tr>
      <w:tr>
        <w:trPr>
          <w:trHeight w:val="237"/>
        </w:trPr>
        <w:tc>
          <w:tcPr>
            <w:tcW w:w="4200" w:type="dxa"/>
            <w:vAlign w:val="bottom"/>
            <w:gridSpan w:val="3"/>
          </w:tcPr>
          <w:p>
            <w:pPr>
              <w:spacing w:after="0"/>
              <w:rPr>
                <w:sz w:val="20"/>
                <w:szCs w:val="20"/>
                <w:color w:val="auto"/>
              </w:rPr>
            </w:pPr>
            <w:r>
              <w:rPr>
                <w:rFonts w:ascii="Arial" w:cs="Arial" w:eastAsia="Arial" w:hAnsi="Arial"/>
                <w:sz w:val="18"/>
                <w:szCs w:val="18"/>
                <w:i w:val="1"/>
                <w:iCs w:val="1"/>
                <w:color w:val="auto"/>
              </w:rPr>
              <w:t>Senior Vice President</w:t>
            </w:r>
          </w:p>
        </w:tc>
        <w:tc>
          <w:tcPr>
            <w:tcW w:w="730" w:type="dxa"/>
            <w:vAlign w:val="bottom"/>
          </w:tcPr>
          <w:p>
            <w:pPr>
              <w:jc w:val="right"/>
              <w:ind w:right="60"/>
              <w:spacing w:after="0"/>
              <w:rPr>
                <w:sz w:val="20"/>
                <w:szCs w:val="20"/>
                <w:color w:val="auto"/>
              </w:rPr>
            </w:pPr>
            <w:r>
              <w:rPr>
                <w:rFonts w:ascii="Arial" w:cs="Arial" w:eastAsia="Arial" w:hAnsi="Arial"/>
                <w:sz w:val="18"/>
                <w:szCs w:val="18"/>
                <w:color w:val="auto"/>
              </w:rPr>
              <w:t>2016</w:t>
            </w:r>
          </w:p>
        </w:tc>
        <w:tc>
          <w:tcPr>
            <w:tcW w:w="990" w:type="dxa"/>
            <w:vAlign w:val="bottom"/>
          </w:tcPr>
          <w:p>
            <w:pPr>
              <w:jc w:val="center"/>
              <w:spacing w:after="0"/>
              <w:rPr>
                <w:sz w:val="20"/>
                <w:szCs w:val="20"/>
                <w:color w:val="auto"/>
              </w:rPr>
            </w:pPr>
            <w:r>
              <w:rPr>
                <w:rFonts w:ascii="Arial" w:cs="Arial" w:eastAsia="Arial" w:hAnsi="Arial"/>
                <w:sz w:val="18"/>
                <w:szCs w:val="18"/>
                <w:color w:val="auto"/>
                <w:w w:val="92"/>
              </w:rPr>
              <w:t>212,500</w:t>
            </w:r>
          </w:p>
        </w:tc>
        <w:tc>
          <w:tcPr>
            <w:tcW w:w="1000" w:type="dxa"/>
            <w:vAlign w:val="bottom"/>
          </w:tcPr>
          <w:p>
            <w:pPr>
              <w:jc w:val="center"/>
              <w:spacing w:after="0"/>
              <w:rPr>
                <w:sz w:val="20"/>
                <w:szCs w:val="20"/>
                <w:color w:val="auto"/>
              </w:rPr>
            </w:pPr>
            <w:r>
              <w:rPr>
                <w:rFonts w:ascii="Arial" w:cs="Arial" w:eastAsia="Arial" w:hAnsi="Arial"/>
                <w:sz w:val="18"/>
                <w:szCs w:val="18"/>
                <w:color w:val="auto"/>
                <w:w w:val="92"/>
              </w:rPr>
              <w:t>337,875</w:t>
            </w:r>
          </w:p>
        </w:tc>
        <w:tc>
          <w:tcPr>
            <w:tcW w:w="1040" w:type="dxa"/>
            <w:vAlign w:val="bottom"/>
          </w:tcPr>
          <w:p>
            <w:pPr>
              <w:ind w:left="400"/>
              <w:spacing w:after="0"/>
              <w:rPr>
                <w:sz w:val="20"/>
                <w:szCs w:val="20"/>
                <w:color w:val="auto"/>
              </w:rPr>
            </w:pPr>
            <w:r>
              <w:rPr>
                <w:rFonts w:ascii="Arial" w:cs="Arial" w:eastAsia="Arial" w:hAnsi="Arial"/>
                <w:sz w:val="18"/>
                <w:szCs w:val="18"/>
                <w:color w:val="auto"/>
              </w:rPr>
              <w:t>–</w:t>
            </w:r>
          </w:p>
        </w:tc>
        <w:tc>
          <w:tcPr>
            <w:tcW w:w="1060" w:type="dxa"/>
            <w:vAlign w:val="bottom"/>
          </w:tcPr>
          <w:p>
            <w:pPr>
              <w:ind w:left="400"/>
              <w:spacing w:after="0"/>
              <w:rPr>
                <w:sz w:val="20"/>
                <w:szCs w:val="20"/>
                <w:color w:val="auto"/>
              </w:rPr>
            </w:pPr>
            <w:r>
              <w:rPr>
                <w:rFonts w:ascii="Arial" w:cs="Arial" w:eastAsia="Arial" w:hAnsi="Arial"/>
                <w:sz w:val="18"/>
                <w:szCs w:val="18"/>
                <w:color w:val="auto"/>
              </w:rPr>
              <w:t>–</w:t>
            </w:r>
          </w:p>
        </w:tc>
        <w:tc>
          <w:tcPr>
            <w:tcW w:w="920" w:type="dxa"/>
            <w:vAlign w:val="bottom"/>
          </w:tcPr>
          <w:p>
            <w:pPr>
              <w:jc w:val="right"/>
              <w:ind w:right="350"/>
              <w:spacing w:after="0"/>
              <w:rPr>
                <w:sz w:val="20"/>
                <w:szCs w:val="20"/>
                <w:color w:val="auto"/>
              </w:rPr>
            </w:pPr>
            <w:r>
              <w:rPr>
                <w:rFonts w:ascii="Arial" w:cs="Arial" w:eastAsia="Arial" w:hAnsi="Arial"/>
                <w:sz w:val="18"/>
                <w:szCs w:val="18"/>
                <w:color w:val="auto"/>
              </w:rPr>
              <w:t>–</w:t>
            </w:r>
          </w:p>
        </w:tc>
        <w:tc>
          <w:tcPr>
            <w:tcW w:w="1100" w:type="dxa"/>
            <w:vAlign w:val="bottom"/>
          </w:tcPr>
          <w:p>
            <w:pPr>
              <w:jc w:val="center"/>
              <w:ind w:left="90"/>
              <w:spacing w:after="0"/>
              <w:rPr>
                <w:sz w:val="20"/>
                <w:szCs w:val="20"/>
                <w:color w:val="auto"/>
              </w:rPr>
            </w:pPr>
            <w:r>
              <w:rPr>
                <w:rFonts w:ascii="Arial" w:cs="Arial" w:eastAsia="Arial" w:hAnsi="Arial"/>
                <w:sz w:val="18"/>
                <w:szCs w:val="18"/>
                <w:color w:val="auto"/>
                <w:w w:val="92"/>
              </w:rPr>
              <w:t>550,375</w:t>
            </w:r>
          </w:p>
        </w:tc>
      </w:tr>
      <w:tr>
        <w:trPr>
          <w:trHeight w:val="331"/>
        </w:trPr>
        <w:tc>
          <w:tcPr>
            <w:tcW w:w="20" w:type="dxa"/>
            <w:vAlign w:val="bottom"/>
          </w:tcPr>
          <w:p>
            <w:pPr>
              <w:spacing w:after="0"/>
              <w:rPr>
                <w:sz w:val="24"/>
                <w:szCs w:val="24"/>
                <w:color w:val="auto"/>
              </w:rPr>
            </w:pPr>
          </w:p>
        </w:tc>
        <w:tc>
          <w:tcPr>
            <w:tcW w:w="4180" w:type="dxa"/>
            <w:vAlign w:val="bottom"/>
            <w:gridSpan w:val="2"/>
            <w:shd w:val="clear" w:color="auto" w:fill="D8D8D8"/>
          </w:tcPr>
          <w:p>
            <w:pPr>
              <w:spacing w:after="0"/>
              <w:rPr>
                <w:sz w:val="20"/>
                <w:szCs w:val="20"/>
                <w:color w:val="auto"/>
              </w:rPr>
            </w:pPr>
            <w:r>
              <w:rPr>
                <w:rFonts w:ascii="Arial" w:cs="Arial" w:eastAsia="Arial" w:hAnsi="Arial"/>
                <w:sz w:val="18"/>
                <w:szCs w:val="18"/>
                <w:color w:val="auto"/>
              </w:rPr>
              <w:t>Kenneth L. Pollack</w:t>
            </w:r>
          </w:p>
        </w:tc>
        <w:tc>
          <w:tcPr>
            <w:tcW w:w="730" w:type="dxa"/>
            <w:vAlign w:val="bottom"/>
            <w:shd w:val="clear" w:color="auto" w:fill="D8D8D8"/>
          </w:tcPr>
          <w:p>
            <w:pPr>
              <w:jc w:val="right"/>
              <w:ind w:right="60"/>
              <w:spacing w:after="0"/>
              <w:rPr>
                <w:sz w:val="20"/>
                <w:szCs w:val="20"/>
                <w:color w:val="auto"/>
              </w:rPr>
            </w:pPr>
            <w:r>
              <w:rPr>
                <w:rFonts w:ascii="Arial" w:cs="Arial" w:eastAsia="Arial" w:hAnsi="Arial"/>
                <w:sz w:val="18"/>
                <w:szCs w:val="18"/>
                <w:color w:val="auto"/>
              </w:rPr>
              <w:t>2017</w:t>
            </w:r>
          </w:p>
        </w:tc>
        <w:tc>
          <w:tcPr>
            <w:tcW w:w="99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92"/>
              </w:rPr>
              <w:t>420,833</w:t>
            </w:r>
          </w:p>
        </w:tc>
        <w:tc>
          <w:tcPr>
            <w:tcW w:w="100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92"/>
              </w:rPr>
              <w:t>480,080</w:t>
            </w:r>
          </w:p>
        </w:tc>
        <w:tc>
          <w:tcPr>
            <w:tcW w:w="104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92"/>
              </w:rPr>
              <w:t>180,000</w:t>
            </w:r>
          </w:p>
        </w:tc>
        <w:tc>
          <w:tcPr>
            <w:tcW w:w="106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90"/>
              </w:rPr>
              <w:t>60,000</w:t>
            </w:r>
          </w:p>
        </w:tc>
        <w:tc>
          <w:tcPr>
            <w:tcW w:w="920" w:type="dxa"/>
            <w:vAlign w:val="bottom"/>
            <w:shd w:val="clear" w:color="auto" w:fill="D8D8D8"/>
          </w:tcPr>
          <w:p>
            <w:pPr>
              <w:jc w:val="right"/>
              <w:ind w:right="150"/>
              <w:spacing w:after="0"/>
              <w:rPr>
                <w:sz w:val="20"/>
                <w:szCs w:val="20"/>
                <w:color w:val="auto"/>
              </w:rPr>
            </w:pPr>
            <w:r>
              <w:rPr>
                <w:rFonts w:ascii="Arial" w:cs="Arial" w:eastAsia="Arial" w:hAnsi="Arial"/>
                <w:sz w:val="18"/>
                <w:szCs w:val="18"/>
                <w:color w:val="auto"/>
              </w:rPr>
              <w:t>8,100</w:t>
            </w:r>
          </w:p>
        </w:tc>
        <w:tc>
          <w:tcPr>
            <w:tcW w:w="1100" w:type="dxa"/>
            <w:vAlign w:val="bottom"/>
            <w:shd w:val="clear" w:color="auto" w:fill="D8D8D8"/>
          </w:tcPr>
          <w:p>
            <w:pPr>
              <w:jc w:val="center"/>
              <w:ind w:left="90"/>
              <w:spacing w:after="0"/>
              <w:rPr>
                <w:sz w:val="20"/>
                <w:szCs w:val="20"/>
                <w:color w:val="auto"/>
              </w:rPr>
            </w:pPr>
            <w:r>
              <w:rPr>
                <w:rFonts w:ascii="Arial" w:cs="Arial" w:eastAsia="Arial" w:hAnsi="Arial"/>
                <w:sz w:val="18"/>
                <w:szCs w:val="18"/>
                <w:color w:val="auto"/>
                <w:w w:val="89"/>
              </w:rPr>
              <w:t>1,149,013</w:t>
            </w:r>
          </w:p>
        </w:tc>
      </w:tr>
      <w:tr>
        <w:trPr>
          <w:trHeight w:val="216"/>
        </w:trPr>
        <w:tc>
          <w:tcPr>
            <w:tcW w:w="20" w:type="dxa"/>
            <w:vAlign w:val="bottom"/>
          </w:tcPr>
          <w:p>
            <w:pPr>
              <w:spacing w:after="0"/>
              <w:rPr>
                <w:sz w:val="18"/>
                <w:szCs w:val="18"/>
                <w:color w:val="auto"/>
              </w:rPr>
            </w:pPr>
          </w:p>
        </w:tc>
        <w:tc>
          <w:tcPr>
            <w:tcW w:w="4180" w:type="dxa"/>
            <w:vAlign w:val="bottom"/>
            <w:gridSpan w:val="2"/>
            <w:shd w:val="clear" w:color="auto" w:fill="D8D8D8"/>
          </w:tcPr>
          <w:p>
            <w:pPr>
              <w:spacing w:after="0"/>
              <w:rPr>
                <w:sz w:val="20"/>
                <w:szCs w:val="20"/>
                <w:color w:val="auto"/>
              </w:rPr>
            </w:pPr>
            <w:r>
              <w:rPr>
                <w:rFonts w:ascii="Arial" w:cs="Arial" w:eastAsia="Arial" w:hAnsi="Arial"/>
                <w:sz w:val="18"/>
                <w:szCs w:val="18"/>
                <w:i w:val="1"/>
                <w:iCs w:val="1"/>
                <w:color w:val="auto"/>
              </w:rPr>
              <w:t>Senior Vice President, General Counsel, Chief</w:t>
            </w:r>
          </w:p>
        </w:tc>
        <w:tc>
          <w:tcPr>
            <w:tcW w:w="730" w:type="dxa"/>
            <w:vAlign w:val="bottom"/>
            <w:shd w:val="clear" w:color="auto" w:fill="D8D8D8"/>
          </w:tcPr>
          <w:p>
            <w:pPr>
              <w:jc w:val="right"/>
              <w:ind w:right="60"/>
              <w:spacing w:after="0"/>
              <w:rPr>
                <w:sz w:val="20"/>
                <w:szCs w:val="20"/>
                <w:color w:val="auto"/>
              </w:rPr>
            </w:pPr>
            <w:r>
              <w:rPr>
                <w:rFonts w:ascii="Arial" w:cs="Arial" w:eastAsia="Arial" w:hAnsi="Arial"/>
                <w:sz w:val="18"/>
                <w:szCs w:val="18"/>
                <w:color w:val="auto"/>
              </w:rPr>
              <w:t>2016</w:t>
            </w:r>
          </w:p>
        </w:tc>
        <w:tc>
          <w:tcPr>
            <w:tcW w:w="99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92"/>
              </w:rPr>
              <w:t>200,000</w:t>
            </w:r>
          </w:p>
        </w:tc>
        <w:tc>
          <w:tcPr>
            <w:tcW w:w="100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92"/>
              </w:rPr>
              <w:t>174,000</w:t>
            </w:r>
          </w:p>
        </w:tc>
        <w:tc>
          <w:tcPr>
            <w:tcW w:w="1040" w:type="dxa"/>
            <w:vAlign w:val="bottom"/>
            <w:shd w:val="clear" w:color="auto" w:fill="D8D8D8"/>
          </w:tcPr>
          <w:p>
            <w:pPr>
              <w:ind w:left="400"/>
              <w:spacing w:after="0"/>
              <w:rPr>
                <w:sz w:val="20"/>
                <w:szCs w:val="20"/>
                <w:color w:val="auto"/>
              </w:rPr>
            </w:pPr>
            <w:r>
              <w:rPr>
                <w:rFonts w:ascii="Arial" w:cs="Arial" w:eastAsia="Arial" w:hAnsi="Arial"/>
                <w:sz w:val="18"/>
                <w:szCs w:val="18"/>
                <w:color w:val="auto"/>
              </w:rPr>
              <w:t>–</w:t>
            </w:r>
          </w:p>
        </w:tc>
        <w:tc>
          <w:tcPr>
            <w:tcW w:w="1060" w:type="dxa"/>
            <w:vAlign w:val="bottom"/>
            <w:shd w:val="clear" w:color="auto" w:fill="D8D8D8"/>
          </w:tcPr>
          <w:p>
            <w:pPr>
              <w:ind w:left="400"/>
              <w:spacing w:after="0"/>
              <w:rPr>
                <w:sz w:val="20"/>
                <w:szCs w:val="20"/>
                <w:color w:val="auto"/>
              </w:rPr>
            </w:pPr>
            <w:r>
              <w:rPr>
                <w:rFonts w:ascii="Arial" w:cs="Arial" w:eastAsia="Arial" w:hAnsi="Arial"/>
                <w:sz w:val="18"/>
                <w:szCs w:val="18"/>
                <w:color w:val="auto"/>
              </w:rPr>
              <w:t>–</w:t>
            </w:r>
          </w:p>
        </w:tc>
        <w:tc>
          <w:tcPr>
            <w:tcW w:w="920" w:type="dxa"/>
            <w:vAlign w:val="bottom"/>
            <w:shd w:val="clear" w:color="auto" w:fill="D8D8D8"/>
          </w:tcPr>
          <w:p>
            <w:pPr>
              <w:jc w:val="right"/>
              <w:ind w:right="150"/>
              <w:spacing w:after="0"/>
              <w:rPr>
                <w:sz w:val="20"/>
                <w:szCs w:val="20"/>
                <w:color w:val="auto"/>
              </w:rPr>
            </w:pPr>
            <w:r>
              <w:rPr>
                <w:rFonts w:ascii="Arial" w:cs="Arial" w:eastAsia="Arial" w:hAnsi="Arial"/>
                <w:sz w:val="18"/>
                <w:szCs w:val="18"/>
                <w:color w:val="auto"/>
              </w:rPr>
              <w:t>3,975</w:t>
            </w:r>
          </w:p>
        </w:tc>
        <w:tc>
          <w:tcPr>
            <w:tcW w:w="1100" w:type="dxa"/>
            <w:vAlign w:val="bottom"/>
            <w:shd w:val="clear" w:color="auto" w:fill="D8D8D8"/>
          </w:tcPr>
          <w:p>
            <w:pPr>
              <w:jc w:val="center"/>
              <w:ind w:left="90"/>
              <w:spacing w:after="0"/>
              <w:rPr>
                <w:sz w:val="20"/>
                <w:szCs w:val="20"/>
                <w:color w:val="auto"/>
              </w:rPr>
            </w:pPr>
            <w:r>
              <w:rPr>
                <w:rFonts w:ascii="Arial" w:cs="Arial" w:eastAsia="Arial" w:hAnsi="Arial"/>
                <w:sz w:val="18"/>
                <w:szCs w:val="18"/>
                <w:color w:val="auto"/>
                <w:w w:val="92"/>
              </w:rPr>
              <w:t>377,975</w:t>
            </w:r>
          </w:p>
        </w:tc>
      </w:tr>
      <w:tr>
        <w:trPr>
          <w:trHeight w:val="230"/>
        </w:trPr>
        <w:tc>
          <w:tcPr>
            <w:tcW w:w="20" w:type="dxa"/>
            <w:vAlign w:val="bottom"/>
          </w:tcPr>
          <w:p>
            <w:pPr>
              <w:spacing w:after="0"/>
              <w:rPr>
                <w:sz w:val="20"/>
                <w:szCs w:val="20"/>
                <w:color w:val="auto"/>
              </w:rPr>
            </w:pPr>
          </w:p>
        </w:tc>
        <w:tc>
          <w:tcPr>
            <w:tcW w:w="4180" w:type="dxa"/>
            <w:vAlign w:val="bottom"/>
            <w:gridSpan w:val="2"/>
            <w:shd w:val="clear" w:color="auto" w:fill="D8D8D8"/>
          </w:tcPr>
          <w:p>
            <w:pPr>
              <w:spacing w:after="0"/>
              <w:rPr>
                <w:sz w:val="20"/>
                <w:szCs w:val="20"/>
                <w:color w:val="auto"/>
              </w:rPr>
            </w:pPr>
            <w:r>
              <w:rPr>
                <w:rFonts w:ascii="Arial" w:cs="Arial" w:eastAsia="Arial" w:hAnsi="Arial"/>
                <w:sz w:val="18"/>
                <w:szCs w:val="18"/>
                <w:i w:val="1"/>
                <w:iCs w:val="1"/>
                <w:color w:val="auto"/>
              </w:rPr>
              <w:t>Compliance Officer and Secretary</w:t>
            </w:r>
          </w:p>
        </w:tc>
        <w:tc>
          <w:tcPr>
            <w:tcW w:w="730" w:type="dxa"/>
            <w:vAlign w:val="bottom"/>
            <w:shd w:val="clear" w:color="auto" w:fill="D8D8D8"/>
          </w:tcPr>
          <w:p>
            <w:pPr>
              <w:spacing w:after="0"/>
              <w:rPr>
                <w:sz w:val="20"/>
                <w:szCs w:val="20"/>
                <w:color w:val="auto"/>
              </w:rPr>
            </w:pPr>
          </w:p>
        </w:tc>
        <w:tc>
          <w:tcPr>
            <w:tcW w:w="990" w:type="dxa"/>
            <w:vAlign w:val="bottom"/>
            <w:shd w:val="clear" w:color="auto" w:fill="D8D8D8"/>
          </w:tcPr>
          <w:p>
            <w:pPr>
              <w:spacing w:after="0"/>
              <w:rPr>
                <w:sz w:val="20"/>
                <w:szCs w:val="20"/>
                <w:color w:val="auto"/>
              </w:rPr>
            </w:pPr>
          </w:p>
        </w:tc>
        <w:tc>
          <w:tcPr>
            <w:tcW w:w="1000" w:type="dxa"/>
            <w:vAlign w:val="bottom"/>
            <w:shd w:val="clear" w:color="auto" w:fill="D8D8D8"/>
          </w:tcPr>
          <w:p>
            <w:pPr>
              <w:spacing w:after="0"/>
              <w:rPr>
                <w:sz w:val="20"/>
                <w:szCs w:val="20"/>
                <w:color w:val="auto"/>
              </w:rPr>
            </w:pPr>
          </w:p>
        </w:tc>
        <w:tc>
          <w:tcPr>
            <w:tcW w:w="1040" w:type="dxa"/>
            <w:vAlign w:val="bottom"/>
            <w:shd w:val="clear" w:color="auto" w:fill="D8D8D8"/>
          </w:tcPr>
          <w:p>
            <w:pPr>
              <w:spacing w:after="0"/>
              <w:rPr>
                <w:sz w:val="20"/>
                <w:szCs w:val="20"/>
                <w:color w:val="auto"/>
              </w:rPr>
            </w:pPr>
          </w:p>
        </w:tc>
        <w:tc>
          <w:tcPr>
            <w:tcW w:w="1060" w:type="dxa"/>
            <w:vAlign w:val="bottom"/>
            <w:shd w:val="clear" w:color="auto" w:fill="D8D8D8"/>
          </w:tcPr>
          <w:p>
            <w:pPr>
              <w:spacing w:after="0"/>
              <w:rPr>
                <w:sz w:val="20"/>
                <w:szCs w:val="20"/>
                <w:color w:val="auto"/>
              </w:rPr>
            </w:pPr>
          </w:p>
        </w:tc>
        <w:tc>
          <w:tcPr>
            <w:tcW w:w="920" w:type="dxa"/>
            <w:vAlign w:val="bottom"/>
            <w:shd w:val="clear" w:color="auto" w:fill="D8D8D8"/>
          </w:tcPr>
          <w:p>
            <w:pPr>
              <w:spacing w:after="0"/>
              <w:rPr>
                <w:sz w:val="20"/>
                <w:szCs w:val="20"/>
                <w:color w:val="auto"/>
              </w:rPr>
            </w:pPr>
          </w:p>
        </w:tc>
        <w:tc>
          <w:tcPr>
            <w:tcW w:w="1100" w:type="dxa"/>
            <w:vAlign w:val="bottom"/>
            <w:shd w:val="clear" w:color="auto" w:fill="D8D8D8"/>
          </w:tcPr>
          <w:p>
            <w:pPr>
              <w:spacing w:after="0"/>
              <w:rPr>
                <w:sz w:val="20"/>
                <w:szCs w:val="20"/>
                <w:color w:val="auto"/>
              </w:rPr>
            </w:pPr>
          </w:p>
        </w:tc>
      </w:tr>
      <w:tr>
        <w:trPr>
          <w:trHeight w:val="80"/>
        </w:trPr>
        <w:tc>
          <w:tcPr>
            <w:tcW w:w="20" w:type="dxa"/>
            <w:vAlign w:val="bottom"/>
          </w:tcPr>
          <w:p>
            <w:pPr>
              <w:spacing w:after="0"/>
              <w:rPr>
                <w:sz w:val="6"/>
                <w:szCs w:val="6"/>
                <w:color w:val="auto"/>
              </w:rPr>
            </w:pPr>
          </w:p>
        </w:tc>
        <w:tc>
          <w:tcPr>
            <w:tcW w:w="3840" w:type="dxa"/>
            <w:vAlign w:val="bottom"/>
            <w:tcBorders>
              <w:bottom w:val="single" w:sz="8" w:color="407CCA"/>
            </w:tcBorders>
            <w:shd w:val="clear" w:color="auto" w:fill="D8D8D8"/>
          </w:tcPr>
          <w:p>
            <w:pPr>
              <w:spacing w:after="0"/>
              <w:rPr>
                <w:sz w:val="6"/>
                <w:szCs w:val="6"/>
                <w:color w:val="auto"/>
              </w:rPr>
            </w:pPr>
          </w:p>
        </w:tc>
        <w:tc>
          <w:tcPr>
            <w:tcW w:w="340" w:type="dxa"/>
            <w:vAlign w:val="bottom"/>
            <w:tcBorders>
              <w:bottom w:val="single" w:sz="8" w:color="407CCA"/>
            </w:tcBorders>
            <w:shd w:val="clear" w:color="auto" w:fill="D8D8D8"/>
          </w:tcPr>
          <w:p>
            <w:pPr>
              <w:spacing w:after="0"/>
              <w:rPr>
                <w:sz w:val="6"/>
                <w:szCs w:val="6"/>
                <w:color w:val="auto"/>
              </w:rPr>
            </w:pPr>
          </w:p>
        </w:tc>
        <w:tc>
          <w:tcPr>
            <w:tcW w:w="730" w:type="dxa"/>
            <w:vAlign w:val="bottom"/>
            <w:tcBorders>
              <w:bottom w:val="single" w:sz="8" w:color="407CCA"/>
            </w:tcBorders>
            <w:shd w:val="clear" w:color="auto" w:fill="D8D8D8"/>
          </w:tcPr>
          <w:p>
            <w:pPr>
              <w:spacing w:after="0"/>
              <w:rPr>
                <w:sz w:val="6"/>
                <w:szCs w:val="6"/>
                <w:color w:val="auto"/>
              </w:rPr>
            </w:pPr>
          </w:p>
        </w:tc>
        <w:tc>
          <w:tcPr>
            <w:tcW w:w="990" w:type="dxa"/>
            <w:vAlign w:val="bottom"/>
            <w:tcBorders>
              <w:bottom w:val="single" w:sz="8" w:color="407CCA"/>
            </w:tcBorders>
            <w:shd w:val="clear" w:color="auto" w:fill="D8D8D8"/>
          </w:tcPr>
          <w:p>
            <w:pPr>
              <w:spacing w:after="0"/>
              <w:rPr>
                <w:sz w:val="6"/>
                <w:szCs w:val="6"/>
                <w:color w:val="auto"/>
              </w:rPr>
            </w:pPr>
          </w:p>
        </w:tc>
        <w:tc>
          <w:tcPr>
            <w:tcW w:w="1000" w:type="dxa"/>
            <w:vAlign w:val="bottom"/>
            <w:tcBorders>
              <w:bottom w:val="single" w:sz="8" w:color="407CCA"/>
            </w:tcBorders>
            <w:shd w:val="clear" w:color="auto" w:fill="D8D8D8"/>
          </w:tcPr>
          <w:p>
            <w:pPr>
              <w:spacing w:after="0"/>
              <w:rPr>
                <w:sz w:val="6"/>
                <w:szCs w:val="6"/>
                <w:color w:val="auto"/>
              </w:rPr>
            </w:pPr>
          </w:p>
        </w:tc>
        <w:tc>
          <w:tcPr>
            <w:tcW w:w="1040" w:type="dxa"/>
            <w:vAlign w:val="bottom"/>
            <w:tcBorders>
              <w:bottom w:val="single" w:sz="8" w:color="407CCA"/>
            </w:tcBorders>
            <w:shd w:val="clear" w:color="auto" w:fill="D8D8D8"/>
          </w:tcPr>
          <w:p>
            <w:pPr>
              <w:spacing w:after="0"/>
              <w:rPr>
                <w:sz w:val="6"/>
                <w:szCs w:val="6"/>
                <w:color w:val="auto"/>
              </w:rPr>
            </w:pPr>
          </w:p>
        </w:tc>
        <w:tc>
          <w:tcPr>
            <w:tcW w:w="1060" w:type="dxa"/>
            <w:vAlign w:val="bottom"/>
            <w:tcBorders>
              <w:bottom w:val="single" w:sz="8" w:color="407CCA"/>
            </w:tcBorders>
            <w:shd w:val="clear" w:color="auto" w:fill="D8D8D8"/>
          </w:tcPr>
          <w:p>
            <w:pPr>
              <w:spacing w:after="0"/>
              <w:rPr>
                <w:sz w:val="6"/>
                <w:szCs w:val="6"/>
                <w:color w:val="auto"/>
              </w:rPr>
            </w:pPr>
          </w:p>
        </w:tc>
        <w:tc>
          <w:tcPr>
            <w:tcW w:w="920" w:type="dxa"/>
            <w:vAlign w:val="bottom"/>
            <w:tcBorders>
              <w:bottom w:val="single" w:sz="8" w:color="407CCA"/>
            </w:tcBorders>
            <w:shd w:val="clear" w:color="auto" w:fill="D8D8D8"/>
          </w:tcPr>
          <w:p>
            <w:pPr>
              <w:spacing w:after="0"/>
              <w:rPr>
                <w:sz w:val="6"/>
                <w:szCs w:val="6"/>
                <w:color w:val="auto"/>
              </w:rPr>
            </w:pPr>
          </w:p>
        </w:tc>
        <w:tc>
          <w:tcPr>
            <w:tcW w:w="1100" w:type="dxa"/>
            <w:vAlign w:val="bottom"/>
            <w:tcBorders>
              <w:bottom w:val="single" w:sz="8" w:color="407CCA"/>
            </w:tcBorders>
            <w:shd w:val="clear" w:color="auto" w:fill="D8D8D8"/>
          </w:tcPr>
          <w:p>
            <w:pPr>
              <w:spacing w:after="0"/>
              <w:rPr>
                <w:sz w:val="6"/>
                <w:szCs w:val="6"/>
                <w:color w:val="auto"/>
              </w:rPr>
            </w:pPr>
          </w:p>
        </w:tc>
      </w:tr>
      <w:tr>
        <w:trPr>
          <w:trHeight w:val="129"/>
        </w:trPr>
        <w:tc>
          <w:tcPr>
            <w:tcW w:w="20" w:type="dxa"/>
            <w:vAlign w:val="bottom"/>
          </w:tcPr>
          <w:p>
            <w:pPr>
              <w:spacing w:after="0"/>
              <w:rPr>
                <w:sz w:val="11"/>
                <w:szCs w:val="11"/>
                <w:color w:val="auto"/>
              </w:rPr>
            </w:pPr>
          </w:p>
        </w:tc>
        <w:tc>
          <w:tcPr>
            <w:tcW w:w="3840" w:type="dxa"/>
            <w:vAlign w:val="bottom"/>
            <w:tcBorders>
              <w:bottom w:val="single" w:sz="8" w:color="auto"/>
            </w:tcBorders>
          </w:tcPr>
          <w:p>
            <w:pPr>
              <w:spacing w:after="0"/>
              <w:rPr>
                <w:sz w:val="11"/>
                <w:szCs w:val="11"/>
                <w:color w:val="auto"/>
              </w:rPr>
            </w:pPr>
          </w:p>
        </w:tc>
        <w:tc>
          <w:tcPr>
            <w:tcW w:w="340" w:type="dxa"/>
            <w:vAlign w:val="bottom"/>
          </w:tcPr>
          <w:p>
            <w:pPr>
              <w:spacing w:after="0"/>
              <w:rPr>
                <w:sz w:val="11"/>
                <w:szCs w:val="11"/>
                <w:color w:val="auto"/>
              </w:rPr>
            </w:pPr>
          </w:p>
        </w:tc>
        <w:tc>
          <w:tcPr>
            <w:tcW w:w="730" w:type="dxa"/>
            <w:vAlign w:val="bottom"/>
          </w:tcPr>
          <w:p>
            <w:pPr>
              <w:spacing w:after="0"/>
              <w:rPr>
                <w:sz w:val="11"/>
                <w:szCs w:val="11"/>
                <w:color w:val="auto"/>
              </w:rPr>
            </w:pPr>
          </w:p>
        </w:tc>
        <w:tc>
          <w:tcPr>
            <w:tcW w:w="990" w:type="dxa"/>
            <w:vAlign w:val="bottom"/>
          </w:tcPr>
          <w:p>
            <w:pPr>
              <w:spacing w:after="0"/>
              <w:rPr>
                <w:sz w:val="11"/>
                <w:szCs w:val="11"/>
                <w:color w:val="auto"/>
              </w:rPr>
            </w:pPr>
          </w:p>
        </w:tc>
        <w:tc>
          <w:tcPr>
            <w:tcW w:w="1000" w:type="dxa"/>
            <w:vAlign w:val="bottom"/>
          </w:tcPr>
          <w:p>
            <w:pPr>
              <w:spacing w:after="0"/>
              <w:rPr>
                <w:sz w:val="11"/>
                <w:szCs w:val="11"/>
                <w:color w:val="auto"/>
              </w:rPr>
            </w:pPr>
          </w:p>
        </w:tc>
        <w:tc>
          <w:tcPr>
            <w:tcW w:w="1040" w:type="dxa"/>
            <w:vAlign w:val="bottom"/>
          </w:tcPr>
          <w:p>
            <w:pPr>
              <w:spacing w:after="0"/>
              <w:rPr>
                <w:sz w:val="11"/>
                <w:szCs w:val="11"/>
                <w:color w:val="auto"/>
              </w:rPr>
            </w:pPr>
          </w:p>
        </w:tc>
        <w:tc>
          <w:tcPr>
            <w:tcW w:w="1060" w:type="dxa"/>
            <w:vAlign w:val="bottom"/>
          </w:tcPr>
          <w:p>
            <w:pPr>
              <w:spacing w:after="0"/>
              <w:rPr>
                <w:sz w:val="11"/>
                <w:szCs w:val="11"/>
                <w:color w:val="auto"/>
              </w:rPr>
            </w:pPr>
          </w:p>
        </w:tc>
        <w:tc>
          <w:tcPr>
            <w:tcW w:w="920" w:type="dxa"/>
            <w:vAlign w:val="bottom"/>
          </w:tcPr>
          <w:p>
            <w:pPr>
              <w:spacing w:after="0"/>
              <w:rPr>
                <w:sz w:val="11"/>
                <w:szCs w:val="11"/>
                <w:color w:val="auto"/>
              </w:rPr>
            </w:pPr>
          </w:p>
        </w:tc>
        <w:tc>
          <w:tcPr>
            <w:tcW w:w="1100" w:type="dxa"/>
            <w:vAlign w:val="bottom"/>
          </w:tcPr>
          <w:p>
            <w:pPr>
              <w:spacing w:after="0"/>
              <w:rPr>
                <w:sz w:val="11"/>
                <w:szCs w:val="11"/>
                <w:color w:val="auto"/>
              </w:rPr>
            </w:pPr>
          </w:p>
        </w:tc>
      </w:tr>
    </w:tbl>
    <w:p>
      <w:pPr>
        <w:spacing w:after="0" w:line="143" w:lineRule="exact"/>
        <w:rPr>
          <w:sz w:val="20"/>
          <w:szCs w:val="20"/>
          <w:color w:val="auto"/>
        </w:rPr>
      </w:pPr>
    </w:p>
    <w:p>
      <w:pPr>
        <w:ind w:left="860" w:right="60" w:hanging="656"/>
        <w:spacing w:after="0" w:line="244" w:lineRule="auto"/>
        <w:tabs>
          <w:tab w:leader="none" w:pos="860" w:val="left"/>
        </w:tabs>
        <w:numPr>
          <w:ilvl w:val="0"/>
          <w:numId w:val="45"/>
        </w:numPr>
        <w:rPr>
          <w:rFonts w:ascii="Arial" w:cs="Arial" w:eastAsia="Arial" w:hAnsi="Arial"/>
          <w:sz w:val="13"/>
          <w:szCs w:val="13"/>
          <w:color w:val="auto"/>
        </w:rPr>
      </w:pPr>
      <w:r>
        <w:rPr>
          <w:rFonts w:ascii="Arial" w:cs="Arial" w:eastAsia="Arial" w:hAnsi="Arial"/>
          <w:sz w:val="13"/>
          <w:szCs w:val="13"/>
          <w:color w:val="auto"/>
        </w:rPr>
        <w:t>As noted above, because our executive officers prior to the Internalization (which closed on July 1, 2016) received compensation from our external manager or its affiliates and not us, our 2016 compensation includes only six months of compensation. It also does not include annual long-term incentive awards under the 2016 Plan or MTGE PIP, which were first made in February 2017, but does include one-time grants made to Messrs. Federico and Kuehl in 2016 pursuant to their amended employment agreements.</w:t>
      </w:r>
    </w:p>
    <w:p>
      <w:pPr>
        <w:spacing w:after="0" w:line="1" w:lineRule="exact"/>
        <w:rPr>
          <w:rFonts w:ascii="Arial" w:cs="Arial" w:eastAsia="Arial" w:hAnsi="Arial"/>
          <w:sz w:val="13"/>
          <w:szCs w:val="13"/>
          <w:color w:val="auto"/>
        </w:rPr>
      </w:pPr>
    </w:p>
    <w:p>
      <w:pPr>
        <w:ind w:left="860" w:right="60" w:hanging="656"/>
        <w:spacing w:after="0" w:line="237" w:lineRule="auto"/>
        <w:tabs>
          <w:tab w:leader="none" w:pos="860" w:val="left"/>
        </w:tabs>
        <w:numPr>
          <w:ilvl w:val="0"/>
          <w:numId w:val="45"/>
        </w:numPr>
        <w:rPr>
          <w:rFonts w:ascii="Arial" w:cs="Arial" w:eastAsia="Arial" w:hAnsi="Arial"/>
          <w:sz w:val="14"/>
          <w:szCs w:val="14"/>
          <w:color w:val="auto"/>
        </w:rPr>
      </w:pPr>
      <w:r>
        <w:rPr>
          <w:rFonts w:ascii="Arial" w:cs="Arial" w:eastAsia="Arial" w:hAnsi="Arial"/>
          <w:sz w:val="14"/>
          <w:szCs w:val="14"/>
          <w:color w:val="auto"/>
        </w:rPr>
        <w:t>The amounts reported in the “Stock Awards” column represent the grant date fair value of each award calculated in accordance with ASC 718, as required by SEC regulations. The fair market value of a stock award is based on the fair market value of our stock on the date of grant.</w:t>
      </w:r>
    </w:p>
    <w:p>
      <w:pPr>
        <w:spacing w:after="0" w:line="116"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56</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40"/>
          </w:cols>
          <w:pgMar w:left="240" w:top="459" w:right="419" w:bottom="1440" w:gutter="0" w:footer="0" w:header="0"/>
          <w:type w:val="continuous"/>
        </w:sectPr>
      </w:pPr>
    </w:p>
    <w:bookmarkStart w:id="60" w:name="page61"/>
    <w:bookmarkEnd w:id="6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926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5" w:lineRule="exact"/>
        <w:rPr>
          <w:sz w:val="20"/>
          <w:szCs w:val="20"/>
          <w:color w:val="auto"/>
        </w:rPr>
      </w:pPr>
    </w:p>
    <w:p>
      <w:pPr>
        <w:jc w:val="center"/>
        <w:ind w:right="-179"/>
        <w:spacing w:after="0"/>
        <w:rPr>
          <w:sz w:val="20"/>
          <w:szCs w:val="20"/>
          <w:color w:val="auto"/>
        </w:rPr>
      </w:pPr>
      <w:r>
        <w:rPr>
          <w:rFonts w:ascii="Arial" w:cs="Arial" w:eastAsia="Arial" w:hAnsi="Arial"/>
          <w:sz w:val="18"/>
          <w:szCs w:val="18"/>
          <w:b w:val="1"/>
          <w:bCs w:val="1"/>
          <w:color w:val="auto"/>
        </w:rPr>
        <w:t>Grants of Plan-Based Awards in Fiscal Year 2017</w:t>
      </w:r>
    </w:p>
    <w:p>
      <w:pPr>
        <w:spacing w:after="0" w:line="121" w:lineRule="exact"/>
        <w:rPr>
          <w:sz w:val="20"/>
          <w:szCs w:val="20"/>
          <w:color w:val="auto"/>
        </w:rPr>
      </w:pPr>
    </w:p>
    <w:p>
      <w:pPr>
        <w:ind w:left="200" w:right="40" w:firstLine="771"/>
        <w:spacing w:after="0" w:line="297" w:lineRule="auto"/>
        <w:rPr>
          <w:sz w:val="20"/>
          <w:szCs w:val="20"/>
          <w:color w:val="auto"/>
        </w:rPr>
      </w:pPr>
      <w:r>
        <w:rPr>
          <w:rFonts w:ascii="Arial" w:cs="Arial" w:eastAsia="Arial" w:hAnsi="Arial"/>
          <w:sz w:val="16"/>
          <w:szCs w:val="16"/>
          <w:color w:val="auto"/>
        </w:rPr>
        <w:t>In this table we provide information about each grant of an award made to an NEO during our fiscal year ended December 31, 2017 under the 2016 Plan for the AGNC awards and under the MTGE PIP for the MTGE awards. See “Equity Incentive Compensation” in “Compensation Discussion and Analysis” above for a description of the plans and awards. Amounts included in the “Estimated future payouts under non-equity incentive plan awards” are valued equal to the amount of cash we funded for the purchase of MTGE stock on the open market. Amounts included in the “Grant date fair value of stock awards” column are valued in accordance with ASC 718 without reduction of any assumed forfeitures.</w:t>
      </w:r>
    </w:p>
    <w:p>
      <w:pPr>
        <w:spacing w:after="0" w:line="179" w:lineRule="exact"/>
        <w:rPr>
          <w:sz w:val="20"/>
          <w:szCs w:val="20"/>
          <w:color w:val="auto"/>
        </w:rPr>
      </w:pPr>
    </w:p>
    <w:tbl>
      <w:tblPr>
        <w:tblLayout w:type="fixed"/>
        <w:tblInd w:w="220" w:type="dxa"/>
        <w:tblCellMar>
          <w:top w:w="0" w:type="dxa"/>
          <w:left w:w="0" w:type="dxa"/>
          <w:bottom w:w="0" w:type="dxa"/>
          <w:right w:w="0" w:type="dxa"/>
        </w:tblCellMar>
      </w:tblPr>
      <w:tr>
        <w:trPr>
          <w:trHeight w:val="130"/>
        </w:trPr>
        <w:tc>
          <w:tcPr>
            <w:tcW w:w="2820" w:type="dxa"/>
            <w:vAlign w:val="bottom"/>
            <w:tcBorders>
              <w:top w:val="single" w:sz="8" w:color="407CCA"/>
            </w:tcBorders>
          </w:tcPr>
          <w:p>
            <w:pPr>
              <w:spacing w:after="0"/>
              <w:rPr>
                <w:sz w:val="11"/>
                <w:szCs w:val="11"/>
                <w:color w:val="auto"/>
              </w:rPr>
            </w:pPr>
          </w:p>
        </w:tc>
        <w:tc>
          <w:tcPr>
            <w:tcW w:w="100" w:type="dxa"/>
            <w:vAlign w:val="bottom"/>
            <w:tcBorders>
              <w:top w:val="single" w:sz="8" w:color="407CCA"/>
            </w:tcBorders>
          </w:tcPr>
          <w:p>
            <w:pPr>
              <w:spacing w:after="0"/>
              <w:rPr>
                <w:sz w:val="11"/>
                <w:szCs w:val="11"/>
                <w:color w:val="auto"/>
              </w:rPr>
            </w:pPr>
          </w:p>
        </w:tc>
        <w:tc>
          <w:tcPr>
            <w:tcW w:w="2620" w:type="dxa"/>
            <w:vAlign w:val="bottom"/>
            <w:tcBorders>
              <w:top w:val="single" w:sz="8" w:color="407CCA"/>
            </w:tcBorders>
          </w:tcPr>
          <w:p>
            <w:pPr>
              <w:spacing w:after="0"/>
              <w:rPr>
                <w:sz w:val="11"/>
                <w:szCs w:val="11"/>
                <w:color w:val="auto"/>
              </w:rPr>
            </w:pPr>
          </w:p>
        </w:tc>
        <w:tc>
          <w:tcPr>
            <w:tcW w:w="960" w:type="dxa"/>
            <w:vAlign w:val="bottom"/>
            <w:tcBorders>
              <w:top w:val="single" w:sz="8" w:color="407CCA"/>
            </w:tcBorders>
          </w:tcPr>
          <w:p>
            <w:pPr>
              <w:spacing w:after="0"/>
              <w:rPr>
                <w:sz w:val="11"/>
                <w:szCs w:val="11"/>
                <w:color w:val="auto"/>
              </w:rPr>
            </w:pPr>
          </w:p>
        </w:tc>
        <w:tc>
          <w:tcPr>
            <w:tcW w:w="940" w:type="dxa"/>
            <w:vAlign w:val="bottom"/>
            <w:tcBorders>
              <w:top w:val="single" w:sz="8" w:color="407CCA"/>
            </w:tcBorders>
          </w:tcPr>
          <w:p>
            <w:pPr>
              <w:jc w:val="center"/>
              <w:spacing w:after="0" w:line="131" w:lineRule="exact"/>
              <w:rPr>
                <w:sz w:val="20"/>
                <w:szCs w:val="20"/>
                <w:color w:val="auto"/>
              </w:rPr>
            </w:pPr>
            <w:r>
              <w:rPr>
                <w:rFonts w:ascii="Arial" w:cs="Arial" w:eastAsia="Arial" w:hAnsi="Arial"/>
                <w:sz w:val="13"/>
                <w:szCs w:val="13"/>
                <w:b w:val="1"/>
                <w:bCs w:val="1"/>
                <w:color w:val="auto"/>
                <w:w w:val="86"/>
              </w:rPr>
              <w:t>Estimated</w:t>
            </w:r>
          </w:p>
        </w:tc>
        <w:tc>
          <w:tcPr>
            <w:tcW w:w="700" w:type="dxa"/>
            <w:vAlign w:val="bottom"/>
            <w:tcBorders>
              <w:top w:val="single" w:sz="8" w:color="407CCA"/>
            </w:tcBorders>
          </w:tcPr>
          <w:p>
            <w:pPr>
              <w:spacing w:after="0"/>
              <w:rPr>
                <w:sz w:val="11"/>
                <w:szCs w:val="11"/>
                <w:color w:val="auto"/>
              </w:rPr>
            </w:pPr>
          </w:p>
        </w:tc>
        <w:tc>
          <w:tcPr>
            <w:tcW w:w="1040" w:type="dxa"/>
            <w:vAlign w:val="bottom"/>
            <w:tcBorders>
              <w:top w:val="single" w:sz="8" w:color="407CCA"/>
            </w:tcBorders>
          </w:tcPr>
          <w:p>
            <w:pPr>
              <w:spacing w:after="0"/>
              <w:rPr>
                <w:sz w:val="11"/>
                <w:szCs w:val="11"/>
                <w:color w:val="auto"/>
              </w:rPr>
            </w:pPr>
          </w:p>
        </w:tc>
        <w:tc>
          <w:tcPr>
            <w:tcW w:w="760" w:type="dxa"/>
            <w:vAlign w:val="bottom"/>
            <w:tcBorders>
              <w:top w:val="single" w:sz="8" w:color="407CCA"/>
            </w:tcBorders>
          </w:tcPr>
          <w:p>
            <w:pPr>
              <w:spacing w:after="0"/>
              <w:rPr>
                <w:sz w:val="11"/>
                <w:szCs w:val="11"/>
                <w:color w:val="auto"/>
              </w:rPr>
            </w:pPr>
          </w:p>
        </w:tc>
        <w:tc>
          <w:tcPr>
            <w:tcW w:w="1080" w:type="dxa"/>
            <w:vAlign w:val="bottom"/>
            <w:tcBorders>
              <w:top w:val="single" w:sz="8" w:color="407CCA"/>
            </w:tcBorders>
          </w:tcPr>
          <w:p>
            <w:pPr>
              <w:spacing w:after="0"/>
              <w:rPr>
                <w:sz w:val="11"/>
                <w:szCs w:val="11"/>
                <w:color w:val="auto"/>
              </w:rPr>
            </w:pPr>
          </w:p>
        </w:tc>
        <w:tc>
          <w:tcPr>
            <w:tcW w:w="0" w:type="dxa"/>
            <w:vAlign w:val="bottom"/>
          </w:tcPr>
          <w:p>
            <w:pPr>
              <w:spacing w:after="0"/>
              <w:rPr>
                <w:sz w:val="1"/>
                <w:szCs w:val="1"/>
                <w:color w:val="auto"/>
              </w:rPr>
            </w:pPr>
          </w:p>
        </w:tc>
      </w:tr>
      <w:tr>
        <w:trPr>
          <w:trHeight w:val="140"/>
        </w:trPr>
        <w:tc>
          <w:tcPr>
            <w:tcW w:w="28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620" w:type="dxa"/>
            <w:vAlign w:val="bottom"/>
          </w:tcPr>
          <w:p>
            <w:pPr>
              <w:spacing w:after="0"/>
              <w:rPr>
                <w:sz w:val="12"/>
                <w:szCs w:val="12"/>
                <w:color w:val="auto"/>
              </w:rPr>
            </w:pPr>
          </w:p>
        </w:tc>
        <w:tc>
          <w:tcPr>
            <w:tcW w:w="960" w:type="dxa"/>
            <w:vAlign w:val="bottom"/>
          </w:tcPr>
          <w:p>
            <w:pPr>
              <w:spacing w:after="0"/>
              <w:rPr>
                <w:sz w:val="12"/>
                <w:szCs w:val="12"/>
                <w:color w:val="auto"/>
              </w:rPr>
            </w:pPr>
          </w:p>
        </w:tc>
        <w:tc>
          <w:tcPr>
            <w:tcW w:w="940" w:type="dxa"/>
            <w:vAlign w:val="bottom"/>
          </w:tcPr>
          <w:p>
            <w:pPr>
              <w:jc w:val="center"/>
              <w:spacing w:after="0" w:line="140" w:lineRule="exact"/>
              <w:rPr>
                <w:sz w:val="20"/>
                <w:szCs w:val="20"/>
                <w:color w:val="auto"/>
              </w:rPr>
            </w:pPr>
            <w:r>
              <w:rPr>
                <w:rFonts w:ascii="Arial" w:cs="Arial" w:eastAsia="Arial" w:hAnsi="Arial"/>
                <w:sz w:val="13"/>
                <w:szCs w:val="13"/>
                <w:b w:val="1"/>
                <w:bCs w:val="1"/>
                <w:color w:val="auto"/>
                <w:w w:val="93"/>
              </w:rPr>
              <w:t>Future</w:t>
            </w:r>
          </w:p>
        </w:tc>
        <w:tc>
          <w:tcPr>
            <w:tcW w:w="700" w:type="dxa"/>
            <w:vAlign w:val="bottom"/>
          </w:tcPr>
          <w:p>
            <w:pPr>
              <w:spacing w:after="0"/>
              <w:rPr>
                <w:sz w:val="12"/>
                <w:szCs w:val="12"/>
                <w:color w:val="auto"/>
              </w:rPr>
            </w:pPr>
          </w:p>
        </w:tc>
        <w:tc>
          <w:tcPr>
            <w:tcW w:w="1040" w:type="dxa"/>
            <w:vAlign w:val="bottom"/>
          </w:tcPr>
          <w:p>
            <w:pPr>
              <w:jc w:val="center"/>
              <w:spacing w:after="0" w:line="140" w:lineRule="exact"/>
              <w:rPr>
                <w:sz w:val="20"/>
                <w:szCs w:val="20"/>
                <w:color w:val="auto"/>
              </w:rPr>
            </w:pPr>
            <w:r>
              <w:rPr>
                <w:rFonts w:ascii="Arial" w:cs="Arial" w:eastAsia="Arial" w:hAnsi="Arial"/>
                <w:sz w:val="13"/>
                <w:szCs w:val="13"/>
                <w:b w:val="1"/>
                <w:bCs w:val="1"/>
                <w:color w:val="auto"/>
                <w:w w:val="88"/>
              </w:rPr>
              <w:t>Estimated Future</w:t>
            </w:r>
          </w:p>
        </w:tc>
        <w:tc>
          <w:tcPr>
            <w:tcW w:w="760" w:type="dxa"/>
            <w:vAlign w:val="bottom"/>
          </w:tcPr>
          <w:p>
            <w:pPr>
              <w:spacing w:after="0"/>
              <w:rPr>
                <w:sz w:val="12"/>
                <w:szCs w:val="12"/>
                <w:color w:val="auto"/>
              </w:rPr>
            </w:pPr>
          </w:p>
        </w:tc>
        <w:tc>
          <w:tcPr>
            <w:tcW w:w="10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5"/>
        </w:trPr>
        <w:tc>
          <w:tcPr>
            <w:tcW w:w="28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620" w:type="dxa"/>
            <w:vAlign w:val="bottom"/>
          </w:tcPr>
          <w:p>
            <w:pPr>
              <w:spacing w:after="0"/>
              <w:rPr>
                <w:sz w:val="11"/>
                <w:szCs w:val="11"/>
                <w:color w:val="auto"/>
              </w:rPr>
            </w:pPr>
          </w:p>
        </w:tc>
        <w:tc>
          <w:tcPr>
            <w:tcW w:w="960" w:type="dxa"/>
            <w:vAlign w:val="bottom"/>
          </w:tcPr>
          <w:p>
            <w:pPr>
              <w:spacing w:after="0"/>
              <w:rPr>
                <w:sz w:val="11"/>
                <w:szCs w:val="11"/>
                <w:color w:val="auto"/>
              </w:rPr>
            </w:pPr>
          </w:p>
        </w:tc>
        <w:tc>
          <w:tcPr>
            <w:tcW w:w="94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82"/>
              </w:rPr>
              <w:t>Payouts</w:t>
            </w:r>
          </w:p>
        </w:tc>
        <w:tc>
          <w:tcPr>
            <w:tcW w:w="700" w:type="dxa"/>
            <w:vAlign w:val="bottom"/>
          </w:tcPr>
          <w:p>
            <w:pPr>
              <w:spacing w:after="0"/>
              <w:rPr>
                <w:sz w:val="11"/>
                <w:szCs w:val="11"/>
                <w:color w:val="auto"/>
              </w:rPr>
            </w:pPr>
          </w:p>
        </w:tc>
        <w:tc>
          <w:tcPr>
            <w:tcW w:w="104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87"/>
              </w:rPr>
              <w:t>Payouts Under</w:t>
            </w:r>
          </w:p>
        </w:tc>
        <w:tc>
          <w:tcPr>
            <w:tcW w:w="760" w:type="dxa"/>
            <w:vAlign w:val="bottom"/>
          </w:tcPr>
          <w:p>
            <w:pPr>
              <w:spacing w:after="0"/>
              <w:rPr>
                <w:sz w:val="11"/>
                <w:szCs w:val="11"/>
                <w:color w:val="auto"/>
              </w:rPr>
            </w:pPr>
          </w:p>
        </w:tc>
        <w:tc>
          <w:tcPr>
            <w:tcW w:w="10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28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620" w:type="dxa"/>
            <w:vAlign w:val="bottom"/>
          </w:tcPr>
          <w:p>
            <w:pPr>
              <w:spacing w:after="0"/>
              <w:rPr>
                <w:sz w:val="11"/>
                <w:szCs w:val="11"/>
                <w:color w:val="auto"/>
              </w:rPr>
            </w:pPr>
          </w:p>
        </w:tc>
        <w:tc>
          <w:tcPr>
            <w:tcW w:w="960" w:type="dxa"/>
            <w:vAlign w:val="bottom"/>
          </w:tcPr>
          <w:p>
            <w:pPr>
              <w:spacing w:after="0"/>
              <w:rPr>
                <w:sz w:val="11"/>
                <w:szCs w:val="11"/>
                <w:color w:val="auto"/>
              </w:rPr>
            </w:pPr>
          </w:p>
        </w:tc>
        <w:tc>
          <w:tcPr>
            <w:tcW w:w="94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88"/>
              </w:rPr>
              <w:t>under</w:t>
            </w:r>
          </w:p>
        </w:tc>
        <w:tc>
          <w:tcPr>
            <w:tcW w:w="700" w:type="dxa"/>
            <w:vAlign w:val="bottom"/>
          </w:tcPr>
          <w:p>
            <w:pPr>
              <w:spacing w:after="0"/>
              <w:rPr>
                <w:sz w:val="11"/>
                <w:szCs w:val="11"/>
                <w:color w:val="auto"/>
              </w:rPr>
            </w:pPr>
          </w:p>
        </w:tc>
        <w:tc>
          <w:tcPr>
            <w:tcW w:w="104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90"/>
              </w:rPr>
              <w:t>Equity Incentive</w:t>
            </w:r>
          </w:p>
        </w:tc>
        <w:tc>
          <w:tcPr>
            <w:tcW w:w="760" w:type="dxa"/>
            <w:vAlign w:val="bottom"/>
          </w:tcPr>
          <w:p>
            <w:pPr>
              <w:spacing w:after="0"/>
              <w:rPr>
                <w:sz w:val="11"/>
                <w:szCs w:val="11"/>
                <w:color w:val="auto"/>
              </w:rPr>
            </w:pPr>
          </w:p>
        </w:tc>
        <w:tc>
          <w:tcPr>
            <w:tcW w:w="10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28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620" w:type="dxa"/>
            <w:vAlign w:val="bottom"/>
          </w:tcPr>
          <w:p>
            <w:pPr>
              <w:spacing w:after="0"/>
              <w:rPr>
                <w:sz w:val="11"/>
                <w:szCs w:val="11"/>
                <w:color w:val="auto"/>
              </w:rPr>
            </w:pPr>
          </w:p>
        </w:tc>
        <w:tc>
          <w:tcPr>
            <w:tcW w:w="960" w:type="dxa"/>
            <w:vAlign w:val="bottom"/>
          </w:tcPr>
          <w:p>
            <w:pPr>
              <w:spacing w:after="0"/>
              <w:rPr>
                <w:sz w:val="11"/>
                <w:szCs w:val="11"/>
                <w:color w:val="auto"/>
              </w:rPr>
            </w:pPr>
          </w:p>
        </w:tc>
        <w:tc>
          <w:tcPr>
            <w:tcW w:w="94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89"/>
              </w:rPr>
              <w:t>Non-Equity</w:t>
            </w:r>
          </w:p>
        </w:tc>
        <w:tc>
          <w:tcPr>
            <w:tcW w:w="700" w:type="dxa"/>
            <w:vAlign w:val="bottom"/>
          </w:tcPr>
          <w:p>
            <w:pPr>
              <w:spacing w:after="0"/>
              <w:rPr>
                <w:sz w:val="11"/>
                <w:szCs w:val="11"/>
                <w:color w:val="auto"/>
              </w:rPr>
            </w:pPr>
          </w:p>
        </w:tc>
        <w:tc>
          <w:tcPr>
            <w:tcW w:w="104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88"/>
              </w:rPr>
              <w:t>Plan Awards</w:t>
            </w:r>
            <w:r>
              <w:rPr>
                <w:rFonts w:ascii="Arial" w:cs="Arial" w:eastAsia="Arial" w:hAnsi="Arial"/>
                <w:sz w:val="10"/>
                <w:szCs w:val="10"/>
                <w:b w:val="1"/>
                <w:bCs w:val="1"/>
                <w:color w:val="auto"/>
                <w:w w:val="88"/>
              </w:rPr>
              <w:t>(4)</w:t>
            </w:r>
          </w:p>
        </w:tc>
        <w:tc>
          <w:tcPr>
            <w:tcW w:w="760" w:type="dxa"/>
            <w:vAlign w:val="bottom"/>
          </w:tcPr>
          <w:p>
            <w:pPr>
              <w:spacing w:after="0"/>
              <w:rPr>
                <w:sz w:val="11"/>
                <w:szCs w:val="11"/>
                <w:color w:val="auto"/>
              </w:rPr>
            </w:pPr>
          </w:p>
        </w:tc>
        <w:tc>
          <w:tcPr>
            <w:tcW w:w="1080" w:type="dxa"/>
            <w:vAlign w:val="bottom"/>
            <w:vMerge w:val="restart"/>
          </w:tcPr>
          <w:p>
            <w:pPr>
              <w:jc w:val="center"/>
              <w:spacing w:after="0"/>
              <w:rPr>
                <w:sz w:val="20"/>
                <w:szCs w:val="20"/>
                <w:color w:val="auto"/>
              </w:rPr>
            </w:pPr>
            <w:r>
              <w:rPr>
                <w:rFonts w:ascii="Arial" w:cs="Arial" w:eastAsia="Arial" w:hAnsi="Arial"/>
                <w:sz w:val="13"/>
                <w:szCs w:val="13"/>
                <w:b w:val="1"/>
                <w:bCs w:val="1"/>
                <w:color w:val="auto"/>
                <w:w w:val="92"/>
              </w:rPr>
              <w:t>Grant date fair</w:t>
            </w:r>
          </w:p>
        </w:tc>
        <w:tc>
          <w:tcPr>
            <w:tcW w:w="0" w:type="dxa"/>
            <w:vAlign w:val="bottom"/>
          </w:tcPr>
          <w:p>
            <w:pPr>
              <w:spacing w:after="0"/>
              <w:rPr>
                <w:sz w:val="1"/>
                <w:szCs w:val="1"/>
                <w:color w:val="auto"/>
              </w:rPr>
            </w:pPr>
          </w:p>
        </w:tc>
      </w:tr>
      <w:tr>
        <w:trPr>
          <w:trHeight w:val="27"/>
        </w:trPr>
        <w:tc>
          <w:tcPr>
            <w:tcW w:w="2820" w:type="dxa"/>
            <w:vAlign w:val="bottom"/>
          </w:tcPr>
          <w:p>
            <w:pPr>
              <w:spacing w:after="0"/>
              <w:rPr>
                <w:sz w:val="2"/>
                <w:szCs w:val="2"/>
                <w:color w:val="auto"/>
              </w:rPr>
            </w:pPr>
          </w:p>
        </w:tc>
        <w:tc>
          <w:tcPr>
            <w:tcW w:w="100" w:type="dxa"/>
            <w:vAlign w:val="bottom"/>
          </w:tcPr>
          <w:p>
            <w:pPr>
              <w:spacing w:after="0"/>
              <w:rPr>
                <w:sz w:val="2"/>
                <w:szCs w:val="2"/>
                <w:color w:val="auto"/>
              </w:rPr>
            </w:pPr>
          </w:p>
        </w:tc>
        <w:tc>
          <w:tcPr>
            <w:tcW w:w="2620" w:type="dxa"/>
            <w:vAlign w:val="bottom"/>
          </w:tcPr>
          <w:p>
            <w:pPr>
              <w:spacing w:after="0"/>
              <w:rPr>
                <w:sz w:val="2"/>
                <w:szCs w:val="2"/>
                <w:color w:val="auto"/>
              </w:rPr>
            </w:pPr>
          </w:p>
        </w:tc>
        <w:tc>
          <w:tcPr>
            <w:tcW w:w="960" w:type="dxa"/>
            <w:vAlign w:val="bottom"/>
          </w:tcPr>
          <w:p>
            <w:pPr>
              <w:spacing w:after="0"/>
              <w:rPr>
                <w:sz w:val="2"/>
                <w:szCs w:val="2"/>
                <w:color w:val="auto"/>
              </w:rPr>
            </w:pPr>
          </w:p>
        </w:tc>
        <w:tc>
          <w:tcPr>
            <w:tcW w:w="940" w:type="dxa"/>
            <w:vAlign w:val="bottom"/>
            <w:vMerge w:val="restart"/>
          </w:tcPr>
          <w:p>
            <w:pPr>
              <w:jc w:val="center"/>
              <w:spacing w:after="0" w:line="122" w:lineRule="exact"/>
              <w:rPr>
                <w:sz w:val="20"/>
                <w:szCs w:val="20"/>
                <w:color w:val="auto"/>
              </w:rPr>
            </w:pPr>
            <w:r>
              <w:rPr>
                <w:rFonts w:ascii="Arial" w:cs="Arial" w:eastAsia="Arial" w:hAnsi="Arial"/>
                <w:sz w:val="13"/>
                <w:szCs w:val="13"/>
                <w:b w:val="1"/>
                <w:bCs w:val="1"/>
                <w:color w:val="auto"/>
                <w:w w:val="88"/>
              </w:rPr>
              <w:t>Incentive</w:t>
            </w:r>
          </w:p>
        </w:tc>
        <w:tc>
          <w:tcPr>
            <w:tcW w:w="700" w:type="dxa"/>
            <w:vAlign w:val="bottom"/>
            <w:tcBorders>
              <w:bottom w:val="single" w:sz="8" w:color="407CCA"/>
            </w:tcBorders>
          </w:tcPr>
          <w:p>
            <w:pPr>
              <w:spacing w:after="0"/>
              <w:rPr>
                <w:sz w:val="2"/>
                <w:szCs w:val="2"/>
                <w:color w:val="auto"/>
              </w:rPr>
            </w:pPr>
          </w:p>
        </w:tc>
        <w:tc>
          <w:tcPr>
            <w:tcW w:w="1040" w:type="dxa"/>
            <w:vAlign w:val="bottom"/>
            <w:tcBorders>
              <w:bottom w:val="single" w:sz="8" w:color="407CCA"/>
            </w:tcBorders>
          </w:tcPr>
          <w:p>
            <w:pPr>
              <w:spacing w:after="0"/>
              <w:rPr>
                <w:sz w:val="2"/>
                <w:szCs w:val="2"/>
                <w:color w:val="auto"/>
              </w:rPr>
            </w:pPr>
          </w:p>
        </w:tc>
        <w:tc>
          <w:tcPr>
            <w:tcW w:w="760" w:type="dxa"/>
            <w:vAlign w:val="bottom"/>
            <w:tcBorders>
              <w:bottom w:val="single" w:sz="8" w:color="407CCA"/>
            </w:tcBorders>
          </w:tcPr>
          <w:p>
            <w:pPr>
              <w:spacing w:after="0"/>
              <w:rPr>
                <w:sz w:val="2"/>
                <w:szCs w:val="2"/>
                <w:color w:val="auto"/>
              </w:rPr>
            </w:pPr>
          </w:p>
        </w:tc>
        <w:tc>
          <w:tcPr>
            <w:tcW w:w="1080" w:type="dxa"/>
            <w:vAlign w:val="bottom"/>
            <w:vMerge w:val="continue"/>
          </w:tcPr>
          <w:p>
            <w:pPr>
              <w:spacing w:after="0"/>
              <w:rPr>
                <w:sz w:val="2"/>
                <w:szCs w:val="2"/>
                <w:color w:val="auto"/>
              </w:rPr>
            </w:pPr>
          </w:p>
        </w:tc>
        <w:tc>
          <w:tcPr>
            <w:tcW w:w="0" w:type="dxa"/>
            <w:vAlign w:val="bottom"/>
          </w:tcPr>
          <w:p>
            <w:pPr>
              <w:spacing w:after="0"/>
              <w:rPr>
                <w:sz w:val="1"/>
                <w:szCs w:val="1"/>
                <w:color w:val="auto"/>
              </w:rPr>
            </w:pPr>
          </w:p>
        </w:tc>
      </w:tr>
      <w:tr>
        <w:trPr>
          <w:trHeight w:val="75"/>
        </w:trPr>
        <w:tc>
          <w:tcPr>
            <w:tcW w:w="2820" w:type="dxa"/>
            <w:vAlign w:val="bottom"/>
          </w:tcPr>
          <w:p>
            <w:pPr>
              <w:spacing w:after="0"/>
              <w:rPr>
                <w:sz w:val="6"/>
                <w:szCs w:val="6"/>
                <w:color w:val="auto"/>
              </w:rPr>
            </w:pPr>
          </w:p>
        </w:tc>
        <w:tc>
          <w:tcPr>
            <w:tcW w:w="100" w:type="dxa"/>
            <w:vAlign w:val="bottom"/>
          </w:tcPr>
          <w:p>
            <w:pPr>
              <w:spacing w:after="0"/>
              <w:rPr>
                <w:sz w:val="6"/>
                <w:szCs w:val="6"/>
                <w:color w:val="auto"/>
              </w:rPr>
            </w:pPr>
          </w:p>
        </w:tc>
        <w:tc>
          <w:tcPr>
            <w:tcW w:w="2620" w:type="dxa"/>
            <w:vAlign w:val="bottom"/>
          </w:tcPr>
          <w:p>
            <w:pPr>
              <w:spacing w:after="0"/>
              <w:rPr>
                <w:sz w:val="6"/>
                <w:szCs w:val="6"/>
                <w:color w:val="auto"/>
              </w:rPr>
            </w:pPr>
          </w:p>
        </w:tc>
        <w:tc>
          <w:tcPr>
            <w:tcW w:w="960" w:type="dxa"/>
            <w:vAlign w:val="bottom"/>
          </w:tcPr>
          <w:p>
            <w:pPr>
              <w:spacing w:after="0"/>
              <w:rPr>
                <w:sz w:val="6"/>
                <w:szCs w:val="6"/>
                <w:color w:val="auto"/>
              </w:rPr>
            </w:pPr>
          </w:p>
        </w:tc>
        <w:tc>
          <w:tcPr>
            <w:tcW w:w="940" w:type="dxa"/>
            <w:vAlign w:val="bottom"/>
            <w:vMerge w:val="continue"/>
          </w:tcPr>
          <w:p>
            <w:pPr>
              <w:spacing w:after="0"/>
              <w:rPr>
                <w:sz w:val="6"/>
                <w:szCs w:val="6"/>
                <w:color w:val="auto"/>
              </w:rPr>
            </w:pPr>
          </w:p>
        </w:tc>
        <w:tc>
          <w:tcPr>
            <w:tcW w:w="700" w:type="dxa"/>
            <w:vAlign w:val="bottom"/>
            <w:vMerge w:val="restart"/>
          </w:tcPr>
          <w:p>
            <w:pPr>
              <w:jc w:val="center"/>
              <w:spacing w:after="0"/>
              <w:rPr>
                <w:sz w:val="20"/>
                <w:szCs w:val="20"/>
                <w:color w:val="auto"/>
              </w:rPr>
            </w:pPr>
            <w:r>
              <w:rPr>
                <w:rFonts w:ascii="Arial" w:cs="Arial" w:eastAsia="Arial" w:hAnsi="Arial"/>
                <w:sz w:val="13"/>
                <w:szCs w:val="13"/>
                <w:b w:val="1"/>
                <w:bCs w:val="1"/>
                <w:color w:val="auto"/>
                <w:w w:val="85"/>
              </w:rPr>
              <w:t>Threshold</w:t>
            </w:r>
          </w:p>
        </w:tc>
        <w:tc>
          <w:tcPr>
            <w:tcW w:w="1040" w:type="dxa"/>
            <w:vAlign w:val="bottom"/>
            <w:vMerge w:val="restart"/>
          </w:tcPr>
          <w:p>
            <w:pPr>
              <w:jc w:val="center"/>
              <w:spacing w:after="0"/>
              <w:rPr>
                <w:sz w:val="20"/>
                <w:szCs w:val="20"/>
                <w:color w:val="auto"/>
              </w:rPr>
            </w:pPr>
            <w:r>
              <w:rPr>
                <w:rFonts w:ascii="Arial" w:cs="Arial" w:eastAsia="Arial" w:hAnsi="Arial"/>
                <w:sz w:val="13"/>
                <w:szCs w:val="13"/>
                <w:b w:val="1"/>
                <w:bCs w:val="1"/>
                <w:color w:val="auto"/>
                <w:w w:val="85"/>
              </w:rPr>
              <w:t>Target</w:t>
            </w:r>
          </w:p>
        </w:tc>
        <w:tc>
          <w:tcPr>
            <w:tcW w:w="760" w:type="dxa"/>
            <w:vAlign w:val="bottom"/>
            <w:vMerge w:val="restart"/>
          </w:tcPr>
          <w:p>
            <w:pPr>
              <w:ind w:left="40"/>
              <w:spacing w:after="0"/>
              <w:rPr>
                <w:sz w:val="20"/>
                <w:szCs w:val="20"/>
                <w:color w:val="auto"/>
              </w:rPr>
            </w:pPr>
            <w:r>
              <w:rPr>
                <w:rFonts w:ascii="Arial" w:cs="Arial" w:eastAsia="Arial" w:hAnsi="Arial"/>
                <w:sz w:val="13"/>
                <w:szCs w:val="13"/>
                <w:b w:val="1"/>
                <w:bCs w:val="1"/>
                <w:color w:val="auto"/>
              </w:rPr>
              <w:t>Maximum</w:t>
            </w:r>
          </w:p>
        </w:tc>
        <w:tc>
          <w:tcPr>
            <w:tcW w:w="108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30"/>
        </w:trPr>
        <w:tc>
          <w:tcPr>
            <w:tcW w:w="2820" w:type="dxa"/>
            <w:vAlign w:val="bottom"/>
            <w:vMerge w:val="restart"/>
          </w:tcPr>
          <w:p>
            <w:pPr>
              <w:ind w:left="80"/>
              <w:spacing w:after="0"/>
              <w:rPr>
                <w:sz w:val="20"/>
                <w:szCs w:val="20"/>
                <w:color w:val="auto"/>
              </w:rPr>
            </w:pPr>
            <w:r>
              <w:rPr>
                <w:rFonts w:ascii="Arial" w:cs="Arial" w:eastAsia="Arial" w:hAnsi="Arial"/>
                <w:sz w:val="18"/>
                <w:szCs w:val="18"/>
                <w:b w:val="1"/>
                <w:bCs w:val="1"/>
                <w:color w:val="auto"/>
              </w:rPr>
              <w:t>Name</w:t>
            </w:r>
          </w:p>
        </w:tc>
        <w:tc>
          <w:tcPr>
            <w:tcW w:w="100" w:type="dxa"/>
            <w:vAlign w:val="bottom"/>
          </w:tcPr>
          <w:p>
            <w:pPr>
              <w:spacing w:after="0"/>
              <w:rPr>
                <w:sz w:val="11"/>
                <w:szCs w:val="11"/>
                <w:color w:val="auto"/>
              </w:rPr>
            </w:pPr>
          </w:p>
        </w:tc>
        <w:tc>
          <w:tcPr>
            <w:tcW w:w="2620" w:type="dxa"/>
            <w:vAlign w:val="bottom"/>
          </w:tcPr>
          <w:p>
            <w:pPr>
              <w:spacing w:after="0"/>
              <w:rPr>
                <w:sz w:val="11"/>
                <w:szCs w:val="11"/>
                <w:color w:val="auto"/>
              </w:rPr>
            </w:pPr>
          </w:p>
        </w:tc>
        <w:tc>
          <w:tcPr>
            <w:tcW w:w="960" w:type="dxa"/>
            <w:vAlign w:val="bottom"/>
          </w:tcPr>
          <w:p>
            <w:pPr>
              <w:spacing w:after="0"/>
              <w:rPr>
                <w:sz w:val="11"/>
                <w:szCs w:val="11"/>
                <w:color w:val="auto"/>
              </w:rPr>
            </w:pPr>
          </w:p>
        </w:tc>
        <w:tc>
          <w:tcPr>
            <w:tcW w:w="940" w:type="dxa"/>
            <w:vAlign w:val="bottom"/>
          </w:tcPr>
          <w:p>
            <w:pPr>
              <w:jc w:val="center"/>
              <w:spacing w:after="0" w:line="131" w:lineRule="exact"/>
              <w:rPr>
                <w:sz w:val="20"/>
                <w:szCs w:val="20"/>
                <w:color w:val="auto"/>
              </w:rPr>
            </w:pPr>
            <w:r>
              <w:rPr>
                <w:rFonts w:ascii="Arial" w:cs="Arial" w:eastAsia="Arial" w:hAnsi="Arial"/>
                <w:sz w:val="13"/>
                <w:szCs w:val="13"/>
                <w:b w:val="1"/>
                <w:bCs w:val="1"/>
                <w:color w:val="auto"/>
                <w:w w:val="87"/>
              </w:rPr>
              <w:t>Plan</w:t>
            </w:r>
          </w:p>
        </w:tc>
        <w:tc>
          <w:tcPr>
            <w:tcW w:w="700" w:type="dxa"/>
            <w:vAlign w:val="bottom"/>
            <w:vMerge w:val="continue"/>
          </w:tcPr>
          <w:p>
            <w:pPr>
              <w:spacing w:after="0"/>
              <w:rPr>
                <w:sz w:val="11"/>
                <w:szCs w:val="11"/>
                <w:color w:val="auto"/>
              </w:rPr>
            </w:pPr>
          </w:p>
        </w:tc>
        <w:tc>
          <w:tcPr>
            <w:tcW w:w="1040" w:type="dxa"/>
            <w:vAlign w:val="bottom"/>
            <w:vMerge w:val="continue"/>
          </w:tcPr>
          <w:p>
            <w:pPr>
              <w:spacing w:after="0"/>
              <w:rPr>
                <w:sz w:val="11"/>
                <w:szCs w:val="11"/>
                <w:color w:val="auto"/>
              </w:rPr>
            </w:pPr>
          </w:p>
        </w:tc>
        <w:tc>
          <w:tcPr>
            <w:tcW w:w="760" w:type="dxa"/>
            <w:vAlign w:val="bottom"/>
            <w:vMerge w:val="continue"/>
          </w:tcPr>
          <w:p>
            <w:pPr>
              <w:spacing w:after="0"/>
              <w:rPr>
                <w:sz w:val="11"/>
                <w:szCs w:val="11"/>
                <w:color w:val="auto"/>
              </w:rPr>
            </w:pPr>
          </w:p>
        </w:tc>
        <w:tc>
          <w:tcPr>
            <w:tcW w:w="1080" w:type="dxa"/>
            <w:vAlign w:val="bottom"/>
          </w:tcPr>
          <w:p>
            <w:pPr>
              <w:jc w:val="center"/>
              <w:spacing w:after="0" w:line="131" w:lineRule="exact"/>
              <w:rPr>
                <w:sz w:val="20"/>
                <w:szCs w:val="20"/>
                <w:color w:val="auto"/>
              </w:rPr>
            </w:pPr>
            <w:r>
              <w:rPr>
                <w:rFonts w:ascii="Arial" w:cs="Arial" w:eastAsia="Arial" w:hAnsi="Arial"/>
                <w:sz w:val="13"/>
                <w:szCs w:val="13"/>
                <w:b w:val="1"/>
                <w:bCs w:val="1"/>
                <w:color w:val="auto"/>
                <w:w w:val="85"/>
              </w:rPr>
              <w:t>value of stock</w:t>
            </w:r>
          </w:p>
        </w:tc>
        <w:tc>
          <w:tcPr>
            <w:tcW w:w="0" w:type="dxa"/>
            <w:vAlign w:val="bottom"/>
          </w:tcPr>
          <w:p>
            <w:pPr>
              <w:spacing w:after="0"/>
              <w:rPr>
                <w:sz w:val="1"/>
                <w:szCs w:val="1"/>
                <w:color w:val="auto"/>
              </w:rPr>
            </w:pPr>
          </w:p>
        </w:tc>
      </w:tr>
      <w:tr>
        <w:trPr>
          <w:trHeight w:val="167"/>
        </w:trPr>
        <w:tc>
          <w:tcPr>
            <w:tcW w:w="2820" w:type="dxa"/>
            <w:vAlign w:val="bottom"/>
            <w:tcBorders>
              <w:bottom w:val="single" w:sz="8" w:color="407CCA"/>
            </w:tcBorders>
            <w:vMerge w:val="continue"/>
          </w:tcPr>
          <w:p>
            <w:pPr>
              <w:spacing w:after="0"/>
              <w:rPr>
                <w:sz w:val="14"/>
                <w:szCs w:val="14"/>
                <w:color w:val="auto"/>
              </w:rPr>
            </w:pPr>
          </w:p>
        </w:tc>
        <w:tc>
          <w:tcPr>
            <w:tcW w:w="100" w:type="dxa"/>
            <w:vAlign w:val="bottom"/>
            <w:tcBorders>
              <w:bottom w:val="single" w:sz="8" w:color="407CCA"/>
            </w:tcBorders>
          </w:tcPr>
          <w:p>
            <w:pPr>
              <w:spacing w:after="0"/>
              <w:rPr>
                <w:sz w:val="14"/>
                <w:szCs w:val="14"/>
                <w:color w:val="auto"/>
              </w:rPr>
            </w:pPr>
          </w:p>
        </w:tc>
        <w:tc>
          <w:tcPr>
            <w:tcW w:w="2620" w:type="dxa"/>
            <w:vAlign w:val="bottom"/>
            <w:tcBorders>
              <w:bottom w:val="single" w:sz="8" w:color="407CCA"/>
            </w:tcBorders>
          </w:tcPr>
          <w:p>
            <w:pPr>
              <w:jc w:val="center"/>
              <w:spacing w:after="0"/>
              <w:rPr>
                <w:sz w:val="20"/>
                <w:szCs w:val="20"/>
                <w:color w:val="auto"/>
              </w:rPr>
            </w:pPr>
            <w:r>
              <w:rPr>
                <w:rFonts w:ascii="Arial" w:cs="Arial" w:eastAsia="Arial" w:hAnsi="Arial"/>
                <w:sz w:val="13"/>
                <w:szCs w:val="13"/>
                <w:b w:val="1"/>
                <w:bCs w:val="1"/>
                <w:color w:val="auto"/>
                <w:w w:val="90"/>
              </w:rPr>
              <w:t>Award Type</w:t>
            </w:r>
            <w:r>
              <w:rPr>
                <w:rFonts w:ascii="Arial" w:cs="Arial" w:eastAsia="Arial" w:hAnsi="Arial"/>
                <w:sz w:val="10"/>
                <w:szCs w:val="10"/>
                <w:b w:val="1"/>
                <w:bCs w:val="1"/>
                <w:color w:val="auto"/>
                <w:w w:val="90"/>
              </w:rPr>
              <w:t>(1)</w:t>
            </w:r>
          </w:p>
        </w:tc>
        <w:tc>
          <w:tcPr>
            <w:tcW w:w="960" w:type="dxa"/>
            <w:vAlign w:val="bottom"/>
            <w:tcBorders>
              <w:bottom w:val="single" w:sz="8" w:color="407CCA"/>
            </w:tcBorders>
          </w:tcPr>
          <w:p>
            <w:pPr>
              <w:ind w:left="100"/>
              <w:spacing w:after="0"/>
              <w:rPr>
                <w:sz w:val="20"/>
                <w:szCs w:val="20"/>
                <w:color w:val="auto"/>
              </w:rPr>
            </w:pPr>
            <w:r>
              <w:rPr>
                <w:rFonts w:ascii="Arial" w:cs="Arial" w:eastAsia="Arial" w:hAnsi="Arial"/>
                <w:sz w:val="13"/>
                <w:szCs w:val="13"/>
                <w:b w:val="1"/>
                <w:bCs w:val="1"/>
                <w:color w:val="auto"/>
              </w:rPr>
              <w:t>Grant date</w:t>
            </w:r>
            <w:r>
              <w:rPr>
                <w:rFonts w:ascii="Arial" w:cs="Arial" w:eastAsia="Arial" w:hAnsi="Arial"/>
                <w:sz w:val="10"/>
                <w:szCs w:val="10"/>
                <w:b w:val="1"/>
                <w:bCs w:val="1"/>
                <w:color w:val="auto"/>
              </w:rPr>
              <w:t>(2)</w:t>
            </w:r>
          </w:p>
        </w:tc>
        <w:tc>
          <w:tcPr>
            <w:tcW w:w="940" w:type="dxa"/>
            <w:vAlign w:val="bottom"/>
            <w:tcBorders>
              <w:bottom w:val="single" w:sz="8" w:color="407CCA"/>
            </w:tcBorders>
          </w:tcPr>
          <w:p>
            <w:pPr>
              <w:jc w:val="center"/>
              <w:spacing w:after="0"/>
              <w:rPr>
                <w:sz w:val="20"/>
                <w:szCs w:val="20"/>
                <w:color w:val="auto"/>
              </w:rPr>
            </w:pPr>
            <w:r>
              <w:rPr>
                <w:rFonts w:ascii="Arial" w:cs="Arial" w:eastAsia="Arial" w:hAnsi="Arial"/>
                <w:sz w:val="13"/>
                <w:szCs w:val="13"/>
                <w:b w:val="1"/>
                <w:bCs w:val="1"/>
                <w:color w:val="auto"/>
                <w:w w:val="91"/>
              </w:rPr>
              <w:t>Awards</w:t>
            </w:r>
            <w:r>
              <w:rPr>
                <w:rFonts w:ascii="Arial" w:cs="Arial" w:eastAsia="Arial" w:hAnsi="Arial"/>
                <w:sz w:val="10"/>
                <w:szCs w:val="10"/>
                <w:b w:val="1"/>
                <w:bCs w:val="1"/>
                <w:color w:val="auto"/>
                <w:w w:val="91"/>
              </w:rPr>
              <w:t>(3)</w:t>
            </w:r>
          </w:p>
        </w:tc>
        <w:tc>
          <w:tcPr>
            <w:tcW w:w="700" w:type="dxa"/>
            <w:vAlign w:val="bottom"/>
            <w:tcBorders>
              <w:bottom w:val="single" w:sz="8" w:color="407CCA"/>
            </w:tcBorders>
          </w:tcPr>
          <w:p>
            <w:pPr>
              <w:jc w:val="right"/>
              <w:ind w:right="174"/>
              <w:spacing w:after="0"/>
              <w:rPr>
                <w:sz w:val="20"/>
                <w:szCs w:val="20"/>
                <w:color w:val="auto"/>
              </w:rPr>
            </w:pPr>
            <w:r>
              <w:rPr>
                <w:rFonts w:ascii="Arial" w:cs="Arial" w:eastAsia="Arial" w:hAnsi="Arial"/>
                <w:sz w:val="13"/>
                <w:szCs w:val="13"/>
                <w:b w:val="1"/>
                <w:bCs w:val="1"/>
                <w:color w:val="auto"/>
              </w:rPr>
              <w:t>(#)</w:t>
            </w:r>
          </w:p>
        </w:tc>
        <w:tc>
          <w:tcPr>
            <w:tcW w:w="1040" w:type="dxa"/>
            <w:vAlign w:val="bottom"/>
            <w:tcBorders>
              <w:bottom w:val="single" w:sz="8" w:color="407CCA"/>
            </w:tcBorders>
          </w:tcPr>
          <w:p>
            <w:pPr>
              <w:jc w:val="right"/>
              <w:ind w:right="400"/>
              <w:spacing w:after="0"/>
              <w:rPr>
                <w:sz w:val="20"/>
                <w:szCs w:val="20"/>
                <w:color w:val="auto"/>
              </w:rPr>
            </w:pPr>
            <w:r>
              <w:rPr>
                <w:rFonts w:ascii="Arial" w:cs="Arial" w:eastAsia="Arial" w:hAnsi="Arial"/>
                <w:sz w:val="13"/>
                <w:szCs w:val="13"/>
                <w:b w:val="1"/>
                <w:bCs w:val="1"/>
                <w:color w:val="auto"/>
              </w:rPr>
              <w:t>(#)</w:t>
            </w:r>
          </w:p>
        </w:tc>
        <w:tc>
          <w:tcPr>
            <w:tcW w:w="760" w:type="dxa"/>
            <w:vAlign w:val="bottom"/>
            <w:tcBorders>
              <w:bottom w:val="single" w:sz="8" w:color="407CCA"/>
            </w:tcBorders>
          </w:tcPr>
          <w:p>
            <w:pPr>
              <w:ind w:left="240"/>
              <w:spacing w:after="0"/>
              <w:rPr>
                <w:sz w:val="20"/>
                <w:szCs w:val="20"/>
                <w:color w:val="auto"/>
              </w:rPr>
            </w:pPr>
            <w:r>
              <w:rPr>
                <w:rFonts w:ascii="Arial" w:cs="Arial" w:eastAsia="Arial" w:hAnsi="Arial"/>
                <w:sz w:val="13"/>
                <w:szCs w:val="13"/>
                <w:b w:val="1"/>
                <w:bCs w:val="1"/>
                <w:color w:val="auto"/>
              </w:rPr>
              <w:t>(#)</w:t>
            </w:r>
          </w:p>
        </w:tc>
        <w:tc>
          <w:tcPr>
            <w:tcW w:w="1080" w:type="dxa"/>
            <w:vAlign w:val="bottom"/>
            <w:tcBorders>
              <w:bottom w:val="single" w:sz="8" w:color="407CCA"/>
            </w:tcBorders>
          </w:tcPr>
          <w:p>
            <w:pPr>
              <w:jc w:val="center"/>
              <w:spacing w:after="0"/>
              <w:rPr>
                <w:sz w:val="20"/>
                <w:szCs w:val="20"/>
                <w:color w:val="auto"/>
              </w:rPr>
            </w:pPr>
            <w:r>
              <w:rPr>
                <w:rFonts w:ascii="Arial" w:cs="Arial" w:eastAsia="Arial" w:hAnsi="Arial"/>
                <w:sz w:val="13"/>
                <w:szCs w:val="13"/>
                <w:b w:val="1"/>
                <w:bCs w:val="1"/>
                <w:color w:val="auto"/>
                <w:w w:val="91"/>
              </w:rPr>
              <w:t>awards</w:t>
            </w:r>
            <w:r>
              <w:rPr>
                <w:rFonts w:ascii="Arial" w:cs="Arial" w:eastAsia="Arial" w:hAnsi="Arial"/>
                <w:sz w:val="10"/>
                <w:szCs w:val="10"/>
                <w:b w:val="1"/>
                <w:bCs w:val="1"/>
                <w:color w:val="auto"/>
                <w:w w:val="91"/>
              </w:rPr>
              <w:t>(5)</w:t>
            </w:r>
          </w:p>
        </w:tc>
        <w:tc>
          <w:tcPr>
            <w:tcW w:w="0" w:type="dxa"/>
            <w:vAlign w:val="bottom"/>
          </w:tcPr>
          <w:p>
            <w:pPr>
              <w:spacing w:after="0"/>
              <w:rPr>
                <w:sz w:val="1"/>
                <w:szCs w:val="1"/>
                <w:color w:val="auto"/>
              </w:rPr>
            </w:pPr>
          </w:p>
        </w:tc>
      </w:tr>
      <w:tr>
        <w:trPr>
          <w:trHeight w:val="210"/>
        </w:trPr>
        <w:tc>
          <w:tcPr>
            <w:tcW w:w="282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Gary D. Kain</w:t>
            </w:r>
          </w:p>
        </w:tc>
        <w:tc>
          <w:tcPr>
            <w:tcW w:w="100" w:type="dxa"/>
            <w:vAlign w:val="bottom"/>
            <w:shd w:val="clear" w:color="auto" w:fill="CCEEFF"/>
          </w:tcPr>
          <w:p>
            <w:pPr>
              <w:spacing w:after="0"/>
              <w:rPr>
                <w:sz w:val="18"/>
                <w:szCs w:val="18"/>
                <w:color w:val="auto"/>
              </w:rPr>
            </w:pPr>
          </w:p>
        </w:tc>
        <w:tc>
          <w:tcPr>
            <w:tcW w:w="2620" w:type="dxa"/>
            <w:vAlign w:val="bottom"/>
            <w:vMerge w:val="restart"/>
            <w:shd w:val="clear" w:color="auto" w:fill="CCEEFF"/>
          </w:tcPr>
          <w:p>
            <w:pPr>
              <w:jc w:val="center"/>
              <w:spacing w:after="0"/>
              <w:rPr>
                <w:sz w:val="20"/>
                <w:szCs w:val="20"/>
                <w:color w:val="auto"/>
              </w:rPr>
            </w:pPr>
            <w:r>
              <w:rPr>
                <w:rFonts w:ascii="Arial" w:cs="Arial" w:eastAsia="Arial" w:hAnsi="Arial"/>
                <w:sz w:val="18"/>
                <w:szCs w:val="18"/>
                <w:color w:val="auto"/>
                <w:w w:val="91"/>
              </w:rPr>
              <w:t>MTGE PIP Time-Based Vesting</w:t>
            </w:r>
          </w:p>
        </w:tc>
        <w:tc>
          <w:tcPr>
            <w:tcW w:w="960" w:type="dxa"/>
            <w:vAlign w:val="bottom"/>
            <w:vMerge w:val="restart"/>
            <w:shd w:val="clear" w:color="auto" w:fill="CCEEFF"/>
          </w:tcPr>
          <w:p>
            <w:pPr>
              <w:jc w:val="center"/>
              <w:spacing w:after="0"/>
              <w:rPr>
                <w:sz w:val="20"/>
                <w:szCs w:val="20"/>
                <w:color w:val="auto"/>
              </w:rPr>
            </w:pPr>
            <w:r>
              <w:rPr>
                <w:rFonts w:ascii="Arial" w:cs="Arial" w:eastAsia="Arial" w:hAnsi="Arial"/>
                <w:sz w:val="18"/>
                <w:szCs w:val="18"/>
                <w:color w:val="auto"/>
                <w:w w:val="89"/>
              </w:rPr>
              <w:t>2/22/17</w:t>
            </w:r>
          </w:p>
        </w:tc>
        <w:tc>
          <w:tcPr>
            <w:tcW w:w="940" w:type="dxa"/>
            <w:vAlign w:val="bottom"/>
            <w:vMerge w:val="restart"/>
            <w:shd w:val="clear" w:color="auto" w:fill="CCEEFF"/>
          </w:tcPr>
          <w:p>
            <w:pPr>
              <w:jc w:val="center"/>
              <w:spacing w:after="0"/>
              <w:rPr>
                <w:sz w:val="20"/>
                <w:szCs w:val="20"/>
                <w:color w:val="auto"/>
              </w:rPr>
            </w:pPr>
            <w:r>
              <w:rPr>
                <w:rFonts w:ascii="Arial" w:cs="Arial" w:eastAsia="Arial" w:hAnsi="Arial"/>
                <w:sz w:val="18"/>
                <w:szCs w:val="18"/>
                <w:color w:val="auto"/>
                <w:w w:val="90"/>
              </w:rPr>
              <w:t>$810,000</w:t>
            </w:r>
          </w:p>
        </w:tc>
        <w:tc>
          <w:tcPr>
            <w:tcW w:w="700" w:type="dxa"/>
            <w:vAlign w:val="bottom"/>
            <w:shd w:val="clear" w:color="auto" w:fill="CCEEFF"/>
          </w:tcPr>
          <w:p>
            <w:pPr>
              <w:spacing w:after="0"/>
              <w:rPr>
                <w:sz w:val="18"/>
                <w:szCs w:val="18"/>
                <w:color w:val="auto"/>
              </w:rPr>
            </w:pPr>
          </w:p>
        </w:tc>
        <w:tc>
          <w:tcPr>
            <w:tcW w:w="104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0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8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2620" w:type="dxa"/>
            <w:vAlign w:val="bottom"/>
            <w:vMerge w:val="continue"/>
            <w:shd w:val="clear" w:color="auto" w:fill="CCEEFF"/>
          </w:tcPr>
          <w:p>
            <w:pPr>
              <w:spacing w:after="0"/>
              <w:rPr>
                <w:sz w:val="18"/>
                <w:szCs w:val="18"/>
                <w:color w:val="auto"/>
              </w:rPr>
            </w:pPr>
          </w:p>
        </w:tc>
        <w:tc>
          <w:tcPr>
            <w:tcW w:w="960" w:type="dxa"/>
            <w:vAlign w:val="bottom"/>
            <w:vMerge w:val="continue"/>
            <w:shd w:val="clear" w:color="auto" w:fill="CCEEFF"/>
          </w:tcPr>
          <w:p>
            <w:pPr>
              <w:spacing w:after="0"/>
              <w:rPr>
                <w:sz w:val="18"/>
                <w:szCs w:val="18"/>
                <w:color w:val="auto"/>
              </w:rPr>
            </w:pPr>
          </w:p>
        </w:tc>
        <w:tc>
          <w:tcPr>
            <w:tcW w:w="940" w:type="dxa"/>
            <w:vAlign w:val="bottom"/>
            <w:vMerge w:val="continue"/>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04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0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8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262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1"/>
              </w:rPr>
              <w:t>AGNC Time-Based Vesting RSUs</w:t>
            </w:r>
          </w:p>
        </w:tc>
        <w:tc>
          <w:tcPr>
            <w:tcW w:w="96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1"/>
              </w:rPr>
              <w:t>3/1/17</w:t>
            </w:r>
          </w:p>
        </w:tc>
        <w:tc>
          <w:tcPr>
            <w:tcW w:w="940" w:type="dxa"/>
            <w:vAlign w:val="bottom"/>
            <w:shd w:val="clear" w:color="auto" w:fill="CCEEFF"/>
          </w:tcPr>
          <w:p>
            <w:pPr>
              <w:spacing w:after="0"/>
              <w:rPr>
                <w:sz w:val="18"/>
                <w:szCs w:val="18"/>
                <w:color w:val="auto"/>
              </w:rPr>
            </w:pPr>
          </w:p>
        </w:tc>
        <w:tc>
          <w:tcPr>
            <w:tcW w:w="700" w:type="dxa"/>
            <w:vAlign w:val="bottom"/>
            <w:shd w:val="clear" w:color="auto" w:fill="CCEEFF"/>
          </w:tcPr>
          <w:p>
            <w:pPr>
              <w:jc w:val="center"/>
              <w:ind w:left="34"/>
              <w:spacing w:after="0"/>
              <w:rPr>
                <w:sz w:val="20"/>
                <w:szCs w:val="20"/>
                <w:color w:val="auto"/>
              </w:rPr>
            </w:pPr>
            <w:r>
              <w:rPr>
                <w:rFonts w:ascii="Arial" w:cs="Arial" w:eastAsia="Arial" w:hAnsi="Arial"/>
                <w:sz w:val="18"/>
                <w:szCs w:val="18"/>
                <w:color w:val="auto"/>
                <w:w w:val="99"/>
              </w:rPr>
              <w:t>N/A</w:t>
            </w:r>
          </w:p>
        </w:tc>
        <w:tc>
          <w:tcPr>
            <w:tcW w:w="104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0"/>
              </w:rPr>
              <w:t>97,472</w:t>
            </w:r>
          </w:p>
        </w:tc>
        <w:tc>
          <w:tcPr>
            <w:tcW w:w="760" w:type="dxa"/>
            <w:vAlign w:val="bottom"/>
            <w:shd w:val="clear" w:color="auto" w:fill="CCEEFF"/>
          </w:tcPr>
          <w:p>
            <w:pPr>
              <w:ind w:left="180"/>
              <w:spacing w:after="0"/>
              <w:rPr>
                <w:sz w:val="20"/>
                <w:szCs w:val="20"/>
                <w:color w:val="auto"/>
              </w:rPr>
            </w:pPr>
            <w:r>
              <w:rPr>
                <w:rFonts w:ascii="Arial" w:cs="Arial" w:eastAsia="Arial" w:hAnsi="Arial"/>
                <w:sz w:val="18"/>
                <w:szCs w:val="18"/>
                <w:color w:val="auto"/>
              </w:rPr>
              <w:t>N/A</w:t>
            </w:r>
          </w:p>
        </w:tc>
        <w:tc>
          <w:tcPr>
            <w:tcW w:w="108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0"/>
              </w:rPr>
              <w:t>$1,889,990</w:t>
            </w:r>
          </w:p>
        </w:tc>
        <w:tc>
          <w:tcPr>
            <w:tcW w:w="0" w:type="dxa"/>
            <w:vAlign w:val="bottom"/>
          </w:tcPr>
          <w:p>
            <w:pPr>
              <w:spacing w:after="0"/>
              <w:rPr>
                <w:sz w:val="1"/>
                <w:szCs w:val="1"/>
                <w:color w:val="auto"/>
              </w:rPr>
            </w:pPr>
          </w:p>
        </w:tc>
      </w:tr>
      <w:tr>
        <w:trPr>
          <w:trHeight w:val="202"/>
        </w:trPr>
        <w:tc>
          <w:tcPr>
            <w:tcW w:w="28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2620" w:type="dxa"/>
            <w:vAlign w:val="bottom"/>
            <w:shd w:val="clear" w:color="auto" w:fill="CCEEFF"/>
          </w:tcPr>
          <w:p>
            <w:pPr>
              <w:jc w:val="center"/>
              <w:spacing w:after="0" w:line="201" w:lineRule="exact"/>
              <w:rPr>
                <w:sz w:val="20"/>
                <w:szCs w:val="20"/>
                <w:color w:val="auto"/>
              </w:rPr>
            </w:pPr>
            <w:r>
              <w:rPr>
                <w:rFonts w:ascii="Arial" w:cs="Arial" w:eastAsia="Arial" w:hAnsi="Arial"/>
                <w:sz w:val="18"/>
                <w:szCs w:val="18"/>
                <w:color w:val="auto"/>
                <w:w w:val="90"/>
              </w:rPr>
              <w:t>AGNC Performance-Based Vesting</w:t>
            </w:r>
          </w:p>
        </w:tc>
        <w:tc>
          <w:tcPr>
            <w:tcW w:w="960" w:type="dxa"/>
            <w:vAlign w:val="bottom"/>
            <w:shd w:val="clear" w:color="auto" w:fill="CCEEFF"/>
          </w:tcPr>
          <w:p>
            <w:pPr>
              <w:spacing w:after="0"/>
              <w:rPr>
                <w:sz w:val="17"/>
                <w:szCs w:val="17"/>
                <w:color w:val="auto"/>
              </w:rPr>
            </w:pPr>
          </w:p>
        </w:tc>
        <w:tc>
          <w:tcPr>
            <w:tcW w:w="94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08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82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262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9"/>
              </w:rPr>
              <w:t>RSUs</w:t>
            </w:r>
          </w:p>
        </w:tc>
        <w:tc>
          <w:tcPr>
            <w:tcW w:w="96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1"/>
              </w:rPr>
              <w:t>3/1/17</w:t>
            </w:r>
          </w:p>
        </w:tc>
        <w:tc>
          <w:tcPr>
            <w:tcW w:w="940" w:type="dxa"/>
            <w:vAlign w:val="bottom"/>
            <w:shd w:val="clear" w:color="auto" w:fill="CCEEFF"/>
          </w:tcPr>
          <w:p>
            <w:pPr>
              <w:spacing w:after="0"/>
              <w:rPr>
                <w:sz w:val="20"/>
                <w:szCs w:val="20"/>
                <w:color w:val="auto"/>
              </w:rPr>
            </w:pPr>
          </w:p>
        </w:tc>
        <w:tc>
          <w:tcPr>
            <w:tcW w:w="700" w:type="dxa"/>
            <w:vAlign w:val="bottom"/>
            <w:shd w:val="clear" w:color="auto" w:fill="CCEEFF"/>
          </w:tcPr>
          <w:p>
            <w:pPr>
              <w:jc w:val="center"/>
              <w:ind w:left="34"/>
              <w:spacing w:after="0"/>
              <w:rPr>
                <w:sz w:val="20"/>
                <w:szCs w:val="20"/>
                <w:color w:val="auto"/>
              </w:rPr>
            </w:pPr>
            <w:r>
              <w:rPr>
                <w:rFonts w:ascii="Arial" w:cs="Arial" w:eastAsia="Arial" w:hAnsi="Arial"/>
                <w:sz w:val="18"/>
                <w:szCs w:val="18"/>
                <w:color w:val="auto"/>
                <w:w w:val="99"/>
              </w:rPr>
              <w:t>0</w:t>
            </w:r>
          </w:p>
        </w:tc>
        <w:tc>
          <w:tcPr>
            <w:tcW w:w="104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9"/>
              </w:rPr>
              <w:t>139,472</w:t>
            </w:r>
          </w:p>
        </w:tc>
        <w:tc>
          <w:tcPr>
            <w:tcW w:w="76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2"/>
              </w:rPr>
              <w:t>278,494</w:t>
            </w:r>
          </w:p>
        </w:tc>
        <w:tc>
          <w:tcPr>
            <w:tcW w:w="108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0"/>
              </w:rPr>
              <w:t>$2,700,010</w:t>
            </w:r>
          </w:p>
        </w:tc>
        <w:tc>
          <w:tcPr>
            <w:tcW w:w="0" w:type="dxa"/>
            <w:vAlign w:val="bottom"/>
          </w:tcPr>
          <w:p>
            <w:pPr>
              <w:spacing w:after="0"/>
              <w:rPr>
                <w:sz w:val="1"/>
                <w:szCs w:val="1"/>
                <w:color w:val="auto"/>
              </w:rPr>
            </w:pPr>
          </w:p>
        </w:tc>
      </w:tr>
      <w:tr>
        <w:trPr>
          <w:trHeight w:val="284"/>
        </w:trPr>
        <w:tc>
          <w:tcPr>
            <w:tcW w:w="2820" w:type="dxa"/>
            <w:vAlign w:val="bottom"/>
          </w:tcPr>
          <w:p>
            <w:pPr>
              <w:ind w:left="80"/>
              <w:spacing w:after="0"/>
              <w:rPr>
                <w:sz w:val="20"/>
                <w:szCs w:val="20"/>
                <w:color w:val="auto"/>
              </w:rPr>
            </w:pPr>
            <w:r>
              <w:rPr>
                <w:rFonts w:ascii="Arial" w:cs="Arial" w:eastAsia="Arial" w:hAnsi="Arial"/>
                <w:sz w:val="18"/>
                <w:szCs w:val="18"/>
                <w:b w:val="1"/>
                <w:bCs w:val="1"/>
                <w:color w:val="auto"/>
              </w:rPr>
              <w:t>Peter J. Federico</w:t>
            </w:r>
          </w:p>
        </w:tc>
        <w:tc>
          <w:tcPr>
            <w:tcW w:w="100" w:type="dxa"/>
            <w:vAlign w:val="bottom"/>
          </w:tcPr>
          <w:p>
            <w:pPr>
              <w:spacing w:after="0"/>
              <w:rPr>
                <w:sz w:val="24"/>
                <w:szCs w:val="24"/>
                <w:color w:val="auto"/>
              </w:rPr>
            </w:pPr>
          </w:p>
        </w:tc>
        <w:tc>
          <w:tcPr>
            <w:tcW w:w="2620" w:type="dxa"/>
            <w:vAlign w:val="bottom"/>
            <w:vMerge w:val="restart"/>
          </w:tcPr>
          <w:p>
            <w:pPr>
              <w:jc w:val="center"/>
              <w:spacing w:after="0"/>
              <w:rPr>
                <w:sz w:val="20"/>
                <w:szCs w:val="20"/>
                <w:color w:val="auto"/>
              </w:rPr>
            </w:pPr>
            <w:r>
              <w:rPr>
                <w:rFonts w:ascii="Arial" w:cs="Arial" w:eastAsia="Arial" w:hAnsi="Arial"/>
                <w:sz w:val="18"/>
                <w:szCs w:val="18"/>
                <w:color w:val="auto"/>
                <w:w w:val="91"/>
              </w:rPr>
              <w:t>MTGE PIP Time-Based Vesting</w:t>
            </w:r>
          </w:p>
        </w:tc>
        <w:tc>
          <w:tcPr>
            <w:tcW w:w="960" w:type="dxa"/>
            <w:vAlign w:val="bottom"/>
            <w:vMerge w:val="restart"/>
          </w:tcPr>
          <w:p>
            <w:pPr>
              <w:jc w:val="center"/>
              <w:spacing w:after="0"/>
              <w:rPr>
                <w:sz w:val="20"/>
                <w:szCs w:val="20"/>
                <w:color w:val="auto"/>
              </w:rPr>
            </w:pPr>
            <w:r>
              <w:rPr>
                <w:rFonts w:ascii="Arial" w:cs="Arial" w:eastAsia="Arial" w:hAnsi="Arial"/>
                <w:sz w:val="18"/>
                <w:szCs w:val="18"/>
                <w:color w:val="auto"/>
                <w:w w:val="89"/>
              </w:rPr>
              <w:t>2/22/17</w:t>
            </w:r>
          </w:p>
        </w:tc>
        <w:tc>
          <w:tcPr>
            <w:tcW w:w="940" w:type="dxa"/>
            <w:vAlign w:val="bottom"/>
            <w:vMerge w:val="restart"/>
          </w:tcPr>
          <w:p>
            <w:pPr>
              <w:jc w:val="center"/>
              <w:spacing w:after="0"/>
              <w:rPr>
                <w:sz w:val="20"/>
                <w:szCs w:val="20"/>
                <w:color w:val="auto"/>
              </w:rPr>
            </w:pPr>
            <w:r>
              <w:rPr>
                <w:rFonts w:ascii="Arial" w:cs="Arial" w:eastAsia="Arial" w:hAnsi="Arial"/>
                <w:sz w:val="18"/>
                <w:szCs w:val="18"/>
                <w:color w:val="auto"/>
                <w:w w:val="90"/>
              </w:rPr>
              <w:t>$270,000</w:t>
            </w:r>
          </w:p>
        </w:tc>
        <w:tc>
          <w:tcPr>
            <w:tcW w:w="70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2"/>
        </w:trPr>
        <w:tc>
          <w:tcPr>
            <w:tcW w:w="28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620" w:type="dxa"/>
            <w:vAlign w:val="bottom"/>
            <w:vMerge w:val="continue"/>
          </w:tcPr>
          <w:p>
            <w:pPr>
              <w:spacing w:after="0"/>
              <w:rPr>
                <w:sz w:val="17"/>
                <w:szCs w:val="17"/>
                <w:color w:val="auto"/>
              </w:rPr>
            </w:pPr>
          </w:p>
        </w:tc>
        <w:tc>
          <w:tcPr>
            <w:tcW w:w="960" w:type="dxa"/>
            <w:vAlign w:val="bottom"/>
            <w:vMerge w:val="continue"/>
          </w:tcPr>
          <w:p>
            <w:pPr>
              <w:spacing w:after="0"/>
              <w:rPr>
                <w:sz w:val="17"/>
                <w:szCs w:val="17"/>
                <w:color w:val="auto"/>
              </w:rPr>
            </w:pPr>
          </w:p>
        </w:tc>
        <w:tc>
          <w:tcPr>
            <w:tcW w:w="940" w:type="dxa"/>
            <w:vAlign w:val="bottom"/>
            <w:vMerge w:val="continue"/>
          </w:tcPr>
          <w:p>
            <w:pPr>
              <w:spacing w:after="0"/>
              <w:rPr>
                <w:sz w:val="17"/>
                <w:szCs w:val="17"/>
                <w:color w:val="auto"/>
              </w:rPr>
            </w:pPr>
          </w:p>
        </w:tc>
        <w:tc>
          <w:tcPr>
            <w:tcW w:w="70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0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28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620" w:type="dxa"/>
            <w:vAlign w:val="bottom"/>
          </w:tcPr>
          <w:p>
            <w:pPr>
              <w:jc w:val="center"/>
              <w:spacing w:after="0"/>
              <w:rPr>
                <w:sz w:val="20"/>
                <w:szCs w:val="20"/>
                <w:color w:val="auto"/>
              </w:rPr>
            </w:pPr>
            <w:r>
              <w:rPr>
                <w:rFonts w:ascii="Arial" w:cs="Arial" w:eastAsia="Arial" w:hAnsi="Arial"/>
                <w:sz w:val="18"/>
                <w:szCs w:val="18"/>
                <w:color w:val="auto"/>
                <w:w w:val="91"/>
              </w:rPr>
              <w:t>AGNC Time-Based Vesting RSUs</w:t>
            </w:r>
          </w:p>
        </w:tc>
        <w:tc>
          <w:tcPr>
            <w:tcW w:w="960" w:type="dxa"/>
            <w:vAlign w:val="bottom"/>
          </w:tcPr>
          <w:p>
            <w:pPr>
              <w:jc w:val="center"/>
              <w:spacing w:after="0"/>
              <w:rPr>
                <w:sz w:val="20"/>
                <w:szCs w:val="20"/>
                <w:color w:val="auto"/>
              </w:rPr>
            </w:pPr>
            <w:r>
              <w:rPr>
                <w:rFonts w:ascii="Arial" w:cs="Arial" w:eastAsia="Arial" w:hAnsi="Arial"/>
                <w:sz w:val="18"/>
                <w:szCs w:val="18"/>
                <w:color w:val="auto"/>
                <w:w w:val="91"/>
              </w:rPr>
              <w:t>3/1/17</w:t>
            </w:r>
          </w:p>
        </w:tc>
        <w:tc>
          <w:tcPr>
            <w:tcW w:w="940" w:type="dxa"/>
            <w:vAlign w:val="bottom"/>
          </w:tcPr>
          <w:p>
            <w:pPr>
              <w:spacing w:after="0"/>
              <w:rPr>
                <w:sz w:val="18"/>
                <w:szCs w:val="18"/>
                <w:color w:val="auto"/>
              </w:rPr>
            </w:pPr>
          </w:p>
        </w:tc>
        <w:tc>
          <w:tcPr>
            <w:tcW w:w="700" w:type="dxa"/>
            <w:vAlign w:val="bottom"/>
          </w:tcPr>
          <w:p>
            <w:pPr>
              <w:jc w:val="center"/>
              <w:ind w:left="34"/>
              <w:spacing w:after="0"/>
              <w:rPr>
                <w:sz w:val="20"/>
                <w:szCs w:val="20"/>
                <w:color w:val="auto"/>
              </w:rPr>
            </w:pPr>
            <w:r>
              <w:rPr>
                <w:rFonts w:ascii="Arial" w:cs="Arial" w:eastAsia="Arial" w:hAnsi="Arial"/>
                <w:sz w:val="18"/>
                <w:szCs w:val="18"/>
                <w:color w:val="auto"/>
                <w:w w:val="99"/>
              </w:rPr>
              <w:t>N/A</w:t>
            </w:r>
          </w:p>
        </w:tc>
        <w:tc>
          <w:tcPr>
            <w:tcW w:w="1040" w:type="dxa"/>
            <w:vAlign w:val="bottom"/>
          </w:tcPr>
          <w:p>
            <w:pPr>
              <w:jc w:val="center"/>
              <w:spacing w:after="0"/>
              <w:rPr>
                <w:sz w:val="20"/>
                <w:szCs w:val="20"/>
                <w:color w:val="auto"/>
              </w:rPr>
            </w:pPr>
            <w:r>
              <w:rPr>
                <w:rFonts w:ascii="Arial" w:cs="Arial" w:eastAsia="Arial" w:hAnsi="Arial"/>
                <w:sz w:val="18"/>
                <w:szCs w:val="18"/>
                <w:color w:val="auto"/>
                <w:w w:val="90"/>
              </w:rPr>
              <w:t>32,490</w:t>
            </w:r>
          </w:p>
        </w:tc>
        <w:tc>
          <w:tcPr>
            <w:tcW w:w="760" w:type="dxa"/>
            <w:vAlign w:val="bottom"/>
          </w:tcPr>
          <w:p>
            <w:pPr>
              <w:ind w:left="180"/>
              <w:spacing w:after="0"/>
              <w:rPr>
                <w:sz w:val="20"/>
                <w:szCs w:val="20"/>
                <w:color w:val="auto"/>
              </w:rPr>
            </w:pPr>
            <w:r>
              <w:rPr>
                <w:rFonts w:ascii="Arial" w:cs="Arial" w:eastAsia="Arial" w:hAnsi="Arial"/>
                <w:sz w:val="18"/>
                <w:szCs w:val="18"/>
                <w:color w:val="auto"/>
              </w:rPr>
              <w:t>N/A</w:t>
            </w:r>
          </w:p>
        </w:tc>
        <w:tc>
          <w:tcPr>
            <w:tcW w:w="1080" w:type="dxa"/>
            <w:vAlign w:val="bottom"/>
          </w:tcPr>
          <w:p>
            <w:pPr>
              <w:jc w:val="center"/>
              <w:spacing w:after="0"/>
              <w:rPr>
                <w:sz w:val="20"/>
                <w:szCs w:val="20"/>
                <w:color w:val="auto"/>
              </w:rPr>
            </w:pPr>
            <w:r>
              <w:rPr>
                <w:rFonts w:ascii="Arial" w:cs="Arial" w:eastAsia="Arial" w:hAnsi="Arial"/>
                <w:sz w:val="18"/>
                <w:szCs w:val="18"/>
                <w:color w:val="auto"/>
                <w:w w:val="87"/>
              </w:rPr>
              <w:t>$629,994</w:t>
            </w:r>
          </w:p>
        </w:tc>
        <w:tc>
          <w:tcPr>
            <w:tcW w:w="0" w:type="dxa"/>
            <w:vAlign w:val="bottom"/>
          </w:tcPr>
          <w:p>
            <w:pPr>
              <w:spacing w:after="0"/>
              <w:rPr>
                <w:sz w:val="1"/>
                <w:szCs w:val="1"/>
                <w:color w:val="auto"/>
              </w:rPr>
            </w:pPr>
          </w:p>
        </w:tc>
      </w:tr>
      <w:tr>
        <w:trPr>
          <w:trHeight w:val="216"/>
        </w:trPr>
        <w:tc>
          <w:tcPr>
            <w:tcW w:w="28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620" w:type="dxa"/>
            <w:vAlign w:val="bottom"/>
          </w:tcPr>
          <w:p>
            <w:pPr>
              <w:jc w:val="center"/>
              <w:spacing w:after="0"/>
              <w:rPr>
                <w:sz w:val="20"/>
                <w:szCs w:val="20"/>
                <w:color w:val="auto"/>
              </w:rPr>
            </w:pPr>
            <w:r>
              <w:rPr>
                <w:rFonts w:ascii="Arial" w:cs="Arial" w:eastAsia="Arial" w:hAnsi="Arial"/>
                <w:sz w:val="18"/>
                <w:szCs w:val="18"/>
                <w:color w:val="auto"/>
                <w:w w:val="90"/>
              </w:rPr>
              <w:t>AGNC Performance-Based Vesting</w:t>
            </w:r>
          </w:p>
        </w:tc>
        <w:tc>
          <w:tcPr>
            <w:tcW w:w="96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0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28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620" w:type="dxa"/>
            <w:vAlign w:val="bottom"/>
          </w:tcPr>
          <w:p>
            <w:pPr>
              <w:jc w:val="center"/>
              <w:spacing w:after="0"/>
              <w:rPr>
                <w:sz w:val="20"/>
                <w:szCs w:val="20"/>
                <w:color w:val="auto"/>
              </w:rPr>
            </w:pPr>
            <w:r>
              <w:rPr>
                <w:rFonts w:ascii="Arial" w:cs="Arial" w:eastAsia="Arial" w:hAnsi="Arial"/>
                <w:sz w:val="18"/>
                <w:szCs w:val="18"/>
                <w:color w:val="auto"/>
                <w:w w:val="89"/>
              </w:rPr>
              <w:t>RSUs</w:t>
            </w:r>
          </w:p>
        </w:tc>
        <w:tc>
          <w:tcPr>
            <w:tcW w:w="960" w:type="dxa"/>
            <w:vAlign w:val="bottom"/>
          </w:tcPr>
          <w:p>
            <w:pPr>
              <w:jc w:val="center"/>
              <w:spacing w:after="0"/>
              <w:rPr>
                <w:sz w:val="20"/>
                <w:szCs w:val="20"/>
                <w:color w:val="auto"/>
              </w:rPr>
            </w:pPr>
            <w:r>
              <w:rPr>
                <w:rFonts w:ascii="Arial" w:cs="Arial" w:eastAsia="Arial" w:hAnsi="Arial"/>
                <w:sz w:val="18"/>
                <w:szCs w:val="18"/>
                <w:color w:val="auto"/>
                <w:w w:val="91"/>
              </w:rPr>
              <w:t>3/1/17</w:t>
            </w:r>
          </w:p>
        </w:tc>
        <w:tc>
          <w:tcPr>
            <w:tcW w:w="940" w:type="dxa"/>
            <w:vAlign w:val="bottom"/>
          </w:tcPr>
          <w:p>
            <w:pPr>
              <w:spacing w:after="0"/>
              <w:rPr>
                <w:sz w:val="20"/>
                <w:szCs w:val="20"/>
                <w:color w:val="auto"/>
              </w:rPr>
            </w:pPr>
          </w:p>
        </w:tc>
        <w:tc>
          <w:tcPr>
            <w:tcW w:w="700" w:type="dxa"/>
            <w:vAlign w:val="bottom"/>
          </w:tcPr>
          <w:p>
            <w:pPr>
              <w:jc w:val="center"/>
              <w:ind w:left="34"/>
              <w:spacing w:after="0"/>
              <w:rPr>
                <w:sz w:val="20"/>
                <w:szCs w:val="20"/>
                <w:color w:val="auto"/>
              </w:rPr>
            </w:pPr>
            <w:r>
              <w:rPr>
                <w:rFonts w:ascii="Arial" w:cs="Arial" w:eastAsia="Arial" w:hAnsi="Arial"/>
                <w:sz w:val="18"/>
                <w:szCs w:val="18"/>
                <w:color w:val="auto"/>
                <w:w w:val="99"/>
              </w:rPr>
              <w:t>0</w:t>
            </w:r>
          </w:p>
        </w:tc>
        <w:tc>
          <w:tcPr>
            <w:tcW w:w="1040" w:type="dxa"/>
            <w:vAlign w:val="bottom"/>
          </w:tcPr>
          <w:p>
            <w:pPr>
              <w:jc w:val="center"/>
              <w:spacing w:after="0"/>
              <w:rPr>
                <w:sz w:val="20"/>
                <w:szCs w:val="20"/>
                <w:color w:val="auto"/>
              </w:rPr>
            </w:pPr>
            <w:r>
              <w:rPr>
                <w:rFonts w:ascii="Arial" w:cs="Arial" w:eastAsia="Arial" w:hAnsi="Arial"/>
                <w:sz w:val="18"/>
                <w:szCs w:val="18"/>
                <w:color w:val="auto"/>
                <w:w w:val="90"/>
              </w:rPr>
              <w:t>46,415</w:t>
            </w:r>
          </w:p>
        </w:tc>
        <w:tc>
          <w:tcPr>
            <w:tcW w:w="760" w:type="dxa"/>
            <w:vAlign w:val="bottom"/>
          </w:tcPr>
          <w:p>
            <w:pPr>
              <w:jc w:val="center"/>
              <w:spacing w:after="0"/>
              <w:rPr>
                <w:sz w:val="20"/>
                <w:szCs w:val="20"/>
                <w:color w:val="auto"/>
              </w:rPr>
            </w:pPr>
            <w:r>
              <w:rPr>
                <w:rFonts w:ascii="Arial" w:cs="Arial" w:eastAsia="Arial" w:hAnsi="Arial"/>
                <w:sz w:val="18"/>
                <w:szCs w:val="18"/>
                <w:color w:val="auto"/>
                <w:w w:val="87"/>
              </w:rPr>
              <w:t>92,830</w:t>
            </w:r>
          </w:p>
        </w:tc>
        <w:tc>
          <w:tcPr>
            <w:tcW w:w="1080" w:type="dxa"/>
            <w:vAlign w:val="bottom"/>
          </w:tcPr>
          <w:p>
            <w:pPr>
              <w:jc w:val="center"/>
              <w:spacing w:after="0"/>
              <w:rPr>
                <w:sz w:val="20"/>
                <w:szCs w:val="20"/>
                <w:color w:val="auto"/>
              </w:rPr>
            </w:pPr>
            <w:r>
              <w:rPr>
                <w:rFonts w:ascii="Arial" w:cs="Arial" w:eastAsia="Arial" w:hAnsi="Arial"/>
                <w:sz w:val="18"/>
                <w:szCs w:val="18"/>
                <w:color w:val="auto"/>
                <w:w w:val="87"/>
              </w:rPr>
              <w:t>$900,006</w:t>
            </w:r>
          </w:p>
        </w:tc>
        <w:tc>
          <w:tcPr>
            <w:tcW w:w="0" w:type="dxa"/>
            <w:vAlign w:val="bottom"/>
          </w:tcPr>
          <w:p>
            <w:pPr>
              <w:spacing w:after="0"/>
              <w:rPr>
                <w:sz w:val="1"/>
                <w:szCs w:val="1"/>
                <w:color w:val="auto"/>
              </w:rPr>
            </w:pPr>
          </w:p>
        </w:tc>
      </w:tr>
      <w:tr>
        <w:trPr>
          <w:trHeight w:val="68"/>
        </w:trPr>
        <w:tc>
          <w:tcPr>
            <w:tcW w:w="2820" w:type="dxa"/>
            <w:vAlign w:val="bottom"/>
          </w:tcPr>
          <w:p>
            <w:pPr>
              <w:spacing w:after="0"/>
              <w:rPr>
                <w:sz w:val="5"/>
                <w:szCs w:val="5"/>
                <w:color w:val="auto"/>
              </w:rPr>
            </w:pPr>
          </w:p>
        </w:tc>
        <w:tc>
          <w:tcPr>
            <w:tcW w:w="100" w:type="dxa"/>
            <w:vAlign w:val="bottom"/>
          </w:tcPr>
          <w:p>
            <w:pPr>
              <w:spacing w:after="0"/>
              <w:rPr>
                <w:sz w:val="5"/>
                <w:szCs w:val="5"/>
                <w:color w:val="auto"/>
              </w:rPr>
            </w:pPr>
          </w:p>
        </w:tc>
        <w:tc>
          <w:tcPr>
            <w:tcW w:w="2620" w:type="dxa"/>
            <w:vAlign w:val="bottom"/>
          </w:tcPr>
          <w:p>
            <w:pPr>
              <w:spacing w:after="0"/>
              <w:rPr>
                <w:sz w:val="5"/>
                <w:szCs w:val="5"/>
                <w:color w:val="auto"/>
              </w:rPr>
            </w:pPr>
          </w:p>
        </w:tc>
        <w:tc>
          <w:tcPr>
            <w:tcW w:w="960" w:type="dxa"/>
            <w:vAlign w:val="bottom"/>
          </w:tcPr>
          <w:p>
            <w:pPr>
              <w:spacing w:after="0"/>
              <w:rPr>
                <w:sz w:val="5"/>
                <w:szCs w:val="5"/>
                <w:color w:val="auto"/>
              </w:rPr>
            </w:pPr>
          </w:p>
        </w:tc>
        <w:tc>
          <w:tcPr>
            <w:tcW w:w="940" w:type="dxa"/>
            <w:vAlign w:val="bottom"/>
          </w:tcPr>
          <w:p>
            <w:pPr>
              <w:spacing w:after="0"/>
              <w:rPr>
                <w:sz w:val="5"/>
                <w:szCs w:val="5"/>
                <w:color w:val="auto"/>
              </w:rPr>
            </w:pPr>
          </w:p>
        </w:tc>
        <w:tc>
          <w:tcPr>
            <w:tcW w:w="700" w:type="dxa"/>
            <w:vAlign w:val="bottom"/>
          </w:tcPr>
          <w:p>
            <w:pPr>
              <w:spacing w:after="0"/>
              <w:rPr>
                <w:sz w:val="5"/>
                <w:szCs w:val="5"/>
                <w:color w:val="auto"/>
              </w:rPr>
            </w:pPr>
          </w:p>
        </w:tc>
        <w:tc>
          <w:tcPr>
            <w:tcW w:w="1040" w:type="dxa"/>
            <w:vAlign w:val="bottom"/>
          </w:tcPr>
          <w:p>
            <w:pPr>
              <w:spacing w:after="0"/>
              <w:rPr>
                <w:sz w:val="5"/>
                <w:szCs w:val="5"/>
                <w:color w:val="auto"/>
              </w:rPr>
            </w:pPr>
          </w:p>
        </w:tc>
        <w:tc>
          <w:tcPr>
            <w:tcW w:w="760" w:type="dxa"/>
            <w:vAlign w:val="bottom"/>
          </w:tcPr>
          <w:p>
            <w:pPr>
              <w:spacing w:after="0"/>
              <w:rPr>
                <w:sz w:val="5"/>
                <w:szCs w:val="5"/>
                <w:color w:val="auto"/>
              </w:rPr>
            </w:pPr>
          </w:p>
        </w:tc>
        <w:tc>
          <w:tcPr>
            <w:tcW w:w="10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16"/>
        </w:trPr>
        <w:tc>
          <w:tcPr>
            <w:tcW w:w="282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Christopher J. Kuehl</w:t>
            </w:r>
          </w:p>
        </w:tc>
        <w:tc>
          <w:tcPr>
            <w:tcW w:w="100" w:type="dxa"/>
            <w:vAlign w:val="bottom"/>
            <w:shd w:val="clear" w:color="auto" w:fill="CCEEFF"/>
          </w:tcPr>
          <w:p>
            <w:pPr>
              <w:spacing w:after="0"/>
              <w:rPr>
                <w:sz w:val="18"/>
                <w:szCs w:val="18"/>
                <w:color w:val="auto"/>
              </w:rPr>
            </w:pPr>
          </w:p>
        </w:tc>
        <w:tc>
          <w:tcPr>
            <w:tcW w:w="2620" w:type="dxa"/>
            <w:vAlign w:val="bottom"/>
            <w:vMerge w:val="restart"/>
            <w:shd w:val="clear" w:color="auto" w:fill="CCEEFF"/>
          </w:tcPr>
          <w:p>
            <w:pPr>
              <w:jc w:val="center"/>
              <w:spacing w:after="0"/>
              <w:rPr>
                <w:sz w:val="20"/>
                <w:szCs w:val="20"/>
                <w:color w:val="auto"/>
              </w:rPr>
            </w:pPr>
            <w:r>
              <w:rPr>
                <w:rFonts w:ascii="Arial" w:cs="Arial" w:eastAsia="Arial" w:hAnsi="Arial"/>
                <w:sz w:val="18"/>
                <w:szCs w:val="18"/>
                <w:color w:val="auto"/>
                <w:w w:val="91"/>
              </w:rPr>
              <w:t>MTGE PIP Time-Based Vesting</w:t>
            </w:r>
          </w:p>
        </w:tc>
        <w:tc>
          <w:tcPr>
            <w:tcW w:w="960" w:type="dxa"/>
            <w:vAlign w:val="bottom"/>
            <w:vMerge w:val="restart"/>
            <w:shd w:val="clear" w:color="auto" w:fill="CCEEFF"/>
          </w:tcPr>
          <w:p>
            <w:pPr>
              <w:jc w:val="center"/>
              <w:spacing w:after="0"/>
              <w:rPr>
                <w:sz w:val="20"/>
                <w:szCs w:val="20"/>
                <w:color w:val="auto"/>
              </w:rPr>
            </w:pPr>
            <w:r>
              <w:rPr>
                <w:rFonts w:ascii="Arial" w:cs="Arial" w:eastAsia="Arial" w:hAnsi="Arial"/>
                <w:sz w:val="18"/>
                <w:szCs w:val="18"/>
                <w:color w:val="auto"/>
                <w:w w:val="89"/>
              </w:rPr>
              <w:t>2/22/17</w:t>
            </w:r>
          </w:p>
        </w:tc>
        <w:tc>
          <w:tcPr>
            <w:tcW w:w="940" w:type="dxa"/>
            <w:vAlign w:val="bottom"/>
            <w:vMerge w:val="restart"/>
            <w:shd w:val="clear" w:color="auto" w:fill="CCEEFF"/>
          </w:tcPr>
          <w:p>
            <w:pPr>
              <w:jc w:val="center"/>
              <w:spacing w:after="0"/>
              <w:rPr>
                <w:sz w:val="20"/>
                <w:szCs w:val="20"/>
                <w:color w:val="auto"/>
              </w:rPr>
            </w:pPr>
            <w:r>
              <w:rPr>
                <w:rFonts w:ascii="Arial" w:cs="Arial" w:eastAsia="Arial" w:hAnsi="Arial"/>
                <w:sz w:val="18"/>
                <w:szCs w:val="18"/>
                <w:color w:val="auto"/>
                <w:w w:val="90"/>
              </w:rPr>
              <w:t>$350,000</w:t>
            </w:r>
          </w:p>
        </w:tc>
        <w:tc>
          <w:tcPr>
            <w:tcW w:w="700" w:type="dxa"/>
            <w:vAlign w:val="bottom"/>
            <w:shd w:val="clear" w:color="auto" w:fill="CCEEFF"/>
          </w:tcPr>
          <w:p>
            <w:pPr>
              <w:spacing w:after="0"/>
              <w:rPr>
                <w:sz w:val="18"/>
                <w:szCs w:val="18"/>
                <w:color w:val="auto"/>
              </w:rPr>
            </w:pPr>
          </w:p>
        </w:tc>
        <w:tc>
          <w:tcPr>
            <w:tcW w:w="104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0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8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2620" w:type="dxa"/>
            <w:vAlign w:val="bottom"/>
            <w:vMerge w:val="continue"/>
            <w:shd w:val="clear" w:color="auto" w:fill="CCEEFF"/>
          </w:tcPr>
          <w:p>
            <w:pPr>
              <w:spacing w:after="0"/>
              <w:rPr>
                <w:sz w:val="18"/>
                <w:szCs w:val="18"/>
                <w:color w:val="auto"/>
              </w:rPr>
            </w:pPr>
          </w:p>
        </w:tc>
        <w:tc>
          <w:tcPr>
            <w:tcW w:w="960" w:type="dxa"/>
            <w:vAlign w:val="bottom"/>
            <w:vMerge w:val="continue"/>
            <w:shd w:val="clear" w:color="auto" w:fill="CCEEFF"/>
          </w:tcPr>
          <w:p>
            <w:pPr>
              <w:spacing w:after="0"/>
              <w:rPr>
                <w:sz w:val="18"/>
                <w:szCs w:val="18"/>
                <w:color w:val="auto"/>
              </w:rPr>
            </w:pPr>
          </w:p>
        </w:tc>
        <w:tc>
          <w:tcPr>
            <w:tcW w:w="940" w:type="dxa"/>
            <w:vAlign w:val="bottom"/>
            <w:vMerge w:val="continue"/>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04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0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8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262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1"/>
              </w:rPr>
              <w:t>AGNC Time-Based Vesting RSUs</w:t>
            </w:r>
          </w:p>
        </w:tc>
        <w:tc>
          <w:tcPr>
            <w:tcW w:w="96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1"/>
              </w:rPr>
              <w:t>3/1/17</w:t>
            </w:r>
          </w:p>
        </w:tc>
        <w:tc>
          <w:tcPr>
            <w:tcW w:w="940" w:type="dxa"/>
            <w:vAlign w:val="bottom"/>
            <w:shd w:val="clear" w:color="auto" w:fill="CCEEFF"/>
          </w:tcPr>
          <w:p>
            <w:pPr>
              <w:spacing w:after="0"/>
              <w:rPr>
                <w:sz w:val="18"/>
                <w:szCs w:val="18"/>
                <w:color w:val="auto"/>
              </w:rPr>
            </w:pPr>
          </w:p>
        </w:tc>
        <w:tc>
          <w:tcPr>
            <w:tcW w:w="700" w:type="dxa"/>
            <w:vAlign w:val="bottom"/>
            <w:shd w:val="clear" w:color="auto" w:fill="CCEEFF"/>
          </w:tcPr>
          <w:p>
            <w:pPr>
              <w:jc w:val="center"/>
              <w:ind w:left="34"/>
              <w:spacing w:after="0"/>
              <w:rPr>
                <w:sz w:val="20"/>
                <w:szCs w:val="20"/>
                <w:color w:val="auto"/>
              </w:rPr>
            </w:pPr>
            <w:r>
              <w:rPr>
                <w:rFonts w:ascii="Arial" w:cs="Arial" w:eastAsia="Arial" w:hAnsi="Arial"/>
                <w:sz w:val="18"/>
                <w:szCs w:val="18"/>
                <w:color w:val="auto"/>
                <w:w w:val="99"/>
              </w:rPr>
              <w:t>N/A</w:t>
            </w:r>
          </w:p>
        </w:tc>
        <w:tc>
          <w:tcPr>
            <w:tcW w:w="104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0"/>
              </w:rPr>
              <w:t>18,050</w:t>
            </w:r>
          </w:p>
        </w:tc>
        <w:tc>
          <w:tcPr>
            <w:tcW w:w="760" w:type="dxa"/>
            <w:vAlign w:val="bottom"/>
            <w:shd w:val="clear" w:color="auto" w:fill="CCEEFF"/>
          </w:tcPr>
          <w:p>
            <w:pPr>
              <w:ind w:left="180"/>
              <w:spacing w:after="0"/>
              <w:rPr>
                <w:sz w:val="20"/>
                <w:szCs w:val="20"/>
                <w:color w:val="auto"/>
              </w:rPr>
            </w:pPr>
            <w:r>
              <w:rPr>
                <w:rFonts w:ascii="Arial" w:cs="Arial" w:eastAsia="Arial" w:hAnsi="Arial"/>
                <w:sz w:val="18"/>
                <w:szCs w:val="18"/>
                <w:color w:val="auto"/>
              </w:rPr>
              <w:t>N/A</w:t>
            </w:r>
          </w:p>
        </w:tc>
        <w:tc>
          <w:tcPr>
            <w:tcW w:w="108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$349,994</w:t>
            </w:r>
          </w:p>
        </w:tc>
        <w:tc>
          <w:tcPr>
            <w:tcW w:w="0" w:type="dxa"/>
            <w:vAlign w:val="bottom"/>
          </w:tcPr>
          <w:p>
            <w:pPr>
              <w:spacing w:after="0"/>
              <w:rPr>
                <w:sz w:val="1"/>
                <w:szCs w:val="1"/>
                <w:color w:val="auto"/>
              </w:rPr>
            </w:pPr>
          </w:p>
        </w:tc>
      </w:tr>
      <w:tr>
        <w:trPr>
          <w:trHeight w:val="202"/>
        </w:trPr>
        <w:tc>
          <w:tcPr>
            <w:tcW w:w="28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2620" w:type="dxa"/>
            <w:vAlign w:val="bottom"/>
            <w:shd w:val="clear" w:color="auto" w:fill="CCEEFF"/>
          </w:tcPr>
          <w:p>
            <w:pPr>
              <w:jc w:val="center"/>
              <w:spacing w:after="0" w:line="201" w:lineRule="exact"/>
              <w:rPr>
                <w:sz w:val="20"/>
                <w:szCs w:val="20"/>
                <w:color w:val="auto"/>
              </w:rPr>
            </w:pPr>
            <w:r>
              <w:rPr>
                <w:rFonts w:ascii="Arial" w:cs="Arial" w:eastAsia="Arial" w:hAnsi="Arial"/>
                <w:sz w:val="18"/>
                <w:szCs w:val="18"/>
                <w:color w:val="auto"/>
                <w:w w:val="90"/>
              </w:rPr>
              <w:t>AGNC Performance-Based Vesting</w:t>
            </w:r>
          </w:p>
        </w:tc>
        <w:tc>
          <w:tcPr>
            <w:tcW w:w="960" w:type="dxa"/>
            <w:vAlign w:val="bottom"/>
            <w:shd w:val="clear" w:color="auto" w:fill="CCEEFF"/>
          </w:tcPr>
          <w:p>
            <w:pPr>
              <w:spacing w:after="0"/>
              <w:rPr>
                <w:sz w:val="17"/>
                <w:szCs w:val="17"/>
                <w:color w:val="auto"/>
              </w:rPr>
            </w:pPr>
          </w:p>
        </w:tc>
        <w:tc>
          <w:tcPr>
            <w:tcW w:w="94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08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82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262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9"/>
              </w:rPr>
              <w:t>RSUs</w:t>
            </w:r>
          </w:p>
        </w:tc>
        <w:tc>
          <w:tcPr>
            <w:tcW w:w="96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1"/>
              </w:rPr>
              <w:t>3/1/17</w:t>
            </w:r>
          </w:p>
        </w:tc>
        <w:tc>
          <w:tcPr>
            <w:tcW w:w="940" w:type="dxa"/>
            <w:vAlign w:val="bottom"/>
            <w:shd w:val="clear" w:color="auto" w:fill="CCEEFF"/>
          </w:tcPr>
          <w:p>
            <w:pPr>
              <w:spacing w:after="0"/>
              <w:rPr>
                <w:sz w:val="20"/>
                <w:szCs w:val="20"/>
                <w:color w:val="auto"/>
              </w:rPr>
            </w:pPr>
          </w:p>
        </w:tc>
        <w:tc>
          <w:tcPr>
            <w:tcW w:w="700" w:type="dxa"/>
            <w:vAlign w:val="bottom"/>
            <w:shd w:val="clear" w:color="auto" w:fill="CCEEFF"/>
          </w:tcPr>
          <w:p>
            <w:pPr>
              <w:jc w:val="center"/>
              <w:ind w:left="34"/>
              <w:spacing w:after="0"/>
              <w:rPr>
                <w:sz w:val="20"/>
                <w:szCs w:val="20"/>
                <w:color w:val="auto"/>
              </w:rPr>
            </w:pPr>
            <w:r>
              <w:rPr>
                <w:rFonts w:ascii="Arial" w:cs="Arial" w:eastAsia="Arial" w:hAnsi="Arial"/>
                <w:sz w:val="18"/>
                <w:szCs w:val="18"/>
                <w:color w:val="auto"/>
                <w:w w:val="99"/>
              </w:rPr>
              <w:t>0</w:t>
            </w:r>
          </w:p>
        </w:tc>
        <w:tc>
          <w:tcPr>
            <w:tcW w:w="104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0"/>
              </w:rPr>
              <w:t>36,101</w:t>
            </w:r>
          </w:p>
        </w:tc>
        <w:tc>
          <w:tcPr>
            <w:tcW w:w="76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72,202</w:t>
            </w:r>
          </w:p>
        </w:tc>
        <w:tc>
          <w:tcPr>
            <w:tcW w:w="108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$700,006</w:t>
            </w:r>
          </w:p>
        </w:tc>
        <w:tc>
          <w:tcPr>
            <w:tcW w:w="0" w:type="dxa"/>
            <w:vAlign w:val="bottom"/>
          </w:tcPr>
          <w:p>
            <w:pPr>
              <w:spacing w:after="0"/>
              <w:rPr>
                <w:sz w:val="1"/>
                <w:szCs w:val="1"/>
                <w:color w:val="auto"/>
              </w:rPr>
            </w:pPr>
          </w:p>
        </w:tc>
      </w:tr>
      <w:tr>
        <w:trPr>
          <w:trHeight w:val="284"/>
        </w:trPr>
        <w:tc>
          <w:tcPr>
            <w:tcW w:w="2820" w:type="dxa"/>
            <w:vAlign w:val="bottom"/>
          </w:tcPr>
          <w:p>
            <w:pPr>
              <w:ind w:left="60"/>
              <w:spacing w:after="0"/>
              <w:rPr>
                <w:sz w:val="20"/>
                <w:szCs w:val="20"/>
                <w:color w:val="auto"/>
              </w:rPr>
            </w:pPr>
            <w:r>
              <w:rPr>
                <w:rFonts w:ascii="Arial" w:cs="Arial" w:eastAsia="Arial" w:hAnsi="Arial"/>
                <w:sz w:val="18"/>
                <w:szCs w:val="18"/>
                <w:b w:val="1"/>
                <w:bCs w:val="1"/>
                <w:color w:val="auto"/>
              </w:rPr>
              <w:t>Aaron J. Pas</w:t>
            </w:r>
          </w:p>
        </w:tc>
        <w:tc>
          <w:tcPr>
            <w:tcW w:w="100" w:type="dxa"/>
            <w:vAlign w:val="bottom"/>
          </w:tcPr>
          <w:p>
            <w:pPr>
              <w:spacing w:after="0"/>
              <w:rPr>
                <w:sz w:val="24"/>
                <w:szCs w:val="24"/>
                <w:color w:val="auto"/>
              </w:rPr>
            </w:pPr>
          </w:p>
        </w:tc>
        <w:tc>
          <w:tcPr>
            <w:tcW w:w="2620" w:type="dxa"/>
            <w:vAlign w:val="bottom"/>
            <w:vMerge w:val="restart"/>
          </w:tcPr>
          <w:p>
            <w:pPr>
              <w:jc w:val="center"/>
              <w:spacing w:after="0"/>
              <w:rPr>
                <w:sz w:val="20"/>
                <w:szCs w:val="20"/>
                <w:color w:val="auto"/>
              </w:rPr>
            </w:pPr>
            <w:r>
              <w:rPr>
                <w:rFonts w:ascii="Arial" w:cs="Arial" w:eastAsia="Arial" w:hAnsi="Arial"/>
                <w:sz w:val="18"/>
                <w:szCs w:val="18"/>
                <w:color w:val="auto"/>
                <w:w w:val="91"/>
              </w:rPr>
              <w:t>MTGE PIP Time-Based Vesting</w:t>
            </w:r>
          </w:p>
        </w:tc>
        <w:tc>
          <w:tcPr>
            <w:tcW w:w="960" w:type="dxa"/>
            <w:vAlign w:val="bottom"/>
            <w:vMerge w:val="restart"/>
          </w:tcPr>
          <w:p>
            <w:pPr>
              <w:jc w:val="center"/>
              <w:spacing w:after="0"/>
              <w:rPr>
                <w:sz w:val="20"/>
                <w:szCs w:val="20"/>
                <w:color w:val="auto"/>
              </w:rPr>
            </w:pPr>
            <w:r>
              <w:rPr>
                <w:rFonts w:ascii="Arial" w:cs="Arial" w:eastAsia="Arial" w:hAnsi="Arial"/>
                <w:sz w:val="18"/>
                <w:szCs w:val="18"/>
                <w:color w:val="auto"/>
                <w:w w:val="89"/>
              </w:rPr>
              <w:t>2/22/17</w:t>
            </w:r>
          </w:p>
        </w:tc>
        <w:tc>
          <w:tcPr>
            <w:tcW w:w="940" w:type="dxa"/>
            <w:vAlign w:val="bottom"/>
            <w:vMerge w:val="restart"/>
          </w:tcPr>
          <w:p>
            <w:pPr>
              <w:jc w:val="center"/>
              <w:spacing w:after="0"/>
              <w:rPr>
                <w:sz w:val="20"/>
                <w:szCs w:val="20"/>
                <w:color w:val="auto"/>
              </w:rPr>
            </w:pPr>
            <w:r>
              <w:rPr>
                <w:rFonts w:ascii="Arial" w:cs="Arial" w:eastAsia="Arial" w:hAnsi="Arial"/>
                <w:sz w:val="18"/>
                <w:szCs w:val="18"/>
                <w:color w:val="auto"/>
                <w:w w:val="90"/>
              </w:rPr>
              <w:t>$106,250</w:t>
            </w:r>
          </w:p>
        </w:tc>
        <w:tc>
          <w:tcPr>
            <w:tcW w:w="70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2"/>
        </w:trPr>
        <w:tc>
          <w:tcPr>
            <w:tcW w:w="28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620" w:type="dxa"/>
            <w:vAlign w:val="bottom"/>
            <w:vMerge w:val="continue"/>
          </w:tcPr>
          <w:p>
            <w:pPr>
              <w:spacing w:after="0"/>
              <w:rPr>
                <w:sz w:val="17"/>
                <w:szCs w:val="17"/>
                <w:color w:val="auto"/>
              </w:rPr>
            </w:pPr>
          </w:p>
        </w:tc>
        <w:tc>
          <w:tcPr>
            <w:tcW w:w="960" w:type="dxa"/>
            <w:vAlign w:val="bottom"/>
            <w:vMerge w:val="continue"/>
          </w:tcPr>
          <w:p>
            <w:pPr>
              <w:spacing w:after="0"/>
              <w:rPr>
                <w:sz w:val="17"/>
                <w:szCs w:val="17"/>
                <w:color w:val="auto"/>
              </w:rPr>
            </w:pPr>
          </w:p>
        </w:tc>
        <w:tc>
          <w:tcPr>
            <w:tcW w:w="940" w:type="dxa"/>
            <w:vAlign w:val="bottom"/>
            <w:vMerge w:val="continue"/>
          </w:tcPr>
          <w:p>
            <w:pPr>
              <w:spacing w:after="0"/>
              <w:rPr>
                <w:sz w:val="17"/>
                <w:szCs w:val="17"/>
                <w:color w:val="auto"/>
              </w:rPr>
            </w:pPr>
          </w:p>
        </w:tc>
        <w:tc>
          <w:tcPr>
            <w:tcW w:w="70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0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28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620" w:type="dxa"/>
            <w:vAlign w:val="bottom"/>
          </w:tcPr>
          <w:p>
            <w:pPr>
              <w:jc w:val="center"/>
              <w:spacing w:after="0"/>
              <w:rPr>
                <w:sz w:val="20"/>
                <w:szCs w:val="20"/>
                <w:color w:val="auto"/>
              </w:rPr>
            </w:pPr>
            <w:r>
              <w:rPr>
                <w:rFonts w:ascii="Arial" w:cs="Arial" w:eastAsia="Arial" w:hAnsi="Arial"/>
                <w:sz w:val="18"/>
                <w:szCs w:val="18"/>
                <w:color w:val="auto"/>
                <w:w w:val="91"/>
              </w:rPr>
              <w:t>AGNC Time-Based Vesting RSUs</w:t>
            </w:r>
          </w:p>
        </w:tc>
        <w:tc>
          <w:tcPr>
            <w:tcW w:w="960" w:type="dxa"/>
            <w:vAlign w:val="bottom"/>
          </w:tcPr>
          <w:p>
            <w:pPr>
              <w:jc w:val="center"/>
              <w:spacing w:after="0"/>
              <w:rPr>
                <w:sz w:val="20"/>
                <w:szCs w:val="20"/>
                <w:color w:val="auto"/>
              </w:rPr>
            </w:pPr>
            <w:r>
              <w:rPr>
                <w:rFonts w:ascii="Arial" w:cs="Arial" w:eastAsia="Arial" w:hAnsi="Arial"/>
                <w:sz w:val="18"/>
                <w:szCs w:val="18"/>
                <w:color w:val="auto"/>
                <w:w w:val="91"/>
              </w:rPr>
              <w:t>3/1/17</w:t>
            </w:r>
          </w:p>
        </w:tc>
        <w:tc>
          <w:tcPr>
            <w:tcW w:w="940" w:type="dxa"/>
            <w:vAlign w:val="bottom"/>
          </w:tcPr>
          <w:p>
            <w:pPr>
              <w:spacing w:after="0"/>
              <w:rPr>
                <w:sz w:val="18"/>
                <w:szCs w:val="18"/>
                <w:color w:val="auto"/>
              </w:rPr>
            </w:pPr>
          </w:p>
        </w:tc>
        <w:tc>
          <w:tcPr>
            <w:tcW w:w="700" w:type="dxa"/>
            <w:vAlign w:val="bottom"/>
          </w:tcPr>
          <w:p>
            <w:pPr>
              <w:jc w:val="center"/>
              <w:ind w:left="34"/>
              <w:spacing w:after="0"/>
              <w:rPr>
                <w:sz w:val="20"/>
                <w:szCs w:val="20"/>
                <w:color w:val="auto"/>
              </w:rPr>
            </w:pPr>
            <w:r>
              <w:rPr>
                <w:rFonts w:ascii="Arial" w:cs="Arial" w:eastAsia="Arial" w:hAnsi="Arial"/>
                <w:sz w:val="18"/>
                <w:szCs w:val="18"/>
                <w:color w:val="auto"/>
                <w:w w:val="99"/>
              </w:rPr>
              <w:t>N/A</w:t>
            </w:r>
          </w:p>
        </w:tc>
        <w:tc>
          <w:tcPr>
            <w:tcW w:w="1040" w:type="dxa"/>
            <w:vAlign w:val="bottom"/>
          </w:tcPr>
          <w:p>
            <w:pPr>
              <w:jc w:val="center"/>
              <w:spacing w:after="0"/>
              <w:rPr>
                <w:sz w:val="20"/>
                <w:szCs w:val="20"/>
                <w:color w:val="auto"/>
              </w:rPr>
            </w:pPr>
            <w:r>
              <w:rPr>
                <w:rFonts w:ascii="Arial" w:cs="Arial" w:eastAsia="Arial" w:hAnsi="Arial"/>
                <w:sz w:val="18"/>
                <w:szCs w:val="18"/>
                <w:color w:val="auto"/>
                <w:w w:val="90"/>
              </w:rPr>
              <w:t>10,959</w:t>
            </w:r>
          </w:p>
        </w:tc>
        <w:tc>
          <w:tcPr>
            <w:tcW w:w="760" w:type="dxa"/>
            <w:vAlign w:val="bottom"/>
          </w:tcPr>
          <w:p>
            <w:pPr>
              <w:ind w:left="180"/>
              <w:spacing w:after="0"/>
              <w:rPr>
                <w:sz w:val="20"/>
                <w:szCs w:val="20"/>
                <w:color w:val="auto"/>
              </w:rPr>
            </w:pPr>
            <w:r>
              <w:rPr>
                <w:rFonts w:ascii="Arial" w:cs="Arial" w:eastAsia="Arial" w:hAnsi="Arial"/>
                <w:sz w:val="18"/>
                <w:szCs w:val="18"/>
                <w:color w:val="auto"/>
              </w:rPr>
              <w:t>N/A</w:t>
            </w:r>
          </w:p>
        </w:tc>
        <w:tc>
          <w:tcPr>
            <w:tcW w:w="1080" w:type="dxa"/>
            <w:vAlign w:val="bottom"/>
          </w:tcPr>
          <w:p>
            <w:pPr>
              <w:jc w:val="center"/>
              <w:spacing w:after="0"/>
              <w:rPr>
                <w:sz w:val="20"/>
                <w:szCs w:val="20"/>
                <w:color w:val="auto"/>
              </w:rPr>
            </w:pPr>
            <w:r>
              <w:rPr>
                <w:rFonts w:ascii="Arial" w:cs="Arial" w:eastAsia="Arial" w:hAnsi="Arial"/>
                <w:sz w:val="18"/>
                <w:szCs w:val="18"/>
                <w:color w:val="auto"/>
                <w:w w:val="87"/>
              </w:rPr>
              <w:t>$212,506</w:t>
            </w:r>
          </w:p>
        </w:tc>
        <w:tc>
          <w:tcPr>
            <w:tcW w:w="0" w:type="dxa"/>
            <w:vAlign w:val="bottom"/>
          </w:tcPr>
          <w:p>
            <w:pPr>
              <w:spacing w:after="0"/>
              <w:rPr>
                <w:sz w:val="1"/>
                <w:szCs w:val="1"/>
                <w:color w:val="auto"/>
              </w:rPr>
            </w:pPr>
          </w:p>
        </w:tc>
      </w:tr>
      <w:tr>
        <w:trPr>
          <w:trHeight w:val="216"/>
        </w:trPr>
        <w:tc>
          <w:tcPr>
            <w:tcW w:w="28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620" w:type="dxa"/>
            <w:vAlign w:val="bottom"/>
          </w:tcPr>
          <w:p>
            <w:pPr>
              <w:jc w:val="center"/>
              <w:spacing w:after="0"/>
              <w:rPr>
                <w:sz w:val="20"/>
                <w:szCs w:val="20"/>
                <w:color w:val="auto"/>
              </w:rPr>
            </w:pPr>
            <w:r>
              <w:rPr>
                <w:rFonts w:ascii="Arial" w:cs="Arial" w:eastAsia="Arial" w:hAnsi="Arial"/>
                <w:sz w:val="18"/>
                <w:szCs w:val="18"/>
                <w:color w:val="auto"/>
                <w:w w:val="90"/>
              </w:rPr>
              <w:t>AGNC Performance-Based Vesting</w:t>
            </w:r>
          </w:p>
        </w:tc>
        <w:tc>
          <w:tcPr>
            <w:tcW w:w="96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0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28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620" w:type="dxa"/>
            <w:vAlign w:val="bottom"/>
          </w:tcPr>
          <w:p>
            <w:pPr>
              <w:jc w:val="center"/>
              <w:spacing w:after="0"/>
              <w:rPr>
                <w:sz w:val="20"/>
                <w:szCs w:val="20"/>
                <w:color w:val="auto"/>
              </w:rPr>
            </w:pPr>
            <w:r>
              <w:rPr>
                <w:rFonts w:ascii="Arial" w:cs="Arial" w:eastAsia="Arial" w:hAnsi="Arial"/>
                <w:sz w:val="18"/>
                <w:szCs w:val="18"/>
                <w:color w:val="auto"/>
                <w:w w:val="89"/>
              </w:rPr>
              <w:t>RSUs</w:t>
            </w:r>
          </w:p>
        </w:tc>
        <w:tc>
          <w:tcPr>
            <w:tcW w:w="960" w:type="dxa"/>
            <w:vAlign w:val="bottom"/>
          </w:tcPr>
          <w:p>
            <w:pPr>
              <w:jc w:val="center"/>
              <w:spacing w:after="0"/>
              <w:rPr>
                <w:sz w:val="20"/>
                <w:szCs w:val="20"/>
                <w:color w:val="auto"/>
              </w:rPr>
            </w:pPr>
            <w:r>
              <w:rPr>
                <w:rFonts w:ascii="Arial" w:cs="Arial" w:eastAsia="Arial" w:hAnsi="Arial"/>
                <w:sz w:val="18"/>
                <w:szCs w:val="18"/>
                <w:color w:val="auto"/>
                <w:w w:val="91"/>
              </w:rPr>
              <w:t>3/1/17</w:t>
            </w:r>
          </w:p>
        </w:tc>
        <w:tc>
          <w:tcPr>
            <w:tcW w:w="940" w:type="dxa"/>
            <w:vAlign w:val="bottom"/>
          </w:tcPr>
          <w:p>
            <w:pPr>
              <w:spacing w:after="0"/>
              <w:rPr>
                <w:sz w:val="20"/>
                <w:szCs w:val="20"/>
                <w:color w:val="auto"/>
              </w:rPr>
            </w:pPr>
          </w:p>
        </w:tc>
        <w:tc>
          <w:tcPr>
            <w:tcW w:w="700" w:type="dxa"/>
            <w:vAlign w:val="bottom"/>
          </w:tcPr>
          <w:p>
            <w:pPr>
              <w:jc w:val="center"/>
              <w:ind w:left="34"/>
              <w:spacing w:after="0"/>
              <w:rPr>
                <w:sz w:val="20"/>
                <w:szCs w:val="20"/>
                <w:color w:val="auto"/>
              </w:rPr>
            </w:pPr>
            <w:r>
              <w:rPr>
                <w:rFonts w:ascii="Arial" w:cs="Arial" w:eastAsia="Arial" w:hAnsi="Arial"/>
                <w:sz w:val="18"/>
                <w:szCs w:val="18"/>
                <w:color w:val="auto"/>
                <w:w w:val="99"/>
              </w:rPr>
              <w:t>0</w:t>
            </w:r>
          </w:p>
        </w:tc>
        <w:tc>
          <w:tcPr>
            <w:tcW w:w="1040" w:type="dxa"/>
            <w:vAlign w:val="bottom"/>
          </w:tcPr>
          <w:p>
            <w:pPr>
              <w:jc w:val="center"/>
              <w:spacing w:after="0"/>
              <w:rPr>
                <w:sz w:val="20"/>
                <w:szCs w:val="20"/>
                <w:color w:val="auto"/>
              </w:rPr>
            </w:pPr>
            <w:r>
              <w:rPr>
                <w:rFonts w:ascii="Arial" w:cs="Arial" w:eastAsia="Arial" w:hAnsi="Arial"/>
                <w:sz w:val="18"/>
                <w:szCs w:val="18"/>
                <w:color w:val="auto"/>
                <w:w w:val="88"/>
              </w:rPr>
              <w:t>5,479</w:t>
            </w:r>
          </w:p>
        </w:tc>
        <w:tc>
          <w:tcPr>
            <w:tcW w:w="760" w:type="dxa"/>
            <w:vAlign w:val="bottom"/>
          </w:tcPr>
          <w:p>
            <w:pPr>
              <w:jc w:val="center"/>
              <w:spacing w:after="0"/>
              <w:rPr>
                <w:sz w:val="20"/>
                <w:szCs w:val="20"/>
                <w:color w:val="auto"/>
              </w:rPr>
            </w:pPr>
            <w:r>
              <w:rPr>
                <w:rFonts w:ascii="Arial" w:cs="Arial" w:eastAsia="Arial" w:hAnsi="Arial"/>
                <w:sz w:val="18"/>
                <w:szCs w:val="18"/>
                <w:color w:val="auto"/>
                <w:w w:val="87"/>
              </w:rPr>
              <w:t>10,958</w:t>
            </w:r>
          </w:p>
        </w:tc>
        <w:tc>
          <w:tcPr>
            <w:tcW w:w="1080" w:type="dxa"/>
            <w:vAlign w:val="bottom"/>
          </w:tcPr>
          <w:p>
            <w:pPr>
              <w:jc w:val="center"/>
              <w:spacing w:after="0"/>
              <w:rPr>
                <w:sz w:val="20"/>
                <w:szCs w:val="20"/>
                <w:color w:val="auto"/>
              </w:rPr>
            </w:pPr>
            <w:r>
              <w:rPr>
                <w:rFonts w:ascii="Arial" w:cs="Arial" w:eastAsia="Arial" w:hAnsi="Arial"/>
                <w:sz w:val="18"/>
                <w:szCs w:val="18"/>
                <w:color w:val="auto"/>
                <w:w w:val="87"/>
              </w:rPr>
              <w:t>$106,244</w:t>
            </w:r>
          </w:p>
        </w:tc>
        <w:tc>
          <w:tcPr>
            <w:tcW w:w="0" w:type="dxa"/>
            <w:vAlign w:val="bottom"/>
          </w:tcPr>
          <w:p>
            <w:pPr>
              <w:spacing w:after="0"/>
              <w:rPr>
                <w:sz w:val="1"/>
                <w:szCs w:val="1"/>
                <w:color w:val="auto"/>
              </w:rPr>
            </w:pPr>
          </w:p>
        </w:tc>
      </w:tr>
      <w:tr>
        <w:trPr>
          <w:trHeight w:val="68"/>
        </w:trPr>
        <w:tc>
          <w:tcPr>
            <w:tcW w:w="2820" w:type="dxa"/>
            <w:vAlign w:val="bottom"/>
          </w:tcPr>
          <w:p>
            <w:pPr>
              <w:spacing w:after="0"/>
              <w:rPr>
                <w:sz w:val="5"/>
                <w:szCs w:val="5"/>
                <w:color w:val="auto"/>
              </w:rPr>
            </w:pPr>
          </w:p>
        </w:tc>
        <w:tc>
          <w:tcPr>
            <w:tcW w:w="100" w:type="dxa"/>
            <w:vAlign w:val="bottom"/>
          </w:tcPr>
          <w:p>
            <w:pPr>
              <w:spacing w:after="0"/>
              <w:rPr>
                <w:sz w:val="5"/>
                <w:szCs w:val="5"/>
                <w:color w:val="auto"/>
              </w:rPr>
            </w:pPr>
          </w:p>
        </w:tc>
        <w:tc>
          <w:tcPr>
            <w:tcW w:w="2620" w:type="dxa"/>
            <w:vAlign w:val="bottom"/>
          </w:tcPr>
          <w:p>
            <w:pPr>
              <w:spacing w:after="0"/>
              <w:rPr>
                <w:sz w:val="5"/>
                <w:szCs w:val="5"/>
                <w:color w:val="auto"/>
              </w:rPr>
            </w:pPr>
          </w:p>
        </w:tc>
        <w:tc>
          <w:tcPr>
            <w:tcW w:w="960" w:type="dxa"/>
            <w:vAlign w:val="bottom"/>
          </w:tcPr>
          <w:p>
            <w:pPr>
              <w:spacing w:after="0"/>
              <w:rPr>
                <w:sz w:val="5"/>
                <w:szCs w:val="5"/>
                <w:color w:val="auto"/>
              </w:rPr>
            </w:pPr>
          </w:p>
        </w:tc>
        <w:tc>
          <w:tcPr>
            <w:tcW w:w="940" w:type="dxa"/>
            <w:vAlign w:val="bottom"/>
          </w:tcPr>
          <w:p>
            <w:pPr>
              <w:spacing w:after="0"/>
              <w:rPr>
                <w:sz w:val="5"/>
                <w:szCs w:val="5"/>
                <w:color w:val="auto"/>
              </w:rPr>
            </w:pPr>
          </w:p>
        </w:tc>
        <w:tc>
          <w:tcPr>
            <w:tcW w:w="700" w:type="dxa"/>
            <w:vAlign w:val="bottom"/>
          </w:tcPr>
          <w:p>
            <w:pPr>
              <w:spacing w:after="0"/>
              <w:rPr>
                <w:sz w:val="5"/>
                <w:szCs w:val="5"/>
                <w:color w:val="auto"/>
              </w:rPr>
            </w:pPr>
          </w:p>
        </w:tc>
        <w:tc>
          <w:tcPr>
            <w:tcW w:w="1040" w:type="dxa"/>
            <w:vAlign w:val="bottom"/>
          </w:tcPr>
          <w:p>
            <w:pPr>
              <w:spacing w:after="0"/>
              <w:rPr>
                <w:sz w:val="5"/>
                <w:szCs w:val="5"/>
                <w:color w:val="auto"/>
              </w:rPr>
            </w:pPr>
          </w:p>
        </w:tc>
        <w:tc>
          <w:tcPr>
            <w:tcW w:w="760" w:type="dxa"/>
            <w:vAlign w:val="bottom"/>
          </w:tcPr>
          <w:p>
            <w:pPr>
              <w:spacing w:after="0"/>
              <w:rPr>
                <w:sz w:val="5"/>
                <w:szCs w:val="5"/>
                <w:color w:val="auto"/>
              </w:rPr>
            </w:pPr>
          </w:p>
        </w:tc>
        <w:tc>
          <w:tcPr>
            <w:tcW w:w="10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16"/>
        </w:trPr>
        <w:tc>
          <w:tcPr>
            <w:tcW w:w="282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Kenneth L. Pollack</w:t>
            </w:r>
          </w:p>
        </w:tc>
        <w:tc>
          <w:tcPr>
            <w:tcW w:w="100" w:type="dxa"/>
            <w:vAlign w:val="bottom"/>
            <w:shd w:val="clear" w:color="auto" w:fill="CCEEFF"/>
          </w:tcPr>
          <w:p>
            <w:pPr>
              <w:spacing w:after="0"/>
              <w:rPr>
                <w:sz w:val="18"/>
                <w:szCs w:val="18"/>
                <w:color w:val="auto"/>
              </w:rPr>
            </w:pPr>
          </w:p>
        </w:tc>
        <w:tc>
          <w:tcPr>
            <w:tcW w:w="2620" w:type="dxa"/>
            <w:vAlign w:val="bottom"/>
            <w:vMerge w:val="restart"/>
            <w:shd w:val="clear" w:color="auto" w:fill="CCEEFF"/>
          </w:tcPr>
          <w:p>
            <w:pPr>
              <w:jc w:val="center"/>
              <w:spacing w:after="0"/>
              <w:rPr>
                <w:sz w:val="20"/>
                <w:szCs w:val="20"/>
                <w:color w:val="auto"/>
              </w:rPr>
            </w:pPr>
            <w:r>
              <w:rPr>
                <w:rFonts w:ascii="Arial" w:cs="Arial" w:eastAsia="Arial" w:hAnsi="Arial"/>
                <w:sz w:val="18"/>
                <w:szCs w:val="18"/>
                <w:color w:val="auto"/>
                <w:w w:val="91"/>
              </w:rPr>
              <w:t>MTGE PIP Time-Based Vesting</w:t>
            </w:r>
          </w:p>
        </w:tc>
        <w:tc>
          <w:tcPr>
            <w:tcW w:w="960" w:type="dxa"/>
            <w:vAlign w:val="bottom"/>
            <w:vMerge w:val="restart"/>
            <w:shd w:val="clear" w:color="auto" w:fill="CCEEFF"/>
          </w:tcPr>
          <w:p>
            <w:pPr>
              <w:jc w:val="center"/>
              <w:spacing w:after="0"/>
              <w:rPr>
                <w:sz w:val="20"/>
                <w:szCs w:val="20"/>
                <w:color w:val="auto"/>
              </w:rPr>
            </w:pPr>
            <w:r>
              <w:rPr>
                <w:rFonts w:ascii="Arial" w:cs="Arial" w:eastAsia="Arial" w:hAnsi="Arial"/>
                <w:sz w:val="18"/>
                <w:szCs w:val="18"/>
                <w:color w:val="auto"/>
                <w:w w:val="89"/>
              </w:rPr>
              <w:t>2/22/17</w:t>
            </w:r>
          </w:p>
        </w:tc>
        <w:tc>
          <w:tcPr>
            <w:tcW w:w="940" w:type="dxa"/>
            <w:vAlign w:val="bottom"/>
            <w:vMerge w:val="restart"/>
            <w:shd w:val="clear" w:color="auto" w:fill="CCEEFF"/>
          </w:tcPr>
          <w:p>
            <w:pPr>
              <w:jc w:val="center"/>
              <w:spacing w:after="0"/>
              <w:rPr>
                <w:sz w:val="20"/>
                <w:szCs w:val="20"/>
                <w:color w:val="auto"/>
              </w:rPr>
            </w:pPr>
            <w:r>
              <w:rPr>
                <w:rFonts w:ascii="Arial" w:cs="Arial" w:eastAsia="Arial" w:hAnsi="Arial"/>
                <w:sz w:val="18"/>
                <w:szCs w:val="18"/>
                <w:color w:val="auto"/>
                <w:w w:val="92"/>
              </w:rPr>
              <w:t>$60,000</w:t>
            </w:r>
          </w:p>
        </w:tc>
        <w:tc>
          <w:tcPr>
            <w:tcW w:w="700" w:type="dxa"/>
            <w:vAlign w:val="bottom"/>
            <w:shd w:val="clear" w:color="auto" w:fill="CCEEFF"/>
          </w:tcPr>
          <w:p>
            <w:pPr>
              <w:spacing w:after="0"/>
              <w:rPr>
                <w:sz w:val="18"/>
                <w:szCs w:val="18"/>
                <w:color w:val="auto"/>
              </w:rPr>
            </w:pPr>
          </w:p>
        </w:tc>
        <w:tc>
          <w:tcPr>
            <w:tcW w:w="104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0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8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2620" w:type="dxa"/>
            <w:vAlign w:val="bottom"/>
            <w:vMerge w:val="continue"/>
            <w:shd w:val="clear" w:color="auto" w:fill="CCEEFF"/>
          </w:tcPr>
          <w:p>
            <w:pPr>
              <w:spacing w:after="0"/>
              <w:rPr>
                <w:sz w:val="18"/>
                <w:szCs w:val="18"/>
                <w:color w:val="auto"/>
              </w:rPr>
            </w:pPr>
          </w:p>
        </w:tc>
        <w:tc>
          <w:tcPr>
            <w:tcW w:w="960" w:type="dxa"/>
            <w:vAlign w:val="bottom"/>
            <w:vMerge w:val="continue"/>
            <w:shd w:val="clear" w:color="auto" w:fill="CCEEFF"/>
          </w:tcPr>
          <w:p>
            <w:pPr>
              <w:spacing w:after="0"/>
              <w:rPr>
                <w:sz w:val="18"/>
                <w:szCs w:val="18"/>
                <w:color w:val="auto"/>
              </w:rPr>
            </w:pPr>
          </w:p>
        </w:tc>
        <w:tc>
          <w:tcPr>
            <w:tcW w:w="940" w:type="dxa"/>
            <w:vAlign w:val="bottom"/>
            <w:vMerge w:val="continue"/>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04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0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8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262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1"/>
              </w:rPr>
              <w:t>AGNC Time-Based Vesting RSUs</w:t>
            </w:r>
          </w:p>
        </w:tc>
        <w:tc>
          <w:tcPr>
            <w:tcW w:w="96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1"/>
              </w:rPr>
              <w:t>3/1/17</w:t>
            </w:r>
          </w:p>
        </w:tc>
        <w:tc>
          <w:tcPr>
            <w:tcW w:w="940" w:type="dxa"/>
            <w:vAlign w:val="bottom"/>
            <w:shd w:val="clear" w:color="auto" w:fill="CCEEFF"/>
          </w:tcPr>
          <w:p>
            <w:pPr>
              <w:spacing w:after="0"/>
              <w:rPr>
                <w:sz w:val="18"/>
                <w:szCs w:val="18"/>
                <w:color w:val="auto"/>
              </w:rPr>
            </w:pPr>
          </w:p>
        </w:tc>
        <w:tc>
          <w:tcPr>
            <w:tcW w:w="700" w:type="dxa"/>
            <w:vAlign w:val="bottom"/>
            <w:shd w:val="clear" w:color="auto" w:fill="CCEEFF"/>
          </w:tcPr>
          <w:p>
            <w:pPr>
              <w:jc w:val="center"/>
              <w:ind w:left="34"/>
              <w:spacing w:after="0"/>
              <w:rPr>
                <w:sz w:val="20"/>
                <w:szCs w:val="20"/>
                <w:color w:val="auto"/>
              </w:rPr>
            </w:pPr>
            <w:r>
              <w:rPr>
                <w:rFonts w:ascii="Arial" w:cs="Arial" w:eastAsia="Arial" w:hAnsi="Arial"/>
                <w:sz w:val="18"/>
                <w:szCs w:val="18"/>
                <w:color w:val="auto"/>
                <w:w w:val="99"/>
              </w:rPr>
              <w:t>N/A</w:t>
            </w:r>
          </w:p>
        </w:tc>
        <w:tc>
          <w:tcPr>
            <w:tcW w:w="104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8"/>
              </w:rPr>
              <w:t>6,188</w:t>
            </w:r>
          </w:p>
        </w:tc>
        <w:tc>
          <w:tcPr>
            <w:tcW w:w="760" w:type="dxa"/>
            <w:vAlign w:val="bottom"/>
            <w:shd w:val="clear" w:color="auto" w:fill="CCEEFF"/>
          </w:tcPr>
          <w:p>
            <w:pPr>
              <w:ind w:left="180"/>
              <w:spacing w:after="0"/>
              <w:rPr>
                <w:sz w:val="20"/>
                <w:szCs w:val="20"/>
                <w:color w:val="auto"/>
              </w:rPr>
            </w:pPr>
            <w:r>
              <w:rPr>
                <w:rFonts w:ascii="Arial" w:cs="Arial" w:eastAsia="Arial" w:hAnsi="Arial"/>
                <w:sz w:val="18"/>
                <w:szCs w:val="18"/>
                <w:color w:val="auto"/>
              </w:rPr>
              <w:t>N/A</w:t>
            </w:r>
          </w:p>
        </w:tc>
        <w:tc>
          <w:tcPr>
            <w:tcW w:w="108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$120,000</w:t>
            </w:r>
          </w:p>
        </w:tc>
        <w:tc>
          <w:tcPr>
            <w:tcW w:w="0" w:type="dxa"/>
            <w:vAlign w:val="bottom"/>
          </w:tcPr>
          <w:p>
            <w:pPr>
              <w:spacing w:after="0"/>
              <w:rPr>
                <w:sz w:val="1"/>
                <w:szCs w:val="1"/>
                <w:color w:val="auto"/>
              </w:rPr>
            </w:pPr>
          </w:p>
        </w:tc>
      </w:tr>
      <w:tr>
        <w:trPr>
          <w:trHeight w:val="202"/>
        </w:trPr>
        <w:tc>
          <w:tcPr>
            <w:tcW w:w="28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2620" w:type="dxa"/>
            <w:vAlign w:val="bottom"/>
            <w:shd w:val="clear" w:color="auto" w:fill="CCEEFF"/>
          </w:tcPr>
          <w:p>
            <w:pPr>
              <w:jc w:val="center"/>
              <w:spacing w:after="0" w:line="201" w:lineRule="exact"/>
              <w:rPr>
                <w:sz w:val="20"/>
                <w:szCs w:val="20"/>
                <w:color w:val="auto"/>
              </w:rPr>
            </w:pPr>
            <w:r>
              <w:rPr>
                <w:rFonts w:ascii="Arial" w:cs="Arial" w:eastAsia="Arial" w:hAnsi="Arial"/>
                <w:sz w:val="18"/>
                <w:szCs w:val="18"/>
                <w:color w:val="auto"/>
                <w:w w:val="90"/>
              </w:rPr>
              <w:t>AGNC Performance-Based Vesting</w:t>
            </w:r>
          </w:p>
        </w:tc>
        <w:tc>
          <w:tcPr>
            <w:tcW w:w="960" w:type="dxa"/>
            <w:vAlign w:val="bottom"/>
            <w:shd w:val="clear" w:color="auto" w:fill="CCEEFF"/>
          </w:tcPr>
          <w:p>
            <w:pPr>
              <w:spacing w:after="0"/>
              <w:rPr>
                <w:sz w:val="17"/>
                <w:szCs w:val="17"/>
                <w:color w:val="auto"/>
              </w:rPr>
            </w:pPr>
          </w:p>
        </w:tc>
        <w:tc>
          <w:tcPr>
            <w:tcW w:w="94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08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820" w:type="dxa"/>
            <w:vAlign w:val="bottom"/>
            <w:tcBorders>
              <w:bottom w:val="single" w:sz="8" w:color="407CCA"/>
            </w:tcBorders>
            <w:shd w:val="clear" w:color="auto" w:fill="CCEEFF"/>
          </w:tcPr>
          <w:p>
            <w:pPr>
              <w:spacing w:after="0"/>
              <w:rPr>
                <w:sz w:val="20"/>
                <w:szCs w:val="20"/>
                <w:color w:val="auto"/>
              </w:rPr>
            </w:pPr>
          </w:p>
        </w:tc>
        <w:tc>
          <w:tcPr>
            <w:tcW w:w="100" w:type="dxa"/>
            <w:vAlign w:val="bottom"/>
            <w:tcBorders>
              <w:bottom w:val="single" w:sz="8" w:color="407CCA"/>
            </w:tcBorders>
            <w:shd w:val="clear" w:color="auto" w:fill="CCEEFF"/>
          </w:tcPr>
          <w:p>
            <w:pPr>
              <w:spacing w:after="0"/>
              <w:rPr>
                <w:sz w:val="20"/>
                <w:szCs w:val="20"/>
                <w:color w:val="auto"/>
              </w:rPr>
            </w:pPr>
          </w:p>
        </w:tc>
        <w:tc>
          <w:tcPr>
            <w:tcW w:w="2620" w:type="dxa"/>
            <w:vAlign w:val="bottom"/>
            <w:tcBorders>
              <w:bottom w:val="single" w:sz="8" w:color="407CCA"/>
            </w:tcBorders>
            <w:shd w:val="clear" w:color="auto" w:fill="CCEEFF"/>
          </w:tcPr>
          <w:p>
            <w:pPr>
              <w:jc w:val="center"/>
              <w:spacing w:after="0"/>
              <w:rPr>
                <w:sz w:val="20"/>
                <w:szCs w:val="20"/>
                <w:color w:val="auto"/>
              </w:rPr>
            </w:pPr>
            <w:r>
              <w:rPr>
                <w:rFonts w:ascii="Arial" w:cs="Arial" w:eastAsia="Arial" w:hAnsi="Arial"/>
                <w:sz w:val="18"/>
                <w:szCs w:val="18"/>
                <w:color w:val="auto"/>
                <w:w w:val="89"/>
              </w:rPr>
              <w:t>RSUs</w:t>
            </w:r>
          </w:p>
        </w:tc>
        <w:tc>
          <w:tcPr>
            <w:tcW w:w="960" w:type="dxa"/>
            <w:vAlign w:val="bottom"/>
            <w:tcBorders>
              <w:bottom w:val="single" w:sz="8" w:color="407CCA"/>
            </w:tcBorders>
            <w:shd w:val="clear" w:color="auto" w:fill="CCEEFF"/>
          </w:tcPr>
          <w:p>
            <w:pPr>
              <w:jc w:val="center"/>
              <w:spacing w:after="0"/>
              <w:rPr>
                <w:sz w:val="20"/>
                <w:szCs w:val="20"/>
                <w:color w:val="auto"/>
              </w:rPr>
            </w:pPr>
            <w:r>
              <w:rPr>
                <w:rFonts w:ascii="Arial" w:cs="Arial" w:eastAsia="Arial" w:hAnsi="Arial"/>
                <w:sz w:val="18"/>
                <w:szCs w:val="18"/>
                <w:color w:val="auto"/>
                <w:w w:val="91"/>
              </w:rPr>
              <w:t>3/1/17</w:t>
            </w:r>
          </w:p>
        </w:tc>
        <w:tc>
          <w:tcPr>
            <w:tcW w:w="940" w:type="dxa"/>
            <w:vAlign w:val="bottom"/>
            <w:tcBorders>
              <w:bottom w:val="single" w:sz="8" w:color="407CCA"/>
            </w:tcBorders>
            <w:shd w:val="clear" w:color="auto" w:fill="CCEEFF"/>
          </w:tcPr>
          <w:p>
            <w:pPr>
              <w:spacing w:after="0"/>
              <w:rPr>
                <w:sz w:val="20"/>
                <w:szCs w:val="20"/>
                <w:color w:val="auto"/>
              </w:rPr>
            </w:pPr>
          </w:p>
        </w:tc>
        <w:tc>
          <w:tcPr>
            <w:tcW w:w="700" w:type="dxa"/>
            <w:vAlign w:val="bottom"/>
            <w:tcBorders>
              <w:bottom w:val="single" w:sz="8" w:color="407CCA"/>
            </w:tcBorders>
            <w:shd w:val="clear" w:color="auto" w:fill="CCEEFF"/>
          </w:tcPr>
          <w:p>
            <w:pPr>
              <w:jc w:val="center"/>
              <w:ind w:left="34"/>
              <w:spacing w:after="0"/>
              <w:rPr>
                <w:sz w:val="20"/>
                <w:szCs w:val="20"/>
                <w:color w:val="auto"/>
              </w:rPr>
            </w:pPr>
            <w:r>
              <w:rPr>
                <w:rFonts w:ascii="Arial" w:cs="Arial" w:eastAsia="Arial" w:hAnsi="Arial"/>
                <w:sz w:val="18"/>
                <w:szCs w:val="18"/>
                <w:color w:val="auto"/>
                <w:w w:val="99"/>
              </w:rPr>
              <w:t>0</w:t>
            </w:r>
          </w:p>
        </w:tc>
        <w:tc>
          <w:tcPr>
            <w:tcW w:w="1040" w:type="dxa"/>
            <w:vAlign w:val="bottom"/>
            <w:tcBorders>
              <w:bottom w:val="single" w:sz="8" w:color="407CCA"/>
            </w:tcBorders>
            <w:shd w:val="clear" w:color="auto" w:fill="CCEEFF"/>
          </w:tcPr>
          <w:p>
            <w:pPr>
              <w:jc w:val="center"/>
              <w:spacing w:after="0"/>
              <w:rPr>
                <w:sz w:val="20"/>
                <w:szCs w:val="20"/>
                <w:color w:val="auto"/>
              </w:rPr>
            </w:pPr>
            <w:r>
              <w:rPr>
                <w:rFonts w:ascii="Arial" w:cs="Arial" w:eastAsia="Arial" w:hAnsi="Arial"/>
                <w:sz w:val="18"/>
                <w:szCs w:val="18"/>
                <w:color w:val="auto"/>
                <w:w w:val="88"/>
              </w:rPr>
              <w:t>3,094</w:t>
            </w:r>
          </w:p>
        </w:tc>
        <w:tc>
          <w:tcPr>
            <w:tcW w:w="760" w:type="dxa"/>
            <w:vAlign w:val="bottom"/>
            <w:tcBorders>
              <w:bottom w:val="single" w:sz="8" w:color="407CCA"/>
            </w:tcBorders>
            <w:shd w:val="clear" w:color="auto" w:fill="CCEEFF"/>
          </w:tcPr>
          <w:p>
            <w:pPr>
              <w:jc w:val="center"/>
              <w:spacing w:after="0"/>
              <w:rPr>
                <w:sz w:val="20"/>
                <w:szCs w:val="20"/>
                <w:color w:val="auto"/>
              </w:rPr>
            </w:pPr>
            <w:r>
              <w:rPr>
                <w:rFonts w:ascii="Arial" w:cs="Arial" w:eastAsia="Arial" w:hAnsi="Arial"/>
                <w:sz w:val="18"/>
                <w:szCs w:val="18"/>
                <w:color w:val="auto"/>
                <w:w w:val="88"/>
              </w:rPr>
              <w:t>6,188</w:t>
            </w:r>
          </w:p>
        </w:tc>
        <w:tc>
          <w:tcPr>
            <w:tcW w:w="1080" w:type="dxa"/>
            <w:vAlign w:val="bottom"/>
            <w:tcBorders>
              <w:bottom w:val="single" w:sz="8" w:color="407CCA"/>
            </w:tcBorders>
            <w:shd w:val="clear" w:color="auto" w:fill="CCEEFF"/>
          </w:tcPr>
          <w:p>
            <w:pPr>
              <w:jc w:val="center"/>
              <w:spacing w:after="0"/>
              <w:rPr>
                <w:sz w:val="20"/>
                <w:szCs w:val="20"/>
                <w:color w:val="auto"/>
              </w:rPr>
            </w:pPr>
            <w:r>
              <w:rPr>
                <w:rFonts w:ascii="Arial" w:cs="Arial" w:eastAsia="Arial" w:hAnsi="Arial"/>
                <w:sz w:val="18"/>
                <w:szCs w:val="18"/>
                <w:color w:val="auto"/>
                <w:w w:val="89"/>
              </w:rPr>
              <w:t>$60,000</w:t>
            </w:r>
          </w:p>
        </w:tc>
        <w:tc>
          <w:tcPr>
            <w:tcW w:w="0" w:type="dxa"/>
            <w:vAlign w:val="bottom"/>
          </w:tcPr>
          <w:p>
            <w:pPr>
              <w:spacing w:after="0"/>
              <w:rPr>
                <w:sz w:val="1"/>
                <w:szCs w:val="1"/>
                <w:color w:val="auto"/>
              </w:rPr>
            </w:pPr>
          </w:p>
        </w:tc>
      </w:tr>
    </w:tbl>
    <w:p>
      <w:pPr>
        <w:spacing w:after="0" w:line="130" w:lineRule="exact"/>
        <w:rPr>
          <w:sz w:val="20"/>
          <w:szCs w:val="20"/>
          <w:color w:val="auto"/>
        </w:rPr>
      </w:pPr>
    </w:p>
    <w:p>
      <w:pPr>
        <w:ind w:left="8060"/>
        <w:spacing w:after="0"/>
        <w:tabs>
          <w:tab w:leader="none" w:pos="110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57</w:t>
      </w:r>
    </w:p>
    <w:p>
      <w:pPr>
        <w:sectPr>
          <w:pgSz w:w="11900" w:h="16838" w:orient="portrait"/>
          <w:cols w:equalWidth="0" w:num="1">
            <w:col w:w="11240"/>
          </w:cols>
          <w:pgMar w:left="240" w:top="459" w:right="419" w:bottom="1440" w:gutter="0" w:footer="0" w:header="0"/>
        </w:sectPr>
      </w:pPr>
    </w:p>
    <w:bookmarkStart w:id="61" w:name="page62"/>
    <w:bookmarkEnd w:id="6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extLst>
                        <a:ext uri="{28A0092B-C50C-407E-A947-70E740481C1C}"/>
                      </a:extLst>
                    </a:blip>
                    <a:srcRect/>
                    <a:stretch>
                      <a:fillRect/>
                    </a:stretch>
                  </pic:blipFill>
                  <pic:spPr bwMode="auto">
                    <a:xfrm>
                      <a:off x="0" y="0"/>
                      <a:ext cx="6997700" cy="8890"/>
                    </a:xfrm>
                    <a:prstGeom prst="rect">
                      <a:avLst/>
                    </a:prstGeom>
                    <a:noFill/>
                  </pic:spPr>
                </pic:pic>
              </a:graphicData>
            </a:graphic>
          </wp:anchor>
        </w:drawing>
        <w:drawing>
          <wp:anchor simplePos="0" relativeHeight="251657728" behindDoc="1" locked="0" layoutInCell="0" allowOverlap="1">
            <wp:simplePos x="0" y="0"/>
            <wp:positionH relativeFrom="column">
              <wp:posOffset>133985</wp:posOffset>
            </wp:positionH>
            <wp:positionV relativeFrom="paragraph">
              <wp:posOffset>252730</wp:posOffset>
            </wp:positionV>
            <wp:extent cx="2444115" cy="889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a:extLst>
                        <a:ext uri="{28A0092B-C50C-407E-A947-70E740481C1C}"/>
                      </a:extLst>
                    </a:blip>
                    <a:srcRect/>
                    <a:stretch>
                      <a:fillRect/>
                    </a:stretch>
                  </pic:blipFill>
                  <pic:spPr bwMode="auto">
                    <a:xfrm>
                      <a:off x="0" y="0"/>
                      <a:ext cx="2444115" cy="8890"/>
                    </a:xfrm>
                    <a:prstGeom prst="rect">
                      <a:avLst/>
                    </a:prstGeom>
                    <a:noFill/>
                  </pic:spPr>
                </pic:pic>
              </a:graphicData>
            </a:graphic>
          </wp:anchor>
        </w:drawing>
      </w:r>
    </w:p>
    <w:p>
      <w:pPr>
        <w:spacing w:after="0" w:line="200" w:lineRule="exact"/>
        <w:rPr>
          <w:sz w:val="20"/>
          <w:szCs w:val="20"/>
          <w:color w:val="auto"/>
        </w:rPr>
      </w:pPr>
    </w:p>
    <w:p>
      <w:pPr>
        <w:spacing w:after="0" w:line="335" w:lineRule="exact"/>
        <w:rPr>
          <w:sz w:val="20"/>
          <w:szCs w:val="20"/>
          <w:color w:val="auto"/>
        </w:rPr>
      </w:pPr>
    </w:p>
    <w:p>
      <w:pPr>
        <w:ind w:left="860" w:right="100" w:hanging="656"/>
        <w:spacing w:after="0" w:line="227" w:lineRule="auto"/>
        <w:tabs>
          <w:tab w:leader="none" w:pos="860" w:val="left"/>
        </w:tabs>
        <w:numPr>
          <w:ilvl w:val="0"/>
          <w:numId w:val="46"/>
        </w:numPr>
        <w:rPr>
          <w:rFonts w:ascii="Arial" w:cs="Arial" w:eastAsia="Arial" w:hAnsi="Arial"/>
          <w:sz w:val="14"/>
          <w:szCs w:val="14"/>
          <w:color w:val="auto"/>
        </w:rPr>
      </w:pPr>
      <w:r>
        <w:rPr>
          <w:rFonts w:ascii="Arial" w:cs="Arial" w:eastAsia="Arial" w:hAnsi="Arial"/>
          <w:sz w:val="14"/>
          <w:szCs w:val="14"/>
          <w:color w:val="auto"/>
        </w:rPr>
        <w:t>MTGE PIP Time-Based Vesting and AGNC Time-Based Vesting RSU awards vest ratably over a three-year period in three equal installments. AGNC Performance-Based Vesting RSU awards are subject to 3-year cliff vesting and meeting performance conditions. Awards were granted to each of Messrs. Kain, Federico, Kuehl and Pollack pursuant to the terms of his respective employment agreement or offer letter, as applicable.</w:t>
      </w:r>
    </w:p>
    <w:p>
      <w:pPr>
        <w:ind w:left="860" w:hanging="656"/>
        <w:spacing w:after="0" w:line="221" w:lineRule="auto"/>
        <w:tabs>
          <w:tab w:leader="none" w:pos="860" w:val="left"/>
        </w:tabs>
        <w:numPr>
          <w:ilvl w:val="0"/>
          <w:numId w:val="46"/>
        </w:numPr>
        <w:rPr>
          <w:rFonts w:ascii="Arial" w:cs="Arial" w:eastAsia="Arial" w:hAnsi="Arial"/>
          <w:sz w:val="14"/>
          <w:szCs w:val="14"/>
          <w:color w:val="auto"/>
        </w:rPr>
      </w:pPr>
      <w:r>
        <w:rPr>
          <w:rFonts w:ascii="Arial" w:cs="Arial" w:eastAsia="Arial" w:hAnsi="Arial"/>
          <w:sz w:val="14"/>
          <w:szCs w:val="14"/>
          <w:color w:val="auto"/>
        </w:rPr>
        <w:t>The Compensation Committee approved all grants of plan based awards in fiscal year 2017 at a meeting held on February 22, 2017.</w:t>
      </w:r>
    </w:p>
    <w:p>
      <w:pPr>
        <w:ind w:left="860" w:hanging="656"/>
        <w:spacing w:after="0" w:line="221" w:lineRule="auto"/>
        <w:tabs>
          <w:tab w:leader="none" w:pos="860" w:val="left"/>
        </w:tabs>
        <w:numPr>
          <w:ilvl w:val="0"/>
          <w:numId w:val="46"/>
        </w:numPr>
        <w:rPr>
          <w:rFonts w:ascii="Arial" w:cs="Arial" w:eastAsia="Arial" w:hAnsi="Arial"/>
          <w:sz w:val="14"/>
          <w:szCs w:val="14"/>
          <w:color w:val="auto"/>
        </w:rPr>
      </w:pPr>
      <w:r>
        <w:rPr>
          <w:rFonts w:ascii="Arial" w:cs="Arial" w:eastAsia="Arial" w:hAnsi="Arial"/>
          <w:sz w:val="14"/>
          <w:szCs w:val="14"/>
          <w:color w:val="auto"/>
        </w:rPr>
        <w:t>Excludes dividend reinvestments.</w:t>
      </w:r>
    </w:p>
    <w:p>
      <w:pPr>
        <w:ind w:left="860" w:hanging="656"/>
        <w:spacing w:after="0" w:line="221" w:lineRule="auto"/>
        <w:tabs>
          <w:tab w:leader="none" w:pos="860" w:val="left"/>
        </w:tabs>
        <w:numPr>
          <w:ilvl w:val="0"/>
          <w:numId w:val="46"/>
        </w:numPr>
        <w:rPr>
          <w:rFonts w:ascii="Arial" w:cs="Arial" w:eastAsia="Arial" w:hAnsi="Arial"/>
          <w:sz w:val="14"/>
          <w:szCs w:val="14"/>
          <w:color w:val="auto"/>
        </w:rPr>
      </w:pPr>
      <w:r>
        <w:rPr>
          <w:rFonts w:ascii="Arial" w:cs="Arial" w:eastAsia="Arial" w:hAnsi="Arial"/>
          <w:sz w:val="14"/>
          <w:szCs w:val="14"/>
          <w:color w:val="auto"/>
        </w:rPr>
        <w:t>Excludes accrued dividend equivalent units.</w:t>
      </w:r>
    </w:p>
    <w:p>
      <w:pPr>
        <w:ind w:left="860" w:right="160" w:hanging="656"/>
        <w:spacing w:after="0" w:line="237" w:lineRule="auto"/>
        <w:tabs>
          <w:tab w:leader="none" w:pos="860" w:val="left"/>
        </w:tabs>
        <w:numPr>
          <w:ilvl w:val="0"/>
          <w:numId w:val="46"/>
        </w:numPr>
        <w:rPr>
          <w:rFonts w:ascii="Arial" w:cs="Arial" w:eastAsia="Arial" w:hAnsi="Arial"/>
          <w:sz w:val="14"/>
          <w:szCs w:val="14"/>
          <w:color w:val="auto"/>
        </w:rPr>
      </w:pPr>
      <w:r>
        <w:rPr>
          <w:rFonts w:ascii="Arial" w:cs="Arial" w:eastAsia="Arial" w:hAnsi="Arial"/>
          <w:sz w:val="14"/>
          <w:szCs w:val="14"/>
          <w:color w:val="auto"/>
        </w:rPr>
        <w:t>AGNC Performance-Based Vesting RSUs’ grant date fair value assumes performance achievement at 100% of target. Performance payouts may range from 0% to 200% of target based on actual performance achieved.</w:t>
      </w:r>
    </w:p>
    <w:p>
      <w:pPr>
        <w:spacing w:after="0" w:line="400" w:lineRule="exact"/>
        <w:rPr>
          <w:sz w:val="20"/>
          <w:szCs w:val="20"/>
          <w:color w:val="auto"/>
        </w:rPr>
      </w:pPr>
    </w:p>
    <w:p>
      <w:pPr>
        <w:jc w:val="center"/>
        <w:ind w:right="-179"/>
        <w:spacing w:after="0"/>
        <w:rPr>
          <w:sz w:val="20"/>
          <w:szCs w:val="20"/>
          <w:color w:val="auto"/>
        </w:rPr>
      </w:pPr>
      <w:r>
        <w:rPr>
          <w:rFonts w:ascii="Arial" w:cs="Arial" w:eastAsia="Arial" w:hAnsi="Arial"/>
          <w:sz w:val="18"/>
          <w:szCs w:val="18"/>
          <w:b w:val="1"/>
          <w:bCs w:val="1"/>
          <w:color w:val="auto"/>
        </w:rPr>
        <w:t>Outstanding Equity Awards at Fiscal Year-End</w:t>
      </w:r>
    </w:p>
    <w:p>
      <w:pPr>
        <w:spacing w:after="0" w:line="229" w:lineRule="exact"/>
        <w:rPr>
          <w:sz w:val="20"/>
          <w:szCs w:val="20"/>
          <w:color w:val="auto"/>
        </w:rPr>
      </w:pPr>
    </w:p>
    <w:p>
      <w:pPr>
        <w:ind w:left="200" w:right="100" w:firstLine="771"/>
        <w:spacing w:after="0" w:line="277" w:lineRule="auto"/>
        <w:rPr>
          <w:sz w:val="20"/>
          <w:szCs w:val="20"/>
          <w:color w:val="auto"/>
        </w:rPr>
      </w:pPr>
      <w:r>
        <w:rPr>
          <w:rFonts w:ascii="Arial" w:cs="Arial" w:eastAsia="Arial" w:hAnsi="Arial"/>
          <w:sz w:val="18"/>
          <w:szCs w:val="18"/>
          <w:color w:val="auto"/>
        </w:rPr>
        <w:t>In this table we provide information about awards under the 2016 Plan that have not vested and are outstanding as of December 31, 2017, for each NEO.</w:t>
      </w:r>
    </w:p>
    <w:p>
      <w:pPr>
        <w:spacing w:after="0" w:line="192" w:lineRule="exact"/>
        <w:rPr>
          <w:sz w:val="20"/>
          <w:szCs w:val="20"/>
          <w:color w:val="auto"/>
        </w:rPr>
      </w:pPr>
    </w:p>
    <w:tbl>
      <w:tblPr>
        <w:tblLayout w:type="fixed"/>
        <w:tblInd w:w="220" w:type="dxa"/>
        <w:tblCellMar>
          <w:top w:w="0" w:type="dxa"/>
          <w:left w:w="0" w:type="dxa"/>
          <w:bottom w:w="0" w:type="dxa"/>
          <w:right w:w="0" w:type="dxa"/>
        </w:tblCellMar>
      </w:tblPr>
      <w:tr>
        <w:trPr>
          <w:trHeight w:val="149"/>
        </w:trPr>
        <w:tc>
          <w:tcPr>
            <w:tcW w:w="3420" w:type="dxa"/>
            <w:vAlign w:val="bottom"/>
            <w:tcBorders>
              <w:top w:val="single" w:sz="8" w:color="407CCA"/>
            </w:tcBorders>
          </w:tcPr>
          <w:p>
            <w:pPr>
              <w:spacing w:after="0"/>
              <w:rPr>
                <w:sz w:val="12"/>
                <w:szCs w:val="12"/>
                <w:color w:val="auto"/>
              </w:rPr>
            </w:pPr>
          </w:p>
        </w:tc>
        <w:tc>
          <w:tcPr>
            <w:tcW w:w="420" w:type="dxa"/>
            <w:vAlign w:val="bottom"/>
            <w:tcBorders>
              <w:top w:val="single" w:sz="8" w:color="407CCA"/>
              <w:bottom w:val="single" w:sz="8" w:color="407CCA"/>
            </w:tcBorders>
          </w:tcPr>
          <w:p>
            <w:pPr>
              <w:spacing w:after="0"/>
              <w:rPr>
                <w:sz w:val="12"/>
                <w:szCs w:val="12"/>
                <w:color w:val="auto"/>
              </w:rPr>
            </w:pPr>
          </w:p>
        </w:tc>
        <w:tc>
          <w:tcPr>
            <w:tcW w:w="3480" w:type="dxa"/>
            <w:vAlign w:val="bottom"/>
            <w:tcBorders>
              <w:top w:val="single" w:sz="8" w:color="407CCA"/>
              <w:bottom w:val="single" w:sz="8" w:color="407CCA"/>
            </w:tcBorders>
          </w:tcPr>
          <w:p>
            <w:pPr>
              <w:spacing w:after="0"/>
              <w:rPr>
                <w:sz w:val="12"/>
                <w:szCs w:val="12"/>
                <w:color w:val="auto"/>
              </w:rPr>
            </w:pPr>
          </w:p>
        </w:tc>
        <w:tc>
          <w:tcPr>
            <w:tcW w:w="3700" w:type="dxa"/>
            <w:vAlign w:val="bottom"/>
            <w:tcBorders>
              <w:top w:val="single" w:sz="8" w:color="407CCA"/>
              <w:bottom w:val="single" w:sz="8" w:color="407CCA"/>
            </w:tcBorders>
          </w:tcPr>
          <w:p>
            <w:pPr>
              <w:ind w:left="240"/>
              <w:spacing w:after="0"/>
              <w:rPr>
                <w:sz w:val="20"/>
                <w:szCs w:val="20"/>
                <w:color w:val="auto"/>
              </w:rPr>
            </w:pPr>
            <w:r>
              <w:rPr>
                <w:rFonts w:ascii="Arial" w:cs="Arial" w:eastAsia="Arial" w:hAnsi="Arial"/>
                <w:sz w:val="13"/>
                <w:szCs w:val="13"/>
                <w:b w:val="1"/>
                <w:bCs w:val="1"/>
                <w:color w:val="auto"/>
              </w:rPr>
              <w:t>Stock awards</w:t>
            </w:r>
            <w:r>
              <w:rPr>
                <w:rFonts w:ascii="Arial" w:cs="Arial" w:eastAsia="Arial" w:hAnsi="Arial"/>
                <w:sz w:val="10"/>
                <w:szCs w:val="10"/>
                <w:b w:val="1"/>
                <w:bCs w:val="1"/>
                <w:color w:val="auto"/>
              </w:rPr>
              <w:t>(1)</w:t>
            </w:r>
          </w:p>
        </w:tc>
        <w:tc>
          <w:tcPr>
            <w:tcW w:w="0" w:type="dxa"/>
            <w:vAlign w:val="bottom"/>
          </w:tcPr>
          <w:p>
            <w:pPr>
              <w:spacing w:after="0"/>
              <w:rPr>
                <w:sz w:val="1"/>
                <w:szCs w:val="1"/>
                <w:color w:val="auto"/>
              </w:rPr>
            </w:pPr>
          </w:p>
        </w:tc>
      </w:tr>
      <w:tr>
        <w:trPr>
          <w:trHeight w:val="110"/>
        </w:trPr>
        <w:tc>
          <w:tcPr>
            <w:tcW w:w="3420" w:type="dxa"/>
            <w:vAlign w:val="bottom"/>
          </w:tcPr>
          <w:p>
            <w:pPr>
              <w:spacing w:after="0"/>
              <w:rPr>
                <w:sz w:val="9"/>
                <w:szCs w:val="9"/>
                <w:color w:val="auto"/>
              </w:rPr>
            </w:pPr>
          </w:p>
        </w:tc>
        <w:tc>
          <w:tcPr>
            <w:tcW w:w="420" w:type="dxa"/>
            <w:vAlign w:val="bottom"/>
          </w:tcPr>
          <w:p>
            <w:pPr>
              <w:spacing w:after="0"/>
              <w:rPr>
                <w:sz w:val="9"/>
                <w:szCs w:val="9"/>
                <w:color w:val="auto"/>
              </w:rPr>
            </w:pPr>
          </w:p>
        </w:tc>
        <w:tc>
          <w:tcPr>
            <w:tcW w:w="3480" w:type="dxa"/>
            <w:vAlign w:val="bottom"/>
          </w:tcPr>
          <w:p>
            <w:pPr>
              <w:jc w:val="center"/>
              <w:ind w:left="820"/>
              <w:spacing w:after="0" w:line="110" w:lineRule="exact"/>
              <w:rPr>
                <w:sz w:val="20"/>
                <w:szCs w:val="20"/>
                <w:color w:val="auto"/>
              </w:rPr>
            </w:pPr>
            <w:r>
              <w:rPr>
                <w:rFonts w:ascii="Arial" w:cs="Arial" w:eastAsia="Arial" w:hAnsi="Arial"/>
                <w:sz w:val="12"/>
                <w:szCs w:val="12"/>
                <w:b w:val="1"/>
                <w:bCs w:val="1"/>
                <w:color w:val="auto"/>
                <w:w w:val="92"/>
              </w:rPr>
              <w:t>Number of shares or units of stock that</w:t>
            </w:r>
          </w:p>
        </w:tc>
        <w:tc>
          <w:tcPr>
            <w:tcW w:w="3700" w:type="dxa"/>
            <w:vAlign w:val="bottom"/>
          </w:tcPr>
          <w:p>
            <w:pPr>
              <w:jc w:val="center"/>
              <w:ind w:left="1203"/>
              <w:spacing w:after="0" w:line="110" w:lineRule="exact"/>
              <w:rPr>
                <w:sz w:val="20"/>
                <w:szCs w:val="20"/>
                <w:color w:val="auto"/>
              </w:rPr>
            </w:pPr>
            <w:r>
              <w:rPr>
                <w:rFonts w:ascii="Arial" w:cs="Arial" w:eastAsia="Arial" w:hAnsi="Arial"/>
                <w:sz w:val="12"/>
                <w:szCs w:val="12"/>
                <w:b w:val="1"/>
                <w:bCs w:val="1"/>
                <w:color w:val="auto"/>
                <w:w w:val="94"/>
              </w:rPr>
              <w:t>Market value of shares or units of stock that</w:t>
            </w:r>
          </w:p>
        </w:tc>
        <w:tc>
          <w:tcPr>
            <w:tcW w:w="0" w:type="dxa"/>
            <w:vAlign w:val="bottom"/>
          </w:tcPr>
          <w:p>
            <w:pPr>
              <w:spacing w:after="0"/>
              <w:rPr>
                <w:sz w:val="1"/>
                <w:szCs w:val="1"/>
                <w:color w:val="auto"/>
              </w:rPr>
            </w:pPr>
          </w:p>
        </w:tc>
      </w:tr>
      <w:tr>
        <w:trPr>
          <w:trHeight w:val="135"/>
        </w:trPr>
        <w:tc>
          <w:tcPr>
            <w:tcW w:w="3420" w:type="dxa"/>
            <w:vAlign w:val="bottom"/>
            <w:vMerge w:val="restart"/>
          </w:tcPr>
          <w:p>
            <w:pPr>
              <w:ind w:left="80"/>
              <w:spacing w:after="0"/>
              <w:rPr>
                <w:sz w:val="20"/>
                <w:szCs w:val="20"/>
                <w:color w:val="auto"/>
              </w:rPr>
            </w:pPr>
            <w:r>
              <w:rPr>
                <w:rFonts w:ascii="Arial" w:cs="Arial" w:eastAsia="Arial" w:hAnsi="Arial"/>
                <w:sz w:val="18"/>
                <w:szCs w:val="18"/>
                <w:b w:val="1"/>
                <w:bCs w:val="1"/>
                <w:color w:val="auto"/>
              </w:rPr>
              <w:t>Name</w:t>
            </w:r>
          </w:p>
        </w:tc>
        <w:tc>
          <w:tcPr>
            <w:tcW w:w="420" w:type="dxa"/>
            <w:vAlign w:val="bottom"/>
          </w:tcPr>
          <w:p>
            <w:pPr>
              <w:spacing w:after="0"/>
              <w:rPr>
                <w:sz w:val="11"/>
                <w:szCs w:val="11"/>
                <w:color w:val="auto"/>
              </w:rPr>
            </w:pPr>
          </w:p>
        </w:tc>
        <w:tc>
          <w:tcPr>
            <w:tcW w:w="3480" w:type="dxa"/>
            <w:vAlign w:val="bottom"/>
          </w:tcPr>
          <w:p>
            <w:pPr>
              <w:jc w:val="center"/>
              <w:ind w:left="820"/>
              <w:spacing w:after="0" w:line="135" w:lineRule="exact"/>
              <w:rPr>
                <w:sz w:val="20"/>
                <w:szCs w:val="20"/>
                <w:color w:val="auto"/>
              </w:rPr>
            </w:pPr>
            <w:r>
              <w:rPr>
                <w:rFonts w:ascii="Arial" w:cs="Arial" w:eastAsia="Arial" w:hAnsi="Arial"/>
                <w:sz w:val="13"/>
                <w:szCs w:val="13"/>
                <w:b w:val="1"/>
                <w:bCs w:val="1"/>
                <w:color w:val="auto"/>
                <w:w w:val="86"/>
              </w:rPr>
              <w:t>have not vested</w:t>
            </w:r>
            <w:r>
              <w:rPr>
                <w:rFonts w:ascii="Arial" w:cs="Arial" w:eastAsia="Arial" w:hAnsi="Arial"/>
                <w:sz w:val="10"/>
                <w:szCs w:val="10"/>
                <w:b w:val="1"/>
                <w:bCs w:val="1"/>
                <w:color w:val="auto"/>
                <w:w w:val="86"/>
              </w:rPr>
              <w:t>(2)</w:t>
            </w:r>
          </w:p>
        </w:tc>
        <w:tc>
          <w:tcPr>
            <w:tcW w:w="3700" w:type="dxa"/>
            <w:vAlign w:val="bottom"/>
          </w:tcPr>
          <w:p>
            <w:pPr>
              <w:jc w:val="center"/>
              <w:ind w:left="1223"/>
              <w:spacing w:after="0" w:line="135" w:lineRule="exact"/>
              <w:rPr>
                <w:sz w:val="20"/>
                <w:szCs w:val="20"/>
                <w:color w:val="auto"/>
              </w:rPr>
            </w:pPr>
            <w:r>
              <w:rPr>
                <w:rFonts w:ascii="Arial" w:cs="Arial" w:eastAsia="Arial" w:hAnsi="Arial"/>
                <w:sz w:val="13"/>
                <w:szCs w:val="13"/>
                <w:b w:val="1"/>
                <w:bCs w:val="1"/>
                <w:color w:val="auto"/>
                <w:w w:val="86"/>
              </w:rPr>
              <w:t>have not vested</w:t>
            </w:r>
            <w:r>
              <w:rPr>
                <w:rFonts w:ascii="Arial" w:cs="Arial" w:eastAsia="Arial" w:hAnsi="Arial"/>
                <w:sz w:val="10"/>
                <w:szCs w:val="10"/>
                <w:b w:val="1"/>
                <w:bCs w:val="1"/>
                <w:color w:val="auto"/>
                <w:w w:val="86"/>
              </w:rPr>
              <w:t>(8)</w:t>
            </w:r>
          </w:p>
        </w:tc>
        <w:tc>
          <w:tcPr>
            <w:tcW w:w="0" w:type="dxa"/>
            <w:vAlign w:val="bottom"/>
          </w:tcPr>
          <w:p>
            <w:pPr>
              <w:spacing w:after="0"/>
              <w:rPr>
                <w:sz w:val="1"/>
                <w:szCs w:val="1"/>
                <w:color w:val="auto"/>
              </w:rPr>
            </w:pPr>
          </w:p>
        </w:tc>
      </w:tr>
      <w:tr>
        <w:trPr>
          <w:trHeight w:val="167"/>
        </w:trPr>
        <w:tc>
          <w:tcPr>
            <w:tcW w:w="3420" w:type="dxa"/>
            <w:vAlign w:val="bottom"/>
            <w:tcBorders>
              <w:bottom w:val="single" w:sz="8" w:color="407CCA"/>
            </w:tcBorders>
            <w:vMerge w:val="continue"/>
          </w:tcPr>
          <w:p>
            <w:pPr>
              <w:spacing w:after="0"/>
              <w:rPr>
                <w:sz w:val="14"/>
                <w:szCs w:val="14"/>
                <w:color w:val="auto"/>
              </w:rPr>
            </w:pPr>
          </w:p>
        </w:tc>
        <w:tc>
          <w:tcPr>
            <w:tcW w:w="3900" w:type="dxa"/>
            <w:vAlign w:val="bottom"/>
            <w:tcBorders>
              <w:bottom w:val="single" w:sz="8" w:color="407CCA"/>
            </w:tcBorders>
            <w:gridSpan w:val="2"/>
          </w:tcPr>
          <w:p>
            <w:pPr>
              <w:jc w:val="center"/>
              <w:ind w:left="1214"/>
              <w:spacing w:after="0"/>
              <w:rPr>
                <w:sz w:val="20"/>
                <w:szCs w:val="20"/>
                <w:color w:val="auto"/>
              </w:rPr>
            </w:pPr>
            <w:r>
              <w:rPr>
                <w:rFonts w:ascii="Arial" w:cs="Arial" w:eastAsia="Arial" w:hAnsi="Arial"/>
                <w:sz w:val="13"/>
                <w:szCs w:val="13"/>
                <w:b w:val="1"/>
                <w:bCs w:val="1"/>
                <w:color w:val="auto"/>
              </w:rPr>
              <w:t>(#)</w:t>
            </w:r>
          </w:p>
        </w:tc>
        <w:tc>
          <w:tcPr>
            <w:tcW w:w="3700" w:type="dxa"/>
            <w:vAlign w:val="bottom"/>
            <w:tcBorders>
              <w:bottom w:val="single" w:sz="8" w:color="407CCA"/>
            </w:tcBorders>
          </w:tcPr>
          <w:p>
            <w:pPr>
              <w:jc w:val="center"/>
              <w:ind w:left="1203"/>
              <w:spacing w:after="0"/>
              <w:rPr>
                <w:sz w:val="20"/>
                <w:szCs w:val="20"/>
                <w:color w:val="auto"/>
              </w:rPr>
            </w:pPr>
            <w:r>
              <w:rPr>
                <w:rFonts w:ascii="Arial" w:cs="Arial" w:eastAsia="Arial" w:hAnsi="Arial"/>
                <w:sz w:val="13"/>
                <w:szCs w:val="13"/>
                <w:b w:val="1"/>
                <w:bCs w:val="1"/>
                <w:color w:val="auto"/>
                <w:w w:val="87"/>
              </w:rPr>
              <w:t>($)</w:t>
            </w:r>
          </w:p>
        </w:tc>
        <w:tc>
          <w:tcPr>
            <w:tcW w:w="0" w:type="dxa"/>
            <w:vAlign w:val="bottom"/>
          </w:tcPr>
          <w:p>
            <w:pPr>
              <w:spacing w:after="0"/>
              <w:rPr>
                <w:sz w:val="1"/>
                <w:szCs w:val="1"/>
                <w:color w:val="auto"/>
              </w:rPr>
            </w:pPr>
          </w:p>
        </w:tc>
      </w:tr>
      <w:tr>
        <w:trPr>
          <w:trHeight w:val="210"/>
        </w:trPr>
        <w:tc>
          <w:tcPr>
            <w:tcW w:w="342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Gary D. Kain</w:t>
            </w:r>
          </w:p>
        </w:tc>
        <w:tc>
          <w:tcPr>
            <w:tcW w:w="3900" w:type="dxa"/>
            <w:vAlign w:val="bottom"/>
            <w:gridSpan w:val="2"/>
            <w:shd w:val="clear" w:color="auto" w:fill="CCEEFF"/>
          </w:tcPr>
          <w:p>
            <w:pPr>
              <w:jc w:val="center"/>
              <w:ind w:left="1214"/>
              <w:spacing w:after="0"/>
              <w:rPr>
                <w:sz w:val="20"/>
                <w:szCs w:val="20"/>
                <w:color w:val="auto"/>
              </w:rPr>
            </w:pPr>
            <w:r>
              <w:rPr>
                <w:rFonts w:ascii="Arial" w:cs="Arial" w:eastAsia="Arial" w:hAnsi="Arial"/>
                <w:sz w:val="18"/>
                <w:szCs w:val="18"/>
                <w:color w:val="auto"/>
                <w:w w:val="91"/>
              </w:rPr>
              <w:t>258,226</w:t>
            </w:r>
            <w:r>
              <w:rPr>
                <w:rFonts w:ascii="Arial" w:cs="Arial" w:eastAsia="Arial" w:hAnsi="Arial"/>
                <w:sz w:val="15"/>
                <w:szCs w:val="15"/>
                <w:color w:val="auto"/>
                <w:w w:val="91"/>
              </w:rPr>
              <w:t>(3)</w:t>
            </w:r>
          </w:p>
        </w:tc>
        <w:tc>
          <w:tcPr>
            <w:tcW w:w="3700" w:type="dxa"/>
            <w:vAlign w:val="bottom"/>
            <w:shd w:val="clear" w:color="auto" w:fill="CCEEFF"/>
          </w:tcPr>
          <w:p>
            <w:pPr>
              <w:jc w:val="center"/>
              <w:ind w:left="1223"/>
              <w:spacing w:after="0"/>
              <w:rPr>
                <w:sz w:val="20"/>
                <w:szCs w:val="20"/>
                <w:color w:val="auto"/>
              </w:rPr>
            </w:pPr>
            <w:r>
              <w:rPr>
                <w:rFonts w:ascii="Arial" w:cs="Arial" w:eastAsia="Arial" w:hAnsi="Arial"/>
                <w:sz w:val="18"/>
                <w:szCs w:val="18"/>
                <w:color w:val="auto"/>
                <w:w w:val="89"/>
              </w:rPr>
              <w:t>5,213,583</w:t>
            </w:r>
          </w:p>
        </w:tc>
        <w:tc>
          <w:tcPr>
            <w:tcW w:w="0" w:type="dxa"/>
            <w:vAlign w:val="bottom"/>
          </w:tcPr>
          <w:p>
            <w:pPr>
              <w:spacing w:after="0"/>
              <w:rPr>
                <w:sz w:val="1"/>
                <w:szCs w:val="1"/>
                <w:color w:val="auto"/>
              </w:rPr>
            </w:pPr>
          </w:p>
        </w:tc>
      </w:tr>
      <w:tr>
        <w:trPr>
          <w:trHeight w:val="216"/>
        </w:trPr>
        <w:tc>
          <w:tcPr>
            <w:tcW w:w="3420" w:type="dxa"/>
            <w:vAlign w:val="bottom"/>
          </w:tcPr>
          <w:p>
            <w:pPr>
              <w:ind w:left="80"/>
              <w:spacing w:after="0"/>
              <w:rPr>
                <w:sz w:val="20"/>
                <w:szCs w:val="20"/>
                <w:color w:val="auto"/>
              </w:rPr>
            </w:pPr>
            <w:r>
              <w:rPr>
                <w:rFonts w:ascii="Arial" w:cs="Arial" w:eastAsia="Arial" w:hAnsi="Arial"/>
                <w:sz w:val="18"/>
                <w:szCs w:val="18"/>
                <w:b w:val="1"/>
                <w:bCs w:val="1"/>
                <w:color w:val="auto"/>
              </w:rPr>
              <w:t>Peter J. Federico</w:t>
            </w:r>
          </w:p>
        </w:tc>
        <w:tc>
          <w:tcPr>
            <w:tcW w:w="3900" w:type="dxa"/>
            <w:vAlign w:val="bottom"/>
            <w:gridSpan w:val="2"/>
          </w:tcPr>
          <w:p>
            <w:pPr>
              <w:jc w:val="center"/>
              <w:ind w:left="1214"/>
              <w:spacing w:after="0"/>
              <w:rPr>
                <w:sz w:val="20"/>
                <w:szCs w:val="20"/>
                <w:color w:val="auto"/>
              </w:rPr>
            </w:pPr>
            <w:r>
              <w:rPr>
                <w:rFonts w:ascii="Arial" w:cs="Arial" w:eastAsia="Arial" w:hAnsi="Arial"/>
                <w:sz w:val="18"/>
                <w:szCs w:val="18"/>
                <w:color w:val="auto"/>
                <w:w w:val="91"/>
              </w:rPr>
              <w:t>117,030</w:t>
            </w:r>
            <w:r>
              <w:rPr>
                <w:rFonts w:ascii="Arial" w:cs="Arial" w:eastAsia="Arial" w:hAnsi="Arial"/>
                <w:sz w:val="15"/>
                <w:szCs w:val="15"/>
                <w:color w:val="auto"/>
                <w:w w:val="91"/>
              </w:rPr>
              <w:t>(4)</w:t>
            </w:r>
          </w:p>
        </w:tc>
        <w:tc>
          <w:tcPr>
            <w:tcW w:w="3700" w:type="dxa"/>
            <w:vAlign w:val="bottom"/>
          </w:tcPr>
          <w:p>
            <w:pPr>
              <w:jc w:val="center"/>
              <w:ind w:left="1223"/>
              <w:spacing w:after="0"/>
              <w:rPr>
                <w:sz w:val="20"/>
                <w:szCs w:val="20"/>
                <w:color w:val="auto"/>
              </w:rPr>
            </w:pPr>
            <w:r>
              <w:rPr>
                <w:rFonts w:ascii="Arial" w:cs="Arial" w:eastAsia="Arial" w:hAnsi="Arial"/>
                <w:sz w:val="18"/>
                <w:szCs w:val="18"/>
                <w:color w:val="auto"/>
                <w:w w:val="89"/>
              </w:rPr>
              <w:t>2,362,836</w:t>
            </w:r>
          </w:p>
        </w:tc>
        <w:tc>
          <w:tcPr>
            <w:tcW w:w="0" w:type="dxa"/>
            <w:vAlign w:val="bottom"/>
          </w:tcPr>
          <w:p>
            <w:pPr>
              <w:spacing w:after="0"/>
              <w:rPr>
                <w:sz w:val="1"/>
                <w:szCs w:val="1"/>
                <w:color w:val="auto"/>
              </w:rPr>
            </w:pPr>
          </w:p>
        </w:tc>
      </w:tr>
      <w:tr>
        <w:trPr>
          <w:trHeight w:val="216"/>
        </w:trPr>
        <w:tc>
          <w:tcPr>
            <w:tcW w:w="342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Christopher J. Kuehl</w:t>
            </w:r>
          </w:p>
        </w:tc>
        <w:tc>
          <w:tcPr>
            <w:tcW w:w="3900" w:type="dxa"/>
            <w:vAlign w:val="bottom"/>
            <w:gridSpan w:val="2"/>
            <w:shd w:val="clear" w:color="auto" w:fill="CCEEFF"/>
          </w:tcPr>
          <w:p>
            <w:pPr>
              <w:jc w:val="center"/>
              <w:ind w:left="1214"/>
              <w:spacing w:after="0"/>
              <w:rPr>
                <w:sz w:val="20"/>
                <w:szCs w:val="20"/>
                <w:color w:val="auto"/>
              </w:rPr>
            </w:pPr>
            <w:r>
              <w:rPr>
                <w:rFonts w:ascii="Arial" w:cs="Arial" w:eastAsia="Arial" w:hAnsi="Arial"/>
                <w:sz w:val="18"/>
                <w:szCs w:val="18"/>
                <w:color w:val="auto"/>
                <w:w w:val="91"/>
              </w:rPr>
              <w:t>103,962</w:t>
            </w:r>
            <w:r>
              <w:rPr>
                <w:rFonts w:ascii="Arial" w:cs="Arial" w:eastAsia="Arial" w:hAnsi="Arial"/>
                <w:sz w:val="15"/>
                <w:szCs w:val="15"/>
                <w:color w:val="auto"/>
                <w:w w:val="91"/>
              </w:rPr>
              <w:t>(5)</w:t>
            </w:r>
          </w:p>
        </w:tc>
        <w:tc>
          <w:tcPr>
            <w:tcW w:w="3700" w:type="dxa"/>
            <w:vAlign w:val="bottom"/>
            <w:shd w:val="clear" w:color="auto" w:fill="CCEEFF"/>
          </w:tcPr>
          <w:p>
            <w:pPr>
              <w:jc w:val="center"/>
              <w:ind w:left="1223"/>
              <w:spacing w:after="0"/>
              <w:rPr>
                <w:sz w:val="20"/>
                <w:szCs w:val="20"/>
                <w:color w:val="auto"/>
              </w:rPr>
            </w:pPr>
            <w:r>
              <w:rPr>
                <w:rFonts w:ascii="Arial" w:cs="Arial" w:eastAsia="Arial" w:hAnsi="Arial"/>
                <w:sz w:val="18"/>
                <w:szCs w:val="18"/>
                <w:color w:val="auto"/>
                <w:w w:val="89"/>
              </w:rPr>
              <w:t>2,098,993</w:t>
            </w:r>
          </w:p>
        </w:tc>
        <w:tc>
          <w:tcPr>
            <w:tcW w:w="0" w:type="dxa"/>
            <w:vAlign w:val="bottom"/>
          </w:tcPr>
          <w:p>
            <w:pPr>
              <w:spacing w:after="0"/>
              <w:rPr>
                <w:sz w:val="1"/>
                <w:szCs w:val="1"/>
                <w:color w:val="auto"/>
              </w:rPr>
            </w:pPr>
          </w:p>
        </w:tc>
      </w:tr>
      <w:tr>
        <w:trPr>
          <w:trHeight w:val="216"/>
        </w:trPr>
        <w:tc>
          <w:tcPr>
            <w:tcW w:w="3420" w:type="dxa"/>
            <w:vAlign w:val="bottom"/>
          </w:tcPr>
          <w:p>
            <w:pPr>
              <w:ind w:left="60"/>
              <w:spacing w:after="0"/>
              <w:rPr>
                <w:sz w:val="20"/>
                <w:szCs w:val="20"/>
                <w:color w:val="auto"/>
              </w:rPr>
            </w:pPr>
            <w:r>
              <w:rPr>
                <w:rFonts w:ascii="Arial" w:cs="Arial" w:eastAsia="Arial" w:hAnsi="Arial"/>
                <w:sz w:val="18"/>
                <w:szCs w:val="18"/>
                <w:b w:val="1"/>
                <w:bCs w:val="1"/>
                <w:color w:val="auto"/>
              </w:rPr>
              <w:t>Aaron J. Pas</w:t>
            </w:r>
          </w:p>
        </w:tc>
        <w:tc>
          <w:tcPr>
            <w:tcW w:w="3900" w:type="dxa"/>
            <w:vAlign w:val="bottom"/>
            <w:gridSpan w:val="2"/>
          </w:tcPr>
          <w:p>
            <w:pPr>
              <w:jc w:val="center"/>
              <w:ind w:left="1214"/>
              <w:spacing w:after="0"/>
              <w:rPr>
                <w:sz w:val="20"/>
                <w:szCs w:val="20"/>
                <w:color w:val="auto"/>
              </w:rPr>
            </w:pPr>
            <w:r>
              <w:rPr>
                <w:rFonts w:ascii="Arial" w:cs="Arial" w:eastAsia="Arial" w:hAnsi="Arial"/>
                <w:sz w:val="18"/>
                <w:szCs w:val="18"/>
                <w:color w:val="auto"/>
                <w:w w:val="92"/>
              </w:rPr>
              <w:t>17,933</w:t>
            </w:r>
            <w:r>
              <w:rPr>
                <w:rFonts w:ascii="Arial" w:cs="Arial" w:eastAsia="Arial" w:hAnsi="Arial"/>
                <w:sz w:val="15"/>
                <w:szCs w:val="15"/>
                <w:color w:val="auto"/>
                <w:w w:val="92"/>
              </w:rPr>
              <w:t>(6)</w:t>
            </w:r>
          </w:p>
        </w:tc>
        <w:tc>
          <w:tcPr>
            <w:tcW w:w="3700" w:type="dxa"/>
            <w:vAlign w:val="bottom"/>
          </w:tcPr>
          <w:p>
            <w:pPr>
              <w:jc w:val="center"/>
              <w:ind w:left="1203"/>
              <w:spacing w:after="0"/>
              <w:rPr>
                <w:sz w:val="20"/>
                <w:szCs w:val="20"/>
                <w:color w:val="auto"/>
              </w:rPr>
            </w:pPr>
            <w:r>
              <w:rPr>
                <w:rFonts w:ascii="Arial" w:cs="Arial" w:eastAsia="Arial" w:hAnsi="Arial"/>
                <w:sz w:val="18"/>
                <w:szCs w:val="18"/>
                <w:color w:val="auto"/>
                <w:w w:val="89"/>
              </w:rPr>
              <w:t>362,067</w:t>
            </w:r>
          </w:p>
        </w:tc>
        <w:tc>
          <w:tcPr>
            <w:tcW w:w="0" w:type="dxa"/>
            <w:vAlign w:val="bottom"/>
          </w:tcPr>
          <w:p>
            <w:pPr>
              <w:spacing w:after="0"/>
              <w:rPr>
                <w:sz w:val="1"/>
                <w:szCs w:val="1"/>
                <w:color w:val="auto"/>
              </w:rPr>
            </w:pPr>
          </w:p>
        </w:tc>
      </w:tr>
      <w:tr>
        <w:trPr>
          <w:trHeight w:val="216"/>
        </w:trPr>
        <w:tc>
          <w:tcPr>
            <w:tcW w:w="3420" w:type="dxa"/>
            <w:vAlign w:val="bottom"/>
            <w:tcBorders>
              <w:bottom w:val="single" w:sz="8" w:color="407CCA"/>
            </w:tcBorders>
            <w:shd w:val="clear" w:color="auto" w:fill="CCEEFF"/>
          </w:tcPr>
          <w:p>
            <w:pPr>
              <w:ind w:left="80"/>
              <w:spacing w:after="0"/>
              <w:rPr>
                <w:sz w:val="20"/>
                <w:szCs w:val="20"/>
                <w:color w:val="auto"/>
              </w:rPr>
            </w:pPr>
            <w:r>
              <w:rPr>
                <w:rFonts w:ascii="Arial" w:cs="Arial" w:eastAsia="Arial" w:hAnsi="Arial"/>
                <w:sz w:val="18"/>
                <w:szCs w:val="18"/>
                <w:b w:val="1"/>
                <w:bCs w:val="1"/>
                <w:color w:val="auto"/>
              </w:rPr>
              <w:t>Kenneth L. Pollack</w:t>
            </w:r>
          </w:p>
        </w:tc>
        <w:tc>
          <w:tcPr>
            <w:tcW w:w="3900" w:type="dxa"/>
            <w:vAlign w:val="bottom"/>
            <w:tcBorders>
              <w:bottom w:val="single" w:sz="8" w:color="407CCA"/>
            </w:tcBorders>
            <w:gridSpan w:val="2"/>
            <w:shd w:val="clear" w:color="auto" w:fill="CCEEFF"/>
          </w:tcPr>
          <w:p>
            <w:pPr>
              <w:jc w:val="center"/>
              <w:ind w:left="1214"/>
              <w:spacing w:after="0"/>
              <w:rPr>
                <w:sz w:val="20"/>
                <w:szCs w:val="20"/>
                <w:color w:val="auto"/>
              </w:rPr>
            </w:pPr>
            <w:r>
              <w:rPr>
                <w:rFonts w:ascii="Arial" w:cs="Arial" w:eastAsia="Arial" w:hAnsi="Arial"/>
                <w:sz w:val="18"/>
                <w:szCs w:val="18"/>
                <w:color w:val="auto"/>
                <w:w w:val="92"/>
              </w:rPr>
              <w:t>10,126</w:t>
            </w:r>
            <w:r>
              <w:rPr>
                <w:rFonts w:ascii="Arial" w:cs="Arial" w:eastAsia="Arial" w:hAnsi="Arial"/>
                <w:sz w:val="15"/>
                <w:szCs w:val="15"/>
                <w:color w:val="auto"/>
                <w:w w:val="92"/>
              </w:rPr>
              <w:t>(7)</w:t>
            </w:r>
          </w:p>
        </w:tc>
        <w:tc>
          <w:tcPr>
            <w:tcW w:w="3700" w:type="dxa"/>
            <w:vAlign w:val="bottom"/>
            <w:tcBorders>
              <w:bottom w:val="single" w:sz="8" w:color="407CCA"/>
            </w:tcBorders>
            <w:shd w:val="clear" w:color="auto" w:fill="CCEEFF"/>
          </w:tcPr>
          <w:p>
            <w:pPr>
              <w:jc w:val="center"/>
              <w:ind w:left="1203"/>
              <w:spacing w:after="0"/>
              <w:rPr>
                <w:sz w:val="20"/>
                <w:szCs w:val="20"/>
                <w:color w:val="auto"/>
              </w:rPr>
            </w:pPr>
            <w:r>
              <w:rPr>
                <w:rFonts w:ascii="Arial" w:cs="Arial" w:eastAsia="Arial" w:hAnsi="Arial"/>
                <w:sz w:val="18"/>
                <w:szCs w:val="18"/>
                <w:color w:val="auto"/>
                <w:w w:val="89"/>
              </w:rPr>
              <w:t>204,444</w:t>
            </w:r>
          </w:p>
        </w:tc>
        <w:tc>
          <w:tcPr>
            <w:tcW w:w="0" w:type="dxa"/>
            <w:vAlign w:val="bottom"/>
          </w:tcPr>
          <w:p>
            <w:pPr>
              <w:spacing w:after="0"/>
              <w:rPr>
                <w:sz w:val="1"/>
                <w:szCs w:val="1"/>
                <w:color w:val="auto"/>
              </w:rPr>
            </w:pPr>
          </w:p>
        </w:tc>
      </w:tr>
      <w:tr>
        <w:trPr>
          <w:trHeight w:val="129"/>
        </w:trPr>
        <w:tc>
          <w:tcPr>
            <w:tcW w:w="3420" w:type="dxa"/>
            <w:vAlign w:val="bottom"/>
            <w:tcBorders>
              <w:bottom w:val="single" w:sz="8" w:color="auto"/>
            </w:tcBorders>
          </w:tcPr>
          <w:p>
            <w:pPr>
              <w:spacing w:after="0"/>
              <w:rPr>
                <w:sz w:val="11"/>
                <w:szCs w:val="11"/>
                <w:color w:val="auto"/>
              </w:rPr>
            </w:pPr>
          </w:p>
        </w:tc>
        <w:tc>
          <w:tcPr>
            <w:tcW w:w="420" w:type="dxa"/>
            <w:vAlign w:val="bottom"/>
            <w:tcBorders>
              <w:bottom w:val="single" w:sz="8" w:color="auto"/>
            </w:tcBorders>
          </w:tcPr>
          <w:p>
            <w:pPr>
              <w:spacing w:after="0"/>
              <w:rPr>
                <w:sz w:val="11"/>
                <w:szCs w:val="11"/>
                <w:color w:val="auto"/>
              </w:rPr>
            </w:pPr>
          </w:p>
        </w:tc>
        <w:tc>
          <w:tcPr>
            <w:tcW w:w="3480" w:type="dxa"/>
            <w:vAlign w:val="bottom"/>
          </w:tcPr>
          <w:p>
            <w:pPr>
              <w:spacing w:after="0"/>
              <w:rPr>
                <w:sz w:val="11"/>
                <w:szCs w:val="11"/>
                <w:color w:val="auto"/>
              </w:rPr>
            </w:pPr>
          </w:p>
        </w:tc>
        <w:tc>
          <w:tcPr>
            <w:tcW w:w="3700" w:type="dxa"/>
            <w:vAlign w:val="bottom"/>
          </w:tcPr>
          <w:p>
            <w:pPr>
              <w:spacing w:after="0"/>
              <w:rPr>
                <w:sz w:val="11"/>
                <w:szCs w:val="11"/>
                <w:color w:val="auto"/>
              </w:rPr>
            </w:pPr>
          </w:p>
        </w:tc>
        <w:tc>
          <w:tcPr>
            <w:tcW w:w="0" w:type="dxa"/>
            <w:vAlign w:val="bottom"/>
          </w:tcPr>
          <w:p>
            <w:pPr>
              <w:spacing w:after="0"/>
              <w:rPr>
                <w:sz w:val="1"/>
                <w:szCs w:val="1"/>
                <w:color w:val="auto"/>
              </w:rPr>
            </w:pPr>
          </w:p>
        </w:tc>
      </w:tr>
    </w:tbl>
    <w:p>
      <w:pPr>
        <w:spacing w:after="0" w:line="143" w:lineRule="exact"/>
        <w:rPr>
          <w:sz w:val="20"/>
          <w:szCs w:val="20"/>
          <w:color w:val="auto"/>
        </w:rPr>
      </w:pPr>
    </w:p>
    <w:p>
      <w:pPr>
        <w:ind w:left="860" w:hanging="656"/>
        <w:spacing w:after="0"/>
        <w:tabs>
          <w:tab w:leader="none" w:pos="860" w:val="left"/>
        </w:tabs>
        <w:numPr>
          <w:ilvl w:val="0"/>
          <w:numId w:val="47"/>
        </w:numPr>
        <w:rPr>
          <w:rFonts w:ascii="Arial" w:cs="Arial" w:eastAsia="Arial" w:hAnsi="Arial"/>
          <w:sz w:val="14"/>
          <w:szCs w:val="14"/>
          <w:color w:val="auto"/>
        </w:rPr>
      </w:pPr>
      <w:r>
        <w:rPr>
          <w:rFonts w:ascii="Arial" w:cs="Arial" w:eastAsia="Arial" w:hAnsi="Arial"/>
          <w:sz w:val="14"/>
          <w:szCs w:val="14"/>
          <w:color w:val="auto"/>
        </w:rPr>
        <w:t>Award was granted as an RSU.</w:t>
      </w:r>
    </w:p>
    <w:p>
      <w:pPr>
        <w:ind w:left="860" w:hanging="656"/>
        <w:spacing w:after="0" w:line="221" w:lineRule="auto"/>
        <w:tabs>
          <w:tab w:leader="none" w:pos="860" w:val="left"/>
        </w:tabs>
        <w:numPr>
          <w:ilvl w:val="0"/>
          <w:numId w:val="47"/>
        </w:numPr>
        <w:rPr>
          <w:rFonts w:ascii="Arial" w:cs="Arial" w:eastAsia="Arial" w:hAnsi="Arial"/>
          <w:sz w:val="14"/>
          <w:szCs w:val="14"/>
          <w:color w:val="auto"/>
        </w:rPr>
      </w:pPr>
      <w:r>
        <w:rPr>
          <w:rFonts w:ascii="Arial" w:cs="Arial" w:eastAsia="Arial" w:hAnsi="Arial"/>
          <w:sz w:val="14"/>
          <w:szCs w:val="14"/>
          <w:color w:val="auto"/>
        </w:rPr>
        <w:t>Includes accrued dividend equivalent units. Assumes performance achievement at 100% of target for AGNC Performance-Based Vesting RSUs.</w:t>
      </w:r>
    </w:p>
    <w:p>
      <w:pPr>
        <w:ind w:left="860" w:right="420" w:hanging="656"/>
        <w:spacing w:after="0" w:line="221" w:lineRule="auto"/>
        <w:tabs>
          <w:tab w:leader="none" w:pos="860" w:val="left"/>
        </w:tabs>
        <w:numPr>
          <w:ilvl w:val="0"/>
          <w:numId w:val="47"/>
        </w:numPr>
        <w:rPr>
          <w:rFonts w:ascii="Arial" w:cs="Arial" w:eastAsia="Arial" w:hAnsi="Arial"/>
          <w:sz w:val="14"/>
          <w:szCs w:val="14"/>
          <w:color w:val="auto"/>
        </w:rPr>
      </w:pPr>
      <w:r>
        <w:rPr>
          <w:rFonts w:ascii="Arial" w:cs="Arial" w:eastAsia="Arial" w:hAnsi="Arial"/>
          <w:sz w:val="14"/>
          <w:szCs w:val="14"/>
          <w:color w:val="auto"/>
        </w:rPr>
        <w:t>Of these units, 106,328 consist of time-based vesting RSUs, which vest ratably over a three-year period with the first vesting date on March 15, 2018, and 151,898 consist of performance-based vesting RSUs, which subject to meeting the performance conditions vest on March 15, 2020.</w:t>
      </w:r>
    </w:p>
    <w:p>
      <w:pPr>
        <w:jc w:val="both"/>
        <w:ind w:left="860" w:right="300" w:hanging="656"/>
        <w:spacing w:after="0" w:line="221" w:lineRule="auto"/>
        <w:tabs>
          <w:tab w:leader="none" w:pos="860" w:val="left"/>
        </w:tabs>
        <w:numPr>
          <w:ilvl w:val="0"/>
          <w:numId w:val="47"/>
        </w:numPr>
        <w:rPr>
          <w:rFonts w:ascii="Arial" w:cs="Arial" w:eastAsia="Arial" w:hAnsi="Arial"/>
          <w:sz w:val="14"/>
          <w:szCs w:val="14"/>
          <w:color w:val="auto"/>
        </w:rPr>
      </w:pPr>
      <w:r>
        <w:rPr>
          <w:rFonts w:ascii="Arial" w:cs="Arial" w:eastAsia="Arial" w:hAnsi="Arial"/>
          <w:sz w:val="14"/>
          <w:szCs w:val="14"/>
          <w:color w:val="auto"/>
        </w:rPr>
        <w:t>Of these units, 30,954 consist of time-based vesting RSUs, which vest ratably over a two-year period with the next vesting date on December 14, 2018; 35,445 consist of time-based vesting RSUs, which vest ratably over a three-year period, with the first vesting date on March 15, 2018; and 50,631 consist of performance-based vesting RSUs, which subject to meeting the performance conditions vest on March 15, 2020.</w:t>
      </w:r>
    </w:p>
    <w:p>
      <w:pPr>
        <w:jc w:val="both"/>
        <w:ind w:left="860" w:right="300" w:hanging="656"/>
        <w:spacing w:after="0" w:line="221" w:lineRule="auto"/>
        <w:tabs>
          <w:tab w:leader="none" w:pos="860" w:val="left"/>
        </w:tabs>
        <w:numPr>
          <w:ilvl w:val="0"/>
          <w:numId w:val="47"/>
        </w:numPr>
        <w:rPr>
          <w:rFonts w:ascii="Arial" w:cs="Arial" w:eastAsia="Arial" w:hAnsi="Arial"/>
          <w:sz w:val="14"/>
          <w:szCs w:val="14"/>
          <w:color w:val="auto"/>
        </w:rPr>
      </w:pPr>
      <w:r>
        <w:rPr>
          <w:rFonts w:ascii="Arial" w:cs="Arial" w:eastAsia="Arial" w:hAnsi="Arial"/>
          <w:sz w:val="14"/>
          <w:szCs w:val="14"/>
          <w:color w:val="auto"/>
        </w:rPr>
        <w:t>Of these units, 44,891 consist of time-based vesting RSUs, which vest ratably over a two-year period with the next vesting date on December 14, 2018; 19,690 consist of time-based vesting RSUs, which vest ratably over a three-year period, with the first vesting date on March 15, 2018; and 39,381 consist of performance-based vesting RSUs, which subject to meeting the performance conditions vest on March 15, 2020.</w:t>
      </w:r>
    </w:p>
    <w:p>
      <w:pPr>
        <w:ind w:left="860" w:right="640" w:hanging="656"/>
        <w:spacing w:after="0" w:line="221" w:lineRule="auto"/>
        <w:tabs>
          <w:tab w:leader="none" w:pos="860" w:val="left"/>
        </w:tabs>
        <w:numPr>
          <w:ilvl w:val="0"/>
          <w:numId w:val="47"/>
        </w:numPr>
        <w:rPr>
          <w:rFonts w:ascii="Arial" w:cs="Arial" w:eastAsia="Arial" w:hAnsi="Arial"/>
          <w:sz w:val="14"/>
          <w:szCs w:val="14"/>
          <w:color w:val="auto"/>
        </w:rPr>
      </w:pPr>
      <w:r>
        <w:rPr>
          <w:rFonts w:ascii="Arial" w:cs="Arial" w:eastAsia="Arial" w:hAnsi="Arial"/>
          <w:sz w:val="14"/>
          <w:szCs w:val="14"/>
          <w:color w:val="auto"/>
        </w:rPr>
        <w:t>Of these units, 11,958 consist of time-based vesting RSUs, which vest ratably over a three-year period with the first vesting date on March 15, 2018; and 5,975 consist of performance-based vesting RSUs, which subject to meeting the performance conditions vest on March 15, 2020.</w:t>
      </w:r>
    </w:p>
    <w:p>
      <w:pPr>
        <w:ind w:left="860" w:right="700" w:hanging="656"/>
        <w:spacing w:after="0" w:line="221" w:lineRule="auto"/>
        <w:tabs>
          <w:tab w:leader="none" w:pos="860" w:val="left"/>
        </w:tabs>
        <w:numPr>
          <w:ilvl w:val="0"/>
          <w:numId w:val="47"/>
        </w:numPr>
        <w:rPr>
          <w:rFonts w:ascii="Arial" w:cs="Arial" w:eastAsia="Arial" w:hAnsi="Arial"/>
          <w:sz w:val="14"/>
          <w:szCs w:val="14"/>
          <w:color w:val="auto"/>
        </w:rPr>
      </w:pPr>
      <w:r>
        <w:rPr>
          <w:rFonts w:ascii="Arial" w:cs="Arial" w:eastAsia="Arial" w:hAnsi="Arial"/>
          <w:sz w:val="14"/>
          <w:szCs w:val="14"/>
          <w:color w:val="auto"/>
        </w:rPr>
        <w:t>Of these units, 6,752 consist of time-based vesting RSUs, which vest ratably over a three-year period with the first vesting date on March 15, 2018, and 3,374 consist of performance-based vesting RSUs, which subject to meeting the performance conditions vest on March 15, 2020.</w:t>
      </w:r>
    </w:p>
    <w:p>
      <w:pPr>
        <w:ind w:left="860" w:hanging="656"/>
        <w:spacing w:after="0"/>
        <w:tabs>
          <w:tab w:leader="none" w:pos="860" w:val="left"/>
        </w:tabs>
        <w:numPr>
          <w:ilvl w:val="0"/>
          <w:numId w:val="47"/>
        </w:numPr>
        <w:rPr>
          <w:rFonts w:ascii="Arial" w:cs="Arial" w:eastAsia="Arial" w:hAnsi="Arial"/>
          <w:sz w:val="14"/>
          <w:szCs w:val="14"/>
          <w:color w:val="auto"/>
        </w:rPr>
      </w:pPr>
      <w:r>
        <w:rPr>
          <w:rFonts w:ascii="Arial" w:cs="Arial" w:eastAsia="Arial" w:hAnsi="Arial"/>
          <w:sz w:val="14"/>
          <w:szCs w:val="14"/>
          <w:color w:val="auto"/>
        </w:rPr>
        <w:t>Market value computed by multiplying the closing market price of our stock on December 29, 2017, or $20.19, by the number of units.</w:t>
      </w:r>
    </w:p>
    <w:p>
      <w:pPr>
        <w:spacing w:after="0" w:line="124"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58</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40"/>
          </w:cols>
          <w:pgMar w:left="240" w:top="459" w:right="419" w:bottom="1440" w:gutter="0" w:footer="0" w:header="0"/>
        </w:sectPr>
      </w:pPr>
    </w:p>
    <w:bookmarkStart w:id="62" w:name="page63"/>
    <w:bookmarkEnd w:id="6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tbl>
      <w:tblPr>
        <w:tblLayout w:type="fixed"/>
        <w:tblInd w:w="220" w:type="dxa"/>
        <w:tblCellMar>
          <w:top w:w="0" w:type="dxa"/>
          <w:left w:w="0" w:type="dxa"/>
          <w:bottom w:w="0" w:type="dxa"/>
          <w:right w:w="0" w:type="dxa"/>
        </w:tblCellMar>
      </w:tblPr>
      <w:tr>
        <w:trPr>
          <w:trHeight w:val="182"/>
        </w:trPr>
        <w:tc>
          <w:tcPr>
            <w:tcW w:w="5340" w:type="dxa"/>
            <w:vAlign w:val="bottom"/>
          </w:tcPr>
          <w:p>
            <w:pPr>
              <w:spacing w:after="0"/>
              <w:rPr>
                <w:sz w:val="15"/>
                <w:szCs w:val="15"/>
                <w:color w:val="auto"/>
              </w:rPr>
            </w:pPr>
          </w:p>
        </w:tc>
        <w:tc>
          <w:tcPr>
            <w:tcW w:w="3040" w:type="dxa"/>
            <w:vAlign w:val="bottom"/>
          </w:tcPr>
          <w:p>
            <w:pPr>
              <w:spacing w:after="0"/>
              <w:rPr>
                <w:sz w:val="15"/>
                <w:szCs w:val="15"/>
                <w:color w:val="auto"/>
              </w:rPr>
            </w:pPr>
          </w:p>
        </w:tc>
        <w:tc>
          <w:tcPr>
            <w:tcW w:w="2640" w:type="dxa"/>
            <w:vAlign w:val="bottom"/>
          </w:tcPr>
          <w:p>
            <w:pPr>
              <w:jc w:val="right"/>
              <w:spacing w:after="0"/>
              <w:rPr>
                <w:sz w:val="20"/>
                <w:szCs w:val="20"/>
                <w:color w:val="auto"/>
              </w:rPr>
            </w:pPr>
            <w:r>
              <w:rPr>
                <w:rFonts w:ascii="Arial" w:cs="Arial" w:eastAsia="Arial" w:hAnsi="Arial"/>
                <w:sz w:val="14"/>
                <w:szCs w:val="14"/>
                <w:color w:val="407CCA"/>
              </w:rPr>
              <w:t>EXECUTIVE COMPENSATION</w:t>
            </w:r>
          </w:p>
        </w:tc>
        <w:tc>
          <w:tcPr>
            <w:tcW w:w="0" w:type="dxa"/>
            <w:vAlign w:val="bottom"/>
          </w:tcPr>
          <w:p>
            <w:pPr>
              <w:spacing w:after="0"/>
              <w:rPr>
                <w:sz w:val="1"/>
                <w:szCs w:val="1"/>
                <w:color w:val="auto"/>
              </w:rPr>
            </w:pPr>
          </w:p>
        </w:tc>
      </w:tr>
      <w:tr>
        <w:trPr>
          <w:trHeight w:val="53"/>
        </w:trPr>
        <w:tc>
          <w:tcPr>
            <w:tcW w:w="8380" w:type="dxa"/>
            <w:vAlign w:val="bottom"/>
            <w:tcBorders>
              <w:bottom w:val="single" w:sz="8" w:color="407CCA"/>
            </w:tcBorders>
            <w:gridSpan w:val="2"/>
          </w:tcPr>
          <w:p>
            <w:pPr>
              <w:spacing w:after="0"/>
              <w:rPr>
                <w:sz w:val="4"/>
                <w:szCs w:val="4"/>
                <w:color w:val="auto"/>
              </w:rPr>
            </w:pPr>
          </w:p>
        </w:tc>
        <w:tc>
          <w:tcPr>
            <w:tcW w:w="2640" w:type="dxa"/>
            <w:vAlign w:val="bottom"/>
            <w:tcBorders>
              <w:bottom w:val="single" w:sz="8" w:color="407CCA"/>
            </w:tcBorders>
          </w:tcPr>
          <w:p>
            <w:pPr>
              <w:spacing w:after="0"/>
              <w:rPr>
                <w:sz w:val="4"/>
                <w:szCs w:val="4"/>
                <w:color w:val="auto"/>
              </w:rPr>
            </w:pPr>
          </w:p>
        </w:tc>
        <w:tc>
          <w:tcPr>
            <w:tcW w:w="0" w:type="dxa"/>
            <w:vAlign w:val="bottom"/>
          </w:tcPr>
          <w:p>
            <w:pPr>
              <w:spacing w:after="0"/>
              <w:rPr>
                <w:sz w:val="1"/>
                <w:szCs w:val="1"/>
                <w:color w:val="auto"/>
              </w:rPr>
            </w:pPr>
          </w:p>
        </w:tc>
      </w:tr>
      <w:tr>
        <w:trPr>
          <w:trHeight w:val="385"/>
        </w:trPr>
        <w:tc>
          <w:tcPr>
            <w:tcW w:w="8380" w:type="dxa"/>
            <w:vAlign w:val="bottom"/>
            <w:gridSpan w:val="2"/>
          </w:tcPr>
          <w:p>
            <w:pPr>
              <w:ind w:left="760"/>
              <w:spacing w:after="0"/>
              <w:rPr>
                <w:sz w:val="20"/>
                <w:szCs w:val="20"/>
                <w:color w:val="auto"/>
              </w:rPr>
            </w:pPr>
            <w:r>
              <w:rPr>
                <w:rFonts w:ascii="Arial" w:cs="Arial" w:eastAsia="Arial" w:hAnsi="Arial"/>
                <w:sz w:val="18"/>
                <w:szCs w:val="18"/>
                <w:color w:val="auto"/>
                <w:w w:val="91"/>
              </w:rPr>
              <w:t>In this table we provide information about awards under the 2016 Plan that vested in 2017 for each NEO.</w:t>
            </w:r>
          </w:p>
        </w:tc>
        <w:tc>
          <w:tcPr>
            <w:tcW w:w="26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43"/>
        </w:trPr>
        <w:tc>
          <w:tcPr>
            <w:tcW w:w="5340" w:type="dxa"/>
            <w:vAlign w:val="bottom"/>
            <w:tcBorders>
              <w:bottom w:val="single" w:sz="8" w:color="407CCA"/>
            </w:tcBorders>
          </w:tcPr>
          <w:p>
            <w:pPr>
              <w:spacing w:after="0"/>
              <w:rPr>
                <w:sz w:val="21"/>
                <w:szCs w:val="21"/>
                <w:color w:val="auto"/>
              </w:rPr>
            </w:pPr>
          </w:p>
        </w:tc>
        <w:tc>
          <w:tcPr>
            <w:tcW w:w="3040" w:type="dxa"/>
            <w:vAlign w:val="bottom"/>
            <w:tcBorders>
              <w:bottom w:val="single" w:sz="8" w:color="407CCA"/>
            </w:tcBorders>
          </w:tcPr>
          <w:p>
            <w:pPr>
              <w:spacing w:after="0"/>
              <w:rPr>
                <w:sz w:val="21"/>
                <w:szCs w:val="21"/>
                <w:color w:val="auto"/>
              </w:rPr>
            </w:pPr>
          </w:p>
        </w:tc>
        <w:tc>
          <w:tcPr>
            <w:tcW w:w="2640" w:type="dxa"/>
            <w:vAlign w:val="bottom"/>
            <w:tcBorders>
              <w:bottom w:val="single" w:sz="8" w:color="407CCA"/>
            </w:tcBorders>
          </w:tcPr>
          <w:p>
            <w:pPr>
              <w:spacing w:after="0"/>
              <w:rPr>
                <w:sz w:val="21"/>
                <w:szCs w:val="21"/>
                <w:color w:val="auto"/>
              </w:rPr>
            </w:pPr>
          </w:p>
        </w:tc>
        <w:tc>
          <w:tcPr>
            <w:tcW w:w="0" w:type="dxa"/>
            <w:vAlign w:val="bottom"/>
          </w:tcPr>
          <w:p>
            <w:pPr>
              <w:spacing w:after="0"/>
              <w:rPr>
                <w:sz w:val="1"/>
                <w:szCs w:val="1"/>
                <w:color w:val="auto"/>
              </w:rPr>
            </w:pPr>
          </w:p>
        </w:tc>
      </w:tr>
      <w:tr>
        <w:trPr>
          <w:trHeight w:val="129"/>
        </w:trPr>
        <w:tc>
          <w:tcPr>
            <w:tcW w:w="5340" w:type="dxa"/>
            <w:vAlign w:val="bottom"/>
          </w:tcPr>
          <w:p>
            <w:pPr>
              <w:spacing w:after="0"/>
              <w:rPr>
                <w:sz w:val="11"/>
                <w:szCs w:val="11"/>
                <w:color w:val="auto"/>
              </w:rPr>
            </w:pPr>
          </w:p>
        </w:tc>
        <w:tc>
          <w:tcPr>
            <w:tcW w:w="3040" w:type="dxa"/>
            <w:vAlign w:val="bottom"/>
            <w:tcBorders>
              <w:bottom w:val="single" w:sz="8" w:color="407CCA"/>
            </w:tcBorders>
          </w:tcPr>
          <w:p>
            <w:pPr>
              <w:spacing w:after="0"/>
              <w:rPr>
                <w:sz w:val="11"/>
                <w:szCs w:val="11"/>
                <w:color w:val="auto"/>
              </w:rPr>
            </w:pPr>
          </w:p>
        </w:tc>
        <w:tc>
          <w:tcPr>
            <w:tcW w:w="2640" w:type="dxa"/>
            <w:vAlign w:val="bottom"/>
            <w:tcBorders>
              <w:bottom w:val="single" w:sz="8" w:color="407CCA"/>
            </w:tcBorders>
          </w:tcPr>
          <w:p>
            <w:pPr>
              <w:jc w:val="right"/>
              <w:ind w:right="1779"/>
              <w:spacing w:after="0" w:line="129" w:lineRule="exact"/>
              <w:rPr>
                <w:sz w:val="20"/>
                <w:szCs w:val="20"/>
                <w:color w:val="auto"/>
              </w:rPr>
            </w:pPr>
            <w:r>
              <w:rPr>
                <w:rFonts w:ascii="Arial" w:cs="Arial" w:eastAsia="Arial" w:hAnsi="Arial"/>
                <w:sz w:val="13"/>
                <w:szCs w:val="13"/>
                <w:b w:val="1"/>
                <w:bCs w:val="1"/>
                <w:color w:val="auto"/>
                <w:w w:val="88"/>
              </w:rPr>
              <w:t>Stock Awards</w:t>
            </w:r>
          </w:p>
        </w:tc>
        <w:tc>
          <w:tcPr>
            <w:tcW w:w="0" w:type="dxa"/>
            <w:vAlign w:val="bottom"/>
          </w:tcPr>
          <w:p>
            <w:pPr>
              <w:spacing w:after="0"/>
              <w:rPr>
                <w:sz w:val="1"/>
                <w:szCs w:val="1"/>
                <w:color w:val="auto"/>
              </w:rPr>
            </w:pPr>
          </w:p>
        </w:tc>
      </w:tr>
      <w:tr>
        <w:trPr>
          <w:trHeight w:val="110"/>
        </w:trPr>
        <w:tc>
          <w:tcPr>
            <w:tcW w:w="5340" w:type="dxa"/>
            <w:vAlign w:val="bottom"/>
            <w:vMerge w:val="restart"/>
          </w:tcPr>
          <w:p>
            <w:pPr>
              <w:ind w:left="80"/>
              <w:spacing w:after="0"/>
              <w:rPr>
                <w:sz w:val="20"/>
                <w:szCs w:val="20"/>
                <w:color w:val="auto"/>
              </w:rPr>
            </w:pPr>
            <w:r>
              <w:rPr>
                <w:rFonts w:ascii="Arial" w:cs="Arial" w:eastAsia="Arial" w:hAnsi="Arial"/>
                <w:sz w:val="18"/>
                <w:szCs w:val="18"/>
                <w:b w:val="1"/>
                <w:bCs w:val="1"/>
                <w:color w:val="auto"/>
              </w:rPr>
              <w:t>Name</w:t>
            </w:r>
          </w:p>
        </w:tc>
        <w:tc>
          <w:tcPr>
            <w:tcW w:w="3040" w:type="dxa"/>
            <w:vAlign w:val="bottom"/>
          </w:tcPr>
          <w:p>
            <w:pPr>
              <w:jc w:val="center"/>
              <w:ind w:left="1038"/>
              <w:spacing w:after="0" w:line="110" w:lineRule="exact"/>
              <w:rPr>
                <w:sz w:val="20"/>
                <w:szCs w:val="20"/>
                <w:color w:val="auto"/>
              </w:rPr>
            </w:pPr>
            <w:r>
              <w:rPr>
                <w:rFonts w:ascii="Arial" w:cs="Arial" w:eastAsia="Arial" w:hAnsi="Arial"/>
                <w:sz w:val="12"/>
                <w:szCs w:val="12"/>
                <w:b w:val="1"/>
                <w:bCs w:val="1"/>
                <w:color w:val="auto"/>
                <w:w w:val="93"/>
              </w:rPr>
              <w:t>Number of shares or units</w:t>
            </w:r>
          </w:p>
        </w:tc>
        <w:tc>
          <w:tcPr>
            <w:tcW w:w="26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67"/>
        </w:trPr>
        <w:tc>
          <w:tcPr>
            <w:tcW w:w="5340" w:type="dxa"/>
            <w:vAlign w:val="bottom"/>
            <w:tcBorders>
              <w:bottom w:val="single" w:sz="8" w:color="407CCA"/>
            </w:tcBorders>
            <w:vMerge w:val="continue"/>
          </w:tcPr>
          <w:p>
            <w:pPr>
              <w:spacing w:after="0"/>
              <w:rPr>
                <w:sz w:val="14"/>
                <w:szCs w:val="14"/>
                <w:color w:val="auto"/>
              </w:rPr>
            </w:pPr>
          </w:p>
        </w:tc>
        <w:tc>
          <w:tcPr>
            <w:tcW w:w="3040" w:type="dxa"/>
            <w:vAlign w:val="bottom"/>
            <w:tcBorders>
              <w:bottom w:val="single" w:sz="8" w:color="407CCA"/>
            </w:tcBorders>
          </w:tcPr>
          <w:p>
            <w:pPr>
              <w:jc w:val="center"/>
              <w:ind w:left="1018"/>
              <w:spacing w:after="0"/>
              <w:rPr>
                <w:sz w:val="20"/>
                <w:szCs w:val="20"/>
                <w:color w:val="auto"/>
              </w:rPr>
            </w:pPr>
            <w:r>
              <w:rPr>
                <w:rFonts w:ascii="Arial" w:cs="Arial" w:eastAsia="Arial" w:hAnsi="Arial"/>
                <w:sz w:val="13"/>
                <w:szCs w:val="13"/>
                <w:b w:val="1"/>
                <w:bCs w:val="1"/>
                <w:color w:val="auto"/>
                <w:w w:val="84"/>
              </w:rPr>
              <w:t>of stock acquired on vesting (#)</w:t>
            </w:r>
          </w:p>
        </w:tc>
        <w:tc>
          <w:tcPr>
            <w:tcW w:w="2640" w:type="dxa"/>
            <w:vAlign w:val="bottom"/>
            <w:tcBorders>
              <w:bottom w:val="single" w:sz="8" w:color="407CCA"/>
            </w:tcBorders>
          </w:tcPr>
          <w:p>
            <w:pPr>
              <w:jc w:val="right"/>
              <w:spacing w:after="0"/>
              <w:rPr>
                <w:sz w:val="20"/>
                <w:szCs w:val="20"/>
                <w:color w:val="auto"/>
              </w:rPr>
            </w:pPr>
            <w:r>
              <w:rPr>
                <w:rFonts w:ascii="Arial" w:cs="Arial" w:eastAsia="Arial" w:hAnsi="Arial"/>
                <w:sz w:val="13"/>
                <w:szCs w:val="13"/>
                <w:b w:val="1"/>
                <w:bCs w:val="1"/>
                <w:color w:val="auto"/>
              </w:rPr>
              <w:t>Value realized on vesting ($)</w:t>
            </w:r>
          </w:p>
        </w:tc>
        <w:tc>
          <w:tcPr>
            <w:tcW w:w="0" w:type="dxa"/>
            <w:vAlign w:val="bottom"/>
          </w:tcPr>
          <w:p>
            <w:pPr>
              <w:spacing w:after="0"/>
              <w:rPr>
                <w:sz w:val="1"/>
                <w:szCs w:val="1"/>
                <w:color w:val="auto"/>
              </w:rPr>
            </w:pPr>
          </w:p>
        </w:tc>
      </w:tr>
      <w:tr>
        <w:trPr>
          <w:trHeight w:val="210"/>
        </w:trPr>
        <w:tc>
          <w:tcPr>
            <w:tcW w:w="5340" w:type="dxa"/>
            <w:vAlign w:val="bottom"/>
            <w:shd w:val="clear" w:color="auto" w:fill="CCEEFF"/>
          </w:tcPr>
          <w:p>
            <w:pPr>
              <w:ind w:left="80"/>
              <w:spacing w:after="0"/>
              <w:rPr>
                <w:sz w:val="20"/>
                <w:szCs w:val="20"/>
                <w:color w:val="auto"/>
              </w:rPr>
            </w:pPr>
            <w:r>
              <w:rPr>
                <w:rFonts w:ascii="Arial" w:cs="Arial" w:eastAsia="Arial" w:hAnsi="Arial"/>
                <w:sz w:val="18"/>
                <w:szCs w:val="18"/>
                <w:color w:val="auto"/>
              </w:rPr>
              <w:t>Gary D. Kain</w:t>
            </w:r>
          </w:p>
        </w:tc>
        <w:tc>
          <w:tcPr>
            <w:tcW w:w="3040" w:type="dxa"/>
            <w:vAlign w:val="bottom"/>
            <w:shd w:val="clear" w:color="auto" w:fill="CCEEFF"/>
          </w:tcPr>
          <w:p>
            <w:pPr>
              <w:jc w:val="center"/>
              <w:ind w:left="1018"/>
              <w:spacing w:after="0"/>
              <w:rPr>
                <w:sz w:val="20"/>
                <w:szCs w:val="20"/>
                <w:color w:val="auto"/>
              </w:rPr>
            </w:pPr>
            <w:r>
              <w:rPr>
                <w:rFonts w:ascii="Arial" w:cs="Arial" w:eastAsia="Arial" w:hAnsi="Arial"/>
                <w:sz w:val="18"/>
                <w:szCs w:val="18"/>
                <w:b w:val="1"/>
                <w:bCs w:val="1"/>
                <w:color w:val="auto"/>
                <w:w w:val="99"/>
              </w:rPr>
              <w:t>–</w:t>
            </w:r>
          </w:p>
        </w:tc>
        <w:tc>
          <w:tcPr>
            <w:tcW w:w="2640" w:type="dxa"/>
            <w:vAlign w:val="bottom"/>
            <w:shd w:val="clear" w:color="auto" w:fill="CCEEFF"/>
          </w:tcPr>
          <w:p>
            <w:pPr>
              <w:jc w:val="center"/>
              <w:ind w:left="1019"/>
              <w:spacing w:after="0"/>
              <w:rPr>
                <w:sz w:val="20"/>
                <w:szCs w:val="20"/>
                <w:color w:val="auto"/>
              </w:rPr>
            </w:pPr>
            <w:r>
              <w:rPr>
                <w:rFonts w:ascii="Arial" w:cs="Arial" w:eastAsia="Arial" w:hAnsi="Arial"/>
                <w:sz w:val="18"/>
                <w:szCs w:val="18"/>
                <w:b w:val="1"/>
                <w:bCs w:val="1"/>
                <w:color w:val="auto"/>
                <w:w w:val="99"/>
              </w:rPr>
              <w:t>–</w:t>
            </w:r>
          </w:p>
        </w:tc>
        <w:tc>
          <w:tcPr>
            <w:tcW w:w="0" w:type="dxa"/>
            <w:vAlign w:val="bottom"/>
          </w:tcPr>
          <w:p>
            <w:pPr>
              <w:spacing w:after="0"/>
              <w:rPr>
                <w:sz w:val="1"/>
                <w:szCs w:val="1"/>
                <w:color w:val="auto"/>
              </w:rPr>
            </w:pPr>
          </w:p>
        </w:tc>
      </w:tr>
      <w:tr>
        <w:trPr>
          <w:trHeight w:val="216"/>
        </w:trPr>
        <w:tc>
          <w:tcPr>
            <w:tcW w:w="5340" w:type="dxa"/>
            <w:vAlign w:val="bottom"/>
          </w:tcPr>
          <w:p>
            <w:pPr>
              <w:ind w:left="80"/>
              <w:spacing w:after="0"/>
              <w:rPr>
                <w:sz w:val="20"/>
                <w:szCs w:val="20"/>
                <w:color w:val="auto"/>
              </w:rPr>
            </w:pPr>
            <w:r>
              <w:rPr>
                <w:rFonts w:ascii="Arial" w:cs="Arial" w:eastAsia="Arial" w:hAnsi="Arial"/>
                <w:sz w:val="18"/>
                <w:szCs w:val="18"/>
                <w:color w:val="auto"/>
              </w:rPr>
              <w:t>Peter J. Federico</w:t>
            </w:r>
          </w:p>
        </w:tc>
        <w:tc>
          <w:tcPr>
            <w:tcW w:w="3040" w:type="dxa"/>
            <w:vAlign w:val="bottom"/>
          </w:tcPr>
          <w:p>
            <w:pPr>
              <w:jc w:val="center"/>
              <w:ind w:left="1018"/>
              <w:spacing w:after="0"/>
              <w:rPr>
                <w:sz w:val="20"/>
                <w:szCs w:val="20"/>
                <w:color w:val="auto"/>
              </w:rPr>
            </w:pPr>
            <w:r>
              <w:rPr>
                <w:rFonts w:ascii="Arial" w:cs="Arial" w:eastAsia="Arial" w:hAnsi="Arial"/>
                <w:sz w:val="18"/>
                <w:szCs w:val="18"/>
                <w:color w:val="auto"/>
                <w:w w:val="90"/>
              </w:rPr>
              <w:t>15,347</w:t>
            </w:r>
          </w:p>
        </w:tc>
        <w:tc>
          <w:tcPr>
            <w:tcW w:w="2640" w:type="dxa"/>
            <w:vAlign w:val="bottom"/>
          </w:tcPr>
          <w:p>
            <w:pPr>
              <w:jc w:val="center"/>
              <w:ind w:left="1019"/>
              <w:spacing w:after="0"/>
              <w:rPr>
                <w:sz w:val="20"/>
                <w:szCs w:val="20"/>
                <w:color w:val="auto"/>
              </w:rPr>
            </w:pPr>
            <w:r>
              <w:rPr>
                <w:rFonts w:ascii="Arial" w:cs="Arial" w:eastAsia="Arial" w:hAnsi="Arial"/>
                <w:sz w:val="18"/>
                <w:szCs w:val="18"/>
                <w:color w:val="auto"/>
                <w:w w:val="89"/>
              </w:rPr>
              <w:t>313,386</w:t>
            </w:r>
          </w:p>
        </w:tc>
        <w:tc>
          <w:tcPr>
            <w:tcW w:w="0" w:type="dxa"/>
            <w:vAlign w:val="bottom"/>
          </w:tcPr>
          <w:p>
            <w:pPr>
              <w:spacing w:after="0"/>
              <w:rPr>
                <w:sz w:val="1"/>
                <w:szCs w:val="1"/>
                <w:color w:val="auto"/>
              </w:rPr>
            </w:pPr>
          </w:p>
        </w:tc>
      </w:tr>
      <w:tr>
        <w:trPr>
          <w:trHeight w:val="216"/>
        </w:trPr>
        <w:tc>
          <w:tcPr>
            <w:tcW w:w="5340" w:type="dxa"/>
            <w:vAlign w:val="bottom"/>
            <w:shd w:val="clear" w:color="auto" w:fill="CCEEFF"/>
          </w:tcPr>
          <w:p>
            <w:pPr>
              <w:ind w:left="80"/>
              <w:spacing w:after="0"/>
              <w:rPr>
                <w:sz w:val="20"/>
                <w:szCs w:val="20"/>
                <w:color w:val="auto"/>
              </w:rPr>
            </w:pPr>
            <w:r>
              <w:rPr>
                <w:rFonts w:ascii="Arial" w:cs="Arial" w:eastAsia="Arial" w:hAnsi="Arial"/>
                <w:sz w:val="18"/>
                <w:szCs w:val="18"/>
                <w:color w:val="auto"/>
              </w:rPr>
              <w:t>Christopher J. Kuehl</w:t>
            </w:r>
          </w:p>
        </w:tc>
        <w:tc>
          <w:tcPr>
            <w:tcW w:w="3040" w:type="dxa"/>
            <w:vAlign w:val="bottom"/>
            <w:shd w:val="clear" w:color="auto" w:fill="CCEEFF"/>
          </w:tcPr>
          <w:p>
            <w:pPr>
              <w:jc w:val="center"/>
              <w:ind w:left="1018"/>
              <w:spacing w:after="0"/>
              <w:rPr>
                <w:sz w:val="20"/>
                <w:szCs w:val="20"/>
                <w:color w:val="auto"/>
              </w:rPr>
            </w:pPr>
            <w:r>
              <w:rPr>
                <w:rFonts w:ascii="Arial" w:cs="Arial" w:eastAsia="Arial" w:hAnsi="Arial"/>
                <w:sz w:val="18"/>
                <w:szCs w:val="18"/>
                <w:color w:val="auto"/>
                <w:w w:val="90"/>
              </w:rPr>
              <w:t>22,255</w:t>
            </w:r>
          </w:p>
        </w:tc>
        <w:tc>
          <w:tcPr>
            <w:tcW w:w="2640" w:type="dxa"/>
            <w:vAlign w:val="bottom"/>
            <w:shd w:val="clear" w:color="auto" w:fill="CCEEFF"/>
          </w:tcPr>
          <w:p>
            <w:pPr>
              <w:jc w:val="center"/>
              <w:ind w:left="1019"/>
              <w:spacing w:after="0"/>
              <w:rPr>
                <w:sz w:val="20"/>
                <w:szCs w:val="20"/>
                <w:color w:val="auto"/>
              </w:rPr>
            </w:pPr>
            <w:r>
              <w:rPr>
                <w:rFonts w:ascii="Arial" w:cs="Arial" w:eastAsia="Arial" w:hAnsi="Arial"/>
                <w:sz w:val="18"/>
                <w:szCs w:val="18"/>
                <w:color w:val="auto"/>
                <w:w w:val="89"/>
              </w:rPr>
              <w:t>454,447</w:t>
            </w:r>
          </w:p>
        </w:tc>
        <w:tc>
          <w:tcPr>
            <w:tcW w:w="0" w:type="dxa"/>
            <w:vAlign w:val="bottom"/>
          </w:tcPr>
          <w:p>
            <w:pPr>
              <w:spacing w:after="0"/>
              <w:rPr>
                <w:sz w:val="1"/>
                <w:szCs w:val="1"/>
                <w:color w:val="auto"/>
              </w:rPr>
            </w:pPr>
          </w:p>
        </w:tc>
      </w:tr>
      <w:tr>
        <w:trPr>
          <w:trHeight w:val="216"/>
        </w:trPr>
        <w:tc>
          <w:tcPr>
            <w:tcW w:w="5340" w:type="dxa"/>
            <w:vAlign w:val="bottom"/>
          </w:tcPr>
          <w:p>
            <w:pPr>
              <w:ind w:left="60"/>
              <w:spacing w:after="0"/>
              <w:rPr>
                <w:sz w:val="20"/>
                <w:szCs w:val="20"/>
                <w:color w:val="auto"/>
              </w:rPr>
            </w:pPr>
            <w:r>
              <w:rPr>
                <w:rFonts w:ascii="Arial" w:cs="Arial" w:eastAsia="Arial" w:hAnsi="Arial"/>
                <w:sz w:val="18"/>
                <w:szCs w:val="18"/>
                <w:color w:val="auto"/>
              </w:rPr>
              <w:t>Aaron J. Pas</w:t>
            </w:r>
          </w:p>
        </w:tc>
        <w:tc>
          <w:tcPr>
            <w:tcW w:w="3040" w:type="dxa"/>
            <w:vAlign w:val="bottom"/>
          </w:tcPr>
          <w:p>
            <w:pPr>
              <w:jc w:val="center"/>
              <w:ind w:left="1018"/>
              <w:spacing w:after="0"/>
              <w:rPr>
                <w:sz w:val="20"/>
                <w:szCs w:val="20"/>
                <w:color w:val="auto"/>
              </w:rPr>
            </w:pPr>
            <w:r>
              <w:rPr>
                <w:rFonts w:ascii="Arial" w:cs="Arial" w:eastAsia="Arial" w:hAnsi="Arial"/>
                <w:sz w:val="18"/>
                <w:szCs w:val="18"/>
                <w:color w:val="auto"/>
                <w:w w:val="99"/>
              </w:rPr>
              <w:t>–</w:t>
            </w:r>
          </w:p>
        </w:tc>
        <w:tc>
          <w:tcPr>
            <w:tcW w:w="2640" w:type="dxa"/>
            <w:vAlign w:val="bottom"/>
          </w:tcPr>
          <w:p>
            <w:pPr>
              <w:jc w:val="center"/>
              <w:ind w:left="1019"/>
              <w:spacing w:after="0"/>
              <w:rPr>
                <w:sz w:val="20"/>
                <w:szCs w:val="20"/>
                <w:color w:val="auto"/>
              </w:rPr>
            </w:pPr>
            <w:r>
              <w:rPr>
                <w:rFonts w:ascii="Arial" w:cs="Arial" w:eastAsia="Arial" w:hAnsi="Arial"/>
                <w:sz w:val="18"/>
                <w:szCs w:val="18"/>
                <w:color w:val="auto"/>
                <w:w w:val="99"/>
              </w:rPr>
              <w:t>–</w:t>
            </w:r>
          </w:p>
        </w:tc>
        <w:tc>
          <w:tcPr>
            <w:tcW w:w="0" w:type="dxa"/>
            <w:vAlign w:val="bottom"/>
          </w:tcPr>
          <w:p>
            <w:pPr>
              <w:spacing w:after="0"/>
              <w:rPr>
                <w:sz w:val="1"/>
                <w:szCs w:val="1"/>
                <w:color w:val="auto"/>
              </w:rPr>
            </w:pPr>
          </w:p>
        </w:tc>
      </w:tr>
      <w:tr>
        <w:trPr>
          <w:trHeight w:val="216"/>
        </w:trPr>
        <w:tc>
          <w:tcPr>
            <w:tcW w:w="5340" w:type="dxa"/>
            <w:vAlign w:val="bottom"/>
            <w:tcBorders>
              <w:bottom w:val="single" w:sz="8" w:color="407CCA"/>
            </w:tcBorders>
            <w:shd w:val="clear" w:color="auto" w:fill="CCEEFF"/>
          </w:tcPr>
          <w:p>
            <w:pPr>
              <w:ind w:left="80"/>
              <w:spacing w:after="0"/>
              <w:rPr>
                <w:sz w:val="20"/>
                <w:szCs w:val="20"/>
                <w:color w:val="auto"/>
              </w:rPr>
            </w:pPr>
            <w:r>
              <w:rPr>
                <w:rFonts w:ascii="Arial" w:cs="Arial" w:eastAsia="Arial" w:hAnsi="Arial"/>
                <w:sz w:val="18"/>
                <w:szCs w:val="18"/>
                <w:color w:val="auto"/>
              </w:rPr>
              <w:t>Kenneth L. Pollack</w:t>
            </w:r>
          </w:p>
        </w:tc>
        <w:tc>
          <w:tcPr>
            <w:tcW w:w="3040" w:type="dxa"/>
            <w:vAlign w:val="bottom"/>
            <w:tcBorders>
              <w:bottom w:val="single" w:sz="8" w:color="407CCA"/>
            </w:tcBorders>
            <w:shd w:val="clear" w:color="auto" w:fill="CCEEFF"/>
          </w:tcPr>
          <w:p>
            <w:pPr>
              <w:jc w:val="center"/>
              <w:ind w:left="1018"/>
              <w:spacing w:after="0"/>
              <w:rPr>
                <w:sz w:val="20"/>
                <w:szCs w:val="20"/>
                <w:color w:val="auto"/>
              </w:rPr>
            </w:pPr>
            <w:r>
              <w:rPr>
                <w:rFonts w:ascii="Arial" w:cs="Arial" w:eastAsia="Arial" w:hAnsi="Arial"/>
                <w:sz w:val="18"/>
                <w:szCs w:val="18"/>
                <w:color w:val="auto"/>
                <w:w w:val="99"/>
              </w:rPr>
              <w:t>–</w:t>
            </w:r>
          </w:p>
        </w:tc>
        <w:tc>
          <w:tcPr>
            <w:tcW w:w="2640" w:type="dxa"/>
            <w:vAlign w:val="bottom"/>
            <w:tcBorders>
              <w:bottom w:val="single" w:sz="8" w:color="407CCA"/>
            </w:tcBorders>
            <w:shd w:val="clear" w:color="auto" w:fill="CCEEFF"/>
          </w:tcPr>
          <w:p>
            <w:pPr>
              <w:jc w:val="center"/>
              <w:ind w:left="1019"/>
              <w:spacing w:after="0"/>
              <w:rPr>
                <w:sz w:val="20"/>
                <w:szCs w:val="20"/>
                <w:color w:val="auto"/>
              </w:rPr>
            </w:pPr>
            <w:r>
              <w:rPr>
                <w:rFonts w:ascii="Arial" w:cs="Arial" w:eastAsia="Arial" w:hAnsi="Arial"/>
                <w:sz w:val="18"/>
                <w:szCs w:val="18"/>
                <w:color w:val="auto"/>
                <w:w w:val="99"/>
              </w:rPr>
              <w:t>–</w:t>
            </w:r>
          </w:p>
        </w:tc>
        <w:tc>
          <w:tcPr>
            <w:tcW w:w="0" w:type="dxa"/>
            <w:vAlign w:val="bottom"/>
          </w:tcPr>
          <w:p>
            <w:pPr>
              <w:spacing w:after="0"/>
              <w:rPr>
                <w:sz w:val="1"/>
                <w:szCs w:val="1"/>
                <w:color w:val="auto"/>
              </w:rPr>
            </w:pPr>
          </w:p>
        </w:tc>
      </w:tr>
    </w:tbl>
    <w:p>
      <w:pPr>
        <w:spacing w:after="0" w:line="306" w:lineRule="exact"/>
        <w:rPr>
          <w:sz w:val="20"/>
          <w:szCs w:val="20"/>
          <w:color w:val="auto"/>
        </w:rPr>
      </w:pPr>
    </w:p>
    <w:p>
      <w:pPr>
        <w:jc w:val="center"/>
        <w:ind w:right="7460"/>
        <w:spacing w:after="0"/>
        <w:rPr>
          <w:sz w:val="20"/>
          <w:szCs w:val="20"/>
          <w:color w:val="auto"/>
        </w:rPr>
      </w:pPr>
      <w:r>
        <w:rPr>
          <w:rFonts w:ascii="Arial" w:cs="Arial" w:eastAsia="Arial" w:hAnsi="Arial"/>
          <w:sz w:val="17"/>
          <w:szCs w:val="17"/>
          <w:b w:val="1"/>
          <w:bCs w:val="1"/>
          <w:color w:val="auto"/>
        </w:rPr>
        <w:t>Severance and Change of Control Payments</w:t>
      </w:r>
    </w:p>
    <w:p>
      <w:pPr>
        <w:spacing w:after="0" w:line="133"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Employment Agreements</w:t>
      </w:r>
    </w:p>
    <w:p>
      <w:pPr>
        <w:spacing w:after="0" w:line="117" w:lineRule="exact"/>
        <w:rPr>
          <w:sz w:val="20"/>
          <w:szCs w:val="20"/>
          <w:color w:val="auto"/>
        </w:rPr>
      </w:pPr>
    </w:p>
    <w:p>
      <w:pPr>
        <w:ind w:left="200" w:right="20" w:firstLine="771"/>
        <w:spacing w:after="0" w:line="264" w:lineRule="auto"/>
        <w:rPr>
          <w:sz w:val="20"/>
          <w:szCs w:val="20"/>
          <w:color w:val="auto"/>
        </w:rPr>
      </w:pPr>
      <w:r>
        <w:rPr>
          <w:rFonts w:ascii="Arial" w:cs="Arial" w:eastAsia="Arial" w:hAnsi="Arial"/>
          <w:sz w:val="18"/>
          <w:szCs w:val="18"/>
          <w:color w:val="auto"/>
        </w:rPr>
        <w:t>Each of the employment agreements with Messrs. Kain, Federico, Kuehl, and Pollack contains provisions for payments upon certain events as set forth below. References to severance and change of control provisions in the paragraphs below for Mr. Pollack are pursuant to his employment agreement that became effective January 1, 2018.</w:t>
      </w:r>
    </w:p>
    <w:p>
      <w:pPr>
        <w:spacing w:after="0" w:line="181"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Termination by the Board of Directors Without Cause or Termination by the Executive for Good Reason</w:t>
      </w:r>
    </w:p>
    <w:p>
      <w:pPr>
        <w:spacing w:after="0" w:line="117" w:lineRule="exact"/>
        <w:rPr>
          <w:sz w:val="20"/>
          <w:szCs w:val="20"/>
          <w:color w:val="auto"/>
        </w:rPr>
      </w:pPr>
    </w:p>
    <w:p>
      <w:pPr>
        <w:ind w:left="200" w:right="60" w:firstLine="771"/>
        <w:spacing w:after="0" w:line="285" w:lineRule="auto"/>
        <w:rPr>
          <w:sz w:val="20"/>
          <w:szCs w:val="20"/>
          <w:color w:val="auto"/>
        </w:rPr>
      </w:pPr>
      <w:r>
        <w:rPr>
          <w:rFonts w:ascii="Arial" w:cs="Arial" w:eastAsia="Arial" w:hAnsi="Arial"/>
          <w:sz w:val="16"/>
          <w:szCs w:val="16"/>
          <w:color w:val="auto"/>
        </w:rPr>
        <w:t>If the employment of Messrs. Kain, Federico, Kuehl, or Pollack terminates by reason of a Termination Without Cause or Termination For Good Reason, each as defined in their employment agreements, and such termination does not occur during the 21-month period (24-months in the case of Mr. Pollack) following a Change of Control, each such executive would be entitled to the following payments from the Company, as applicable, in addition to the payments listed below under “All Terminations”: (a) an amount equal to the product of (i) 2.5 for Mr. Kain, 1.5 for Mr. Federico or 1.0 for Mr. Kuehl and Mr. Pollack, multiplied by (ii) the sum of (A) the executive’s annual base salary at the time of such termination, plus (B) the target value of the executive’s annual cash bonus for the year in which such termination occurs (the “Severance Amount”), paid over 30, 18, 12 and 12 months to Messrs. Kain, Federico, Kuehl and Pollack, respectively; (b) a pro rata portion of the annual cash bonus the executive would have been entitled to receive if he had remained employed through December 31 of the year in which such termination occurs (as determined by the Compensation Committee but assuming that all qualitative and subjective performance metrics were achieved at their target level); (c) reimbursements under COBRA, or substitute payments, for the executive and his eligible dependents for up to 18 months (12 months in the case of Mr. Pollack); (d) acceleration of any outstanding unvested equity awards; and (e) if such termination had occurred on or prior to December 31, 2017 (for Mr. Kain) or occurs on or prior to December 31, 2018 (for Messrs. Federico and Kuehl), a pro rata portion of the aggregate target fair value of the executive’s annual long-term incentive award for the portion of the year elapsed prior to termination, payable in a single lump sum on the first payroll date following the 60</w:t>
      </w:r>
      <w:r>
        <w:rPr>
          <w:rFonts w:ascii="Arial" w:cs="Arial" w:eastAsia="Arial" w:hAnsi="Arial"/>
          <w:sz w:val="13"/>
          <w:szCs w:val="13"/>
          <w:color w:val="auto"/>
        </w:rPr>
        <w:t>th</w:t>
      </w:r>
      <w:r>
        <w:rPr>
          <w:rFonts w:ascii="Arial" w:cs="Arial" w:eastAsia="Arial" w:hAnsi="Arial"/>
          <w:sz w:val="16"/>
          <w:szCs w:val="16"/>
          <w:color w:val="auto"/>
        </w:rPr>
        <w:t xml:space="preserve"> day after termination (the “Pro Rata LTIA Payment”). In addition, if Mr. Kuehl remains unemployed on the first anniversary of such termination, he would be entitled to an amount equal to the product of 0.5, multiplied by the sum of his annual base salary at the time of such termination, plus the target value of his annual cash bonus for the year in which such termination occurred, paid over the following six months.</w:t>
      </w:r>
    </w:p>
    <w:p>
      <w:pPr>
        <w:spacing w:after="0" w:line="178" w:lineRule="exact"/>
        <w:rPr>
          <w:sz w:val="20"/>
          <w:szCs w:val="20"/>
          <w:color w:val="auto"/>
        </w:rPr>
      </w:pPr>
    </w:p>
    <w:p>
      <w:pPr>
        <w:ind w:left="980"/>
        <w:spacing w:after="0"/>
        <w:rPr>
          <w:sz w:val="20"/>
          <w:szCs w:val="20"/>
          <w:color w:val="auto"/>
        </w:rPr>
      </w:pPr>
      <w:r>
        <w:rPr>
          <w:rFonts w:ascii="Arial" w:cs="Arial" w:eastAsia="Arial" w:hAnsi="Arial"/>
          <w:sz w:val="17"/>
          <w:szCs w:val="17"/>
          <w:i w:val="1"/>
          <w:iCs w:val="1"/>
          <w:color w:val="407CCA"/>
        </w:rPr>
        <w:t>Termination by the Board of Directors Without Cause or Termination by the Executive For Good Reason Following a Change of Control</w:t>
      </w:r>
    </w:p>
    <w:p>
      <w:pPr>
        <w:spacing w:after="0" w:line="129" w:lineRule="exact"/>
        <w:rPr>
          <w:sz w:val="20"/>
          <w:szCs w:val="20"/>
          <w:color w:val="auto"/>
        </w:rPr>
      </w:pPr>
    </w:p>
    <w:p>
      <w:pPr>
        <w:ind w:left="200" w:right="360" w:firstLine="771"/>
        <w:spacing w:after="0" w:line="277" w:lineRule="auto"/>
        <w:rPr>
          <w:sz w:val="20"/>
          <w:szCs w:val="20"/>
          <w:color w:val="auto"/>
        </w:rPr>
      </w:pPr>
      <w:r>
        <w:rPr>
          <w:rFonts w:ascii="Arial" w:cs="Arial" w:eastAsia="Arial" w:hAnsi="Arial"/>
          <w:sz w:val="18"/>
          <w:szCs w:val="18"/>
          <w:color w:val="auto"/>
        </w:rPr>
        <w:t>If the employment of Messrs. Kain, Federico, Kuehl, or Pollack terminates by reason of a Termination Without Cause or Termination For Good Reason, and such termination occurs during the 21-month period</w:t>
      </w:r>
    </w:p>
    <w:p>
      <w:pPr>
        <w:spacing w:after="0" w:line="99" w:lineRule="exact"/>
        <w:rPr>
          <w:sz w:val="20"/>
          <w:szCs w:val="20"/>
          <w:color w:val="auto"/>
        </w:rPr>
      </w:pPr>
    </w:p>
    <w:p>
      <w:pPr>
        <w:jc w:val="right"/>
        <w:ind w:right="20"/>
        <w:spacing w:after="0"/>
        <w:tabs>
          <w:tab w:leader="none" w:pos="1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59</w:t>
      </w:r>
    </w:p>
    <w:p>
      <w:pPr>
        <w:sectPr>
          <w:pgSz w:w="11900" w:h="16838" w:orient="portrait"/>
          <w:cols w:equalWidth="0" w:num="1">
            <w:col w:w="11240"/>
          </w:cols>
          <w:pgMar w:left="240" w:top="459" w:right="419" w:bottom="1440" w:gutter="0" w:footer="0" w:header="0"/>
        </w:sectPr>
      </w:pPr>
    </w:p>
    <w:bookmarkStart w:id="63" w:name="page64"/>
    <w:bookmarkEnd w:id="6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200" w:right="80"/>
        <w:spacing w:after="0" w:line="271" w:lineRule="auto"/>
        <w:rPr>
          <w:sz w:val="20"/>
          <w:szCs w:val="20"/>
          <w:color w:val="auto"/>
        </w:rPr>
      </w:pPr>
      <w:r>
        <w:rPr>
          <w:rFonts w:ascii="Arial" w:cs="Arial" w:eastAsia="Arial" w:hAnsi="Arial"/>
          <w:sz w:val="17"/>
          <w:szCs w:val="17"/>
          <w:color w:val="auto"/>
        </w:rPr>
        <w:t>following a Change of Control (24-months in the case of Mr. Pollack), as defined in their employment agreements, each such executive would be entitled to the following (as applicable), in addition to the payments listed below under “All Terminations”: (a) an amount equal to the product of (i) 2.5 (for Mr. Kain), 1.5 (for Messrs. Federico or Kuehl) or 1.0 (for Mr. Pollack), multiplied by (ii) the sum of (A) the executive’s annual base salary at the time of such termination, plus (B) the target value of the executive’s annual cash bonus for the year in which such termination occurs, paid in a lump sum; (b) a pro rata portion of the target value of his annual cash bonus for the year in which such termination occurs; (c) COBRA reimbursements (or substitute payments) for him and his eligible dependents for up to 18 months (12 months in the case of Mr. Pollack); (d) acceleration of any outstanding unvested equity awards; and (e) if such termination occurs on or prior to December 31, 2017 (for Mr. Kain) or on or prior to December 31, 2018 (for Messrs. Federico and Kuehl), the Pro Rata LTIA Payment.</w:t>
      </w:r>
    </w:p>
    <w:p>
      <w:pPr>
        <w:spacing w:after="0" w:line="179"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Death or Disability</w:t>
      </w:r>
    </w:p>
    <w:p>
      <w:pPr>
        <w:spacing w:after="0" w:line="117" w:lineRule="exact"/>
        <w:rPr>
          <w:sz w:val="20"/>
          <w:szCs w:val="20"/>
          <w:color w:val="auto"/>
        </w:rPr>
      </w:pPr>
    </w:p>
    <w:p>
      <w:pPr>
        <w:ind w:left="200" w:right="20" w:firstLine="771"/>
        <w:spacing w:after="0" w:line="291" w:lineRule="auto"/>
        <w:rPr>
          <w:sz w:val="20"/>
          <w:szCs w:val="20"/>
          <w:color w:val="auto"/>
        </w:rPr>
      </w:pPr>
      <w:r>
        <w:rPr>
          <w:rFonts w:ascii="Arial" w:cs="Arial" w:eastAsia="Arial" w:hAnsi="Arial"/>
          <w:sz w:val="16"/>
          <w:szCs w:val="16"/>
          <w:color w:val="auto"/>
        </w:rPr>
        <w:t>If the employment period of Messrs. Kain, Federico, Kuehl, or Pollack terminates early by reason of death or disability, each executive (or his estate or eligible dependents, if applicable) is entitled to receive, in addition to the payments listed below under “All Terminations”: (i) a pro rata portion of the annual cash bonus the executive would have been entitled to receive if he had remained employed through December 31 of the year in which such termination occurs (as determined by the Compensation Committee but assuming that he achieved all qualitative and subjective performance metrics at their target level), payable in a lump sum; (ii) COBRA reimbursements (or substitute payments) for the executive and his eligible dependents for up to 18 months; (iii) acceleration of any outstanding unvested equity awards; and (iv) if such termination occurs on or prior to December 31, 2017 (for Mr. Kain) or on or prior to December 31, 2018 for Messrs. Federico and Kuehl, the Pro Rata LTIA Payment.</w:t>
      </w:r>
    </w:p>
    <w:p>
      <w:pPr>
        <w:spacing w:after="0" w:line="167"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All Terminations</w:t>
      </w:r>
    </w:p>
    <w:p>
      <w:pPr>
        <w:spacing w:after="0" w:line="117" w:lineRule="exact"/>
        <w:rPr>
          <w:sz w:val="20"/>
          <w:szCs w:val="20"/>
          <w:color w:val="auto"/>
        </w:rPr>
      </w:pPr>
    </w:p>
    <w:p>
      <w:pPr>
        <w:ind w:left="980"/>
        <w:spacing w:after="0"/>
        <w:rPr>
          <w:sz w:val="20"/>
          <w:szCs w:val="20"/>
          <w:color w:val="auto"/>
        </w:rPr>
      </w:pPr>
      <w:r>
        <w:rPr>
          <w:rFonts w:ascii="Arial" w:cs="Arial" w:eastAsia="Arial" w:hAnsi="Arial"/>
          <w:sz w:val="16"/>
          <w:szCs w:val="16"/>
          <w:color w:val="auto"/>
        </w:rPr>
        <w:t>If the employment period of Messrs. Kain, Federico, Kuehl, or Pollack terminates early for any reason, each executive is entitled to receive</w:t>
      </w:r>
    </w:p>
    <w:p>
      <w:pPr>
        <w:spacing w:after="0" w:line="46" w:lineRule="exact"/>
        <w:rPr>
          <w:sz w:val="20"/>
          <w:szCs w:val="20"/>
          <w:color w:val="auto"/>
        </w:rPr>
      </w:pPr>
    </w:p>
    <w:p>
      <w:pPr>
        <w:ind w:left="200" w:firstLine="4"/>
        <w:spacing w:after="0" w:line="254" w:lineRule="auto"/>
        <w:tabs>
          <w:tab w:leader="none" w:pos="415" w:val="left"/>
        </w:tabs>
        <w:numPr>
          <w:ilvl w:val="0"/>
          <w:numId w:val="48"/>
        </w:numPr>
        <w:rPr>
          <w:rFonts w:ascii="Arial" w:cs="Arial" w:eastAsia="Arial" w:hAnsi="Arial"/>
          <w:sz w:val="18"/>
          <w:szCs w:val="18"/>
          <w:color w:val="auto"/>
        </w:rPr>
      </w:pPr>
      <w:r>
        <w:rPr>
          <w:rFonts w:ascii="Arial" w:cs="Arial" w:eastAsia="Arial" w:hAnsi="Arial"/>
          <w:sz w:val="18"/>
          <w:szCs w:val="18"/>
          <w:color w:val="auto"/>
        </w:rPr>
        <w:t>any earned but unpaid base salary; (ii) any annual cash bonus that has been earned for a calendar year prior to termination but is unpaid (but only if not a Termination For Cause or a voluntary termination by the executive for any reason other than Good Reason); (iii) any unpaid reimbursable expenses that have been incurred by the executive; (iv) any plan benefits which by their terms extend beyond termination of employment; and (v) any COBRA benefits generally available to employees.</w:t>
      </w:r>
    </w:p>
    <w:p>
      <w:pPr>
        <w:spacing w:after="0" w:line="190" w:lineRule="exact"/>
        <w:rPr>
          <w:sz w:val="20"/>
          <w:szCs w:val="20"/>
          <w:color w:val="auto"/>
        </w:rPr>
      </w:pPr>
    </w:p>
    <w:p>
      <w:pPr>
        <w:ind w:left="200" w:right="260" w:firstLine="771"/>
        <w:spacing w:after="0" w:line="259" w:lineRule="auto"/>
        <w:rPr>
          <w:sz w:val="20"/>
          <w:szCs w:val="20"/>
          <w:color w:val="auto"/>
        </w:rPr>
      </w:pPr>
      <w:r>
        <w:rPr>
          <w:rFonts w:ascii="Arial" w:cs="Arial" w:eastAsia="Arial" w:hAnsi="Arial"/>
          <w:sz w:val="18"/>
          <w:szCs w:val="18"/>
          <w:color w:val="auto"/>
        </w:rPr>
        <w:t>In addition, each of the employments agreements contains a non-competition provision that prevents the officer from participating as an officer, employee, director, partner, stockholder, consultant or otherwise, in any type of business that engages in the Company’s business for a certain restricted period. Each of the employment agreements also contains a provision preventing the executive from soliciting any of our employees or interfering in a similar manner with our business during such restricted period.</w:t>
      </w:r>
    </w:p>
    <w:p>
      <w:pPr>
        <w:spacing w:after="0" w:line="187" w:lineRule="exact"/>
        <w:rPr>
          <w:sz w:val="20"/>
          <w:szCs w:val="20"/>
          <w:color w:val="auto"/>
        </w:rPr>
      </w:pPr>
    </w:p>
    <w:p>
      <w:pPr>
        <w:ind w:left="980"/>
        <w:spacing w:after="0"/>
        <w:rPr>
          <w:sz w:val="20"/>
          <w:szCs w:val="20"/>
          <w:color w:val="auto"/>
        </w:rPr>
      </w:pPr>
      <w:r>
        <w:rPr>
          <w:rFonts w:ascii="Arial" w:cs="Arial" w:eastAsia="Arial" w:hAnsi="Arial"/>
          <w:sz w:val="18"/>
          <w:szCs w:val="18"/>
          <w:i w:val="1"/>
          <w:iCs w:val="1"/>
          <w:color w:val="407CCA"/>
        </w:rPr>
        <w:t>Equity Plans</w:t>
      </w:r>
    </w:p>
    <w:p>
      <w:pPr>
        <w:spacing w:after="0" w:line="117" w:lineRule="exact"/>
        <w:rPr>
          <w:sz w:val="20"/>
          <w:szCs w:val="20"/>
          <w:color w:val="auto"/>
        </w:rPr>
      </w:pPr>
    </w:p>
    <w:p>
      <w:pPr>
        <w:ind w:left="200" w:right="20" w:firstLine="771"/>
        <w:spacing w:after="0" w:line="257" w:lineRule="auto"/>
        <w:rPr>
          <w:sz w:val="20"/>
          <w:szCs w:val="20"/>
          <w:color w:val="auto"/>
        </w:rPr>
      </w:pPr>
      <w:r>
        <w:rPr>
          <w:rFonts w:ascii="Arial" w:cs="Arial" w:eastAsia="Arial" w:hAnsi="Arial"/>
          <w:sz w:val="18"/>
          <w:szCs w:val="18"/>
          <w:color w:val="auto"/>
        </w:rPr>
        <w:t>The 2016 Plan includes “double-trigger” acceleration provisions with respect to the vesting of awards in connection with a Change of Control of the Company (as defined in the 2016 Plan). Under the 2016 Plan, the vesting of awards may accelerate in connection with a Change of Control where either (1) within a specified period the participant experiences a qualifying termination of employment or service, as applicable, in a manner described in the award agreement or (2) the award is not continued, assumed, or converted into a replacement award in a manner described in the applicable award agreement.</w:t>
      </w:r>
    </w:p>
    <w:p>
      <w:pPr>
        <w:spacing w:after="0" w:line="188" w:lineRule="exact"/>
        <w:rPr>
          <w:sz w:val="20"/>
          <w:szCs w:val="20"/>
          <w:color w:val="auto"/>
        </w:rPr>
      </w:pPr>
    </w:p>
    <w:p>
      <w:pPr>
        <w:ind w:left="200" w:right="240" w:firstLine="771"/>
        <w:spacing w:after="0" w:line="277" w:lineRule="auto"/>
        <w:rPr>
          <w:sz w:val="20"/>
          <w:szCs w:val="20"/>
          <w:color w:val="auto"/>
        </w:rPr>
      </w:pPr>
      <w:r>
        <w:rPr>
          <w:rFonts w:ascii="Arial" w:cs="Arial" w:eastAsia="Arial" w:hAnsi="Arial"/>
          <w:sz w:val="18"/>
          <w:szCs w:val="18"/>
          <w:color w:val="auto"/>
        </w:rPr>
        <w:t>The MTGE PIP also includes “double-trigger” acceleration provisions with respect to the vesting of awards in connection with a change of control of the Company or AMM, as defined in the MTGE PIP. Upon a</w:t>
      </w:r>
    </w:p>
    <w:p>
      <w:pPr>
        <w:spacing w:after="0" w:line="99"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60</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20"/>
          </w:cols>
          <w:pgMar w:left="240" w:top="459" w:right="439" w:bottom="1440" w:gutter="0" w:footer="0" w:header="0"/>
        </w:sectPr>
      </w:pPr>
    </w:p>
    <w:bookmarkStart w:id="64" w:name="page65"/>
    <w:bookmarkEnd w:id="6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200" w:right="80"/>
        <w:spacing w:after="0" w:line="286" w:lineRule="auto"/>
        <w:rPr>
          <w:sz w:val="20"/>
          <w:szCs w:val="20"/>
          <w:color w:val="auto"/>
        </w:rPr>
      </w:pPr>
      <w:r>
        <w:rPr>
          <w:rFonts w:ascii="Arial" w:cs="Arial" w:eastAsia="Arial" w:hAnsi="Arial"/>
          <w:sz w:val="17"/>
          <w:szCs w:val="17"/>
          <w:color w:val="auto"/>
        </w:rPr>
        <w:t>change of control where either (A) within 24 months following such change of control, the executive’s employment or service is terminated without cause or (B) the award is not continued, assumed, or converted into substantially similar replacement awards in connection with such change of control, or upon death or disability, the executive will become fully vested in his or her MTGE PIP award account.</w:t>
      </w:r>
    </w:p>
    <w:p>
      <w:pPr>
        <w:spacing w:after="0" w:line="166" w:lineRule="exact"/>
        <w:rPr>
          <w:sz w:val="20"/>
          <w:szCs w:val="20"/>
          <w:color w:val="auto"/>
        </w:rPr>
      </w:pPr>
    </w:p>
    <w:p>
      <w:pPr>
        <w:ind w:left="200" w:right="20" w:firstLine="771"/>
        <w:spacing w:after="0" w:line="272" w:lineRule="auto"/>
        <w:rPr>
          <w:sz w:val="20"/>
          <w:szCs w:val="20"/>
          <w:color w:val="auto"/>
        </w:rPr>
      </w:pPr>
      <w:r>
        <w:rPr>
          <w:rFonts w:ascii="Arial" w:cs="Arial" w:eastAsia="Arial" w:hAnsi="Arial"/>
          <w:sz w:val="17"/>
          <w:szCs w:val="17"/>
          <w:color w:val="auto"/>
        </w:rPr>
        <w:t>The following table summarizes the estimated payments to be made under the employment or letter agreement for each NEO at, following, or in connection with any termination of employment, including by the Company without cause or by the executive for good reason, death or disability and upon a change of control. In accordance with SEC regulations, the following table does not include any amount to be provided to an NEO under any arrangement that does not discriminate in scope, terms or operation in favor of the NEO and that are available generally to all salaried employees. Also, the following table does not duplicate information already provided in the outstanding equity awards at fiscal year-end table, except to the extent that the amount payable to the NEO would be enhanced by the termination event. The amounts in the following table are hypothetical and based on SEC regulations. Actual payments will depend on the circumstances and timing of any termination.</w:t>
      </w:r>
    </w:p>
    <w:p>
      <w:pPr>
        <w:spacing w:after="0" w:line="178" w:lineRule="exact"/>
        <w:rPr>
          <w:sz w:val="20"/>
          <w:szCs w:val="20"/>
          <w:color w:val="auto"/>
        </w:rPr>
      </w:pPr>
    </w:p>
    <w:p>
      <w:pPr>
        <w:ind w:left="200" w:right="140" w:firstLine="771"/>
        <w:spacing w:after="0" w:line="342" w:lineRule="auto"/>
        <w:rPr>
          <w:sz w:val="20"/>
          <w:szCs w:val="20"/>
          <w:color w:val="auto"/>
        </w:rPr>
      </w:pPr>
      <w:r>
        <w:rPr>
          <w:rFonts w:ascii="Arial" w:cs="Arial" w:eastAsia="Arial" w:hAnsi="Arial"/>
          <w:sz w:val="16"/>
          <w:szCs w:val="16"/>
          <w:color w:val="auto"/>
        </w:rPr>
        <w:t>In accordance with SEC regulations, for purposes of the quantitative disclosure in the following table, we have assumed that the termination took place on December 31, 2017, and that the price per share of our common stock is the closing market price as of December 29, 2017, or $20.19.</w:t>
      </w:r>
    </w:p>
    <w:p>
      <w:pPr>
        <w:spacing w:after="0" w:line="52"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61</w:t>
      </w:r>
    </w:p>
    <w:p>
      <w:pPr>
        <w:sectPr>
          <w:pgSz w:w="11900" w:h="16838" w:orient="portrait"/>
          <w:cols w:equalWidth="0" w:num="1">
            <w:col w:w="11220"/>
          </w:cols>
          <w:pgMar w:left="240" w:top="459" w:right="439" w:bottom="1440" w:gutter="0" w:footer="0" w:header="0"/>
        </w:sectPr>
      </w:pPr>
    </w:p>
    <w:bookmarkStart w:id="65" w:name="page66"/>
    <w:bookmarkEnd w:id="6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0">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5" w:lineRule="exact"/>
        <w:rPr>
          <w:sz w:val="20"/>
          <w:szCs w:val="20"/>
          <w:color w:val="auto"/>
        </w:rPr>
      </w:pPr>
    </w:p>
    <w:p>
      <w:pPr>
        <w:ind w:left="200"/>
        <w:spacing w:after="0"/>
        <w:rPr>
          <w:sz w:val="20"/>
          <w:szCs w:val="20"/>
          <w:color w:val="auto"/>
        </w:rPr>
      </w:pPr>
      <w:r>
        <w:rPr>
          <w:rFonts w:ascii="Arial" w:cs="Arial" w:eastAsia="Arial" w:hAnsi="Arial"/>
          <w:sz w:val="17"/>
          <w:szCs w:val="17"/>
          <w:b w:val="1"/>
          <w:bCs w:val="1"/>
          <w:color w:val="auto"/>
        </w:rPr>
        <w:t>The information below constitutes forward-looking statements for purposes of the Private Litigation Securities Reform Act of 1995.</w:t>
      </w:r>
    </w:p>
    <w:p>
      <w:pPr>
        <w:spacing w:after="0" w:line="262" w:lineRule="exact"/>
        <w:rPr>
          <w:sz w:val="20"/>
          <w:szCs w:val="20"/>
          <w:color w:val="auto"/>
        </w:rPr>
      </w:pPr>
    </w:p>
    <w:tbl>
      <w:tblPr>
        <w:tblLayout w:type="fixed"/>
        <w:tblInd w:w="200" w:type="dxa"/>
        <w:tblCellMar>
          <w:top w:w="0" w:type="dxa"/>
          <w:left w:w="0" w:type="dxa"/>
          <w:bottom w:w="0" w:type="dxa"/>
          <w:right w:w="0" w:type="dxa"/>
        </w:tblCellMar>
      </w:tblPr>
      <w:tr>
        <w:trPr>
          <w:trHeight w:val="130"/>
        </w:trPr>
        <w:tc>
          <w:tcPr>
            <w:tcW w:w="20" w:type="dxa"/>
            <w:vAlign w:val="bottom"/>
          </w:tcPr>
          <w:p>
            <w:pPr>
              <w:spacing w:after="0"/>
              <w:rPr>
                <w:sz w:val="11"/>
                <w:szCs w:val="11"/>
                <w:color w:val="auto"/>
              </w:rPr>
            </w:pPr>
          </w:p>
        </w:tc>
        <w:tc>
          <w:tcPr>
            <w:tcW w:w="3120" w:type="dxa"/>
            <w:vAlign w:val="bottom"/>
            <w:tcBorders>
              <w:top w:val="single" w:sz="8" w:color="407CCA"/>
            </w:tcBorders>
          </w:tcPr>
          <w:p>
            <w:pPr>
              <w:spacing w:after="0"/>
              <w:rPr>
                <w:sz w:val="11"/>
                <w:szCs w:val="11"/>
                <w:color w:val="auto"/>
              </w:rPr>
            </w:pPr>
          </w:p>
        </w:tc>
        <w:tc>
          <w:tcPr>
            <w:tcW w:w="2520" w:type="dxa"/>
            <w:vAlign w:val="bottom"/>
            <w:tcBorders>
              <w:top w:val="single" w:sz="8" w:color="407CCA"/>
            </w:tcBorders>
          </w:tcPr>
          <w:p>
            <w:pPr>
              <w:spacing w:after="0"/>
              <w:rPr>
                <w:sz w:val="11"/>
                <w:szCs w:val="11"/>
                <w:color w:val="auto"/>
              </w:rPr>
            </w:pPr>
          </w:p>
        </w:tc>
        <w:tc>
          <w:tcPr>
            <w:tcW w:w="2180" w:type="dxa"/>
            <w:vAlign w:val="bottom"/>
            <w:tcBorders>
              <w:top w:val="single" w:sz="8" w:color="407CCA"/>
            </w:tcBorders>
          </w:tcPr>
          <w:p>
            <w:pPr>
              <w:jc w:val="center"/>
              <w:ind w:right="256"/>
              <w:spacing w:after="0" w:line="131" w:lineRule="exact"/>
              <w:rPr>
                <w:sz w:val="20"/>
                <w:szCs w:val="20"/>
                <w:color w:val="auto"/>
              </w:rPr>
            </w:pPr>
            <w:r>
              <w:rPr>
                <w:rFonts w:ascii="Arial" w:cs="Arial" w:eastAsia="Arial" w:hAnsi="Arial"/>
                <w:sz w:val="13"/>
                <w:szCs w:val="13"/>
                <w:b w:val="1"/>
                <w:bCs w:val="1"/>
                <w:color w:val="auto"/>
                <w:w w:val="90"/>
              </w:rPr>
              <w:t>Termination by</w:t>
            </w:r>
          </w:p>
        </w:tc>
        <w:tc>
          <w:tcPr>
            <w:tcW w:w="1700" w:type="dxa"/>
            <w:vAlign w:val="bottom"/>
            <w:tcBorders>
              <w:top w:val="single" w:sz="8" w:color="407CCA"/>
            </w:tcBorders>
          </w:tcPr>
          <w:p>
            <w:pPr>
              <w:spacing w:after="0"/>
              <w:rPr>
                <w:sz w:val="11"/>
                <w:szCs w:val="11"/>
                <w:color w:val="auto"/>
              </w:rPr>
            </w:pPr>
          </w:p>
        </w:tc>
        <w:tc>
          <w:tcPr>
            <w:tcW w:w="1500" w:type="dxa"/>
            <w:vAlign w:val="bottom"/>
            <w:tcBorders>
              <w:top w:val="single" w:sz="8" w:color="407CCA"/>
            </w:tcBorders>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3120" w:type="dxa"/>
            <w:vAlign w:val="bottom"/>
          </w:tcPr>
          <w:p>
            <w:pPr>
              <w:spacing w:after="0"/>
              <w:rPr>
                <w:sz w:val="11"/>
                <w:szCs w:val="11"/>
                <w:color w:val="auto"/>
              </w:rPr>
            </w:pPr>
          </w:p>
        </w:tc>
        <w:tc>
          <w:tcPr>
            <w:tcW w:w="2520" w:type="dxa"/>
            <w:vAlign w:val="bottom"/>
          </w:tcPr>
          <w:p>
            <w:pPr>
              <w:spacing w:after="0"/>
              <w:rPr>
                <w:sz w:val="11"/>
                <w:szCs w:val="11"/>
                <w:color w:val="auto"/>
              </w:rPr>
            </w:pPr>
          </w:p>
        </w:tc>
        <w:tc>
          <w:tcPr>
            <w:tcW w:w="2180" w:type="dxa"/>
            <w:vAlign w:val="bottom"/>
          </w:tcPr>
          <w:p>
            <w:pPr>
              <w:jc w:val="center"/>
              <w:ind w:right="256"/>
              <w:spacing w:after="0" w:line="135" w:lineRule="exact"/>
              <w:rPr>
                <w:sz w:val="20"/>
                <w:szCs w:val="20"/>
                <w:color w:val="auto"/>
              </w:rPr>
            </w:pPr>
            <w:r>
              <w:rPr>
                <w:rFonts w:ascii="Arial" w:cs="Arial" w:eastAsia="Arial" w:hAnsi="Arial"/>
                <w:sz w:val="13"/>
                <w:szCs w:val="13"/>
                <w:b w:val="1"/>
                <w:bCs w:val="1"/>
                <w:color w:val="auto"/>
                <w:w w:val="89"/>
              </w:rPr>
              <w:t>Company Without</w:t>
            </w:r>
          </w:p>
        </w:tc>
        <w:tc>
          <w:tcPr>
            <w:tcW w:w="1700" w:type="dxa"/>
            <w:vAlign w:val="bottom"/>
          </w:tcPr>
          <w:p>
            <w:pPr>
              <w:spacing w:after="0"/>
              <w:rPr>
                <w:sz w:val="11"/>
                <w:szCs w:val="11"/>
                <w:color w:val="auto"/>
              </w:rPr>
            </w:pPr>
          </w:p>
        </w:tc>
        <w:tc>
          <w:tcPr>
            <w:tcW w:w="15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3120" w:type="dxa"/>
            <w:vAlign w:val="bottom"/>
          </w:tcPr>
          <w:p>
            <w:pPr>
              <w:spacing w:after="0"/>
              <w:rPr>
                <w:sz w:val="11"/>
                <w:szCs w:val="11"/>
                <w:color w:val="auto"/>
              </w:rPr>
            </w:pPr>
          </w:p>
        </w:tc>
        <w:tc>
          <w:tcPr>
            <w:tcW w:w="2520" w:type="dxa"/>
            <w:vAlign w:val="bottom"/>
          </w:tcPr>
          <w:p>
            <w:pPr>
              <w:spacing w:after="0"/>
              <w:rPr>
                <w:sz w:val="11"/>
                <w:szCs w:val="11"/>
                <w:color w:val="auto"/>
              </w:rPr>
            </w:pPr>
          </w:p>
        </w:tc>
        <w:tc>
          <w:tcPr>
            <w:tcW w:w="2180" w:type="dxa"/>
            <w:vAlign w:val="bottom"/>
          </w:tcPr>
          <w:p>
            <w:pPr>
              <w:jc w:val="center"/>
              <w:ind w:right="256"/>
              <w:spacing w:after="0" w:line="135" w:lineRule="exact"/>
              <w:rPr>
                <w:sz w:val="20"/>
                <w:szCs w:val="20"/>
                <w:color w:val="auto"/>
              </w:rPr>
            </w:pPr>
            <w:r>
              <w:rPr>
                <w:rFonts w:ascii="Arial" w:cs="Arial" w:eastAsia="Arial" w:hAnsi="Arial"/>
                <w:sz w:val="13"/>
                <w:szCs w:val="13"/>
                <w:b w:val="1"/>
                <w:bCs w:val="1"/>
                <w:color w:val="auto"/>
                <w:w w:val="86"/>
              </w:rPr>
              <w:t>Cause or</w:t>
            </w:r>
          </w:p>
        </w:tc>
        <w:tc>
          <w:tcPr>
            <w:tcW w:w="1700" w:type="dxa"/>
            <w:vAlign w:val="bottom"/>
          </w:tcPr>
          <w:p>
            <w:pPr>
              <w:spacing w:after="0"/>
              <w:rPr>
                <w:sz w:val="11"/>
                <w:szCs w:val="11"/>
                <w:color w:val="auto"/>
              </w:rPr>
            </w:pPr>
          </w:p>
        </w:tc>
        <w:tc>
          <w:tcPr>
            <w:tcW w:w="1500" w:type="dxa"/>
            <w:vAlign w:val="bottom"/>
          </w:tcPr>
          <w:p>
            <w:pPr>
              <w:jc w:val="center"/>
              <w:ind w:left="199"/>
              <w:spacing w:after="0" w:line="135" w:lineRule="exact"/>
              <w:rPr>
                <w:sz w:val="20"/>
                <w:szCs w:val="20"/>
                <w:color w:val="auto"/>
              </w:rPr>
            </w:pPr>
            <w:r>
              <w:rPr>
                <w:rFonts w:ascii="Arial" w:cs="Arial" w:eastAsia="Arial" w:hAnsi="Arial"/>
                <w:sz w:val="13"/>
                <w:szCs w:val="13"/>
                <w:b w:val="1"/>
                <w:bCs w:val="1"/>
                <w:color w:val="auto"/>
                <w:w w:val="87"/>
              </w:rPr>
              <w:t>Termination by</w:t>
            </w: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3120" w:type="dxa"/>
            <w:vAlign w:val="bottom"/>
          </w:tcPr>
          <w:p>
            <w:pPr>
              <w:spacing w:after="0"/>
              <w:rPr>
                <w:sz w:val="11"/>
                <w:szCs w:val="11"/>
                <w:color w:val="auto"/>
              </w:rPr>
            </w:pPr>
          </w:p>
        </w:tc>
        <w:tc>
          <w:tcPr>
            <w:tcW w:w="252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87"/>
              </w:rPr>
              <w:t>Termination by</w:t>
            </w:r>
          </w:p>
        </w:tc>
        <w:tc>
          <w:tcPr>
            <w:tcW w:w="2180" w:type="dxa"/>
            <w:vAlign w:val="bottom"/>
          </w:tcPr>
          <w:p>
            <w:pPr>
              <w:jc w:val="center"/>
              <w:ind w:right="256"/>
              <w:spacing w:after="0" w:line="135" w:lineRule="exact"/>
              <w:rPr>
                <w:sz w:val="20"/>
                <w:szCs w:val="20"/>
                <w:color w:val="auto"/>
              </w:rPr>
            </w:pPr>
            <w:r>
              <w:rPr>
                <w:rFonts w:ascii="Arial" w:cs="Arial" w:eastAsia="Arial" w:hAnsi="Arial"/>
                <w:sz w:val="13"/>
                <w:szCs w:val="13"/>
                <w:b w:val="1"/>
                <w:bCs w:val="1"/>
                <w:color w:val="auto"/>
                <w:w w:val="90"/>
              </w:rPr>
              <w:t>Termination by</w:t>
            </w:r>
          </w:p>
        </w:tc>
        <w:tc>
          <w:tcPr>
            <w:tcW w:w="1700" w:type="dxa"/>
            <w:vAlign w:val="bottom"/>
          </w:tcPr>
          <w:p>
            <w:pPr>
              <w:spacing w:after="0"/>
              <w:rPr>
                <w:sz w:val="11"/>
                <w:szCs w:val="11"/>
                <w:color w:val="auto"/>
              </w:rPr>
            </w:pPr>
          </w:p>
        </w:tc>
        <w:tc>
          <w:tcPr>
            <w:tcW w:w="1500" w:type="dxa"/>
            <w:vAlign w:val="bottom"/>
          </w:tcPr>
          <w:p>
            <w:pPr>
              <w:jc w:val="center"/>
              <w:ind w:left="199"/>
              <w:spacing w:after="0" w:line="135" w:lineRule="exact"/>
              <w:rPr>
                <w:sz w:val="20"/>
                <w:szCs w:val="20"/>
                <w:color w:val="auto"/>
              </w:rPr>
            </w:pPr>
            <w:r>
              <w:rPr>
                <w:rFonts w:ascii="Arial" w:cs="Arial" w:eastAsia="Arial" w:hAnsi="Arial"/>
                <w:sz w:val="13"/>
                <w:szCs w:val="13"/>
                <w:b w:val="1"/>
                <w:bCs w:val="1"/>
                <w:color w:val="auto"/>
                <w:w w:val="86"/>
              </w:rPr>
              <w:t>Company for Cause</w:t>
            </w: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3120" w:type="dxa"/>
            <w:vAlign w:val="bottom"/>
          </w:tcPr>
          <w:p>
            <w:pPr>
              <w:spacing w:after="0"/>
              <w:rPr>
                <w:sz w:val="11"/>
                <w:szCs w:val="11"/>
                <w:color w:val="auto"/>
              </w:rPr>
            </w:pPr>
          </w:p>
        </w:tc>
        <w:tc>
          <w:tcPr>
            <w:tcW w:w="252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89"/>
              </w:rPr>
              <w:t>Company Without</w:t>
            </w:r>
          </w:p>
        </w:tc>
        <w:tc>
          <w:tcPr>
            <w:tcW w:w="2180" w:type="dxa"/>
            <w:vAlign w:val="bottom"/>
          </w:tcPr>
          <w:p>
            <w:pPr>
              <w:jc w:val="center"/>
              <w:ind w:right="256"/>
              <w:spacing w:after="0" w:line="135" w:lineRule="exact"/>
              <w:rPr>
                <w:sz w:val="20"/>
                <w:szCs w:val="20"/>
                <w:color w:val="auto"/>
              </w:rPr>
            </w:pPr>
            <w:r>
              <w:rPr>
                <w:rFonts w:ascii="Arial" w:cs="Arial" w:eastAsia="Arial" w:hAnsi="Arial"/>
                <w:sz w:val="13"/>
                <w:szCs w:val="13"/>
                <w:b w:val="1"/>
                <w:bCs w:val="1"/>
                <w:color w:val="auto"/>
                <w:w w:val="88"/>
              </w:rPr>
              <w:t>Executive for</w:t>
            </w:r>
          </w:p>
        </w:tc>
        <w:tc>
          <w:tcPr>
            <w:tcW w:w="1700" w:type="dxa"/>
            <w:vAlign w:val="bottom"/>
          </w:tcPr>
          <w:p>
            <w:pPr>
              <w:spacing w:after="0"/>
              <w:rPr>
                <w:sz w:val="11"/>
                <w:szCs w:val="11"/>
                <w:color w:val="auto"/>
              </w:rPr>
            </w:pPr>
          </w:p>
        </w:tc>
        <w:tc>
          <w:tcPr>
            <w:tcW w:w="1500" w:type="dxa"/>
            <w:vAlign w:val="bottom"/>
          </w:tcPr>
          <w:p>
            <w:pPr>
              <w:jc w:val="center"/>
              <w:ind w:left="199"/>
              <w:spacing w:after="0" w:line="135" w:lineRule="exact"/>
              <w:rPr>
                <w:sz w:val="20"/>
                <w:szCs w:val="20"/>
                <w:color w:val="auto"/>
              </w:rPr>
            </w:pPr>
            <w:r>
              <w:rPr>
                <w:rFonts w:ascii="Arial" w:cs="Arial" w:eastAsia="Arial" w:hAnsi="Arial"/>
                <w:sz w:val="13"/>
                <w:szCs w:val="13"/>
                <w:b w:val="1"/>
                <w:bCs w:val="1"/>
                <w:color w:val="auto"/>
                <w:w w:val="91"/>
              </w:rPr>
              <w:t>or Voluntary</w:t>
            </w:r>
          </w:p>
        </w:tc>
        <w:tc>
          <w:tcPr>
            <w:tcW w:w="0" w:type="dxa"/>
            <w:vAlign w:val="bottom"/>
          </w:tcPr>
          <w:p>
            <w:pPr>
              <w:spacing w:after="0"/>
              <w:rPr>
                <w:sz w:val="1"/>
                <w:szCs w:val="1"/>
                <w:color w:val="auto"/>
              </w:rPr>
            </w:pPr>
          </w:p>
        </w:tc>
      </w:tr>
      <w:tr>
        <w:trPr>
          <w:trHeight w:val="135"/>
        </w:trPr>
        <w:tc>
          <w:tcPr>
            <w:tcW w:w="3140" w:type="dxa"/>
            <w:vAlign w:val="bottom"/>
            <w:gridSpan w:val="2"/>
            <w:vMerge w:val="restart"/>
          </w:tcPr>
          <w:p>
            <w:pPr>
              <w:spacing w:after="0"/>
              <w:rPr>
                <w:sz w:val="20"/>
                <w:szCs w:val="20"/>
                <w:color w:val="auto"/>
              </w:rPr>
            </w:pPr>
            <w:r>
              <w:rPr>
                <w:rFonts w:ascii="Arial" w:cs="Arial" w:eastAsia="Arial" w:hAnsi="Arial"/>
                <w:sz w:val="18"/>
                <w:szCs w:val="18"/>
                <w:b w:val="1"/>
                <w:bCs w:val="1"/>
                <w:color w:val="auto"/>
              </w:rPr>
              <w:t>NEO Benefits and Payments</w:t>
            </w:r>
          </w:p>
        </w:tc>
        <w:tc>
          <w:tcPr>
            <w:tcW w:w="252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88"/>
              </w:rPr>
              <w:t>Cause or Termination</w:t>
            </w:r>
          </w:p>
        </w:tc>
        <w:tc>
          <w:tcPr>
            <w:tcW w:w="2180" w:type="dxa"/>
            <w:vAlign w:val="bottom"/>
          </w:tcPr>
          <w:p>
            <w:pPr>
              <w:jc w:val="center"/>
              <w:ind w:right="256"/>
              <w:spacing w:after="0" w:line="135" w:lineRule="exact"/>
              <w:rPr>
                <w:sz w:val="20"/>
                <w:szCs w:val="20"/>
                <w:color w:val="auto"/>
              </w:rPr>
            </w:pPr>
            <w:r>
              <w:rPr>
                <w:rFonts w:ascii="Arial" w:cs="Arial" w:eastAsia="Arial" w:hAnsi="Arial"/>
                <w:sz w:val="13"/>
                <w:szCs w:val="13"/>
                <w:b w:val="1"/>
                <w:bCs w:val="1"/>
                <w:color w:val="auto"/>
                <w:w w:val="84"/>
              </w:rPr>
              <w:t>Good Reason, each in</w:t>
            </w:r>
          </w:p>
        </w:tc>
        <w:tc>
          <w:tcPr>
            <w:tcW w:w="1700" w:type="dxa"/>
            <w:vAlign w:val="bottom"/>
          </w:tcPr>
          <w:p>
            <w:pPr>
              <w:spacing w:after="0"/>
              <w:rPr>
                <w:sz w:val="11"/>
                <w:szCs w:val="11"/>
                <w:color w:val="auto"/>
              </w:rPr>
            </w:pPr>
          </w:p>
        </w:tc>
        <w:tc>
          <w:tcPr>
            <w:tcW w:w="1500" w:type="dxa"/>
            <w:vAlign w:val="bottom"/>
          </w:tcPr>
          <w:p>
            <w:pPr>
              <w:jc w:val="center"/>
              <w:ind w:left="199"/>
              <w:spacing w:after="0" w:line="135" w:lineRule="exact"/>
              <w:rPr>
                <w:sz w:val="20"/>
                <w:szCs w:val="20"/>
                <w:color w:val="auto"/>
              </w:rPr>
            </w:pPr>
            <w:r>
              <w:rPr>
                <w:rFonts w:ascii="Arial" w:cs="Arial" w:eastAsia="Arial" w:hAnsi="Arial"/>
                <w:sz w:val="13"/>
                <w:szCs w:val="13"/>
                <w:b w:val="1"/>
                <w:bCs w:val="1"/>
                <w:color w:val="auto"/>
                <w:w w:val="87"/>
              </w:rPr>
              <w:t>Termination by</w:t>
            </w:r>
          </w:p>
        </w:tc>
        <w:tc>
          <w:tcPr>
            <w:tcW w:w="0" w:type="dxa"/>
            <w:vAlign w:val="bottom"/>
          </w:tcPr>
          <w:p>
            <w:pPr>
              <w:spacing w:after="0"/>
              <w:rPr>
                <w:sz w:val="1"/>
                <w:szCs w:val="1"/>
                <w:color w:val="auto"/>
              </w:rPr>
            </w:pPr>
          </w:p>
        </w:tc>
      </w:tr>
      <w:tr>
        <w:trPr>
          <w:trHeight w:val="153"/>
        </w:trPr>
        <w:tc>
          <w:tcPr>
            <w:tcW w:w="3140" w:type="dxa"/>
            <w:vAlign w:val="bottom"/>
            <w:gridSpan w:val="2"/>
            <w:vMerge w:val="continue"/>
          </w:tcPr>
          <w:p>
            <w:pPr>
              <w:spacing w:after="0"/>
              <w:rPr>
                <w:sz w:val="13"/>
                <w:szCs w:val="13"/>
                <w:color w:val="auto"/>
              </w:rPr>
            </w:pPr>
          </w:p>
        </w:tc>
        <w:tc>
          <w:tcPr>
            <w:tcW w:w="2520" w:type="dxa"/>
            <w:vAlign w:val="bottom"/>
          </w:tcPr>
          <w:p>
            <w:pPr>
              <w:jc w:val="center"/>
              <w:spacing w:after="0"/>
              <w:rPr>
                <w:sz w:val="20"/>
                <w:szCs w:val="20"/>
                <w:color w:val="auto"/>
              </w:rPr>
            </w:pPr>
            <w:r>
              <w:rPr>
                <w:rFonts w:ascii="Arial" w:cs="Arial" w:eastAsia="Arial" w:hAnsi="Arial"/>
                <w:sz w:val="13"/>
                <w:szCs w:val="13"/>
                <w:b w:val="1"/>
                <w:bCs w:val="1"/>
                <w:color w:val="auto"/>
                <w:w w:val="87"/>
              </w:rPr>
              <w:t>by Executive for</w:t>
            </w:r>
          </w:p>
        </w:tc>
        <w:tc>
          <w:tcPr>
            <w:tcW w:w="2180" w:type="dxa"/>
            <w:vAlign w:val="bottom"/>
          </w:tcPr>
          <w:p>
            <w:pPr>
              <w:jc w:val="center"/>
              <w:ind w:right="276"/>
              <w:spacing w:after="0"/>
              <w:rPr>
                <w:sz w:val="20"/>
                <w:szCs w:val="20"/>
                <w:color w:val="auto"/>
              </w:rPr>
            </w:pPr>
            <w:r>
              <w:rPr>
                <w:rFonts w:ascii="Arial" w:cs="Arial" w:eastAsia="Arial" w:hAnsi="Arial"/>
                <w:sz w:val="13"/>
                <w:szCs w:val="13"/>
                <w:b w:val="1"/>
                <w:bCs w:val="1"/>
                <w:color w:val="auto"/>
                <w:w w:val="85"/>
              </w:rPr>
              <w:t>connection with a</w:t>
            </w:r>
          </w:p>
        </w:tc>
        <w:tc>
          <w:tcPr>
            <w:tcW w:w="1700" w:type="dxa"/>
            <w:vAlign w:val="bottom"/>
            <w:vMerge w:val="restart"/>
          </w:tcPr>
          <w:p>
            <w:pPr>
              <w:jc w:val="right"/>
              <w:ind w:right="252"/>
              <w:spacing w:after="0"/>
              <w:rPr>
                <w:sz w:val="20"/>
                <w:szCs w:val="20"/>
                <w:color w:val="auto"/>
              </w:rPr>
            </w:pPr>
            <w:r>
              <w:rPr>
                <w:rFonts w:ascii="Arial" w:cs="Arial" w:eastAsia="Arial" w:hAnsi="Arial"/>
                <w:sz w:val="13"/>
                <w:szCs w:val="13"/>
                <w:b w:val="1"/>
                <w:bCs w:val="1"/>
                <w:color w:val="auto"/>
              </w:rPr>
              <w:t>Death or Disability</w:t>
            </w:r>
          </w:p>
        </w:tc>
        <w:tc>
          <w:tcPr>
            <w:tcW w:w="1500" w:type="dxa"/>
            <w:vAlign w:val="bottom"/>
          </w:tcPr>
          <w:p>
            <w:pPr>
              <w:jc w:val="center"/>
              <w:ind w:left="199"/>
              <w:spacing w:after="0"/>
              <w:rPr>
                <w:sz w:val="20"/>
                <w:szCs w:val="20"/>
                <w:color w:val="auto"/>
              </w:rPr>
            </w:pPr>
            <w:r>
              <w:rPr>
                <w:rFonts w:ascii="Arial" w:cs="Arial" w:eastAsia="Arial" w:hAnsi="Arial"/>
                <w:sz w:val="13"/>
                <w:szCs w:val="13"/>
                <w:b w:val="1"/>
                <w:bCs w:val="1"/>
                <w:color w:val="auto"/>
                <w:w w:val="88"/>
              </w:rPr>
              <w:t>Executive without</w:t>
            </w:r>
          </w:p>
        </w:tc>
        <w:tc>
          <w:tcPr>
            <w:tcW w:w="0" w:type="dxa"/>
            <w:vAlign w:val="bottom"/>
          </w:tcPr>
          <w:p>
            <w:pPr>
              <w:spacing w:after="0"/>
              <w:rPr>
                <w:sz w:val="1"/>
                <w:szCs w:val="1"/>
                <w:color w:val="auto"/>
              </w:rPr>
            </w:pPr>
          </w:p>
        </w:tc>
      </w:tr>
      <w:tr>
        <w:trPr>
          <w:trHeight w:val="117"/>
        </w:trPr>
        <w:tc>
          <w:tcPr>
            <w:tcW w:w="3140" w:type="dxa"/>
            <w:vAlign w:val="bottom"/>
            <w:gridSpan w:val="2"/>
            <w:vMerge w:val="restart"/>
          </w:tcPr>
          <w:p>
            <w:pPr>
              <w:spacing w:after="0"/>
              <w:rPr>
                <w:sz w:val="20"/>
                <w:szCs w:val="20"/>
                <w:color w:val="auto"/>
              </w:rPr>
            </w:pPr>
            <w:r>
              <w:rPr>
                <w:rFonts w:ascii="Arial" w:cs="Arial" w:eastAsia="Arial" w:hAnsi="Arial"/>
                <w:sz w:val="18"/>
                <w:szCs w:val="18"/>
                <w:b w:val="1"/>
                <w:bCs w:val="1"/>
                <w:color w:val="auto"/>
              </w:rPr>
              <w:t>upon Termination</w:t>
            </w:r>
          </w:p>
        </w:tc>
        <w:tc>
          <w:tcPr>
            <w:tcW w:w="2520" w:type="dxa"/>
            <w:vAlign w:val="bottom"/>
          </w:tcPr>
          <w:p>
            <w:pPr>
              <w:jc w:val="center"/>
              <w:spacing w:after="0" w:line="117" w:lineRule="exact"/>
              <w:rPr>
                <w:sz w:val="20"/>
                <w:szCs w:val="20"/>
                <w:color w:val="auto"/>
              </w:rPr>
            </w:pPr>
            <w:r>
              <w:rPr>
                <w:rFonts w:ascii="Arial" w:cs="Arial" w:eastAsia="Arial" w:hAnsi="Arial"/>
                <w:sz w:val="13"/>
                <w:szCs w:val="13"/>
                <w:b w:val="1"/>
                <w:bCs w:val="1"/>
                <w:color w:val="auto"/>
                <w:w w:val="85"/>
              </w:rPr>
              <w:t>Good Reason</w:t>
            </w:r>
          </w:p>
        </w:tc>
        <w:tc>
          <w:tcPr>
            <w:tcW w:w="2180" w:type="dxa"/>
            <w:vAlign w:val="bottom"/>
          </w:tcPr>
          <w:p>
            <w:pPr>
              <w:jc w:val="center"/>
              <w:ind w:right="256"/>
              <w:spacing w:after="0" w:line="117" w:lineRule="exact"/>
              <w:rPr>
                <w:sz w:val="20"/>
                <w:szCs w:val="20"/>
                <w:color w:val="auto"/>
              </w:rPr>
            </w:pPr>
            <w:r>
              <w:rPr>
                <w:rFonts w:ascii="Arial" w:cs="Arial" w:eastAsia="Arial" w:hAnsi="Arial"/>
                <w:sz w:val="13"/>
                <w:szCs w:val="13"/>
                <w:b w:val="1"/>
                <w:bCs w:val="1"/>
                <w:color w:val="auto"/>
                <w:w w:val="88"/>
              </w:rPr>
              <w:t>Change in Control</w:t>
            </w:r>
          </w:p>
        </w:tc>
        <w:tc>
          <w:tcPr>
            <w:tcW w:w="1700" w:type="dxa"/>
            <w:vAlign w:val="bottom"/>
            <w:vMerge w:val="continue"/>
          </w:tcPr>
          <w:p>
            <w:pPr>
              <w:spacing w:after="0"/>
              <w:rPr>
                <w:sz w:val="10"/>
                <w:szCs w:val="10"/>
                <w:color w:val="auto"/>
              </w:rPr>
            </w:pPr>
          </w:p>
        </w:tc>
        <w:tc>
          <w:tcPr>
            <w:tcW w:w="1500" w:type="dxa"/>
            <w:vAlign w:val="bottom"/>
          </w:tcPr>
          <w:p>
            <w:pPr>
              <w:jc w:val="center"/>
              <w:ind w:left="199"/>
              <w:spacing w:after="0" w:line="117" w:lineRule="exact"/>
              <w:rPr>
                <w:sz w:val="20"/>
                <w:szCs w:val="20"/>
                <w:color w:val="auto"/>
              </w:rPr>
            </w:pPr>
            <w:r>
              <w:rPr>
                <w:rFonts w:ascii="Arial" w:cs="Arial" w:eastAsia="Arial" w:hAnsi="Arial"/>
                <w:sz w:val="13"/>
                <w:szCs w:val="13"/>
                <w:b w:val="1"/>
                <w:bCs w:val="1"/>
                <w:color w:val="auto"/>
                <w:w w:val="82"/>
              </w:rPr>
              <w:t>Good Reason</w:t>
            </w:r>
          </w:p>
        </w:tc>
        <w:tc>
          <w:tcPr>
            <w:tcW w:w="0" w:type="dxa"/>
            <w:vAlign w:val="bottom"/>
          </w:tcPr>
          <w:p>
            <w:pPr>
              <w:spacing w:after="0"/>
              <w:rPr>
                <w:sz w:val="1"/>
                <w:szCs w:val="1"/>
                <w:color w:val="auto"/>
              </w:rPr>
            </w:pPr>
          </w:p>
        </w:tc>
      </w:tr>
      <w:tr>
        <w:trPr>
          <w:trHeight w:val="153"/>
        </w:trPr>
        <w:tc>
          <w:tcPr>
            <w:tcW w:w="3140" w:type="dxa"/>
            <w:vAlign w:val="bottom"/>
            <w:gridSpan w:val="2"/>
            <w:vMerge w:val="continue"/>
          </w:tcPr>
          <w:p>
            <w:pPr>
              <w:spacing w:after="0"/>
              <w:rPr>
                <w:sz w:val="13"/>
                <w:szCs w:val="13"/>
                <w:color w:val="auto"/>
              </w:rPr>
            </w:pPr>
          </w:p>
        </w:tc>
        <w:tc>
          <w:tcPr>
            <w:tcW w:w="2520" w:type="dxa"/>
            <w:vAlign w:val="bottom"/>
          </w:tcPr>
          <w:p>
            <w:pPr>
              <w:jc w:val="right"/>
              <w:ind w:right="1114"/>
              <w:spacing w:after="0"/>
              <w:rPr>
                <w:sz w:val="20"/>
                <w:szCs w:val="20"/>
                <w:color w:val="auto"/>
              </w:rPr>
            </w:pPr>
            <w:r>
              <w:rPr>
                <w:rFonts w:ascii="Arial" w:cs="Arial" w:eastAsia="Arial" w:hAnsi="Arial"/>
                <w:sz w:val="13"/>
                <w:szCs w:val="13"/>
                <w:b w:val="1"/>
                <w:bCs w:val="1"/>
                <w:color w:val="auto"/>
              </w:rPr>
              <w:t>($)</w:t>
            </w:r>
          </w:p>
        </w:tc>
        <w:tc>
          <w:tcPr>
            <w:tcW w:w="2180" w:type="dxa"/>
            <w:vAlign w:val="bottom"/>
          </w:tcPr>
          <w:p>
            <w:pPr>
              <w:jc w:val="right"/>
              <w:ind w:right="1116"/>
              <w:spacing w:after="0"/>
              <w:rPr>
                <w:sz w:val="20"/>
                <w:szCs w:val="20"/>
                <w:color w:val="auto"/>
              </w:rPr>
            </w:pPr>
            <w:r>
              <w:rPr>
                <w:rFonts w:ascii="Arial" w:cs="Arial" w:eastAsia="Arial" w:hAnsi="Arial"/>
                <w:sz w:val="13"/>
                <w:szCs w:val="13"/>
                <w:b w:val="1"/>
                <w:bCs w:val="1"/>
                <w:color w:val="auto"/>
              </w:rPr>
              <w:t>($)</w:t>
            </w:r>
          </w:p>
        </w:tc>
        <w:tc>
          <w:tcPr>
            <w:tcW w:w="1700" w:type="dxa"/>
            <w:vAlign w:val="bottom"/>
          </w:tcPr>
          <w:p>
            <w:pPr>
              <w:jc w:val="right"/>
              <w:ind w:right="692"/>
              <w:spacing w:after="0"/>
              <w:rPr>
                <w:sz w:val="20"/>
                <w:szCs w:val="20"/>
                <w:color w:val="auto"/>
              </w:rPr>
            </w:pPr>
            <w:r>
              <w:rPr>
                <w:rFonts w:ascii="Arial" w:cs="Arial" w:eastAsia="Arial" w:hAnsi="Arial"/>
                <w:sz w:val="13"/>
                <w:szCs w:val="13"/>
                <w:b w:val="1"/>
                <w:bCs w:val="1"/>
                <w:color w:val="auto"/>
              </w:rPr>
              <w:t>($)</w:t>
            </w:r>
          </w:p>
        </w:tc>
        <w:tc>
          <w:tcPr>
            <w:tcW w:w="1500" w:type="dxa"/>
            <w:vAlign w:val="bottom"/>
          </w:tcPr>
          <w:p>
            <w:pPr>
              <w:jc w:val="center"/>
              <w:ind w:left="199"/>
              <w:spacing w:after="0"/>
              <w:rPr>
                <w:sz w:val="20"/>
                <w:szCs w:val="20"/>
                <w:color w:val="auto"/>
              </w:rPr>
            </w:pPr>
            <w:r>
              <w:rPr>
                <w:rFonts w:ascii="Arial" w:cs="Arial" w:eastAsia="Arial" w:hAnsi="Arial"/>
                <w:sz w:val="13"/>
                <w:szCs w:val="13"/>
                <w:b w:val="1"/>
                <w:bCs w:val="1"/>
                <w:color w:val="auto"/>
                <w:w w:val="87"/>
              </w:rPr>
              <w:t>($)</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120" w:type="dxa"/>
            <w:vAlign w:val="bottom"/>
            <w:tcBorders>
              <w:top w:val="single" w:sz="8" w:color="407CCA"/>
            </w:tcBorders>
            <w:shd w:val="clear" w:color="auto" w:fill="CCEEFF"/>
          </w:tcPr>
          <w:p>
            <w:pPr>
              <w:spacing w:after="0"/>
              <w:rPr>
                <w:sz w:val="20"/>
                <w:szCs w:val="20"/>
                <w:color w:val="auto"/>
              </w:rPr>
            </w:pPr>
            <w:r>
              <w:rPr>
                <w:rFonts w:ascii="Arial" w:cs="Arial" w:eastAsia="Arial" w:hAnsi="Arial"/>
                <w:sz w:val="18"/>
                <w:szCs w:val="18"/>
                <w:b w:val="1"/>
                <w:bCs w:val="1"/>
                <w:color w:val="auto"/>
              </w:rPr>
              <w:t>Gary D. Kain</w:t>
            </w:r>
          </w:p>
        </w:tc>
        <w:tc>
          <w:tcPr>
            <w:tcW w:w="2520" w:type="dxa"/>
            <w:vAlign w:val="bottom"/>
            <w:tcBorders>
              <w:top w:val="single" w:sz="8" w:color="407CCA"/>
            </w:tcBorders>
            <w:shd w:val="clear" w:color="auto" w:fill="CCEEFF"/>
          </w:tcPr>
          <w:p>
            <w:pPr>
              <w:spacing w:after="0"/>
              <w:rPr>
                <w:sz w:val="18"/>
                <w:szCs w:val="18"/>
                <w:color w:val="auto"/>
              </w:rPr>
            </w:pPr>
          </w:p>
        </w:tc>
        <w:tc>
          <w:tcPr>
            <w:tcW w:w="2180" w:type="dxa"/>
            <w:vAlign w:val="bottom"/>
            <w:tcBorders>
              <w:top w:val="single" w:sz="8" w:color="407CCA"/>
            </w:tcBorders>
            <w:shd w:val="clear" w:color="auto" w:fill="CCEEFF"/>
          </w:tcPr>
          <w:p>
            <w:pPr>
              <w:spacing w:after="0"/>
              <w:rPr>
                <w:sz w:val="18"/>
                <w:szCs w:val="18"/>
                <w:color w:val="auto"/>
              </w:rPr>
            </w:pPr>
          </w:p>
        </w:tc>
        <w:tc>
          <w:tcPr>
            <w:tcW w:w="1700" w:type="dxa"/>
            <w:vAlign w:val="bottom"/>
            <w:tcBorders>
              <w:top w:val="single" w:sz="8" w:color="407CCA"/>
            </w:tcBorders>
            <w:shd w:val="clear" w:color="auto" w:fill="CCEEFF"/>
          </w:tcPr>
          <w:p>
            <w:pPr>
              <w:spacing w:after="0"/>
              <w:rPr>
                <w:sz w:val="18"/>
                <w:szCs w:val="18"/>
                <w:color w:val="auto"/>
              </w:rPr>
            </w:pPr>
          </w:p>
        </w:tc>
        <w:tc>
          <w:tcPr>
            <w:tcW w:w="1500" w:type="dxa"/>
            <w:vAlign w:val="bottom"/>
            <w:tcBorders>
              <w:top w:val="single" w:sz="8" w:color="407CCA"/>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120" w:type="dxa"/>
            <w:vAlign w:val="bottom"/>
          </w:tcPr>
          <w:p>
            <w:pPr>
              <w:spacing w:after="0"/>
              <w:rPr>
                <w:sz w:val="20"/>
                <w:szCs w:val="20"/>
                <w:color w:val="auto"/>
              </w:rPr>
            </w:pPr>
            <w:r>
              <w:rPr>
                <w:rFonts w:ascii="Arial" w:cs="Arial" w:eastAsia="Arial" w:hAnsi="Arial"/>
                <w:sz w:val="18"/>
                <w:szCs w:val="18"/>
                <w:color w:val="auto"/>
              </w:rPr>
              <w:t>Severance Amount</w:t>
            </w:r>
          </w:p>
        </w:tc>
        <w:tc>
          <w:tcPr>
            <w:tcW w:w="2520" w:type="dxa"/>
            <w:vAlign w:val="bottom"/>
          </w:tcPr>
          <w:p>
            <w:pPr>
              <w:jc w:val="right"/>
              <w:ind w:right="414"/>
              <w:spacing w:after="0"/>
              <w:rPr>
                <w:sz w:val="20"/>
                <w:szCs w:val="20"/>
                <w:color w:val="auto"/>
              </w:rPr>
            </w:pPr>
            <w:r>
              <w:rPr>
                <w:rFonts w:ascii="Arial" w:cs="Arial" w:eastAsia="Arial" w:hAnsi="Arial"/>
                <w:sz w:val="18"/>
                <w:szCs w:val="18"/>
                <w:color w:val="auto"/>
              </w:rPr>
              <w:t>23,850,000</w:t>
            </w:r>
            <w:r>
              <w:rPr>
                <w:rFonts w:ascii="Arial" w:cs="Arial" w:eastAsia="Arial" w:hAnsi="Arial"/>
                <w:sz w:val="15"/>
                <w:szCs w:val="15"/>
                <w:color w:val="auto"/>
              </w:rPr>
              <w:t>(1)</w:t>
            </w:r>
          </w:p>
        </w:tc>
        <w:tc>
          <w:tcPr>
            <w:tcW w:w="2180" w:type="dxa"/>
            <w:vAlign w:val="bottom"/>
          </w:tcPr>
          <w:p>
            <w:pPr>
              <w:jc w:val="right"/>
              <w:ind w:right="416"/>
              <w:spacing w:after="0"/>
              <w:rPr>
                <w:sz w:val="20"/>
                <w:szCs w:val="20"/>
                <w:color w:val="auto"/>
              </w:rPr>
            </w:pPr>
            <w:r>
              <w:rPr>
                <w:rFonts w:ascii="Arial" w:cs="Arial" w:eastAsia="Arial" w:hAnsi="Arial"/>
                <w:sz w:val="18"/>
                <w:szCs w:val="18"/>
                <w:color w:val="auto"/>
              </w:rPr>
              <w:t>23,850,000</w:t>
            </w:r>
            <w:r>
              <w:rPr>
                <w:rFonts w:ascii="Arial" w:cs="Arial" w:eastAsia="Arial" w:hAnsi="Arial"/>
                <w:sz w:val="15"/>
                <w:szCs w:val="15"/>
                <w:color w:val="auto"/>
              </w:rPr>
              <w:t>(2)</w:t>
            </w:r>
          </w:p>
        </w:tc>
        <w:tc>
          <w:tcPr>
            <w:tcW w:w="1700" w:type="dxa"/>
            <w:vAlign w:val="bottom"/>
          </w:tcPr>
          <w:p>
            <w:pPr>
              <w:jc w:val="right"/>
              <w:ind w:right="692"/>
              <w:spacing w:after="0"/>
              <w:rPr>
                <w:sz w:val="20"/>
                <w:szCs w:val="20"/>
                <w:color w:val="auto"/>
              </w:rPr>
            </w:pPr>
            <w:r>
              <w:rPr>
                <w:rFonts w:ascii="Arial" w:cs="Arial" w:eastAsia="Arial" w:hAnsi="Arial"/>
                <w:sz w:val="18"/>
                <w:szCs w:val="18"/>
                <w:color w:val="auto"/>
              </w:rPr>
              <w:t>–</w:t>
            </w:r>
          </w:p>
        </w:tc>
        <w:tc>
          <w:tcPr>
            <w:tcW w:w="1500" w:type="dxa"/>
            <w:vAlign w:val="bottom"/>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120" w:type="dxa"/>
            <w:vAlign w:val="bottom"/>
            <w:shd w:val="clear" w:color="auto" w:fill="CCEEFF"/>
          </w:tcPr>
          <w:p>
            <w:pPr>
              <w:spacing w:after="0"/>
              <w:rPr>
                <w:sz w:val="20"/>
                <w:szCs w:val="20"/>
                <w:color w:val="auto"/>
              </w:rPr>
            </w:pPr>
            <w:r>
              <w:rPr>
                <w:rFonts w:ascii="Arial" w:cs="Arial" w:eastAsia="Arial" w:hAnsi="Arial"/>
                <w:sz w:val="18"/>
                <w:szCs w:val="18"/>
                <w:color w:val="auto"/>
              </w:rPr>
              <w:t>Base Salary</w:t>
            </w:r>
          </w:p>
        </w:tc>
        <w:tc>
          <w:tcPr>
            <w:tcW w:w="2520" w:type="dxa"/>
            <w:vAlign w:val="bottom"/>
            <w:shd w:val="clear" w:color="auto" w:fill="CCEEFF"/>
          </w:tcPr>
          <w:p>
            <w:pPr>
              <w:jc w:val="right"/>
              <w:ind w:right="1114"/>
              <w:spacing w:after="0"/>
              <w:rPr>
                <w:sz w:val="20"/>
                <w:szCs w:val="20"/>
                <w:color w:val="auto"/>
              </w:rPr>
            </w:pPr>
            <w:r>
              <w:rPr>
                <w:rFonts w:ascii="Arial" w:cs="Arial" w:eastAsia="Arial" w:hAnsi="Arial"/>
                <w:sz w:val="18"/>
                <w:szCs w:val="18"/>
                <w:color w:val="auto"/>
              </w:rPr>
              <w:t>–</w:t>
            </w:r>
          </w:p>
        </w:tc>
        <w:tc>
          <w:tcPr>
            <w:tcW w:w="2180" w:type="dxa"/>
            <w:vAlign w:val="bottom"/>
            <w:shd w:val="clear" w:color="auto" w:fill="CCEEFF"/>
          </w:tcPr>
          <w:p>
            <w:pPr>
              <w:jc w:val="right"/>
              <w:ind w:right="1096"/>
              <w:spacing w:after="0"/>
              <w:rPr>
                <w:sz w:val="20"/>
                <w:szCs w:val="20"/>
                <w:color w:val="auto"/>
              </w:rPr>
            </w:pPr>
            <w:r>
              <w:rPr>
                <w:rFonts w:ascii="Arial" w:cs="Arial" w:eastAsia="Arial" w:hAnsi="Arial"/>
                <w:sz w:val="18"/>
                <w:szCs w:val="18"/>
                <w:color w:val="auto"/>
              </w:rPr>
              <w:t>–</w:t>
            </w:r>
          </w:p>
        </w:tc>
        <w:tc>
          <w:tcPr>
            <w:tcW w:w="1700" w:type="dxa"/>
            <w:vAlign w:val="bottom"/>
            <w:shd w:val="clear" w:color="auto" w:fill="CCEEFF"/>
          </w:tcPr>
          <w:p>
            <w:pPr>
              <w:jc w:val="right"/>
              <w:ind w:right="692"/>
              <w:spacing w:after="0"/>
              <w:rPr>
                <w:sz w:val="20"/>
                <w:szCs w:val="20"/>
                <w:color w:val="auto"/>
              </w:rPr>
            </w:pPr>
            <w:r>
              <w:rPr>
                <w:rFonts w:ascii="Arial" w:cs="Arial" w:eastAsia="Arial" w:hAnsi="Arial"/>
                <w:sz w:val="18"/>
                <w:szCs w:val="18"/>
                <w:color w:val="auto"/>
              </w:rPr>
              <w:t>–</w:t>
            </w:r>
          </w:p>
        </w:tc>
        <w:tc>
          <w:tcPr>
            <w:tcW w:w="1500" w:type="dxa"/>
            <w:vAlign w:val="bottom"/>
            <w:shd w:val="clear" w:color="auto" w:fill="CCEEFF"/>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120" w:type="dxa"/>
            <w:vAlign w:val="bottom"/>
          </w:tcPr>
          <w:p>
            <w:pPr>
              <w:spacing w:after="0"/>
              <w:rPr>
                <w:sz w:val="20"/>
                <w:szCs w:val="20"/>
                <w:color w:val="auto"/>
              </w:rPr>
            </w:pPr>
            <w:r>
              <w:rPr>
                <w:rFonts w:ascii="Arial" w:cs="Arial" w:eastAsia="Arial" w:hAnsi="Arial"/>
                <w:sz w:val="18"/>
                <w:szCs w:val="18"/>
                <w:color w:val="auto"/>
              </w:rPr>
              <w:t>Cash Bonus</w:t>
            </w:r>
            <w:r>
              <w:rPr>
                <w:rFonts w:ascii="Arial" w:cs="Arial" w:eastAsia="Arial" w:hAnsi="Arial"/>
                <w:sz w:val="15"/>
                <w:szCs w:val="15"/>
                <w:color w:val="auto"/>
              </w:rPr>
              <w:t>(3)</w:t>
            </w:r>
          </w:p>
        </w:tc>
        <w:tc>
          <w:tcPr>
            <w:tcW w:w="2520" w:type="dxa"/>
            <w:vAlign w:val="bottom"/>
          </w:tcPr>
          <w:p>
            <w:pPr>
              <w:jc w:val="right"/>
              <w:ind w:right="594"/>
              <w:spacing w:after="0"/>
              <w:rPr>
                <w:sz w:val="20"/>
                <w:szCs w:val="20"/>
                <w:color w:val="auto"/>
              </w:rPr>
            </w:pPr>
            <w:r>
              <w:rPr>
                <w:rFonts w:ascii="Arial" w:cs="Arial" w:eastAsia="Arial" w:hAnsi="Arial"/>
                <w:sz w:val="18"/>
                <w:szCs w:val="18"/>
                <w:color w:val="auto"/>
              </w:rPr>
              <w:t>6,140,000</w:t>
            </w:r>
          </w:p>
        </w:tc>
        <w:tc>
          <w:tcPr>
            <w:tcW w:w="2180" w:type="dxa"/>
            <w:vAlign w:val="bottom"/>
          </w:tcPr>
          <w:p>
            <w:pPr>
              <w:jc w:val="right"/>
              <w:ind w:right="596"/>
              <w:spacing w:after="0"/>
              <w:rPr>
                <w:sz w:val="20"/>
                <w:szCs w:val="20"/>
                <w:color w:val="auto"/>
              </w:rPr>
            </w:pPr>
            <w:r>
              <w:rPr>
                <w:rFonts w:ascii="Arial" w:cs="Arial" w:eastAsia="Arial" w:hAnsi="Arial"/>
                <w:sz w:val="18"/>
                <w:szCs w:val="18"/>
                <w:color w:val="auto"/>
              </w:rPr>
              <w:t>6,140,000</w:t>
            </w:r>
          </w:p>
        </w:tc>
        <w:tc>
          <w:tcPr>
            <w:tcW w:w="1700" w:type="dxa"/>
            <w:vAlign w:val="bottom"/>
          </w:tcPr>
          <w:p>
            <w:pPr>
              <w:jc w:val="right"/>
              <w:ind w:right="252"/>
              <w:spacing w:after="0"/>
              <w:rPr>
                <w:sz w:val="20"/>
                <w:szCs w:val="20"/>
                <w:color w:val="auto"/>
              </w:rPr>
            </w:pPr>
            <w:r>
              <w:rPr>
                <w:rFonts w:ascii="Arial" w:cs="Arial" w:eastAsia="Arial" w:hAnsi="Arial"/>
                <w:sz w:val="18"/>
                <w:szCs w:val="18"/>
                <w:color w:val="auto"/>
              </w:rPr>
              <w:t>6,140,000</w:t>
            </w:r>
          </w:p>
        </w:tc>
        <w:tc>
          <w:tcPr>
            <w:tcW w:w="1500" w:type="dxa"/>
            <w:vAlign w:val="bottom"/>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120" w:type="dxa"/>
            <w:vAlign w:val="bottom"/>
            <w:shd w:val="clear" w:color="auto" w:fill="CCEEFF"/>
          </w:tcPr>
          <w:p>
            <w:pPr>
              <w:spacing w:after="0"/>
              <w:rPr>
                <w:sz w:val="20"/>
                <w:szCs w:val="20"/>
                <w:color w:val="auto"/>
              </w:rPr>
            </w:pPr>
            <w:r>
              <w:rPr>
                <w:rFonts w:ascii="Arial" w:cs="Arial" w:eastAsia="Arial" w:hAnsi="Arial"/>
                <w:sz w:val="18"/>
                <w:szCs w:val="18"/>
                <w:color w:val="auto"/>
              </w:rPr>
              <w:t>Accelerated Equity Awards</w:t>
            </w:r>
            <w:r>
              <w:rPr>
                <w:rFonts w:ascii="Arial" w:cs="Arial" w:eastAsia="Arial" w:hAnsi="Arial"/>
                <w:sz w:val="15"/>
                <w:szCs w:val="15"/>
                <w:color w:val="auto"/>
              </w:rPr>
              <w:t>(4)</w:t>
            </w:r>
          </w:p>
        </w:tc>
        <w:tc>
          <w:tcPr>
            <w:tcW w:w="2520" w:type="dxa"/>
            <w:vAlign w:val="bottom"/>
            <w:shd w:val="clear" w:color="auto" w:fill="CCEEFF"/>
          </w:tcPr>
          <w:p>
            <w:pPr>
              <w:jc w:val="right"/>
              <w:ind w:right="594"/>
              <w:spacing w:after="0"/>
              <w:rPr>
                <w:sz w:val="20"/>
                <w:szCs w:val="20"/>
                <w:color w:val="auto"/>
              </w:rPr>
            </w:pPr>
            <w:r>
              <w:rPr>
                <w:rFonts w:ascii="Arial" w:cs="Arial" w:eastAsia="Arial" w:hAnsi="Arial"/>
                <w:sz w:val="18"/>
                <w:szCs w:val="18"/>
                <w:color w:val="auto"/>
              </w:rPr>
              <w:t>5,213,583</w:t>
            </w:r>
          </w:p>
        </w:tc>
        <w:tc>
          <w:tcPr>
            <w:tcW w:w="2180" w:type="dxa"/>
            <w:vAlign w:val="bottom"/>
            <w:shd w:val="clear" w:color="auto" w:fill="CCEEFF"/>
          </w:tcPr>
          <w:p>
            <w:pPr>
              <w:jc w:val="right"/>
              <w:ind w:right="1096"/>
              <w:spacing w:after="0"/>
              <w:rPr>
                <w:sz w:val="20"/>
                <w:szCs w:val="20"/>
                <w:color w:val="auto"/>
              </w:rPr>
            </w:pPr>
            <w:r>
              <w:rPr>
                <w:rFonts w:ascii="Arial" w:cs="Arial" w:eastAsia="Arial" w:hAnsi="Arial"/>
                <w:sz w:val="18"/>
                <w:szCs w:val="18"/>
                <w:color w:val="auto"/>
              </w:rPr>
              <w:t>–</w:t>
            </w:r>
          </w:p>
        </w:tc>
        <w:tc>
          <w:tcPr>
            <w:tcW w:w="1700" w:type="dxa"/>
            <w:vAlign w:val="bottom"/>
            <w:shd w:val="clear" w:color="auto" w:fill="CCEEFF"/>
          </w:tcPr>
          <w:p>
            <w:pPr>
              <w:jc w:val="right"/>
              <w:ind w:right="692"/>
              <w:spacing w:after="0"/>
              <w:rPr>
                <w:sz w:val="20"/>
                <w:szCs w:val="20"/>
                <w:color w:val="auto"/>
              </w:rPr>
            </w:pPr>
            <w:r>
              <w:rPr>
                <w:rFonts w:ascii="Arial" w:cs="Arial" w:eastAsia="Arial" w:hAnsi="Arial"/>
                <w:sz w:val="18"/>
                <w:szCs w:val="18"/>
                <w:color w:val="auto"/>
              </w:rPr>
              <w:t>–</w:t>
            </w:r>
          </w:p>
        </w:tc>
        <w:tc>
          <w:tcPr>
            <w:tcW w:w="1500" w:type="dxa"/>
            <w:vAlign w:val="bottom"/>
            <w:shd w:val="clear" w:color="auto" w:fill="CCEEFF"/>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2"/>
        </w:trPr>
        <w:tc>
          <w:tcPr>
            <w:tcW w:w="20" w:type="dxa"/>
            <w:vAlign w:val="bottom"/>
          </w:tcPr>
          <w:p>
            <w:pPr>
              <w:spacing w:after="0"/>
              <w:rPr>
                <w:sz w:val="17"/>
                <w:szCs w:val="17"/>
                <w:color w:val="auto"/>
              </w:rPr>
            </w:pPr>
          </w:p>
        </w:tc>
        <w:tc>
          <w:tcPr>
            <w:tcW w:w="3120" w:type="dxa"/>
            <w:vAlign w:val="bottom"/>
          </w:tcPr>
          <w:p>
            <w:pPr>
              <w:spacing w:after="0" w:line="201" w:lineRule="exact"/>
              <w:rPr>
                <w:sz w:val="20"/>
                <w:szCs w:val="20"/>
                <w:color w:val="auto"/>
              </w:rPr>
            </w:pPr>
            <w:r>
              <w:rPr>
                <w:rFonts w:ascii="Arial" w:cs="Arial" w:eastAsia="Arial" w:hAnsi="Arial"/>
                <w:sz w:val="18"/>
                <w:szCs w:val="18"/>
                <w:color w:val="auto"/>
              </w:rPr>
              <w:t>Accelerated Non-Equity Incentive</w:t>
            </w:r>
          </w:p>
        </w:tc>
        <w:tc>
          <w:tcPr>
            <w:tcW w:w="2520" w:type="dxa"/>
            <w:vAlign w:val="bottom"/>
          </w:tcPr>
          <w:p>
            <w:pPr>
              <w:spacing w:after="0"/>
              <w:rPr>
                <w:sz w:val="17"/>
                <w:szCs w:val="17"/>
                <w:color w:val="auto"/>
              </w:rPr>
            </w:pPr>
          </w:p>
        </w:tc>
        <w:tc>
          <w:tcPr>
            <w:tcW w:w="2180" w:type="dxa"/>
            <w:vAlign w:val="bottom"/>
          </w:tcPr>
          <w:p>
            <w:pPr>
              <w:spacing w:after="0"/>
              <w:rPr>
                <w:sz w:val="17"/>
                <w:szCs w:val="17"/>
                <w:color w:val="auto"/>
              </w:rPr>
            </w:pPr>
          </w:p>
        </w:tc>
        <w:tc>
          <w:tcPr>
            <w:tcW w:w="1700" w:type="dxa"/>
            <w:vAlign w:val="bottom"/>
          </w:tcPr>
          <w:p>
            <w:pPr>
              <w:spacing w:after="0"/>
              <w:rPr>
                <w:sz w:val="17"/>
                <w:szCs w:val="17"/>
                <w:color w:val="auto"/>
              </w:rPr>
            </w:pPr>
          </w:p>
        </w:tc>
        <w:tc>
          <w:tcPr>
            <w:tcW w:w="15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3120" w:type="dxa"/>
            <w:vAlign w:val="bottom"/>
          </w:tcPr>
          <w:p>
            <w:pPr>
              <w:ind w:left="160"/>
              <w:spacing w:after="0"/>
              <w:rPr>
                <w:sz w:val="20"/>
                <w:szCs w:val="20"/>
                <w:color w:val="auto"/>
              </w:rPr>
            </w:pPr>
            <w:r>
              <w:rPr>
                <w:rFonts w:ascii="Arial" w:cs="Arial" w:eastAsia="Arial" w:hAnsi="Arial"/>
                <w:sz w:val="18"/>
                <w:szCs w:val="18"/>
                <w:color w:val="auto"/>
              </w:rPr>
              <w:t>Compensation</w:t>
            </w:r>
            <w:r>
              <w:rPr>
                <w:rFonts w:ascii="Arial" w:cs="Arial" w:eastAsia="Arial" w:hAnsi="Arial"/>
                <w:sz w:val="15"/>
                <w:szCs w:val="15"/>
                <w:color w:val="auto"/>
              </w:rPr>
              <w:t>(5)</w:t>
            </w:r>
          </w:p>
        </w:tc>
        <w:tc>
          <w:tcPr>
            <w:tcW w:w="2520" w:type="dxa"/>
            <w:vAlign w:val="bottom"/>
          </w:tcPr>
          <w:p>
            <w:pPr>
              <w:jc w:val="right"/>
              <w:ind w:right="594"/>
              <w:spacing w:after="0"/>
              <w:rPr>
                <w:sz w:val="20"/>
                <w:szCs w:val="20"/>
                <w:color w:val="auto"/>
              </w:rPr>
            </w:pPr>
            <w:r>
              <w:rPr>
                <w:rFonts w:ascii="Arial" w:cs="Arial" w:eastAsia="Arial" w:hAnsi="Arial"/>
                <w:sz w:val="18"/>
                <w:szCs w:val="18"/>
                <w:color w:val="auto"/>
              </w:rPr>
              <w:t>1,015,181</w:t>
            </w:r>
          </w:p>
        </w:tc>
        <w:tc>
          <w:tcPr>
            <w:tcW w:w="2180" w:type="dxa"/>
            <w:vAlign w:val="bottom"/>
          </w:tcPr>
          <w:p>
            <w:pPr>
              <w:jc w:val="right"/>
              <w:ind w:right="1096"/>
              <w:spacing w:after="0"/>
              <w:rPr>
                <w:sz w:val="20"/>
                <w:szCs w:val="20"/>
                <w:color w:val="auto"/>
              </w:rPr>
            </w:pPr>
            <w:r>
              <w:rPr>
                <w:rFonts w:ascii="Arial" w:cs="Arial" w:eastAsia="Arial" w:hAnsi="Arial"/>
                <w:sz w:val="18"/>
                <w:szCs w:val="18"/>
                <w:color w:val="auto"/>
              </w:rPr>
              <w:t>–</w:t>
            </w:r>
          </w:p>
        </w:tc>
        <w:tc>
          <w:tcPr>
            <w:tcW w:w="1700" w:type="dxa"/>
            <w:vAlign w:val="bottom"/>
          </w:tcPr>
          <w:p>
            <w:pPr>
              <w:jc w:val="right"/>
              <w:ind w:right="692"/>
              <w:spacing w:after="0"/>
              <w:rPr>
                <w:sz w:val="20"/>
                <w:szCs w:val="20"/>
                <w:color w:val="auto"/>
              </w:rPr>
            </w:pPr>
            <w:r>
              <w:rPr>
                <w:rFonts w:ascii="Arial" w:cs="Arial" w:eastAsia="Arial" w:hAnsi="Arial"/>
                <w:sz w:val="18"/>
                <w:szCs w:val="18"/>
                <w:color w:val="auto"/>
              </w:rPr>
              <w:t>–</w:t>
            </w:r>
          </w:p>
        </w:tc>
        <w:tc>
          <w:tcPr>
            <w:tcW w:w="15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120" w:type="dxa"/>
            <w:vAlign w:val="bottom"/>
            <w:shd w:val="clear" w:color="auto" w:fill="CCEEFF"/>
          </w:tcPr>
          <w:p>
            <w:pPr>
              <w:spacing w:after="0"/>
              <w:rPr>
                <w:sz w:val="20"/>
                <w:szCs w:val="20"/>
                <w:color w:val="auto"/>
              </w:rPr>
            </w:pPr>
            <w:r>
              <w:rPr>
                <w:rFonts w:ascii="Arial" w:cs="Arial" w:eastAsia="Arial" w:hAnsi="Arial"/>
                <w:sz w:val="18"/>
                <w:szCs w:val="18"/>
                <w:color w:val="auto"/>
              </w:rPr>
              <w:t>Pro Rata LTIA Payment</w:t>
            </w:r>
            <w:r>
              <w:rPr>
                <w:rFonts w:ascii="Arial" w:cs="Arial" w:eastAsia="Arial" w:hAnsi="Arial"/>
                <w:sz w:val="15"/>
                <w:szCs w:val="15"/>
                <w:color w:val="auto"/>
              </w:rPr>
              <w:t>(2)</w:t>
            </w:r>
          </w:p>
        </w:tc>
        <w:tc>
          <w:tcPr>
            <w:tcW w:w="2520" w:type="dxa"/>
            <w:vAlign w:val="bottom"/>
            <w:shd w:val="clear" w:color="auto" w:fill="CCEEFF"/>
          </w:tcPr>
          <w:p>
            <w:pPr>
              <w:jc w:val="right"/>
              <w:ind w:right="594"/>
              <w:spacing w:after="0"/>
              <w:rPr>
                <w:sz w:val="20"/>
                <w:szCs w:val="20"/>
                <w:color w:val="auto"/>
              </w:rPr>
            </w:pPr>
            <w:r>
              <w:rPr>
                <w:rFonts w:ascii="Arial" w:cs="Arial" w:eastAsia="Arial" w:hAnsi="Arial"/>
                <w:sz w:val="18"/>
                <w:szCs w:val="18"/>
                <w:color w:val="auto"/>
              </w:rPr>
              <w:t>5,400,000</w:t>
            </w:r>
          </w:p>
        </w:tc>
        <w:tc>
          <w:tcPr>
            <w:tcW w:w="2180" w:type="dxa"/>
            <w:vAlign w:val="bottom"/>
            <w:shd w:val="clear" w:color="auto" w:fill="CCEEFF"/>
          </w:tcPr>
          <w:p>
            <w:pPr>
              <w:jc w:val="right"/>
              <w:ind w:right="596"/>
              <w:spacing w:after="0"/>
              <w:rPr>
                <w:sz w:val="20"/>
                <w:szCs w:val="20"/>
                <w:color w:val="auto"/>
              </w:rPr>
            </w:pPr>
            <w:r>
              <w:rPr>
                <w:rFonts w:ascii="Arial" w:cs="Arial" w:eastAsia="Arial" w:hAnsi="Arial"/>
                <w:sz w:val="18"/>
                <w:szCs w:val="18"/>
                <w:color w:val="auto"/>
              </w:rPr>
              <w:t>5,400,000</w:t>
            </w:r>
          </w:p>
        </w:tc>
        <w:tc>
          <w:tcPr>
            <w:tcW w:w="1700" w:type="dxa"/>
            <w:vAlign w:val="bottom"/>
            <w:shd w:val="clear" w:color="auto" w:fill="CCEEFF"/>
          </w:tcPr>
          <w:p>
            <w:pPr>
              <w:jc w:val="right"/>
              <w:ind w:right="252"/>
              <w:spacing w:after="0"/>
              <w:rPr>
                <w:sz w:val="20"/>
                <w:szCs w:val="20"/>
                <w:color w:val="auto"/>
              </w:rPr>
            </w:pPr>
            <w:r>
              <w:rPr>
                <w:rFonts w:ascii="Arial" w:cs="Arial" w:eastAsia="Arial" w:hAnsi="Arial"/>
                <w:sz w:val="18"/>
                <w:szCs w:val="18"/>
                <w:color w:val="auto"/>
              </w:rPr>
              <w:t>5,400,000</w:t>
            </w:r>
          </w:p>
        </w:tc>
        <w:tc>
          <w:tcPr>
            <w:tcW w:w="15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120" w:type="dxa"/>
            <w:vAlign w:val="bottom"/>
            <w:tcBorders>
              <w:bottom w:val="single" w:sz="8" w:color="407CCA"/>
            </w:tcBorders>
          </w:tcPr>
          <w:p>
            <w:pPr>
              <w:spacing w:after="0"/>
              <w:rPr>
                <w:sz w:val="20"/>
                <w:szCs w:val="20"/>
                <w:color w:val="auto"/>
              </w:rPr>
            </w:pPr>
            <w:r>
              <w:rPr>
                <w:rFonts w:ascii="Arial" w:cs="Arial" w:eastAsia="Arial" w:hAnsi="Arial"/>
                <w:sz w:val="18"/>
                <w:szCs w:val="18"/>
                <w:color w:val="auto"/>
              </w:rPr>
              <w:t>Insurance Benefits</w:t>
            </w:r>
            <w:r>
              <w:rPr>
                <w:rFonts w:ascii="Arial" w:cs="Arial" w:eastAsia="Arial" w:hAnsi="Arial"/>
                <w:sz w:val="15"/>
                <w:szCs w:val="15"/>
                <w:color w:val="auto"/>
              </w:rPr>
              <w:t>(6)</w:t>
            </w:r>
          </w:p>
        </w:tc>
        <w:tc>
          <w:tcPr>
            <w:tcW w:w="2520" w:type="dxa"/>
            <w:vAlign w:val="bottom"/>
            <w:tcBorders>
              <w:bottom w:val="single" w:sz="8" w:color="407CCA"/>
            </w:tcBorders>
          </w:tcPr>
          <w:p>
            <w:pPr>
              <w:jc w:val="right"/>
              <w:ind w:right="594"/>
              <w:spacing w:after="0"/>
              <w:rPr>
                <w:sz w:val="20"/>
                <w:szCs w:val="20"/>
                <w:color w:val="auto"/>
              </w:rPr>
            </w:pPr>
            <w:r>
              <w:rPr>
                <w:rFonts w:ascii="Arial" w:cs="Arial" w:eastAsia="Arial" w:hAnsi="Arial"/>
                <w:sz w:val="18"/>
                <w:szCs w:val="18"/>
                <w:color w:val="auto"/>
              </w:rPr>
              <w:t>44,421</w:t>
            </w:r>
          </w:p>
        </w:tc>
        <w:tc>
          <w:tcPr>
            <w:tcW w:w="2180" w:type="dxa"/>
            <w:vAlign w:val="bottom"/>
            <w:tcBorders>
              <w:bottom w:val="single" w:sz="8" w:color="407CCA"/>
            </w:tcBorders>
          </w:tcPr>
          <w:p>
            <w:pPr>
              <w:jc w:val="right"/>
              <w:ind w:right="596"/>
              <w:spacing w:after="0"/>
              <w:rPr>
                <w:sz w:val="20"/>
                <w:szCs w:val="20"/>
                <w:color w:val="auto"/>
              </w:rPr>
            </w:pPr>
            <w:r>
              <w:rPr>
                <w:rFonts w:ascii="Arial" w:cs="Arial" w:eastAsia="Arial" w:hAnsi="Arial"/>
                <w:sz w:val="18"/>
                <w:szCs w:val="18"/>
                <w:color w:val="auto"/>
              </w:rPr>
              <w:t>44,421</w:t>
            </w:r>
          </w:p>
        </w:tc>
        <w:tc>
          <w:tcPr>
            <w:tcW w:w="1700" w:type="dxa"/>
            <w:vAlign w:val="bottom"/>
            <w:tcBorders>
              <w:bottom w:val="single" w:sz="8" w:color="407CCA"/>
            </w:tcBorders>
          </w:tcPr>
          <w:p>
            <w:pPr>
              <w:jc w:val="right"/>
              <w:ind w:right="252"/>
              <w:spacing w:after="0"/>
              <w:rPr>
                <w:sz w:val="20"/>
                <w:szCs w:val="20"/>
                <w:color w:val="auto"/>
              </w:rPr>
            </w:pPr>
            <w:r>
              <w:rPr>
                <w:rFonts w:ascii="Arial" w:cs="Arial" w:eastAsia="Arial" w:hAnsi="Arial"/>
                <w:sz w:val="18"/>
                <w:szCs w:val="18"/>
                <w:color w:val="auto"/>
              </w:rPr>
              <w:t>44,421</w:t>
            </w:r>
          </w:p>
        </w:tc>
        <w:tc>
          <w:tcPr>
            <w:tcW w:w="1500" w:type="dxa"/>
            <w:vAlign w:val="bottom"/>
            <w:tcBorders>
              <w:bottom w:val="single" w:sz="8" w:color="407CCA"/>
            </w:tcBorders>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120" w:type="dxa"/>
            <w:vAlign w:val="bottom"/>
            <w:tcBorders>
              <w:bottom w:val="single" w:sz="8" w:color="407CCA"/>
            </w:tcBorders>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2520" w:type="dxa"/>
            <w:vAlign w:val="bottom"/>
            <w:tcBorders>
              <w:bottom w:val="single" w:sz="8" w:color="407CCA"/>
            </w:tcBorders>
            <w:shd w:val="clear" w:color="auto" w:fill="CCEEFF"/>
          </w:tcPr>
          <w:p>
            <w:pPr>
              <w:jc w:val="right"/>
              <w:ind w:right="594"/>
              <w:spacing w:after="0"/>
              <w:rPr>
                <w:sz w:val="20"/>
                <w:szCs w:val="20"/>
                <w:color w:val="auto"/>
              </w:rPr>
            </w:pPr>
            <w:r>
              <w:rPr>
                <w:rFonts w:ascii="Arial" w:cs="Arial" w:eastAsia="Arial" w:hAnsi="Arial"/>
                <w:sz w:val="18"/>
                <w:szCs w:val="18"/>
                <w:color w:val="auto"/>
              </w:rPr>
              <w:t>41,663,185</w:t>
            </w:r>
          </w:p>
        </w:tc>
        <w:tc>
          <w:tcPr>
            <w:tcW w:w="2180" w:type="dxa"/>
            <w:vAlign w:val="bottom"/>
            <w:tcBorders>
              <w:bottom w:val="single" w:sz="8" w:color="407CCA"/>
            </w:tcBorders>
            <w:shd w:val="clear" w:color="auto" w:fill="CCEEFF"/>
          </w:tcPr>
          <w:p>
            <w:pPr>
              <w:jc w:val="right"/>
              <w:ind w:right="596"/>
              <w:spacing w:after="0"/>
              <w:rPr>
                <w:sz w:val="20"/>
                <w:szCs w:val="20"/>
                <w:color w:val="auto"/>
              </w:rPr>
            </w:pPr>
            <w:r>
              <w:rPr>
                <w:rFonts w:ascii="Arial" w:cs="Arial" w:eastAsia="Arial" w:hAnsi="Arial"/>
                <w:sz w:val="18"/>
                <w:szCs w:val="18"/>
                <w:color w:val="auto"/>
              </w:rPr>
              <w:t>35,434,421</w:t>
            </w:r>
          </w:p>
        </w:tc>
        <w:tc>
          <w:tcPr>
            <w:tcW w:w="1700" w:type="dxa"/>
            <w:vAlign w:val="bottom"/>
            <w:tcBorders>
              <w:bottom w:val="single" w:sz="8" w:color="407CCA"/>
            </w:tcBorders>
            <w:shd w:val="clear" w:color="auto" w:fill="CCEEFF"/>
          </w:tcPr>
          <w:p>
            <w:pPr>
              <w:jc w:val="right"/>
              <w:ind w:right="252"/>
              <w:spacing w:after="0"/>
              <w:rPr>
                <w:sz w:val="20"/>
                <w:szCs w:val="20"/>
                <w:color w:val="auto"/>
              </w:rPr>
            </w:pPr>
            <w:r>
              <w:rPr>
                <w:rFonts w:ascii="Arial" w:cs="Arial" w:eastAsia="Arial" w:hAnsi="Arial"/>
                <w:sz w:val="18"/>
                <w:szCs w:val="18"/>
                <w:color w:val="auto"/>
              </w:rPr>
              <w:t>11,584,421</w:t>
            </w:r>
          </w:p>
        </w:tc>
        <w:tc>
          <w:tcPr>
            <w:tcW w:w="1500" w:type="dxa"/>
            <w:vAlign w:val="bottom"/>
            <w:tcBorders>
              <w:bottom w:val="single" w:sz="8" w:color="407CCA"/>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64"/>
        </w:trPr>
        <w:tc>
          <w:tcPr>
            <w:tcW w:w="3140" w:type="dxa"/>
            <w:vAlign w:val="bottom"/>
            <w:gridSpan w:val="2"/>
          </w:tcPr>
          <w:p>
            <w:pPr>
              <w:spacing w:after="0"/>
              <w:rPr>
                <w:sz w:val="20"/>
                <w:szCs w:val="20"/>
                <w:color w:val="auto"/>
              </w:rPr>
            </w:pPr>
            <w:r>
              <w:rPr>
                <w:rFonts w:ascii="Arial" w:cs="Arial" w:eastAsia="Arial" w:hAnsi="Arial"/>
                <w:sz w:val="18"/>
                <w:szCs w:val="18"/>
                <w:b w:val="1"/>
                <w:bCs w:val="1"/>
                <w:color w:val="auto"/>
              </w:rPr>
              <w:t>Peter J. Federico</w:t>
            </w:r>
          </w:p>
        </w:tc>
        <w:tc>
          <w:tcPr>
            <w:tcW w:w="2520" w:type="dxa"/>
            <w:vAlign w:val="bottom"/>
          </w:tcPr>
          <w:p>
            <w:pPr>
              <w:spacing w:after="0"/>
              <w:rPr>
                <w:sz w:val="22"/>
                <w:szCs w:val="22"/>
                <w:color w:val="auto"/>
              </w:rPr>
            </w:pPr>
          </w:p>
        </w:tc>
        <w:tc>
          <w:tcPr>
            <w:tcW w:w="2180" w:type="dxa"/>
            <w:vAlign w:val="bottom"/>
          </w:tcPr>
          <w:p>
            <w:pPr>
              <w:spacing w:after="0"/>
              <w:rPr>
                <w:sz w:val="22"/>
                <w:szCs w:val="22"/>
                <w:color w:val="auto"/>
              </w:rPr>
            </w:pPr>
          </w:p>
        </w:tc>
        <w:tc>
          <w:tcPr>
            <w:tcW w:w="1700" w:type="dxa"/>
            <w:vAlign w:val="bottom"/>
          </w:tcPr>
          <w:p>
            <w:pPr>
              <w:spacing w:after="0"/>
              <w:rPr>
                <w:sz w:val="22"/>
                <w:szCs w:val="22"/>
                <w:color w:val="auto"/>
              </w:rPr>
            </w:pPr>
          </w:p>
        </w:tc>
        <w:tc>
          <w:tcPr>
            <w:tcW w:w="15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120" w:type="dxa"/>
            <w:vAlign w:val="bottom"/>
            <w:shd w:val="clear" w:color="auto" w:fill="CCEEFF"/>
          </w:tcPr>
          <w:p>
            <w:pPr>
              <w:spacing w:after="0"/>
              <w:rPr>
                <w:sz w:val="20"/>
                <w:szCs w:val="20"/>
                <w:color w:val="auto"/>
              </w:rPr>
            </w:pPr>
            <w:r>
              <w:rPr>
                <w:rFonts w:ascii="Arial" w:cs="Arial" w:eastAsia="Arial" w:hAnsi="Arial"/>
                <w:sz w:val="18"/>
                <w:szCs w:val="18"/>
                <w:color w:val="auto"/>
              </w:rPr>
              <w:t>Severance Amount</w:t>
            </w:r>
          </w:p>
        </w:tc>
        <w:tc>
          <w:tcPr>
            <w:tcW w:w="2520" w:type="dxa"/>
            <w:vAlign w:val="bottom"/>
            <w:shd w:val="clear" w:color="auto" w:fill="CCEEFF"/>
          </w:tcPr>
          <w:p>
            <w:pPr>
              <w:jc w:val="right"/>
              <w:ind w:right="414"/>
              <w:spacing w:after="0"/>
              <w:rPr>
                <w:sz w:val="20"/>
                <w:szCs w:val="20"/>
                <w:color w:val="auto"/>
              </w:rPr>
            </w:pPr>
            <w:r>
              <w:rPr>
                <w:rFonts w:ascii="Arial" w:cs="Arial" w:eastAsia="Arial" w:hAnsi="Arial"/>
                <w:sz w:val="18"/>
                <w:szCs w:val="18"/>
                <w:color w:val="auto"/>
              </w:rPr>
              <w:t>4,050,000</w:t>
            </w:r>
            <w:r>
              <w:rPr>
                <w:rFonts w:ascii="Arial" w:cs="Arial" w:eastAsia="Arial" w:hAnsi="Arial"/>
                <w:sz w:val="15"/>
                <w:szCs w:val="15"/>
                <w:color w:val="auto"/>
              </w:rPr>
              <w:t>(1)</w:t>
            </w:r>
          </w:p>
        </w:tc>
        <w:tc>
          <w:tcPr>
            <w:tcW w:w="2180" w:type="dxa"/>
            <w:vAlign w:val="bottom"/>
            <w:shd w:val="clear" w:color="auto" w:fill="CCEEFF"/>
          </w:tcPr>
          <w:p>
            <w:pPr>
              <w:jc w:val="right"/>
              <w:ind w:right="416"/>
              <w:spacing w:after="0"/>
              <w:rPr>
                <w:sz w:val="20"/>
                <w:szCs w:val="20"/>
                <w:color w:val="auto"/>
              </w:rPr>
            </w:pPr>
            <w:r>
              <w:rPr>
                <w:rFonts w:ascii="Arial" w:cs="Arial" w:eastAsia="Arial" w:hAnsi="Arial"/>
                <w:sz w:val="18"/>
                <w:szCs w:val="18"/>
                <w:color w:val="auto"/>
              </w:rPr>
              <w:t>4,050,000</w:t>
            </w:r>
            <w:r>
              <w:rPr>
                <w:rFonts w:ascii="Arial" w:cs="Arial" w:eastAsia="Arial" w:hAnsi="Arial"/>
                <w:sz w:val="15"/>
                <w:szCs w:val="15"/>
                <w:color w:val="auto"/>
              </w:rPr>
              <w:t>(2)</w:t>
            </w:r>
          </w:p>
        </w:tc>
        <w:tc>
          <w:tcPr>
            <w:tcW w:w="1700" w:type="dxa"/>
            <w:vAlign w:val="bottom"/>
            <w:shd w:val="clear" w:color="auto" w:fill="CCEEFF"/>
          </w:tcPr>
          <w:p>
            <w:pPr>
              <w:jc w:val="right"/>
              <w:ind w:right="692"/>
              <w:spacing w:after="0"/>
              <w:rPr>
                <w:sz w:val="20"/>
                <w:szCs w:val="20"/>
                <w:color w:val="auto"/>
              </w:rPr>
            </w:pPr>
            <w:r>
              <w:rPr>
                <w:rFonts w:ascii="Arial" w:cs="Arial" w:eastAsia="Arial" w:hAnsi="Arial"/>
                <w:sz w:val="18"/>
                <w:szCs w:val="18"/>
                <w:color w:val="auto"/>
              </w:rPr>
              <w:t>–</w:t>
            </w:r>
          </w:p>
        </w:tc>
        <w:tc>
          <w:tcPr>
            <w:tcW w:w="1500" w:type="dxa"/>
            <w:vAlign w:val="bottom"/>
            <w:shd w:val="clear" w:color="auto" w:fill="CCEEFF"/>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120" w:type="dxa"/>
            <w:vAlign w:val="bottom"/>
          </w:tcPr>
          <w:p>
            <w:pPr>
              <w:spacing w:after="0"/>
              <w:rPr>
                <w:sz w:val="20"/>
                <w:szCs w:val="20"/>
                <w:color w:val="auto"/>
              </w:rPr>
            </w:pPr>
            <w:r>
              <w:rPr>
                <w:rFonts w:ascii="Arial" w:cs="Arial" w:eastAsia="Arial" w:hAnsi="Arial"/>
                <w:sz w:val="18"/>
                <w:szCs w:val="18"/>
                <w:color w:val="auto"/>
              </w:rPr>
              <w:t>Base Salary</w:t>
            </w:r>
          </w:p>
        </w:tc>
        <w:tc>
          <w:tcPr>
            <w:tcW w:w="2520" w:type="dxa"/>
            <w:vAlign w:val="bottom"/>
          </w:tcPr>
          <w:p>
            <w:pPr>
              <w:jc w:val="right"/>
              <w:ind w:right="1114"/>
              <w:spacing w:after="0"/>
              <w:rPr>
                <w:sz w:val="20"/>
                <w:szCs w:val="20"/>
                <w:color w:val="auto"/>
              </w:rPr>
            </w:pPr>
            <w:r>
              <w:rPr>
                <w:rFonts w:ascii="Arial" w:cs="Arial" w:eastAsia="Arial" w:hAnsi="Arial"/>
                <w:sz w:val="18"/>
                <w:szCs w:val="18"/>
                <w:color w:val="auto"/>
              </w:rPr>
              <w:t>–</w:t>
            </w:r>
          </w:p>
        </w:tc>
        <w:tc>
          <w:tcPr>
            <w:tcW w:w="2180" w:type="dxa"/>
            <w:vAlign w:val="bottom"/>
          </w:tcPr>
          <w:p>
            <w:pPr>
              <w:jc w:val="right"/>
              <w:ind w:right="1096"/>
              <w:spacing w:after="0"/>
              <w:rPr>
                <w:sz w:val="20"/>
                <w:szCs w:val="20"/>
                <w:color w:val="auto"/>
              </w:rPr>
            </w:pPr>
            <w:r>
              <w:rPr>
                <w:rFonts w:ascii="Arial" w:cs="Arial" w:eastAsia="Arial" w:hAnsi="Arial"/>
                <w:sz w:val="18"/>
                <w:szCs w:val="18"/>
                <w:color w:val="auto"/>
              </w:rPr>
              <w:t>–</w:t>
            </w:r>
          </w:p>
        </w:tc>
        <w:tc>
          <w:tcPr>
            <w:tcW w:w="1700" w:type="dxa"/>
            <w:vAlign w:val="bottom"/>
          </w:tcPr>
          <w:p>
            <w:pPr>
              <w:jc w:val="right"/>
              <w:ind w:right="692"/>
              <w:spacing w:after="0"/>
              <w:rPr>
                <w:sz w:val="20"/>
                <w:szCs w:val="20"/>
                <w:color w:val="auto"/>
              </w:rPr>
            </w:pPr>
            <w:r>
              <w:rPr>
                <w:rFonts w:ascii="Arial" w:cs="Arial" w:eastAsia="Arial" w:hAnsi="Arial"/>
                <w:sz w:val="18"/>
                <w:szCs w:val="18"/>
                <w:color w:val="auto"/>
              </w:rPr>
              <w:t>–</w:t>
            </w:r>
          </w:p>
        </w:tc>
        <w:tc>
          <w:tcPr>
            <w:tcW w:w="1500" w:type="dxa"/>
            <w:vAlign w:val="bottom"/>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120" w:type="dxa"/>
            <w:vAlign w:val="bottom"/>
            <w:shd w:val="clear" w:color="auto" w:fill="CCEEFF"/>
          </w:tcPr>
          <w:p>
            <w:pPr>
              <w:spacing w:after="0"/>
              <w:rPr>
                <w:sz w:val="20"/>
                <w:szCs w:val="20"/>
                <w:color w:val="auto"/>
              </w:rPr>
            </w:pPr>
            <w:r>
              <w:rPr>
                <w:rFonts w:ascii="Arial" w:cs="Arial" w:eastAsia="Arial" w:hAnsi="Arial"/>
                <w:sz w:val="18"/>
                <w:szCs w:val="18"/>
                <w:color w:val="auto"/>
              </w:rPr>
              <w:t>Cash Bonus</w:t>
            </w:r>
            <w:r>
              <w:rPr>
                <w:rFonts w:ascii="Arial" w:cs="Arial" w:eastAsia="Arial" w:hAnsi="Arial"/>
                <w:sz w:val="15"/>
                <w:szCs w:val="15"/>
                <w:color w:val="auto"/>
              </w:rPr>
              <w:t>(3)</w:t>
            </w:r>
          </w:p>
        </w:tc>
        <w:tc>
          <w:tcPr>
            <w:tcW w:w="2520" w:type="dxa"/>
            <w:vAlign w:val="bottom"/>
            <w:shd w:val="clear" w:color="auto" w:fill="CCEEFF"/>
          </w:tcPr>
          <w:p>
            <w:pPr>
              <w:jc w:val="right"/>
              <w:ind w:right="594"/>
              <w:spacing w:after="0"/>
              <w:rPr>
                <w:sz w:val="20"/>
                <w:szCs w:val="20"/>
                <w:color w:val="auto"/>
              </w:rPr>
            </w:pPr>
            <w:r>
              <w:rPr>
                <w:rFonts w:ascii="Arial" w:cs="Arial" w:eastAsia="Arial" w:hAnsi="Arial"/>
                <w:sz w:val="18"/>
                <w:szCs w:val="18"/>
                <w:color w:val="auto"/>
              </w:rPr>
              <w:t>1,800,000</w:t>
            </w:r>
          </w:p>
        </w:tc>
        <w:tc>
          <w:tcPr>
            <w:tcW w:w="2180" w:type="dxa"/>
            <w:vAlign w:val="bottom"/>
            <w:shd w:val="clear" w:color="auto" w:fill="CCEEFF"/>
          </w:tcPr>
          <w:p>
            <w:pPr>
              <w:jc w:val="right"/>
              <w:ind w:right="596"/>
              <w:spacing w:after="0"/>
              <w:rPr>
                <w:sz w:val="20"/>
                <w:szCs w:val="20"/>
                <w:color w:val="auto"/>
              </w:rPr>
            </w:pPr>
            <w:r>
              <w:rPr>
                <w:rFonts w:ascii="Arial" w:cs="Arial" w:eastAsia="Arial" w:hAnsi="Arial"/>
                <w:sz w:val="18"/>
                <w:szCs w:val="18"/>
                <w:color w:val="auto"/>
              </w:rPr>
              <w:t>1,800,000</w:t>
            </w:r>
          </w:p>
        </w:tc>
        <w:tc>
          <w:tcPr>
            <w:tcW w:w="1700" w:type="dxa"/>
            <w:vAlign w:val="bottom"/>
            <w:shd w:val="clear" w:color="auto" w:fill="CCEEFF"/>
          </w:tcPr>
          <w:p>
            <w:pPr>
              <w:jc w:val="right"/>
              <w:ind w:right="252"/>
              <w:spacing w:after="0"/>
              <w:rPr>
                <w:sz w:val="20"/>
                <w:szCs w:val="20"/>
                <w:color w:val="auto"/>
              </w:rPr>
            </w:pPr>
            <w:r>
              <w:rPr>
                <w:rFonts w:ascii="Arial" w:cs="Arial" w:eastAsia="Arial" w:hAnsi="Arial"/>
                <w:sz w:val="18"/>
                <w:szCs w:val="18"/>
                <w:color w:val="auto"/>
              </w:rPr>
              <w:t>1,800,000</w:t>
            </w:r>
          </w:p>
        </w:tc>
        <w:tc>
          <w:tcPr>
            <w:tcW w:w="1500" w:type="dxa"/>
            <w:vAlign w:val="bottom"/>
            <w:shd w:val="clear" w:color="auto" w:fill="CCEEFF"/>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120" w:type="dxa"/>
            <w:vAlign w:val="bottom"/>
          </w:tcPr>
          <w:p>
            <w:pPr>
              <w:spacing w:after="0"/>
              <w:rPr>
                <w:sz w:val="20"/>
                <w:szCs w:val="20"/>
                <w:color w:val="auto"/>
              </w:rPr>
            </w:pPr>
            <w:r>
              <w:rPr>
                <w:rFonts w:ascii="Arial" w:cs="Arial" w:eastAsia="Arial" w:hAnsi="Arial"/>
                <w:sz w:val="18"/>
                <w:szCs w:val="18"/>
                <w:color w:val="auto"/>
              </w:rPr>
              <w:t>Accelerated Equity Awards</w:t>
            </w:r>
          </w:p>
        </w:tc>
        <w:tc>
          <w:tcPr>
            <w:tcW w:w="2520" w:type="dxa"/>
            <w:vAlign w:val="bottom"/>
          </w:tcPr>
          <w:p>
            <w:pPr>
              <w:jc w:val="right"/>
              <w:ind w:right="594"/>
              <w:spacing w:after="0"/>
              <w:rPr>
                <w:sz w:val="20"/>
                <w:szCs w:val="20"/>
                <w:color w:val="auto"/>
              </w:rPr>
            </w:pPr>
            <w:r>
              <w:rPr>
                <w:rFonts w:ascii="Arial" w:cs="Arial" w:eastAsia="Arial" w:hAnsi="Arial"/>
                <w:sz w:val="18"/>
                <w:szCs w:val="18"/>
                <w:color w:val="auto"/>
              </w:rPr>
              <w:t>2,362,836</w:t>
            </w:r>
          </w:p>
        </w:tc>
        <w:tc>
          <w:tcPr>
            <w:tcW w:w="2180" w:type="dxa"/>
            <w:vAlign w:val="bottom"/>
          </w:tcPr>
          <w:p>
            <w:pPr>
              <w:jc w:val="right"/>
              <w:ind w:right="596"/>
              <w:spacing w:after="0"/>
              <w:rPr>
                <w:sz w:val="20"/>
                <w:szCs w:val="20"/>
                <w:color w:val="auto"/>
              </w:rPr>
            </w:pPr>
            <w:r>
              <w:rPr>
                <w:rFonts w:ascii="Arial" w:cs="Arial" w:eastAsia="Arial" w:hAnsi="Arial"/>
                <w:sz w:val="18"/>
                <w:szCs w:val="18"/>
                <w:color w:val="auto"/>
              </w:rPr>
              <w:t>2,362,836</w:t>
            </w:r>
          </w:p>
        </w:tc>
        <w:tc>
          <w:tcPr>
            <w:tcW w:w="1700" w:type="dxa"/>
            <w:vAlign w:val="bottom"/>
          </w:tcPr>
          <w:p>
            <w:pPr>
              <w:jc w:val="right"/>
              <w:ind w:right="252"/>
              <w:spacing w:after="0"/>
              <w:rPr>
                <w:sz w:val="20"/>
                <w:szCs w:val="20"/>
                <w:color w:val="auto"/>
              </w:rPr>
            </w:pPr>
            <w:r>
              <w:rPr>
                <w:rFonts w:ascii="Arial" w:cs="Arial" w:eastAsia="Arial" w:hAnsi="Arial"/>
                <w:sz w:val="18"/>
                <w:szCs w:val="18"/>
                <w:color w:val="auto"/>
              </w:rPr>
              <w:t>2,362,836</w:t>
            </w:r>
          </w:p>
        </w:tc>
        <w:tc>
          <w:tcPr>
            <w:tcW w:w="1500" w:type="dxa"/>
            <w:vAlign w:val="bottom"/>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2"/>
        </w:trPr>
        <w:tc>
          <w:tcPr>
            <w:tcW w:w="20" w:type="dxa"/>
            <w:vAlign w:val="bottom"/>
          </w:tcPr>
          <w:p>
            <w:pPr>
              <w:spacing w:after="0"/>
              <w:rPr>
                <w:sz w:val="17"/>
                <w:szCs w:val="17"/>
                <w:color w:val="auto"/>
              </w:rPr>
            </w:pPr>
          </w:p>
        </w:tc>
        <w:tc>
          <w:tcPr>
            <w:tcW w:w="312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rPr>
              <w:t>Accelerated Non-Equity Incentive</w:t>
            </w:r>
          </w:p>
        </w:tc>
        <w:tc>
          <w:tcPr>
            <w:tcW w:w="2520" w:type="dxa"/>
            <w:vAlign w:val="bottom"/>
            <w:shd w:val="clear" w:color="auto" w:fill="CCEEFF"/>
          </w:tcPr>
          <w:p>
            <w:pPr>
              <w:spacing w:after="0"/>
              <w:rPr>
                <w:sz w:val="17"/>
                <w:szCs w:val="17"/>
                <w:color w:val="auto"/>
              </w:rPr>
            </w:pPr>
          </w:p>
        </w:tc>
        <w:tc>
          <w:tcPr>
            <w:tcW w:w="2180" w:type="dxa"/>
            <w:vAlign w:val="bottom"/>
            <w:shd w:val="clear" w:color="auto" w:fill="CCEEFF"/>
          </w:tcPr>
          <w:p>
            <w:pPr>
              <w:spacing w:after="0"/>
              <w:rPr>
                <w:sz w:val="17"/>
                <w:szCs w:val="17"/>
                <w:color w:val="auto"/>
              </w:rPr>
            </w:pPr>
          </w:p>
        </w:tc>
        <w:tc>
          <w:tcPr>
            <w:tcW w:w="1700" w:type="dxa"/>
            <w:vAlign w:val="bottom"/>
            <w:shd w:val="clear" w:color="auto" w:fill="CCEEFF"/>
          </w:tcPr>
          <w:p>
            <w:pPr>
              <w:spacing w:after="0"/>
              <w:rPr>
                <w:sz w:val="17"/>
                <w:szCs w:val="17"/>
                <w:color w:val="auto"/>
              </w:rPr>
            </w:pPr>
          </w:p>
        </w:tc>
        <w:tc>
          <w:tcPr>
            <w:tcW w:w="15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3120" w:type="dxa"/>
            <w:vAlign w:val="bottom"/>
            <w:shd w:val="clear" w:color="auto" w:fill="CCEEFF"/>
          </w:tcPr>
          <w:p>
            <w:pPr>
              <w:ind w:left="160"/>
              <w:spacing w:after="0"/>
              <w:rPr>
                <w:sz w:val="20"/>
                <w:szCs w:val="20"/>
                <w:color w:val="auto"/>
              </w:rPr>
            </w:pPr>
            <w:r>
              <w:rPr>
                <w:rFonts w:ascii="Arial" w:cs="Arial" w:eastAsia="Arial" w:hAnsi="Arial"/>
                <w:sz w:val="18"/>
                <w:szCs w:val="18"/>
                <w:color w:val="auto"/>
              </w:rPr>
              <w:t>Compensation</w:t>
            </w:r>
            <w:r>
              <w:rPr>
                <w:rFonts w:ascii="Arial" w:cs="Arial" w:eastAsia="Arial" w:hAnsi="Arial"/>
                <w:sz w:val="15"/>
                <w:szCs w:val="15"/>
                <w:color w:val="auto"/>
              </w:rPr>
              <w:t>(5)</w:t>
            </w:r>
          </w:p>
        </w:tc>
        <w:tc>
          <w:tcPr>
            <w:tcW w:w="2520" w:type="dxa"/>
            <w:vAlign w:val="bottom"/>
            <w:shd w:val="clear" w:color="auto" w:fill="CCEEFF"/>
          </w:tcPr>
          <w:p>
            <w:pPr>
              <w:jc w:val="right"/>
              <w:ind w:right="594"/>
              <w:spacing w:after="0"/>
              <w:rPr>
                <w:sz w:val="20"/>
                <w:szCs w:val="20"/>
                <w:color w:val="auto"/>
              </w:rPr>
            </w:pPr>
            <w:r>
              <w:rPr>
                <w:rFonts w:ascii="Arial" w:cs="Arial" w:eastAsia="Arial" w:hAnsi="Arial"/>
                <w:sz w:val="18"/>
                <w:szCs w:val="18"/>
                <w:color w:val="auto"/>
              </w:rPr>
              <w:t>338,394</w:t>
            </w:r>
          </w:p>
        </w:tc>
        <w:tc>
          <w:tcPr>
            <w:tcW w:w="2180" w:type="dxa"/>
            <w:vAlign w:val="bottom"/>
            <w:shd w:val="clear" w:color="auto" w:fill="CCEEFF"/>
          </w:tcPr>
          <w:p>
            <w:pPr>
              <w:jc w:val="right"/>
              <w:ind w:right="596"/>
              <w:spacing w:after="0"/>
              <w:rPr>
                <w:sz w:val="20"/>
                <w:szCs w:val="20"/>
                <w:color w:val="auto"/>
              </w:rPr>
            </w:pPr>
            <w:r>
              <w:rPr>
                <w:rFonts w:ascii="Arial" w:cs="Arial" w:eastAsia="Arial" w:hAnsi="Arial"/>
                <w:sz w:val="18"/>
                <w:szCs w:val="18"/>
                <w:color w:val="auto"/>
              </w:rPr>
              <w:t>338,394</w:t>
            </w:r>
          </w:p>
        </w:tc>
        <w:tc>
          <w:tcPr>
            <w:tcW w:w="1700" w:type="dxa"/>
            <w:vAlign w:val="bottom"/>
            <w:shd w:val="clear" w:color="auto" w:fill="CCEEFF"/>
          </w:tcPr>
          <w:p>
            <w:pPr>
              <w:jc w:val="right"/>
              <w:ind w:right="252"/>
              <w:spacing w:after="0"/>
              <w:rPr>
                <w:sz w:val="20"/>
                <w:szCs w:val="20"/>
                <w:color w:val="auto"/>
              </w:rPr>
            </w:pPr>
            <w:r>
              <w:rPr>
                <w:rFonts w:ascii="Arial" w:cs="Arial" w:eastAsia="Arial" w:hAnsi="Arial"/>
                <w:sz w:val="18"/>
                <w:szCs w:val="18"/>
                <w:color w:val="auto"/>
              </w:rPr>
              <w:t>338,394</w:t>
            </w:r>
          </w:p>
        </w:tc>
        <w:tc>
          <w:tcPr>
            <w:tcW w:w="150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120" w:type="dxa"/>
            <w:vAlign w:val="bottom"/>
          </w:tcPr>
          <w:p>
            <w:pPr>
              <w:spacing w:after="0"/>
              <w:rPr>
                <w:sz w:val="20"/>
                <w:szCs w:val="20"/>
                <w:color w:val="auto"/>
              </w:rPr>
            </w:pPr>
            <w:r>
              <w:rPr>
                <w:rFonts w:ascii="Arial" w:cs="Arial" w:eastAsia="Arial" w:hAnsi="Arial"/>
                <w:sz w:val="18"/>
                <w:szCs w:val="18"/>
                <w:color w:val="auto"/>
              </w:rPr>
              <w:t>Pro Rata LTIA Payment</w:t>
            </w:r>
            <w:r>
              <w:rPr>
                <w:rFonts w:ascii="Arial" w:cs="Arial" w:eastAsia="Arial" w:hAnsi="Arial"/>
                <w:sz w:val="15"/>
                <w:szCs w:val="15"/>
                <w:color w:val="auto"/>
              </w:rPr>
              <w:t>(2)</w:t>
            </w:r>
          </w:p>
        </w:tc>
        <w:tc>
          <w:tcPr>
            <w:tcW w:w="2520" w:type="dxa"/>
            <w:vAlign w:val="bottom"/>
          </w:tcPr>
          <w:p>
            <w:pPr>
              <w:jc w:val="right"/>
              <w:ind w:right="594"/>
              <w:spacing w:after="0"/>
              <w:rPr>
                <w:sz w:val="20"/>
                <w:szCs w:val="20"/>
                <w:color w:val="auto"/>
              </w:rPr>
            </w:pPr>
            <w:r>
              <w:rPr>
                <w:rFonts w:ascii="Arial" w:cs="Arial" w:eastAsia="Arial" w:hAnsi="Arial"/>
                <w:sz w:val="18"/>
                <w:szCs w:val="18"/>
                <w:color w:val="auto"/>
              </w:rPr>
              <w:t>1,800,000</w:t>
            </w:r>
          </w:p>
        </w:tc>
        <w:tc>
          <w:tcPr>
            <w:tcW w:w="2180" w:type="dxa"/>
            <w:vAlign w:val="bottom"/>
          </w:tcPr>
          <w:p>
            <w:pPr>
              <w:jc w:val="right"/>
              <w:ind w:right="596"/>
              <w:spacing w:after="0"/>
              <w:rPr>
                <w:sz w:val="20"/>
                <w:szCs w:val="20"/>
                <w:color w:val="auto"/>
              </w:rPr>
            </w:pPr>
            <w:r>
              <w:rPr>
                <w:rFonts w:ascii="Arial" w:cs="Arial" w:eastAsia="Arial" w:hAnsi="Arial"/>
                <w:sz w:val="18"/>
                <w:szCs w:val="18"/>
                <w:color w:val="auto"/>
              </w:rPr>
              <w:t>1,800,000</w:t>
            </w:r>
          </w:p>
        </w:tc>
        <w:tc>
          <w:tcPr>
            <w:tcW w:w="1700" w:type="dxa"/>
            <w:vAlign w:val="bottom"/>
          </w:tcPr>
          <w:p>
            <w:pPr>
              <w:jc w:val="right"/>
              <w:ind w:right="252"/>
              <w:spacing w:after="0"/>
              <w:rPr>
                <w:sz w:val="20"/>
                <w:szCs w:val="20"/>
                <w:color w:val="auto"/>
              </w:rPr>
            </w:pPr>
            <w:r>
              <w:rPr>
                <w:rFonts w:ascii="Arial" w:cs="Arial" w:eastAsia="Arial" w:hAnsi="Arial"/>
                <w:sz w:val="18"/>
                <w:szCs w:val="18"/>
                <w:color w:val="auto"/>
              </w:rPr>
              <w:t>1,800,000</w:t>
            </w:r>
          </w:p>
        </w:tc>
        <w:tc>
          <w:tcPr>
            <w:tcW w:w="1500" w:type="dxa"/>
            <w:vAlign w:val="bottom"/>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120" w:type="dxa"/>
            <w:vAlign w:val="bottom"/>
            <w:tcBorders>
              <w:bottom w:val="single" w:sz="8" w:color="407CCA"/>
            </w:tcBorders>
            <w:shd w:val="clear" w:color="auto" w:fill="CCEEFF"/>
          </w:tcPr>
          <w:p>
            <w:pPr>
              <w:spacing w:after="0"/>
              <w:rPr>
                <w:sz w:val="20"/>
                <w:szCs w:val="20"/>
                <w:color w:val="auto"/>
              </w:rPr>
            </w:pPr>
            <w:r>
              <w:rPr>
                <w:rFonts w:ascii="Arial" w:cs="Arial" w:eastAsia="Arial" w:hAnsi="Arial"/>
                <w:sz w:val="18"/>
                <w:szCs w:val="18"/>
                <w:color w:val="auto"/>
              </w:rPr>
              <w:t>Insurance Benefits</w:t>
            </w:r>
          </w:p>
        </w:tc>
        <w:tc>
          <w:tcPr>
            <w:tcW w:w="2520" w:type="dxa"/>
            <w:vAlign w:val="bottom"/>
            <w:tcBorders>
              <w:bottom w:val="single" w:sz="8" w:color="407CCA"/>
            </w:tcBorders>
            <w:shd w:val="clear" w:color="auto" w:fill="CCEEFF"/>
          </w:tcPr>
          <w:p>
            <w:pPr>
              <w:jc w:val="right"/>
              <w:ind w:right="594"/>
              <w:spacing w:after="0"/>
              <w:rPr>
                <w:sz w:val="20"/>
                <w:szCs w:val="20"/>
                <w:color w:val="auto"/>
              </w:rPr>
            </w:pPr>
            <w:r>
              <w:rPr>
                <w:rFonts w:ascii="Arial" w:cs="Arial" w:eastAsia="Arial" w:hAnsi="Arial"/>
                <w:sz w:val="18"/>
                <w:szCs w:val="18"/>
                <w:color w:val="auto"/>
              </w:rPr>
              <w:t>44,421</w:t>
            </w:r>
          </w:p>
        </w:tc>
        <w:tc>
          <w:tcPr>
            <w:tcW w:w="2180" w:type="dxa"/>
            <w:vAlign w:val="bottom"/>
            <w:tcBorders>
              <w:bottom w:val="single" w:sz="8" w:color="407CCA"/>
            </w:tcBorders>
            <w:shd w:val="clear" w:color="auto" w:fill="CCEEFF"/>
          </w:tcPr>
          <w:p>
            <w:pPr>
              <w:jc w:val="right"/>
              <w:ind w:right="596"/>
              <w:spacing w:after="0"/>
              <w:rPr>
                <w:sz w:val="20"/>
                <w:szCs w:val="20"/>
                <w:color w:val="auto"/>
              </w:rPr>
            </w:pPr>
            <w:r>
              <w:rPr>
                <w:rFonts w:ascii="Arial" w:cs="Arial" w:eastAsia="Arial" w:hAnsi="Arial"/>
                <w:sz w:val="18"/>
                <w:szCs w:val="18"/>
                <w:color w:val="auto"/>
              </w:rPr>
              <w:t>44,421</w:t>
            </w:r>
          </w:p>
        </w:tc>
        <w:tc>
          <w:tcPr>
            <w:tcW w:w="1700" w:type="dxa"/>
            <w:vAlign w:val="bottom"/>
            <w:tcBorders>
              <w:bottom w:val="single" w:sz="8" w:color="407CCA"/>
            </w:tcBorders>
            <w:shd w:val="clear" w:color="auto" w:fill="CCEEFF"/>
          </w:tcPr>
          <w:p>
            <w:pPr>
              <w:jc w:val="right"/>
              <w:ind w:right="252"/>
              <w:spacing w:after="0"/>
              <w:rPr>
                <w:sz w:val="20"/>
                <w:szCs w:val="20"/>
                <w:color w:val="auto"/>
              </w:rPr>
            </w:pPr>
            <w:r>
              <w:rPr>
                <w:rFonts w:ascii="Arial" w:cs="Arial" w:eastAsia="Arial" w:hAnsi="Arial"/>
                <w:sz w:val="18"/>
                <w:szCs w:val="18"/>
                <w:color w:val="auto"/>
              </w:rPr>
              <w:t>44,421</w:t>
            </w:r>
          </w:p>
        </w:tc>
        <w:tc>
          <w:tcPr>
            <w:tcW w:w="1500" w:type="dxa"/>
            <w:vAlign w:val="bottom"/>
            <w:tcBorders>
              <w:bottom w:val="single" w:sz="8" w:color="407CCA"/>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120" w:type="dxa"/>
            <w:vAlign w:val="bottom"/>
            <w:tcBorders>
              <w:bottom w:val="single" w:sz="8" w:color="407CCA"/>
            </w:tcBorders>
          </w:tcPr>
          <w:p>
            <w:pPr>
              <w:spacing w:after="0"/>
              <w:rPr>
                <w:sz w:val="20"/>
                <w:szCs w:val="20"/>
                <w:color w:val="auto"/>
              </w:rPr>
            </w:pPr>
            <w:r>
              <w:rPr>
                <w:rFonts w:ascii="Arial" w:cs="Arial" w:eastAsia="Arial" w:hAnsi="Arial"/>
                <w:sz w:val="18"/>
                <w:szCs w:val="18"/>
                <w:b w:val="1"/>
                <w:bCs w:val="1"/>
                <w:color w:val="auto"/>
              </w:rPr>
              <w:t>TOTAL:</w:t>
            </w:r>
          </w:p>
        </w:tc>
        <w:tc>
          <w:tcPr>
            <w:tcW w:w="2520" w:type="dxa"/>
            <w:vAlign w:val="bottom"/>
            <w:tcBorders>
              <w:bottom w:val="single" w:sz="8" w:color="407CCA"/>
            </w:tcBorders>
          </w:tcPr>
          <w:p>
            <w:pPr>
              <w:jc w:val="right"/>
              <w:ind w:right="594"/>
              <w:spacing w:after="0"/>
              <w:rPr>
                <w:sz w:val="20"/>
                <w:szCs w:val="20"/>
                <w:color w:val="auto"/>
              </w:rPr>
            </w:pPr>
            <w:r>
              <w:rPr>
                <w:rFonts w:ascii="Arial" w:cs="Arial" w:eastAsia="Arial" w:hAnsi="Arial"/>
                <w:sz w:val="18"/>
                <w:szCs w:val="18"/>
                <w:color w:val="auto"/>
              </w:rPr>
              <w:t>10,395,651</w:t>
            </w:r>
          </w:p>
        </w:tc>
        <w:tc>
          <w:tcPr>
            <w:tcW w:w="2180" w:type="dxa"/>
            <w:vAlign w:val="bottom"/>
            <w:tcBorders>
              <w:bottom w:val="single" w:sz="8" w:color="407CCA"/>
            </w:tcBorders>
          </w:tcPr>
          <w:p>
            <w:pPr>
              <w:jc w:val="right"/>
              <w:ind w:right="596"/>
              <w:spacing w:after="0"/>
              <w:rPr>
                <w:sz w:val="20"/>
                <w:szCs w:val="20"/>
                <w:color w:val="auto"/>
              </w:rPr>
            </w:pPr>
            <w:r>
              <w:rPr>
                <w:rFonts w:ascii="Arial" w:cs="Arial" w:eastAsia="Arial" w:hAnsi="Arial"/>
                <w:sz w:val="18"/>
                <w:szCs w:val="18"/>
                <w:color w:val="auto"/>
              </w:rPr>
              <w:t>10,395,651</w:t>
            </w:r>
          </w:p>
        </w:tc>
        <w:tc>
          <w:tcPr>
            <w:tcW w:w="1700" w:type="dxa"/>
            <w:vAlign w:val="bottom"/>
            <w:tcBorders>
              <w:bottom w:val="single" w:sz="8" w:color="407CCA"/>
            </w:tcBorders>
          </w:tcPr>
          <w:p>
            <w:pPr>
              <w:jc w:val="right"/>
              <w:ind w:right="252"/>
              <w:spacing w:after="0"/>
              <w:rPr>
                <w:sz w:val="20"/>
                <w:szCs w:val="20"/>
                <w:color w:val="auto"/>
              </w:rPr>
            </w:pPr>
            <w:r>
              <w:rPr>
                <w:rFonts w:ascii="Arial" w:cs="Arial" w:eastAsia="Arial" w:hAnsi="Arial"/>
                <w:sz w:val="18"/>
                <w:szCs w:val="18"/>
                <w:color w:val="auto"/>
              </w:rPr>
              <w:t>6,345,651</w:t>
            </w:r>
          </w:p>
        </w:tc>
        <w:tc>
          <w:tcPr>
            <w:tcW w:w="1500" w:type="dxa"/>
            <w:vAlign w:val="bottom"/>
            <w:tcBorders>
              <w:bottom w:val="single" w:sz="8" w:color="407CCA"/>
            </w:tcBorders>
          </w:tcPr>
          <w:p>
            <w:pPr>
              <w:spacing w:after="0"/>
              <w:rPr>
                <w:sz w:val="18"/>
                <w:szCs w:val="18"/>
                <w:color w:val="auto"/>
              </w:rPr>
            </w:pPr>
          </w:p>
        </w:tc>
        <w:tc>
          <w:tcPr>
            <w:tcW w:w="0" w:type="dxa"/>
            <w:vAlign w:val="bottom"/>
          </w:tcPr>
          <w:p>
            <w:pPr>
              <w:spacing w:after="0"/>
              <w:rPr>
                <w:sz w:val="1"/>
                <w:szCs w:val="1"/>
                <w:color w:val="auto"/>
              </w:rPr>
            </w:pPr>
          </w:p>
        </w:tc>
      </w:tr>
      <w:tr>
        <w:trPr>
          <w:trHeight w:val="48"/>
        </w:trPr>
        <w:tc>
          <w:tcPr>
            <w:tcW w:w="20" w:type="dxa"/>
            <w:vAlign w:val="bottom"/>
            <w:vMerge w:val="restart"/>
          </w:tcPr>
          <w:p>
            <w:pPr>
              <w:spacing w:after="0"/>
              <w:rPr>
                <w:sz w:val="4"/>
                <w:szCs w:val="4"/>
                <w:color w:val="auto"/>
              </w:rPr>
            </w:pPr>
          </w:p>
        </w:tc>
        <w:tc>
          <w:tcPr>
            <w:tcW w:w="3120" w:type="dxa"/>
            <w:vAlign w:val="bottom"/>
          </w:tcPr>
          <w:p>
            <w:pPr>
              <w:spacing w:after="0"/>
              <w:rPr>
                <w:sz w:val="4"/>
                <w:szCs w:val="4"/>
                <w:color w:val="auto"/>
              </w:rPr>
            </w:pPr>
          </w:p>
        </w:tc>
        <w:tc>
          <w:tcPr>
            <w:tcW w:w="2520" w:type="dxa"/>
            <w:vAlign w:val="bottom"/>
          </w:tcPr>
          <w:p>
            <w:pPr>
              <w:spacing w:after="0"/>
              <w:rPr>
                <w:sz w:val="4"/>
                <w:szCs w:val="4"/>
                <w:color w:val="auto"/>
              </w:rPr>
            </w:pPr>
          </w:p>
        </w:tc>
        <w:tc>
          <w:tcPr>
            <w:tcW w:w="2180" w:type="dxa"/>
            <w:vAlign w:val="bottom"/>
          </w:tcPr>
          <w:p>
            <w:pPr>
              <w:spacing w:after="0"/>
              <w:rPr>
                <w:sz w:val="4"/>
                <w:szCs w:val="4"/>
                <w:color w:val="auto"/>
              </w:rPr>
            </w:pPr>
          </w:p>
        </w:tc>
        <w:tc>
          <w:tcPr>
            <w:tcW w:w="1700" w:type="dxa"/>
            <w:vAlign w:val="bottom"/>
          </w:tcPr>
          <w:p>
            <w:pPr>
              <w:spacing w:after="0"/>
              <w:rPr>
                <w:sz w:val="4"/>
                <w:szCs w:val="4"/>
                <w:color w:val="auto"/>
              </w:rPr>
            </w:pPr>
          </w:p>
        </w:tc>
        <w:tc>
          <w:tcPr>
            <w:tcW w:w="15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312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Christopher J. Kuehl</w:t>
            </w:r>
          </w:p>
        </w:tc>
        <w:tc>
          <w:tcPr>
            <w:tcW w:w="2520" w:type="dxa"/>
            <w:vAlign w:val="bottom"/>
            <w:shd w:val="clear" w:color="auto" w:fill="CCEEFF"/>
          </w:tcPr>
          <w:p>
            <w:pPr>
              <w:spacing w:after="0"/>
              <w:rPr>
                <w:sz w:val="18"/>
                <w:szCs w:val="18"/>
                <w:color w:val="auto"/>
              </w:rPr>
            </w:pPr>
          </w:p>
        </w:tc>
        <w:tc>
          <w:tcPr>
            <w:tcW w:w="2180" w:type="dxa"/>
            <w:vAlign w:val="bottom"/>
            <w:shd w:val="clear" w:color="auto" w:fill="CCEEFF"/>
          </w:tcPr>
          <w:p>
            <w:pPr>
              <w:spacing w:after="0"/>
              <w:rPr>
                <w:sz w:val="18"/>
                <w:szCs w:val="18"/>
                <w:color w:val="auto"/>
              </w:rPr>
            </w:pPr>
          </w:p>
        </w:tc>
        <w:tc>
          <w:tcPr>
            <w:tcW w:w="1700" w:type="dxa"/>
            <w:vAlign w:val="bottom"/>
            <w:shd w:val="clear" w:color="auto" w:fill="CCEEFF"/>
          </w:tcPr>
          <w:p>
            <w:pPr>
              <w:spacing w:after="0"/>
              <w:rPr>
                <w:sz w:val="18"/>
                <w:szCs w:val="18"/>
                <w:color w:val="auto"/>
              </w:rPr>
            </w:pPr>
          </w:p>
        </w:tc>
        <w:tc>
          <w:tcPr>
            <w:tcW w:w="15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120" w:type="dxa"/>
            <w:vAlign w:val="bottom"/>
          </w:tcPr>
          <w:p>
            <w:pPr>
              <w:spacing w:after="0"/>
              <w:rPr>
                <w:sz w:val="20"/>
                <w:szCs w:val="20"/>
                <w:color w:val="auto"/>
              </w:rPr>
            </w:pPr>
            <w:r>
              <w:rPr>
                <w:rFonts w:ascii="Arial" w:cs="Arial" w:eastAsia="Arial" w:hAnsi="Arial"/>
                <w:sz w:val="18"/>
                <w:szCs w:val="18"/>
                <w:color w:val="auto"/>
              </w:rPr>
              <w:t>Severance Amount</w:t>
            </w:r>
          </w:p>
        </w:tc>
        <w:tc>
          <w:tcPr>
            <w:tcW w:w="2520" w:type="dxa"/>
            <w:vAlign w:val="bottom"/>
          </w:tcPr>
          <w:p>
            <w:pPr>
              <w:jc w:val="right"/>
              <w:ind w:right="234"/>
              <w:spacing w:after="0"/>
              <w:rPr>
                <w:sz w:val="20"/>
                <w:szCs w:val="20"/>
                <w:color w:val="auto"/>
              </w:rPr>
            </w:pPr>
            <w:r>
              <w:rPr>
                <w:rFonts w:ascii="Arial" w:cs="Arial" w:eastAsia="Arial" w:hAnsi="Arial"/>
                <w:sz w:val="18"/>
                <w:szCs w:val="18"/>
                <w:color w:val="auto"/>
              </w:rPr>
              <w:t>2,502,000</w:t>
            </w:r>
            <w:r>
              <w:rPr>
                <w:rFonts w:ascii="Arial" w:cs="Arial" w:eastAsia="Arial" w:hAnsi="Arial"/>
                <w:sz w:val="15"/>
                <w:szCs w:val="15"/>
                <w:color w:val="auto"/>
              </w:rPr>
              <w:t>(1)(7)</w:t>
            </w:r>
          </w:p>
        </w:tc>
        <w:tc>
          <w:tcPr>
            <w:tcW w:w="2180" w:type="dxa"/>
            <w:vAlign w:val="bottom"/>
          </w:tcPr>
          <w:p>
            <w:pPr>
              <w:jc w:val="right"/>
              <w:ind w:right="236"/>
              <w:spacing w:after="0"/>
              <w:rPr>
                <w:sz w:val="20"/>
                <w:szCs w:val="20"/>
                <w:color w:val="auto"/>
              </w:rPr>
            </w:pPr>
            <w:r>
              <w:rPr>
                <w:rFonts w:ascii="Arial" w:cs="Arial" w:eastAsia="Arial" w:hAnsi="Arial"/>
                <w:sz w:val="18"/>
                <w:szCs w:val="18"/>
                <w:color w:val="auto"/>
              </w:rPr>
              <w:t>2,502,000</w:t>
            </w:r>
            <w:r>
              <w:rPr>
                <w:rFonts w:ascii="Arial" w:cs="Arial" w:eastAsia="Arial" w:hAnsi="Arial"/>
                <w:sz w:val="15"/>
                <w:szCs w:val="15"/>
                <w:color w:val="auto"/>
              </w:rPr>
              <w:t>(2)(7)</w:t>
            </w:r>
          </w:p>
        </w:tc>
        <w:tc>
          <w:tcPr>
            <w:tcW w:w="1700" w:type="dxa"/>
            <w:vAlign w:val="bottom"/>
          </w:tcPr>
          <w:p>
            <w:pPr>
              <w:jc w:val="right"/>
              <w:ind w:right="692"/>
              <w:spacing w:after="0"/>
              <w:rPr>
                <w:sz w:val="20"/>
                <w:szCs w:val="20"/>
                <w:color w:val="auto"/>
              </w:rPr>
            </w:pPr>
            <w:r>
              <w:rPr>
                <w:rFonts w:ascii="Arial" w:cs="Arial" w:eastAsia="Arial" w:hAnsi="Arial"/>
                <w:sz w:val="18"/>
                <w:szCs w:val="18"/>
                <w:color w:val="auto"/>
              </w:rPr>
              <w:t>–</w:t>
            </w:r>
          </w:p>
        </w:tc>
        <w:tc>
          <w:tcPr>
            <w:tcW w:w="1500" w:type="dxa"/>
            <w:vAlign w:val="bottom"/>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120" w:type="dxa"/>
            <w:vAlign w:val="bottom"/>
            <w:shd w:val="clear" w:color="auto" w:fill="CCEEFF"/>
          </w:tcPr>
          <w:p>
            <w:pPr>
              <w:spacing w:after="0"/>
              <w:rPr>
                <w:sz w:val="20"/>
                <w:szCs w:val="20"/>
                <w:color w:val="auto"/>
              </w:rPr>
            </w:pPr>
            <w:r>
              <w:rPr>
                <w:rFonts w:ascii="Arial" w:cs="Arial" w:eastAsia="Arial" w:hAnsi="Arial"/>
                <w:sz w:val="18"/>
                <w:szCs w:val="18"/>
                <w:color w:val="auto"/>
              </w:rPr>
              <w:t>Base Salary</w:t>
            </w:r>
          </w:p>
        </w:tc>
        <w:tc>
          <w:tcPr>
            <w:tcW w:w="2520" w:type="dxa"/>
            <w:vAlign w:val="bottom"/>
            <w:shd w:val="clear" w:color="auto" w:fill="CCEEFF"/>
          </w:tcPr>
          <w:p>
            <w:pPr>
              <w:jc w:val="right"/>
              <w:ind w:right="1114"/>
              <w:spacing w:after="0"/>
              <w:rPr>
                <w:sz w:val="20"/>
                <w:szCs w:val="20"/>
                <w:color w:val="auto"/>
              </w:rPr>
            </w:pPr>
            <w:r>
              <w:rPr>
                <w:rFonts w:ascii="Arial" w:cs="Arial" w:eastAsia="Arial" w:hAnsi="Arial"/>
                <w:sz w:val="18"/>
                <w:szCs w:val="18"/>
                <w:color w:val="auto"/>
              </w:rPr>
              <w:t>–</w:t>
            </w:r>
          </w:p>
        </w:tc>
        <w:tc>
          <w:tcPr>
            <w:tcW w:w="2180" w:type="dxa"/>
            <w:vAlign w:val="bottom"/>
            <w:shd w:val="clear" w:color="auto" w:fill="CCEEFF"/>
          </w:tcPr>
          <w:p>
            <w:pPr>
              <w:jc w:val="right"/>
              <w:ind w:right="1096"/>
              <w:spacing w:after="0"/>
              <w:rPr>
                <w:sz w:val="20"/>
                <w:szCs w:val="20"/>
                <w:color w:val="auto"/>
              </w:rPr>
            </w:pPr>
            <w:r>
              <w:rPr>
                <w:rFonts w:ascii="Arial" w:cs="Arial" w:eastAsia="Arial" w:hAnsi="Arial"/>
                <w:sz w:val="18"/>
                <w:szCs w:val="18"/>
                <w:color w:val="auto"/>
              </w:rPr>
              <w:t>–</w:t>
            </w:r>
          </w:p>
        </w:tc>
        <w:tc>
          <w:tcPr>
            <w:tcW w:w="1700" w:type="dxa"/>
            <w:vAlign w:val="bottom"/>
            <w:shd w:val="clear" w:color="auto" w:fill="CCEEFF"/>
          </w:tcPr>
          <w:p>
            <w:pPr>
              <w:jc w:val="right"/>
              <w:ind w:right="692"/>
              <w:spacing w:after="0"/>
              <w:rPr>
                <w:sz w:val="20"/>
                <w:szCs w:val="20"/>
                <w:color w:val="auto"/>
              </w:rPr>
            </w:pPr>
            <w:r>
              <w:rPr>
                <w:rFonts w:ascii="Arial" w:cs="Arial" w:eastAsia="Arial" w:hAnsi="Arial"/>
                <w:sz w:val="18"/>
                <w:szCs w:val="18"/>
                <w:color w:val="auto"/>
              </w:rPr>
              <w:t>–</w:t>
            </w:r>
          </w:p>
        </w:tc>
        <w:tc>
          <w:tcPr>
            <w:tcW w:w="1500" w:type="dxa"/>
            <w:vAlign w:val="bottom"/>
            <w:shd w:val="clear" w:color="auto" w:fill="CCEEFF"/>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120" w:type="dxa"/>
            <w:vAlign w:val="bottom"/>
          </w:tcPr>
          <w:p>
            <w:pPr>
              <w:spacing w:after="0"/>
              <w:rPr>
                <w:sz w:val="20"/>
                <w:szCs w:val="20"/>
                <w:color w:val="auto"/>
              </w:rPr>
            </w:pPr>
            <w:r>
              <w:rPr>
                <w:rFonts w:ascii="Arial" w:cs="Arial" w:eastAsia="Arial" w:hAnsi="Arial"/>
                <w:sz w:val="18"/>
                <w:szCs w:val="18"/>
                <w:color w:val="auto"/>
              </w:rPr>
              <w:t>Cash Bonus</w:t>
            </w:r>
            <w:r>
              <w:rPr>
                <w:rFonts w:ascii="Arial" w:cs="Arial" w:eastAsia="Arial" w:hAnsi="Arial"/>
                <w:sz w:val="15"/>
                <w:szCs w:val="15"/>
                <w:color w:val="auto"/>
              </w:rPr>
              <w:t>(3)</w:t>
            </w:r>
          </w:p>
        </w:tc>
        <w:tc>
          <w:tcPr>
            <w:tcW w:w="2520" w:type="dxa"/>
            <w:vAlign w:val="bottom"/>
          </w:tcPr>
          <w:p>
            <w:pPr>
              <w:jc w:val="right"/>
              <w:ind w:right="594"/>
              <w:spacing w:after="0"/>
              <w:rPr>
                <w:sz w:val="20"/>
                <w:szCs w:val="20"/>
                <w:color w:val="auto"/>
              </w:rPr>
            </w:pPr>
            <w:r>
              <w:rPr>
                <w:rFonts w:ascii="Arial" w:cs="Arial" w:eastAsia="Arial" w:hAnsi="Arial"/>
                <w:sz w:val="18"/>
                <w:szCs w:val="18"/>
                <w:color w:val="auto"/>
              </w:rPr>
              <w:t>1,602,000</w:t>
            </w:r>
          </w:p>
        </w:tc>
        <w:tc>
          <w:tcPr>
            <w:tcW w:w="2180" w:type="dxa"/>
            <w:vAlign w:val="bottom"/>
          </w:tcPr>
          <w:p>
            <w:pPr>
              <w:jc w:val="right"/>
              <w:ind w:right="596"/>
              <w:spacing w:after="0"/>
              <w:rPr>
                <w:sz w:val="20"/>
                <w:szCs w:val="20"/>
                <w:color w:val="auto"/>
              </w:rPr>
            </w:pPr>
            <w:r>
              <w:rPr>
                <w:rFonts w:ascii="Arial" w:cs="Arial" w:eastAsia="Arial" w:hAnsi="Arial"/>
                <w:sz w:val="18"/>
                <w:szCs w:val="18"/>
                <w:color w:val="auto"/>
              </w:rPr>
              <w:t>1,602,000</w:t>
            </w:r>
          </w:p>
        </w:tc>
        <w:tc>
          <w:tcPr>
            <w:tcW w:w="1700" w:type="dxa"/>
            <w:vAlign w:val="bottom"/>
          </w:tcPr>
          <w:p>
            <w:pPr>
              <w:jc w:val="right"/>
              <w:ind w:right="252"/>
              <w:spacing w:after="0"/>
              <w:rPr>
                <w:sz w:val="20"/>
                <w:szCs w:val="20"/>
                <w:color w:val="auto"/>
              </w:rPr>
            </w:pPr>
            <w:r>
              <w:rPr>
                <w:rFonts w:ascii="Arial" w:cs="Arial" w:eastAsia="Arial" w:hAnsi="Arial"/>
                <w:sz w:val="18"/>
                <w:szCs w:val="18"/>
                <w:color w:val="auto"/>
              </w:rPr>
              <w:t>1,602,000</w:t>
            </w:r>
          </w:p>
        </w:tc>
        <w:tc>
          <w:tcPr>
            <w:tcW w:w="1500" w:type="dxa"/>
            <w:vAlign w:val="bottom"/>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120" w:type="dxa"/>
            <w:vAlign w:val="bottom"/>
            <w:shd w:val="clear" w:color="auto" w:fill="CCEEFF"/>
          </w:tcPr>
          <w:p>
            <w:pPr>
              <w:spacing w:after="0"/>
              <w:rPr>
                <w:sz w:val="20"/>
                <w:szCs w:val="20"/>
                <w:color w:val="auto"/>
              </w:rPr>
            </w:pPr>
            <w:r>
              <w:rPr>
                <w:rFonts w:ascii="Arial" w:cs="Arial" w:eastAsia="Arial" w:hAnsi="Arial"/>
                <w:sz w:val="18"/>
                <w:szCs w:val="18"/>
                <w:color w:val="auto"/>
              </w:rPr>
              <w:t>Accelerated Equity Awards</w:t>
            </w:r>
          </w:p>
        </w:tc>
        <w:tc>
          <w:tcPr>
            <w:tcW w:w="2520" w:type="dxa"/>
            <w:vAlign w:val="bottom"/>
            <w:shd w:val="clear" w:color="auto" w:fill="CCEEFF"/>
          </w:tcPr>
          <w:p>
            <w:pPr>
              <w:jc w:val="right"/>
              <w:ind w:right="594"/>
              <w:spacing w:after="0"/>
              <w:rPr>
                <w:sz w:val="20"/>
                <w:szCs w:val="20"/>
                <w:color w:val="auto"/>
              </w:rPr>
            </w:pPr>
            <w:r>
              <w:rPr>
                <w:rFonts w:ascii="Arial" w:cs="Arial" w:eastAsia="Arial" w:hAnsi="Arial"/>
                <w:sz w:val="18"/>
                <w:szCs w:val="18"/>
                <w:color w:val="auto"/>
              </w:rPr>
              <w:t>2,098,993</w:t>
            </w:r>
          </w:p>
        </w:tc>
        <w:tc>
          <w:tcPr>
            <w:tcW w:w="2180" w:type="dxa"/>
            <w:vAlign w:val="bottom"/>
            <w:shd w:val="clear" w:color="auto" w:fill="CCEEFF"/>
          </w:tcPr>
          <w:p>
            <w:pPr>
              <w:jc w:val="right"/>
              <w:ind w:right="596"/>
              <w:spacing w:after="0"/>
              <w:rPr>
                <w:sz w:val="20"/>
                <w:szCs w:val="20"/>
                <w:color w:val="auto"/>
              </w:rPr>
            </w:pPr>
            <w:r>
              <w:rPr>
                <w:rFonts w:ascii="Arial" w:cs="Arial" w:eastAsia="Arial" w:hAnsi="Arial"/>
                <w:sz w:val="18"/>
                <w:szCs w:val="18"/>
                <w:color w:val="auto"/>
              </w:rPr>
              <w:t>2,098,993</w:t>
            </w:r>
          </w:p>
        </w:tc>
        <w:tc>
          <w:tcPr>
            <w:tcW w:w="1700" w:type="dxa"/>
            <w:vAlign w:val="bottom"/>
            <w:shd w:val="clear" w:color="auto" w:fill="CCEEFF"/>
          </w:tcPr>
          <w:p>
            <w:pPr>
              <w:jc w:val="right"/>
              <w:ind w:right="252"/>
              <w:spacing w:after="0"/>
              <w:rPr>
                <w:sz w:val="20"/>
                <w:szCs w:val="20"/>
                <w:color w:val="auto"/>
              </w:rPr>
            </w:pPr>
            <w:r>
              <w:rPr>
                <w:rFonts w:ascii="Arial" w:cs="Arial" w:eastAsia="Arial" w:hAnsi="Arial"/>
                <w:sz w:val="18"/>
                <w:szCs w:val="18"/>
                <w:color w:val="auto"/>
              </w:rPr>
              <w:t>2,098,993</w:t>
            </w:r>
          </w:p>
        </w:tc>
        <w:tc>
          <w:tcPr>
            <w:tcW w:w="1500" w:type="dxa"/>
            <w:vAlign w:val="bottom"/>
            <w:shd w:val="clear" w:color="auto" w:fill="CCEEFF"/>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2"/>
        </w:trPr>
        <w:tc>
          <w:tcPr>
            <w:tcW w:w="20" w:type="dxa"/>
            <w:vAlign w:val="bottom"/>
          </w:tcPr>
          <w:p>
            <w:pPr>
              <w:spacing w:after="0"/>
              <w:rPr>
                <w:sz w:val="17"/>
                <w:szCs w:val="17"/>
                <w:color w:val="auto"/>
              </w:rPr>
            </w:pPr>
          </w:p>
        </w:tc>
        <w:tc>
          <w:tcPr>
            <w:tcW w:w="3120" w:type="dxa"/>
            <w:vAlign w:val="bottom"/>
          </w:tcPr>
          <w:p>
            <w:pPr>
              <w:spacing w:after="0" w:line="201" w:lineRule="exact"/>
              <w:rPr>
                <w:sz w:val="20"/>
                <w:szCs w:val="20"/>
                <w:color w:val="auto"/>
              </w:rPr>
            </w:pPr>
            <w:r>
              <w:rPr>
                <w:rFonts w:ascii="Arial" w:cs="Arial" w:eastAsia="Arial" w:hAnsi="Arial"/>
                <w:sz w:val="18"/>
                <w:szCs w:val="18"/>
                <w:color w:val="auto"/>
              </w:rPr>
              <w:t>Accelerated Non-Equity Incentive</w:t>
            </w:r>
          </w:p>
        </w:tc>
        <w:tc>
          <w:tcPr>
            <w:tcW w:w="2520" w:type="dxa"/>
            <w:vAlign w:val="bottom"/>
          </w:tcPr>
          <w:p>
            <w:pPr>
              <w:spacing w:after="0"/>
              <w:rPr>
                <w:sz w:val="17"/>
                <w:szCs w:val="17"/>
                <w:color w:val="auto"/>
              </w:rPr>
            </w:pPr>
          </w:p>
        </w:tc>
        <w:tc>
          <w:tcPr>
            <w:tcW w:w="2180" w:type="dxa"/>
            <w:vAlign w:val="bottom"/>
          </w:tcPr>
          <w:p>
            <w:pPr>
              <w:spacing w:after="0"/>
              <w:rPr>
                <w:sz w:val="17"/>
                <w:szCs w:val="17"/>
                <w:color w:val="auto"/>
              </w:rPr>
            </w:pPr>
          </w:p>
        </w:tc>
        <w:tc>
          <w:tcPr>
            <w:tcW w:w="1700" w:type="dxa"/>
            <w:vAlign w:val="bottom"/>
          </w:tcPr>
          <w:p>
            <w:pPr>
              <w:spacing w:after="0"/>
              <w:rPr>
                <w:sz w:val="17"/>
                <w:szCs w:val="17"/>
                <w:color w:val="auto"/>
              </w:rPr>
            </w:pPr>
          </w:p>
        </w:tc>
        <w:tc>
          <w:tcPr>
            <w:tcW w:w="15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3120" w:type="dxa"/>
            <w:vAlign w:val="bottom"/>
          </w:tcPr>
          <w:p>
            <w:pPr>
              <w:ind w:left="160"/>
              <w:spacing w:after="0"/>
              <w:rPr>
                <w:sz w:val="20"/>
                <w:szCs w:val="20"/>
                <w:color w:val="auto"/>
              </w:rPr>
            </w:pPr>
            <w:r>
              <w:rPr>
                <w:rFonts w:ascii="Arial" w:cs="Arial" w:eastAsia="Arial" w:hAnsi="Arial"/>
                <w:sz w:val="18"/>
                <w:szCs w:val="18"/>
                <w:color w:val="auto"/>
              </w:rPr>
              <w:t>Compensation</w:t>
            </w:r>
            <w:r>
              <w:rPr>
                <w:rFonts w:ascii="Arial" w:cs="Arial" w:eastAsia="Arial" w:hAnsi="Arial"/>
                <w:sz w:val="15"/>
                <w:szCs w:val="15"/>
                <w:color w:val="auto"/>
              </w:rPr>
              <w:t>(5)</w:t>
            </w:r>
          </w:p>
        </w:tc>
        <w:tc>
          <w:tcPr>
            <w:tcW w:w="2520" w:type="dxa"/>
            <w:vAlign w:val="bottom"/>
          </w:tcPr>
          <w:p>
            <w:pPr>
              <w:jc w:val="right"/>
              <w:ind w:right="594"/>
              <w:spacing w:after="0"/>
              <w:rPr>
                <w:sz w:val="20"/>
                <w:szCs w:val="20"/>
                <w:color w:val="auto"/>
              </w:rPr>
            </w:pPr>
            <w:r>
              <w:rPr>
                <w:rFonts w:ascii="Arial" w:cs="Arial" w:eastAsia="Arial" w:hAnsi="Arial"/>
                <w:sz w:val="18"/>
                <w:szCs w:val="18"/>
                <w:color w:val="auto"/>
              </w:rPr>
              <w:t>438,634</w:t>
            </w:r>
          </w:p>
        </w:tc>
        <w:tc>
          <w:tcPr>
            <w:tcW w:w="2180" w:type="dxa"/>
            <w:vAlign w:val="bottom"/>
          </w:tcPr>
          <w:p>
            <w:pPr>
              <w:jc w:val="right"/>
              <w:ind w:right="596"/>
              <w:spacing w:after="0"/>
              <w:rPr>
                <w:sz w:val="20"/>
                <w:szCs w:val="20"/>
                <w:color w:val="auto"/>
              </w:rPr>
            </w:pPr>
            <w:r>
              <w:rPr>
                <w:rFonts w:ascii="Arial" w:cs="Arial" w:eastAsia="Arial" w:hAnsi="Arial"/>
                <w:sz w:val="18"/>
                <w:szCs w:val="18"/>
                <w:color w:val="auto"/>
              </w:rPr>
              <w:t>438,634</w:t>
            </w:r>
          </w:p>
        </w:tc>
        <w:tc>
          <w:tcPr>
            <w:tcW w:w="1700" w:type="dxa"/>
            <w:vAlign w:val="bottom"/>
          </w:tcPr>
          <w:p>
            <w:pPr>
              <w:jc w:val="right"/>
              <w:ind w:right="252"/>
              <w:spacing w:after="0"/>
              <w:rPr>
                <w:sz w:val="20"/>
                <w:szCs w:val="20"/>
                <w:color w:val="auto"/>
              </w:rPr>
            </w:pPr>
            <w:r>
              <w:rPr>
                <w:rFonts w:ascii="Arial" w:cs="Arial" w:eastAsia="Arial" w:hAnsi="Arial"/>
                <w:sz w:val="18"/>
                <w:szCs w:val="18"/>
                <w:color w:val="auto"/>
              </w:rPr>
              <w:t>438,634</w:t>
            </w:r>
          </w:p>
        </w:tc>
        <w:tc>
          <w:tcPr>
            <w:tcW w:w="15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120" w:type="dxa"/>
            <w:vAlign w:val="bottom"/>
            <w:shd w:val="clear" w:color="auto" w:fill="CCEEFF"/>
          </w:tcPr>
          <w:p>
            <w:pPr>
              <w:spacing w:after="0"/>
              <w:rPr>
                <w:sz w:val="20"/>
                <w:szCs w:val="20"/>
                <w:color w:val="auto"/>
              </w:rPr>
            </w:pPr>
            <w:r>
              <w:rPr>
                <w:rFonts w:ascii="Arial" w:cs="Arial" w:eastAsia="Arial" w:hAnsi="Arial"/>
                <w:sz w:val="18"/>
                <w:szCs w:val="18"/>
                <w:color w:val="auto"/>
              </w:rPr>
              <w:t>Pro Rata LTIA Payment</w:t>
            </w:r>
            <w:r>
              <w:rPr>
                <w:rFonts w:ascii="Arial" w:cs="Arial" w:eastAsia="Arial" w:hAnsi="Arial"/>
                <w:sz w:val="15"/>
                <w:szCs w:val="15"/>
                <w:color w:val="auto"/>
              </w:rPr>
              <w:t>(2)</w:t>
            </w:r>
          </w:p>
        </w:tc>
        <w:tc>
          <w:tcPr>
            <w:tcW w:w="2520" w:type="dxa"/>
            <w:vAlign w:val="bottom"/>
            <w:shd w:val="clear" w:color="auto" w:fill="CCEEFF"/>
          </w:tcPr>
          <w:p>
            <w:pPr>
              <w:jc w:val="right"/>
              <w:ind w:right="594"/>
              <w:spacing w:after="0"/>
              <w:rPr>
                <w:sz w:val="20"/>
                <w:szCs w:val="20"/>
                <w:color w:val="auto"/>
              </w:rPr>
            </w:pPr>
            <w:r>
              <w:rPr>
                <w:rFonts w:ascii="Arial" w:cs="Arial" w:eastAsia="Arial" w:hAnsi="Arial"/>
                <w:sz w:val="18"/>
                <w:szCs w:val="18"/>
                <w:color w:val="auto"/>
              </w:rPr>
              <w:t>1,400,000</w:t>
            </w:r>
          </w:p>
        </w:tc>
        <w:tc>
          <w:tcPr>
            <w:tcW w:w="2180" w:type="dxa"/>
            <w:vAlign w:val="bottom"/>
            <w:shd w:val="clear" w:color="auto" w:fill="CCEEFF"/>
          </w:tcPr>
          <w:p>
            <w:pPr>
              <w:jc w:val="right"/>
              <w:ind w:right="596"/>
              <w:spacing w:after="0"/>
              <w:rPr>
                <w:sz w:val="20"/>
                <w:szCs w:val="20"/>
                <w:color w:val="auto"/>
              </w:rPr>
            </w:pPr>
            <w:r>
              <w:rPr>
                <w:rFonts w:ascii="Arial" w:cs="Arial" w:eastAsia="Arial" w:hAnsi="Arial"/>
                <w:sz w:val="18"/>
                <w:szCs w:val="18"/>
                <w:color w:val="auto"/>
              </w:rPr>
              <w:t>1,400,000</w:t>
            </w:r>
          </w:p>
        </w:tc>
        <w:tc>
          <w:tcPr>
            <w:tcW w:w="1700" w:type="dxa"/>
            <w:vAlign w:val="bottom"/>
            <w:shd w:val="clear" w:color="auto" w:fill="CCEEFF"/>
          </w:tcPr>
          <w:p>
            <w:pPr>
              <w:jc w:val="right"/>
              <w:ind w:right="252"/>
              <w:spacing w:after="0"/>
              <w:rPr>
                <w:sz w:val="20"/>
                <w:szCs w:val="20"/>
                <w:color w:val="auto"/>
              </w:rPr>
            </w:pPr>
            <w:r>
              <w:rPr>
                <w:rFonts w:ascii="Arial" w:cs="Arial" w:eastAsia="Arial" w:hAnsi="Arial"/>
                <w:sz w:val="18"/>
                <w:szCs w:val="18"/>
                <w:color w:val="auto"/>
              </w:rPr>
              <w:t>1,400,000</w:t>
            </w:r>
          </w:p>
        </w:tc>
        <w:tc>
          <w:tcPr>
            <w:tcW w:w="1500" w:type="dxa"/>
            <w:vAlign w:val="bottom"/>
            <w:shd w:val="clear" w:color="auto" w:fill="CCEEFF"/>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120" w:type="dxa"/>
            <w:vAlign w:val="bottom"/>
            <w:tcBorders>
              <w:bottom w:val="single" w:sz="8" w:color="407CCA"/>
            </w:tcBorders>
          </w:tcPr>
          <w:p>
            <w:pPr>
              <w:spacing w:after="0"/>
              <w:rPr>
                <w:sz w:val="20"/>
                <w:szCs w:val="20"/>
                <w:color w:val="auto"/>
              </w:rPr>
            </w:pPr>
            <w:r>
              <w:rPr>
                <w:rFonts w:ascii="Arial" w:cs="Arial" w:eastAsia="Arial" w:hAnsi="Arial"/>
                <w:sz w:val="18"/>
                <w:szCs w:val="18"/>
                <w:color w:val="auto"/>
              </w:rPr>
              <w:t>Insurance Benefits</w:t>
            </w:r>
          </w:p>
        </w:tc>
        <w:tc>
          <w:tcPr>
            <w:tcW w:w="2520" w:type="dxa"/>
            <w:vAlign w:val="bottom"/>
            <w:tcBorders>
              <w:bottom w:val="single" w:sz="8" w:color="407CCA"/>
            </w:tcBorders>
          </w:tcPr>
          <w:p>
            <w:pPr>
              <w:jc w:val="right"/>
              <w:ind w:right="594"/>
              <w:spacing w:after="0"/>
              <w:rPr>
                <w:sz w:val="20"/>
                <w:szCs w:val="20"/>
                <w:color w:val="auto"/>
              </w:rPr>
            </w:pPr>
            <w:r>
              <w:rPr>
                <w:rFonts w:ascii="Arial" w:cs="Arial" w:eastAsia="Arial" w:hAnsi="Arial"/>
                <w:sz w:val="18"/>
                <w:szCs w:val="18"/>
                <w:color w:val="auto"/>
              </w:rPr>
              <w:t>44,421</w:t>
            </w:r>
          </w:p>
        </w:tc>
        <w:tc>
          <w:tcPr>
            <w:tcW w:w="2180" w:type="dxa"/>
            <w:vAlign w:val="bottom"/>
            <w:tcBorders>
              <w:bottom w:val="single" w:sz="8" w:color="407CCA"/>
            </w:tcBorders>
          </w:tcPr>
          <w:p>
            <w:pPr>
              <w:jc w:val="right"/>
              <w:ind w:right="596"/>
              <w:spacing w:after="0"/>
              <w:rPr>
                <w:sz w:val="20"/>
                <w:szCs w:val="20"/>
                <w:color w:val="auto"/>
              </w:rPr>
            </w:pPr>
            <w:r>
              <w:rPr>
                <w:rFonts w:ascii="Arial" w:cs="Arial" w:eastAsia="Arial" w:hAnsi="Arial"/>
                <w:sz w:val="18"/>
                <w:szCs w:val="18"/>
                <w:color w:val="auto"/>
              </w:rPr>
              <w:t>44,421</w:t>
            </w:r>
          </w:p>
        </w:tc>
        <w:tc>
          <w:tcPr>
            <w:tcW w:w="1700" w:type="dxa"/>
            <w:vAlign w:val="bottom"/>
            <w:tcBorders>
              <w:bottom w:val="single" w:sz="8" w:color="407CCA"/>
            </w:tcBorders>
          </w:tcPr>
          <w:p>
            <w:pPr>
              <w:jc w:val="right"/>
              <w:ind w:right="252"/>
              <w:spacing w:after="0"/>
              <w:rPr>
                <w:sz w:val="20"/>
                <w:szCs w:val="20"/>
                <w:color w:val="auto"/>
              </w:rPr>
            </w:pPr>
            <w:r>
              <w:rPr>
                <w:rFonts w:ascii="Arial" w:cs="Arial" w:eastAsia="Arial" w:hAnsi="Arial"/>
                <w:sz w:val="18"/>
                <w:szCs w:val="18"/>
                <w:color w:val="auto"/>
              </w:rPr>
              <w:t>44,421</w:t>
            </w:r>
          </w:p>
        </w:tc>
        <w:tc>
          <w:tcPr>
            <w:tcW w:w="1500" w:type="dxa"/>
            <w:vAlign w:val="bottom"/>
            <w:tcBorders>
              <w:bottom w:val="single" w:sz="8" w:color="407CCA"/>
            </w:tcBorders>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120" w:type="dxa"/>
            <w:vAlign w:val="bottom"/>
            <w:tcBorders>
              <w:bottom w:val="single" w:sz="8" w:color="407CCA"/>
            </w:tcBorders>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2520" w:type="dxa"/>
            <w:vAlign w:val="bottom"/>
            <w:tcBorders>
              <w:bottom w:val="single" w:sz="8" w:color="407CCA"/>
            </w:tcBorders>
            <w:shd w:val="clear" w:color="auto" w:fill="CCEEFF"/>
          </w:tcPr>
          <w:p>
            <w:pPr>
              <w:jc w:val="right"/>
              <w:ind w:right="594"/>
              <w:spacing w:after="0"/>
              <w:rPr>
                <w:sz w:val="20"/>
                <w:szCs w:val="20"/>
                <w:color w:val="auto"/>
              </w:rPr>
            </w:pPr>
            <w:r>
              <w:rPr>
                <w:rFonts w:ascii="Arial" w:cs="Arial" w:eastAsia="Arial" w:hAnsi="Arial"/>
                <w:sz w:val="18"/>
                <w:szCs w:val="18"/>
                <w:color w:val="auto"/>
              </w:rPr>
              <w:t>8,086,048</w:t>
            </w:r>
          </w:p>
        </w:tc>
        <w:tc>
          <w:tcPr>
            <w:tcW w:w="2180" w:type="dxa"/>
            <w:vAlign w:val="bottom"/>
            <w:tcBorders>
              <w:bottom w:val="single" w:sz="8" w:color="407CCA"/>
            </w:tcBorders>
            <w:shd w:val="clear" w:color="auto" w:fill="CCEEFF"/>
          </w:tcPr>
          <w:p>
            <w:pPr>
              <w:jc w:val="right"/>
              <w:ind w:right="596"/>
              <w:spacing w:after="0"/>
              <w:rPr>
                <w:sz w:val="20"/>
                <w:szCs w:val="20"/>
                <w:color w:val="auto"/>
              </w:rPr>
            </w:pPr>
            <w:r>
              <w:rPr>
                <w:rFonts w:ascii="Arial" w:cs="Arial" w:eastAsia="Arial" w:hAnsi="Arial"/>
                <w:sz w:val="18"/>
                <w:szCs w:val="18"/>
                <w:color w:val="auto"/>
              </w:rPr>
              <w:t>8,086,048</w:t>
            </w:r>
          </w:p>
        </w:tc>
        <w:tc>
          <w:tcPr>
            <w:tcW w:w="1700" w:type="dxa"/>
            <w:vAlign w:val="bottom"/>
            <w:tcBorders>
              <w:bottom w:val="single" w:sz="8" w:color="407CCA"/>
            </w:tcBorders>
            <w:shd w:val="clear" w:color="auto" w:fill="CCEEFF"/>
          </w:tcPr>
          <w:p>
            <w:pPr>
              <w:jc w:val="right"/>
              <w:ind w:right="252"/>
              <w:spacing w:after="0"/>
              <w:rPr>
                <w:sz w:val="20"/>
                <w:szCs w:val="20"/>
                <w:color w:val="auto"/>
              </w:rPr>
            </w:pPr>
            <w:r>
              <w:rPr>
                <w:rFonts w:ascii="Arial" w:cs="Arial" w:eastAsia="Arial" w:hAnsi="Arial"/>
                <w:sz w:val="18"/>
                <w:szCs w:val="18"/>
                <w:color w:val="auto"/>
              </w:rPr>
              <w:t>5,584,048</w:t>
            </w:r>
          </w:p>
        </w:tc>
        <w:tc>
          <w:tcPr>
            <w:tcW w:w="1500" w:type="dxa"/>
            <w:vAlign w:val="bottom"/>
            <w:tcBorders>
              <w:bottom w:val="single" w:sz="8" w:color="407CCA"/>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64"/>
        </w:trPr>
        <w:tc>
          <w:tcPr>
            <w:tcW w:w="3140" w:type="dxa"/>
            <w:vAlign w:val="bottom"/>
            <w:gridSpan w:val="2"/>
          </w:tcPr>
          <w:p>
            <w:pPr>
              <w:spacing w:after="0"/>
              <w:rPr>
                <w:sz w:val="20"/>
                <w:szCs w:val="20"/>
                <w:color w:val="auto"/>
              </w:rPr>
            </w:pPr>
            <w:r>
              <w:rPr>
                <w:rFonts w:ascii="Arial" w:cs="Arial" w:eastAsia="Arial" w:hAnsi="Arial"/>
                <w:sz w:val="18"/>
                <w:szCs w:val="18"/>
                <w:b w:val="1"/>
                <w:bCs w:val="1"/>
                <w:color w:val="auto"/>
              </w:rPr>
              <w:t>Aaron J. Pas</w:t>
            </w:r>
          </w:p>
        </w:tc>
        <w:tc>
          <w:tcPr>
            <w:tcW w:w="2520" w:type="dxa"/>
            <w:vAlign w:val="bottom"/>
          </w:tcPr>
          <w:p>
            <w:pPr>
              <w:spacing w:after="0"/>
              <w:rPr>
                <w:sz w:val="22"/>
                <w:szCs w:val="22"/>
                <w:color w:val="auto"/>
              </w:rPr>
            </w:pPr>
          </w:p>
        </w:tc>
        <w:tc>
          <w:tcPr>
            <w:tcW w:w="2180" w:type="dxa"/>
            <w:vAlign w:val="bottom"/>
          </w:tcPr>
          <w:p>
            <w:pPr>
              <w:spacing w:after="0"/>
              <w:rPr>
                <w:sz w:val="22"/>
                <w:szCs w:val="22"/>
                <w:color w:val="auto"/>
              </w:rPr>
            </w:pPr>
          </w:p>
        </w:tc>
        <w:tc>
          <w:tcPr>
            <w:tcW w:w="1700" w:type="dxa"/>
            <w:vAlign w:val="bottom"/>
          </w:tcPr>
          <w:p>
            <w:pPr>
              <w:spacing w:after="0"/>
              <w:rPr>
                <w:sz w:val="22"/>
                <w:szCs w:val="22"/>
                <w:color w:val="auto"/>
              </w:rPr>
            </w:pPr>
          </w:p>
        </w:tc>
        <w:tc>
          <w:tcPr>
            <w:tcW w:w="15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120" w:type="dxa"/>
            <w:vAlign w:val="bottom"/>
            <w:shd w:val="clear" w:color="auto" w:fill="CCEEFF"/>
          </w:tcPr>
          <w:p>
            <w:pPr>
              <w:spacing w:after="0"/>
              <w:rPr>
                <w:sz w:val="20"/>
                <w:szCs w:val="20"/>
                <w:color w:val="auto"/>
              </w:rPr>
            </w:pPr>
            <w:r>
              <w:rPr>
                <w:rFonts w:ascii="Arial" w:cs="Arial" w:eastAsia="Arial" w:hAnsi="Arial"/>
                <w:sz w:val="18"/>
                <w:szCs w:val="18"/>
                <w:color w:val="auto"/>
              </w:rPr>
              <w:t>Severance Amount</w:t>
            </w:r>
          </w:p>
        </w:tc>
        <w:tc>
          <w:tcPr>
            <w:tcW w:w="2520" w:type="dxa"/>
            <w:vAlign w:val="bottom"/>
            <w:shd w:val="clear" w:color="auto" w:fill="CCEEFF"/>
          </w:tcPr>
          <w:p>
            <w:pPr>
              <w:jc w:val="right"/>
              <w:ind w:right="234"/>
              <w:spacing w:after="0"/>
              <w:rPr>
                <w:sz w:val="20"/>
                <w:szCs w:val="20"/>
                <w:color w:val="auto"/>
              </w:rPr>
            </w:pPr>
            <w:r>
              <w:rPr>
                <w:rFonts w:ascii="Arial" w:cs="Arial" w:eastAsia="Arial" w:hAnsi="Arial"/>
                <w:sz w:val="18"/>
                <w:szCs w:val="18"/>
                <w:color w:val="auto"/>
              </w:rPr>
              <w:t>398,438</w:t>
            </w:r>
            <w:r>
              <w:rPr>
                <w:rFonts w:ascii="Arial" w:cs="Arial" w:eastAsia="Arial" w:hAnsi="Arial"/>
                <w:sz w:val="15"/>
                <w:szCs w:val="15"/>
                <w:color w:val="auto"/>
              </w:rPr>
              <w:t>(8)(9)</w:t>
            </w:r>
          </w:p>
        </w:tc>
        <w:tc>
          <w:tcPr>
            <w:tcW w:w="2180" w:type="dxa"/>
            <w:vAlign w:val="bottom"/>
            <w:shd w:val="clear" w:color="auto" w:fill="CCEEFF"/>
          </w:tcPr>
          <w:p>
            <w:pPr>
              <w:jc w:val="right"/>
              <w:ind w:right="236"/>
              <w:spacing w:after="0"/>
              <w:rPr>
                <w:sz w:val="20"/>
                <w:szCs w:val="20"/>
                <w:color w:val="auto"/>
              </w:rPr>
            </w:pPr>
            <w:r>
              <w:rPr>
                <w:rFonts w:ascii="Arial" w:cs="Arial" w:eastAsia="Arial" w:hAnsi="Arial"/>
                <w:sz w:val="18"/>
                <w:szCs w:val="18"/>
                <w:color w:val="auto"/>
              </w:rPr>
              <w:t>398,438</w:t>
            </w:r>
            <w:r>
              <w:rPr>
                <w:rFonts w:ascii="Arial" w:cs="Arial" w:eastAsia="Arial" w:hAnsi="Arial"/>
                <w:sz w:val="15"/>
                <w:szCs w:val="15"/>
                <w:color w:val="auto"/>
              </w:rPr>
              <w:t>(8)(9)</w:t>
            </w:r>
          </w:p>
        </w:tc>
        <w:tc>
          <w:tcPr>
            <w:tcW w:w="1700" w:type="dxa"/>
            <w:vAlign w:val="bottom"/>
            <w:shd w:val="clear" w:color="auto" w:fill="CCEEFF"/>
          </w:tcPr>
          <w:p>
            <w:pPr>
              <w:spacing w:after="0"/>
              <w:rPr>
                <w:sz w:val="18"/>
                <w:szCs w:val="18"/>
                <w:color w:val="auto"/>
              </w:rPr>
            </w:pPr>
          </w:p>
        </w:tc>
        <w:tc>
          <w:tcPr>
            <w:tcW w:w="15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120" w:type="dxa"/>
            <w:vAlign w:val="bottom"/>
          </w:tcPr>
          <w:p>
            <w:pPr>
              <w:spacing w:after="0"/>
              <w:rPr>
                <w:sz w:val="20"/>
                <w:szCs w:val="20"/>
                <w:color w:val="auto"/>
              </w:rPr>
            </w:pPr>
            <w:r>
              <w:rPr>
                <w:rFonts w:ascii="Arial" w:cs="Arial" w:eastAsia="Arial" w:hAnsi="Arial"/>
                <w:sz w:val="18"/>
                <w:szCs w:val="18"/>
                <w:color w:val="auto"/>
              </w:rPr>
              <w:t>Base Salary</w:t>
            </w:r>
          </w:p>
        </w:tc>
        <w:tc>
          <w:tcPr>
            <w:tcW w:w="2520" w:type="dxa"/>
            <w:vAlign w:val="bottom"/>
          </w:tcPr>
          <w:p>
            <w:pPr>
              <w:jc w:val="right"/>
              <w:ind w:right="1114"/>
              <w:spacing w:after="0"/>
              <w:rPr>
                <w:sz w:val="20"/>
                <w:szCs w:val="20"/>
                <w:color w:val="auto"/>
              </w:rPr>
            </w:pPr>
            <w:r>
              <w:rPr>
                <w:rFonts w:ascii="Arial" w:cs="Arial" w:eastAsia="Arial" w:hAnsi="Arial"/>
                <w:sz w:val="18"/>
                <w:szCs w:val="18"/>
                <w:color w:val="auto"/>
              </w:rPr>
              <w:t>–</w:t>
            </w:r>
          </w:p>
        </w:tc>
        <w:tc>
          <w:tcPr>
            <w:tcW w:w="2180" w:type="dxa"/>
            <w:vAlign w:val="bottom"/>
          </w:tcPr>
          <w:p>
            <w:pPr>
              <w:jc w:val="right"/>
              <w:ind w:right="1096"/>
              <w:spacing w:after="0"/>
              <w:rPr>
                <w:sz w:val="20"/>
                <w:szCs w:val="20"/>
                <w:color w:val="auto"/>
              </w:rPr>
            </w:pPr>
            <w:r>
              <w:rPr>
                <w:rFonts w:ascii="Arial" w:cs="Arial" w:eastAsia="Arial" w:hAnsi="Arial"/>
                <w:sz w:val="18"/>
                <w:szCs w:val="18"/>
                <w:color w:val="auto"/>
              </w:rPr>
              <w:t>–</w:t>
            </w:r>
          </w:p>
        </w:tc>
        <w:tc>
          <w:tcPr>
            <w:tcW w:w="1700" w:type="dxa"/>
            <w:vAlign w:val="bottom"/>
          </w:tcPr>
          <w:p>
            <w:pPr>
              <w:jc w:val="right"/>
              <w:ind w:right="692"/>
              <w:spacing w:after="0"/>
              <w:rPr>
                <w:sz w:val="20"/>
                <w:szCs w:val="20"/>
                <w:color w:val="auto"/>
              </w:rPr>
            </w:pPr>
            <w:r>
              <w:rPr>
                <w:rFonts w:ascii="Arial" w:cs="Arial" w:eastAsia="Arial" w:hAnsi="Arial"/>
                <w:sz w:val="18"/>
                <w:szCs w:val="18"/>
                <w:color w:val="auto"/>
              </w:rPr>
              <w:t>–</w:t>
            </w:r>
          </w:p>
        </w:tc>
        <w:tc>
          <w:tcPr>
            <w:tcW w:w="15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120" w:type="dxa"/>
            <w:vAlign w:val="bottom"/>
            <w:shd w:val="clear" w:color="auto" w:fill="CCEEFF"/>
          </w:tcPr>
          <w:p>
            <w:pPr>
              <w:spacing w:after="0"/>
              <w:rPr>
                <w:sz w:val="20"/>
                <w:szCs w:val="20"/>
                <w:color w:val="auto"/>
              </w:rPr>
            </w:pPr>
            <w:r>
              <w:rPr>
                <w:rFonts w:ascii="Arial" w:cs="Arial" w:eastAsia="Arial" w:hAnsi="Arial"/>
                <w:sz w:val="18"/>
                <w:szCs w:val="18"/>
                <w:color w:val="auto"/>
              </w:rPr>
              <w:t>Cash Bonus</w:t>
            </w:r>
          </w:p>
        </w:tc>
        <w:tc>
          <w:tcPr>
            <w:tcW w:w="2520" w:type="dxa"/>
            <w:vAlign w:val="bottom"/>
            <w:shd w:val="clear" w:color="auto" w:fill="CCEEFF"/>
          </w:tcPr>
          <w:p>
            <w:pPr>
              <w:jc w:val="right"/>
              <w:ind w:right="1114"/>
              <w:spacing w:after="0"/>
              <w:rPr>
                <w:sz w:val="20"/>
                <w:szCs w:val="20"/>
                <w:color w:val="auto"/>
              </w:rPr>
            </w:pPr>
            <w:r>
              <w:rPr>
                <w:rFonts w:ascii="Arial" w:cs="Arial" w:eastAsia="Arial" w:hAnsi="Arial"/>
                <w:sz w:val="18"/>
                <w:szCs w:val="18"/>
                <w:color w:val="auto"/>
              </w:rPr>
              <w:t>–</w:t>
            </w:r>
          </w:p>
        </w:tc>
        <w:tc>
          <w:tcPr>
            <w:tcW w:w="2180" w:type="dxa"/>
            <w:vAlign w:val="bottom"/>
            <w:shd w:val="clear" w:color="auto" w:fill="CCEEFF"/>
          </w:tcPr>
          <w:p>
            <w:pPr>
              <w:jc w:val="right"/>
              <w:ind w:right="1096"/>
              <w:spacing w:after="0"/>
              <w:rPr>
                <w:sz w:val="20"/>
                <w:szCs w:val="20"/>
                <w:color w:val="auto"/>
              </w:rPr>
            </w:pPr>
            <w:r>
              <w:rPr>
                <w:rFonts w:ascii="Arial" w:cs="Arial" w:eastAsia="Arial" w:hAnsi="Arial"/>
                <w:sz w:val="18"/>
                <w:szCs w:val="18"/>
                <w:color w:val="auto"/>
              </w:rPr>
              <w:t>–</w:t>
            </w:r>
          </w:p>
        </w:tc>
        <w:tc>
          <w:tcPr>
            <w:tcW w:w="1700" w:type="dxa"/>
            <w:vAlign w:val="bottom"/>
            <w:shd w:val="clear" w:color="auto" w:fill="CCEEFF"/>
          </w:tcPr>
          <w:p>
            <w:pPr>
              <w:jc w:val="right"/>
              <w:ind w:right="692"/>
              <w:spacing w:after="0"/>
              <w:rPr>
                <w:sz w:val="20"/>
                <w:szCs w:val="20"/>
                <w:color w:val="auto"/>
              </w:rPr>
            </w:pPr>
            <w:r>
              <w:rPr>
                <w:rFonts w:ascii="Arial" w:cs="Arial" w:eastAsia="Arial" w:hAnsi="Arial"/>
                <w:sz w:val="18"/>
                <w:szCs w:val="18"/>
                <w:color w:val="auto"/>
              </w:rPr>
              <w:t>–</w:t>
            </w:r>
          </w:p>
        </w:tc>
        <w:tc>
          <w:tcPr>
            <w:tcW w:w="15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120" w:type="dxa"/>
            <w:vAlign w:val="bottom"/>
          </w:tcPr>
          <w:p>
            <w:pPr>
              <w:spacing w:after="0"/>
              <w:rPr>
                <w:sz w:val="20"/>
                <w:szCs w:val="20"/>
                <w:color w:val="auto"/>
              </w:rPr>
            </w:pPr>
            <w:r>
              <w:rPr>
                <w:rFonts w:ascii="Arial" w:cs="Arial" w:eastAsia="Arial" w:hAnsi="Arial"/>
                <w:sz w:val="18"/>
                <w:szCs w:val="18"/>
                <w:color w:val="auto"/>
              </w:rPr>
              <w:t>Accelerated Equity Awards</w:t>
            </w:r>
          </w:p>
        </w:tc>
        <w:tc>
          <w:tcPr>
            <w:tcW w:w="2520" w:type="dxa"/>
            <w:vAlign w:val="bottom"/>
          </w:tcPr>
          <w:p>
            <w:pPr>
              <w:jc w:val="right"/>
              <w:ind w:right="1114"/>
              <w:spacing w:after="0"/>
              <w:rPr>
                <w:sz w:val="20"/>
                <w:szCs w:val="20"/>
                <w:color w:val="auto"/>
              </w:rPr>
            </w:pPr>
            <w:r>
              <w:rPr>
                <w:rFonts w:ascii="Arial" w:cs="Arial" w:eastAsia="Arial" w:hAnsi="Arial"/>
                <w:sz w:val="18"/>
                <w:szCs w:val="18"/>
                <w:color w:val="auto"/>
              </w:rPr>
              <w:t>–</w:t>
            </w:r>
          </w:p>
        </w:tc>
        <w:tc>
          <w:tcPr>
            <w:tcW w:w="2180" w:type="dxa"/>
            <w:vAlign w:val="bottom"/>
          </w:tcPr>
          <w:p>
            <w:pPr>
              <w:jc w:val="right"/>
              <w:ind w:right="1096"/>
              <w:spacing w:after="0"/>
              <w:rPr>
                <w:sz w:val="20"/>
                <w:szCs w:val="20"/>
                <w:color w:val="auto"/>
              </w:rPr>
            </w:pPr>
            <w:r>
              <w:rPr>
                <w:rFonts w:ascii="Arial" w:cs="Arial" w:eastAsia="Arial" w:hAnsi="Arial"/>
                <w:sz w:val="18"/>
                <w:szCs w:val="18"/>
                <w:color w:val="auto"/>
              </w:rPr>
              <w:t>–</w:t>
            </w:r>
          </w:p>
        </w:tc>
        <w:tc>
          <w:tcPr>
            <w:tcW w:w="1700" w:type="dxa"/>
            <w:vAlign w:val="bottom"/>
          </w:tcPr>
          <w:p>
            <w:pPr>
              <w:jc w:val="right"/>
              <w:ind w:right="692"/>
              <w:spacing w:after="0"/>
              <w:rPr>
                <w:sz w:val="20"/>
                <w:szCs w:val="20"/>
                <w:color w:val="auto"/>
              </w:rPr>
            </w:pPr>
            <w:r>
              <w:rPr>
                <w:rFonts w:ascii="Arial" w:cs="Arial" w:eastAsia="Arial" w:hAnsi="Arial"/>
                <w:sz w:val="18"/>
                <w:szCs w:val="18"/>
                <w:color w:val="auto"/>
              </w:rPr>
              <w:t>–</w:t>
            </w:r>
          </w:p>
        </w:tc>
        <w:tc>
          <w:tcPr>
            <w:tcW w:w="15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20" w:type="dxa"/>
            <w:vAlign w:val="bottom"/>
          </w:tcPr>
          <w:p>
            <w:pPr>
              <w:spacing w:after="0"/>
              <w:rPr>
                <w:sz w:val="17"/>
                <w:szCs w:val="17"/>
                <w:color w:val="auto"/>
              </w:rPr>
            </w:pPr>
          </w:p>
        </w:tc>
        <w:tc>
          <w:tcPr>
            <w:tcW w:w="312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rPr>
              <w:t>Accelerated Non-Equity Incentive</w:t>
            </w:r>
          </w:p>
        </w:tc>
        <w:tc>
          <w:tcPr>
            <w:tcW w:w="2520" w:type="dxa"/>
            <w:vAlign w:val="bottom"/>
            <w:shd w:val="clear" w:color="auto" w:fill="CCEEFF"/>
          </w:tcPr>
          <w:p>
            <w:pPr>
              <w:spacing w:after="0"/>
              <w:rPr>
                <w:sz w:val="17"/>
                <w:szCs w:val="17"/>
                <w:color w:val="auto"/>
              </w:rPr>
            </w:pPr>
          </w:p>
        </w:tc>
        <w:tc>
          <w:tcPr>
            <w:tcW w:w="2180" w:type="dxa"/>
            <w:vAlign w:val="bottom"/>
            <w:shd w:val="clear" w:color="auto" w:fill="CCEEFF"/>
          </w:tcPr>
          <w:p>
            <w:pPr>
              <w:spacing w:after="0"/>
              <w:rPr>
                <w:sz w:val="17"/>
                <w:szCs w:val="17"/>
                <w:color w:val="auto"/>
              </w:rPr>
            </w:pPr>
          </w:p>
        </w:tc>
        <w:tc>
          <w:tcPr>
            <w:tcW w:w="1700" w:type="dxa"/>
            <w:vAlign w:val="bottom"/>
            <w:shd w:val="clear" w:color="auto" w:fill="CCEEFF"/>
          </w:tcPr>
          <w:p>
            <w:pPr>
              <w:spacing w:after="0"/>
              <w:rPr>
                <w:sz w:val="17"/>
                <w:szCs w:val="17"/>
                <w:color w:val="auto"/>
              </w:rPr>
            </w:pPr>
          </w:p>
        </w:tc>
        <w:tc>
          <w:tcPr>
            <w:tcW w:w="15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3120" w:type="dxa"/>
            <w:vAlign w:val="bottom"/>
            <w:shd w:val="clear" w:color="auto" w:fill="CCEEFF"/>
          </w:tcPr>
          <w:p>
            <w:pPr>
              <w:ind w:left="160"/>
              <w:spacing w:after="0"/>
              <w:rPr>
                <w:sz w:val="20"/>
                <w:szCs w:val="20"/>
                <w:color w:val="auto"/>
              </w:rPr>
            </w:pPr>
            <w:r>
              <w:rPr>
                <w:rFonts w:ascii="Arial" w:cs="Arial" w:eastAsia="Arial" w:hAnsi="Arial"/>
                <w:sz w:val="18"/>
                <w:szCs w:val="18"/>
                <w:color w:val="auto"/>
              </w:rPr>
              <w:t>Compensation</w:t>
            </w:r>
            <w:r>
              <w:rPr>
                <w:rFonts w:ascii="Arial" w:cs="Arial" w:eastAsia="Arial" w:hAnsi="Arial"/>
                <w:sz w:val="15"/>
                <w:szCs w:val="15"/>
                <w:color w:val="auto"/>
              </w:rPr>
              <w:t>(5)</w:t>
            </w:r>
          </w:p>
        </w:tc>
        <w:tc>
          <w:tcPr>
            <w:tcW w:w="2520" w:type="dxa"/>
            <w:vAlign w:val="bottom"/>
            <w:shd w:val="clear" w:color="auto" w:fill="CCEEFF"/>
          </w:tcPr>
          <w:p>
            <w:pPr>
              <w:jc w:val="right"/>
              <w:ind w:right="1114"/>
              <w:spacing w:after="0"/>
              <w:rPr>
                <w:sz w:val="20"/>
                <w:szCs w:val="20"/>
                <w:color w:val="auto"/>
              </w:rPr>
            </w:pPr>
            <w:r>
              <w:rPr>
                <w:rFonts w:ascii="Arial" w:cs="Arial" w:eastAsia="Arial" w:hAnsi="Arial"/>
                <w:sz w:val="18"/>
                <w:szCs w:val="18"/>
                <w:color w:val="auto"/>
              </w:rPr>
              <w:t>–</w:t>
            </w:r>
          </w:p>
        </w:tc>
        <w:tc>
          <w:tcPr>
            <w:tcW w:w="2180" w:type="dxa"/>
            <w:vAlign w:val="bottom"/>
            <w:shd w:val="clear" w:color="auto" w:fill="CCEEFF"/>
          </w:tcPr>
          <w:p>
            <w:pPr>
              <w:jc w:val="right"/>
              <w:ind w:right="1096"/>
              <w:spacing w:after="0"/>
              <w:rPr>
                <w:sz w:val="20"/>
                <w:szCs w:val="20"/>
                <w:color w:val="auto"/>
              </w:rPr>
            </w:pPr>
            <w:r>
              <w:rPr>
                <w:rFonts w:ascii="Arial" w:cs="Arial" w:eastAsia="Arial" w:hAnsi="Arial"/>
                <w:sz w:val="18"/>
                <w:szCs w:val="18"/>
                <w:color w:val="auto"/>
              </w:rPr>
              <w:t>–</w:t>
            </w:r>
          </w:p>
        </w:tc>
        <w:tc>
          <w:tcPr>
            <w:tcW w:w="1700" w:type="dxa"/>
            <w:vAlign w:val="bottom"/>
            <w:shd w:val="clear" w:color="auto" w:fill="CCEEFF"/>
          </w:tcPr>
          <w:p>
            <w:pPr>
              <w:jc w:val="right"/>
              <w:ind w:right="692"/>
              <w:spacing w:after="0"/>
              <w:rPr>
                <w:sz w:val="20"/>
                <w:szCs w:val="20"/>
                <w:color w:val="auto"/>
              </w:rPr>
            </w:pPr>
            <w:r>
              <w:rPr>
                <w:rFonts w:ascii="Arial" w:cs="Arial" w:eastAsia="Arial" w:hAnsi="Arial"/>
                <w:sz w:val="18"/>
                <w:szCs w:val="18"/>
                <w:color w:val="auto"/>
              </w:rPr>
              <w:t>–</w:t>
            </w:r>
          </w:p>
        </w:tc>
        <w:tc>
          <w:tcPr>
            <w:tcW w:w="150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120" w:type="dxa"/>
            <w:vAlign w:val="bottom"/>
            <w:tcBorders>
              <w:bottom w:val="single" w:sz="8" w:color="407CCA"/>
            </w:tcBorders>
          </w:tcPr>
          <w:p>
            <w:pPr>
              <w:spacing w:after="0"/>
              <w:rPr>
                <w:sz w:val="20"/>
                <w:szCs w:val="20"/>
                <w:color w:val="auto"/>
              </w:rPr>
            </w:pPr>
            <w:r>
              <w:rPr>
                <w:rFonts w:ascii="Arial" w:cs="Arial" w:eastAsia="Arial" w:hAnsi="Arial"/>
                <w:sz w:val="18"/>
                <w:szCs w:val="18"/>
                <w:color w:val="auto"/>
              </w:rPr>
              <w:t>Insurance Benefits</w:t>
            </w:r>
          </w:p>
        </w:tc>
        <w:tc>
          <w:tcPr>
            <w:tcW w:w="2520" w:type="dxa"/>
            <w:vAlign w:val="bottom"/>
            <w:tcBorders>
              <w:bottom w:val="single" w:sz="8" w:color="407CCA"/>
            </w:tcBorders>
          </w:tcPr>
          <w:p>
            <w:pPr>
              <w:jc w:val="right"/>
              <w:ind w:right="1114"/>
              <w:spacing w:after="0"/>
              <w:rPr>
                <w:sz w:val="20"/>
                <w:szCs w:val="20"/>
                <w:color w:val="auto"/>
              </w:rPr>
            </w:pPr>
            <w:r>
              <w:rPr>
                <w:rFonts w:ascii="Arial" w:cs="Arial" w:eastAsia="Arial" w:hAnsi="Arial"/>
                <w:sz w:val="18"/>
                <w:szCs w:val="18"/>
                <w:color w:val="auto"/>
              </w:rPr>
              <w:t>–</w:t>
            </w:r>
          </w:p>
        </w:tc>
        <w:tc>
          <w:tcPr>
            <w:tcW w:w="2180" w:type="dxa"/>
            <w:vAlign w:val="bottom"/>
            <w:tcBorders>
              <w:bottom w:val="single" w:sz="8" w:color="407CCA"/>
            </w:tcBorders>
          </w:tcPr>
          <w:p>
            <w:pPr>
              <w:jc w:val="right"/>
              <w:ind w:right="1096"/>
              <w:spacing w:after="0"/>
              <w:rPr>
                <w:sz w:val="20"/>
                <w:szCs w:val="20"/>
                <w:color w:val="auto"/>
              </w:rPr>
            </w:pPr>
            <w:r>
              <w:rPr>
                <w:rFonts w:ascii="Arial" w:cs="Arial" w:eastAsia="Arial" w:hAnsi="Arial"/>
                <w:sz w:val="18"/>
                <w:szCs w:val="18"/>
                <w:color w:val="auto"/>
              </w:rPr>
              <w:t>–</w:t>
            </w:r>
          </w:p>
        </w:tc>
        <w:tc>
          <w:tcPr>
            <w:tcW w:w="1700" w:type="dxa"/>
            <w:vAlign w:val="bottom"/>
            <w:tcBorders>
              <w:bottom w:val="single" w:sz="8" w:color="407CCA"/>
            </w:tcBorders>
          </w:tcPr>
          <w:p>
            <w:pPr>
              <w:jc w:val="right"/>
              <w:ind w:right="692"/>
              <w:spacing w:after="0"/>
              <w:rPr>
                <w:sz w:val="20"/>
                <w:szCs w:val="20"/>
                <w:color w:val="auto"/>
              </w:rPr>
            </w:pPr>
            <w:r>
              <w:rPr>
                <w:rFonts w:ascii="Arial" w:cs="Arial" w:eastAsia="Arial" w:hAnsi="Arial"/>
                <w:sz w:val="18"/>
                <w:szCs w:val="18"/>
                <w:color w:val="auto"/>
              </w:rPr>
              <w:t>–</w:t>
            </w:r>
          </w:p>
        </w:tc>
        <w:tc>
          <w:tcPr>
            <w:tcW w:w="1500" w:type="dxa"/>
            <w:vAlign w:val="bottom"/>
            <w:tcBorders>
              <w:bottom w:val="single" w:sz="8" w:color="407CCA"/>
            </w:tcBorders>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120" w:type="dxa"/>
            <w:vAlign w:val="bottom"/>
            <w:tcBorders>
              <w:bottom w:val="single" w:sz="8" w:color="407CCA"/>
            </w:tcBorders>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2520" w:type="dxa"/>
            <w:vAlign w:val="bottom"/>
            <w:tcBorders>
              <w:bottom w:val="single" w:sz="8" w:color="407CCA"/>
            </w:tcBorders>
            <w:shd w:val="clear" w:color="auto" w:fill="CCEEFF"/>
          </w:tcPr>
          <w:p>
            <w:pPr>
              <w:jc w:val="right"/>
              <w:ind w:right="594"/>
              <w:spacing w:after="0"/>
              <w:rPr>
                <w:sz w:val="20"/>
                <w:szCs w:val="20"/>
                <w:color w:val="auto"/>
              </w:rPr>
            </w:pPr>
            <w:r>
              <w:rPr>
                <w:rFonts w:ascii="Arial" w:cs="Arial" w:eastAsia="Arial" w:hAnsi="Arial"/>
                <w:sz w:val="18"/>
                <w:szCs w:val="18"/>
                <w:color w:val="auto"/>
              </w:rPr>
              <w:t>398,438</w:t>
            </w:r>
          </w:p>
        </w:tc>
        <w:tc>
          <w:tcPr>
            <w:tcW w:w="2180" w:type="dxa"/>
            <w:vAlign w:val="bottom"/>
            <w:tcBorders>
              <w:bottom w:val="single" w:sz="8" w:color="407CCA"/>
            </w:tcBorders>
            <w:shd w:val="clear" w:color="auto" w:fill="CCEEFF"/>
          </w:tcPr>
          <w:p>
            <w:pPr>
              <w:jc w:val="right"/>
              <w:ind w:right="596"/>
              <w:spacing w:after="0"/>
              <w:rPr>
                <w:sz w:val="20"/>
                <w:szCs w:val="20"/>
                <w:color w:val="auto"/>
              </w:rPr>
            </w:pPr>
            <w:r>
              <w:rPr>
                <w:rFonts w:ascii="Arial" w:cs="Arial" w:eastAsia="Arial" w:hAnsi="Arial"/>
                <w:sz w:val="18"/>
                <w:szCs w:val="18"/>
                <w:color w:val="auto"/>
              </w:rPr>
              <w:t>398,438</w:t>
            </w:r>
          </w:p>
        </w:tc>
        <w:tc>
          <w:tcPr>
            <w:tcW w:w="1700" w:type="dxa"/>
            <w:vAlign w:val="bottom"/>
            <w:tcBorders>
              <w:bottom w:val="single" w:sz="8" w:color="407CCA"/>
            </w:tcBorders>
            <w:shd w:val="clear" w:color="auto" w:fill="CCEEFF"/>
          </w:tcPr>
          <w:p>
            <w:pPr>
              <w:spacing w:after="0"/>
              <w:rPr>
                <w:sz w:val="18"/>
                <w:szCs w:val="18"/>
                <w:color w:val="auto"/>
              </w:rPr>
            </w:pPr>
          </w:p>
        </w:tc>
        <w:tc>
          <w:tcPr>
            <w:tcW w:w="1500" w:type="dxa"/>
            <w:vAlign w:val="bottom"/>
            <w:tcBorders>
              <w:bottom w:val="single" w:sz="8" w:color="407CCA"/>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bl>
    <w:p>
      <w:pPr>
        <w:spacing w:after="0" w:line="130"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62</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40"/>
          </w:cols>
          <w:pgMar w:left="240" w:top="459" w:right="419" w:bottom="1440" w:gutter="0" w:footer="0" w:header="0"/>
        </w:sectPr>
      </w:pPr>
    </w:p>
    <w:bookmarkStart w:id="66" w:name="page67"/>
    <w:bookmarkEnd w:id="6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tbl>
      <w:tblPr>
        <w:tblLayout w:type="fixed"/>
        <w:tblInd w:w="200" w:type="dxa"/>
        <w:tblCellMar>
          <w:top w:w="0" w:type="dxa"/>
          <w:left w:w="0" w:type="dxa"/>
          <w:bottom w:w="0" w:type="dxa"/>
          <w:right w:w="0" w:type="dxa"/>
        </w:tblCellMar>
      </w:tblPr>
      <w:tr>
        <w:trPr>
          <w:trHeight w:val="182"/>
        </w:trPr>
        <w:tc>
          <w:tcPr>
            <w:tcW w:w="20" w:type="dxa"/>
            <w:vAlign w:val="bottom"/>
          </w:tcPr>
          <w:p>
            <w:pPr>
              <w:spacing w:after="0"/>
              <w:rPr>
                <w:sz w:val="15"/>
                <w:szCs w:val="15"/>
                <w:color w:val="auto"/>
              </w:rPr>
            </w:pPr>
          </w:p>
        </w:tc>
        <w:tc>
          <w:tcPr>
            <w:tcW w:w="3040" w:type="dxa"/>
            <w:vAlign w:val="bottom"/>
          </w:tcPr>
          <w:p>
            <w:pPr>
              <w:spacing w:after="0"/>
              <w:rPr>
                <w:sz w:val="15"/>
                <w:szCs w:val="15"/>
                <w:color w:val="auto"/>
              </w:rPr>
            </w:pPr>
          </w:p>
        </w:tc>
        <w:tc>
          <w:tcPr>
            <w:tcW w:w="2560" w:type="dxa"/>
            <w:vAlign w:val="bottom"/>
          </w:tcPr>
          <w:p>
            <w:pPr>
              <w:spacing w:after="0"/>
              <w:rPr>
                <w:sz w:val="15"/>
                <w:szCs w:val="15"/>
                <w:color w:val="auto"/>
              </w:rPr>
            </w:pPr>
          </w:p>
        </w:tc>
        <w:tc>
          <w:tcPr>
            <w:tcW w:w="2300" w:type="dxa"/>
            <w:vAlign w:val="bottom"/>
          </w:tcPr>
          <w:p>
            <w:pPr>
              <w:spacing w:after="0"/>
              <w:rPr>
                <w:sz w:val="15"/>
                <w:szCs w:val="15"/>
                <w:color w:val="auto"/>
              </w:rPr>
            </w:pPr>
          </w:p>
        </w:tc>
        <w:tc>
          <w:tcPr>
            <w:tcW w:w="3120" w:type="dxa"/>
            <w:vAlign w:val="bottom"/>
            <w:gridSpan w:val="2"/>
          </w:tcPr>
          <w:p>
            <w:pPr>
              <w:ind w:left="1140"/>
              <w:spacing w:after="0"/>
              <w:rPr>
                <w:sz w:val="20"/>
                <w:szCs w:val="20"/>
                <w:color w:val="auto"/>
              </w:rPr>
            </w:pPr>
            <w:r>
              <w:rPr>
                <w:rFonts w:ascii="Arial" w:cs="Arial" w:eastAsia="Arial" w:hAnsi="Arial"/>
                <w:sz w:val="14"/>
                <w:szCs w:val="14"/>
                <w:color w:val="407CCA"/>
                <w:w w:val="99"/>
              </w:rPr>
              <w:t>EXECUTIVE COMPENSATION</w:t>
            </w:r>
          </w:p>
        </w:tc>
        <w:tc>
          <w:tcPr>
            <w:tcW w:w="0" w:type="dxa"/>
            <w:vAlign w:val="bottom"/>
          </w:tcPr>
          <w:p>
            <w:pPr>
              <w:spacing w:after="0"/>
              <w:rPr>
                <w:sz w:val="1"/>
                <w:szCs w:val="1"/>
                <w:color w:val="auto"/>
              </w:rPr>
            </w:pPr>
          </w:p>
        </w:tc>
      </w:tr>
      <w:tr>
        <w:trPr>
          <w:trHeight w:val="53"/>
        </w:trPr>
        <w:tc>
          <w:tcPr>
            <w:tcW w:w="20" w:type="dxa"/>
            <w:vAlign w:val="bottom"/>
          </w:tcPr>
          <w:p>
            <w:pPr>
              <w:spacing w:after="0"/>
              <w:rPr>
                <w:sz w:val="4"/>
                <w:szCs w:val="4"/>
                <w:color w:val="auto"/>
              </w:rPr>
            </w:pPr>
          </w:p>
        </w:tc>
        <w:tc>
          <w:tcPr>
            <w:tcW w:w="3040" w:type="dxa"/>
            <w:vAlign w:val="bottom"/>
            <w:tcBorders>
              <w:bottom w:val="single" w:sz="8" w:color="407CCA"/>
            </w:tcBorders>
          </w:tcPr>
          <w:p>
            <w:pPr>
              <w:spacing w:after="0"/>
              <w:rPr>
                <w:sz w:val="4"/>
                <w:szCs w:val="4"/>
                <w:color w:val="auto"/>
              </w:rPr>
            </w:pPr>
          </w:p>
        </w:tc>
        <w:tc>
          <w:tcPr>
            <w:tcW w:w="2560" w:type="dxa"/>
            <w:vAlign w:val="bottom"/>
            <w:tcBorders>
              <w:bottom w:val="single" w:sz="8" w:color="407CCA"/>
            </w:tcBorders>
          </w:tcPr>
          <w:p>
            <w:pPr>
              <w:spacing w:after="0"/>
              <w:rPr>
                <w:sz w:val="4"/>
                <w:szCs w:val="4"/>
                <w:color w:val="auto"/>
              </w:rPr>
            </w:pPr>
          </w:p>
        </w:tc>
        <w:tc>
          <w:tcPr>
            <w:tcW w:w="2300" w:type="dxa"/>
            <w:vAlign w:val="bottom"/>
            <w:tcBorders>
              <w:bottom w:val="single" w:sz="8" w:color="407CCA"/>
            </w:tcBorders>
          </w:tcPr>
          <w:p>
            <w:pPr>
              <w:spacing w:after="0"/>
              <w:rPr>
                <w:sz w:val="4"/>
                <w:szCs w:val="4"/>
                <w:color w:val="auto"/>
              </w:rPr>
            </w:pPr>
          </w:p>
        </w:tc>
        <w:tc>
          <w:tcPr>
            <w:tcW w:w="1700" w:type="dxa"/>
            <w:vAlign w:val="bottom"/>
            <w:tcBorders>
              <w:bottom w:val="single" w:sz="8" w:color="407CCA"/>
            </w:tcBorders>
          </w:tcPr>
          <w:p>
            <w:pPr>
              <w:spacing w:after="0"/>
              <w:rPr>
                <w:sz w:val="4"/>
                <w:szCs w:val="4"/>
                <w:color w:val="auto"/>
              </w:rPr>
            </w:pPr>
          </w:p>
        </w:tc>
        <w:tc>
          <w:tcPr>
            <w:tcW w:w="1420" w:type="dxa"/>
            <w:vAlign w:val="bottom"/>
            <w:tcBorders>
              <w:bottom w:val="single" w:sz="8" w:color="407CCA"/>
            </w:tcBorders>
          </w:tcPr>
          <w:p>
            <w:pPr>
              <w:spacing w:after="0"/>
              <w:rPr>
                <w:sz w:val="4"/>
                <w:szCs w:val="4"/>
                <w:color w:val="auto"/>
              </w:rPr>
            </w:pPr>
          </w:p>
        </w:tc>
        <w:tc>
          <w:tcPr>
            <w:tcW w:w="0" w:type="dxa"/>
            <w:vAlign w:val="bottom"/>
          </w:tcPr>
          <w:p>
            <w:pPr>
              <w:spacing w:after="0"/>
              <w:rPr>
                <w:sz w:val="1"/>
                <w:szCs w:val="1"/>
                <w:color w:val="auto"/>
              </w:rPr>
            </w:pPr>
          </w:p>
        </w:tc>
      </w:tr>
      <w:tr>
        <w:trPr>
          <w:trHeight w:val="169"/>
        </w:trPr>
        <w:tc>
          <w:tcPr>
            <w:tcW w:w="20" w:type="dxa"/>
            <w:vAlign w:val="bottom"/>
          </w:tcPr>
          <w:p>
            <w:pPr>
              <w:spacing w:after="0"/>
              <w:rPr>
                <w:sz w:val="14"/>
                <w:szCs w:val="14"/>
                <w:color w:val="auto"/>
              </w:rPr>
            </w:pPr>
          </w:p>
        </w:tc>
        <w:tc>
          <w:tcPr>
            <w:tcW w:w="3040" w:type="dxa"/>
            <w:vAlign w:val="bottom"/>
            <w:tcBorders>
              <w:bottom w:val="single" w:sz="8" w:color="407CCA"/>
            </w:tcBorders>
          </w:tcPr>
          <w:p>
            <w:pPr>
              <w:spacing w:after="0"/>
              <w:rPr>
                <w:sz w:val="14"/>
                <w:szCs w:val="14"/>
                <w:color w:val="auto"/>
              </w:rPr>
            </w:pPr>
          </w:p>
        </w:tc>
        <w:tc>
          <w:tcPr>
            <w:tcW w:w="2560" w:type="dxa"/>
            <w:vAlign w:val="bottom"/>
            <w:tcBorders>
              <w:bottom w:val="single" w:sz="8" w:color="407CCA"/>
            </w:tcBorders>
          </w:tcPr>
          <w:p>
            <w:pPr>
              <w:spacing w:after="0"/>
              <w:rPr>
                <w:sz w:val="14"/>
                <w:szCs w:val="14"/>
                <w:color w:val="auto"/>
              </w:rPr>
            </w:pPr>
          </w:p>
        </w:tc>
        <w:tc>
          <w:tcPr>
            <w:tcW w:w="2300" w:type="dxa"/>
            <w:vAlign w:val="bottom"/>
            <w:tcBorders>
              <w:bottom w:val="single" w:sz="8" w:color="407CCA"/>
            </w:tcBorders>
          </w:tcPr>
          <w:p>
            <w:pPr>
              <w:spacing w:after="0"/>
              <w:rPr>
                <w:sz w:val="14"/>
                <w:szCs w:val="14"/>
                <w:color w:val="auto"/>
              </w:rPr>
            </w:pPr>
          </w:p>
        </w:tc>
        <w:tc>
          <w:tcPr>
            <w:tcW w:w="1700" w:type="dxa"/>
            <w:vAlign w:val="bottom"/>
            <w:tcBorders>
              <w:bottom w:val="single" w:sz="8" w:color="407CCA"/>
            </w:tcBorders>
          </w:tcPr>
          <w:p>
            <w:pPr>
              <w:spacing w:after="0"/>
              <w:rPr>
                <w:sz w:val="14"/>
                <w:szCs w:val="14"/>
                <w:color w:val="auto"/>
              </w:rPr>
            </w:pPr>
          </w:p>
        </w:tc>
        <w:tc>
          <w:tcPr>
            <w:tcW w:w="1420" w:type="dxa"/>
            <w:vAlign w:val="bottom"/>
            <w:tcBorders>
              <w:bottom w:val="single" w:sz="8" w:color="407CCA"/>
            </w:tcBorders>
          </w:tcPr>
          <w:p>
            <w:pPr>
              <w:spacing w:after="0"/>
              <w:rPr>
                <w:sz w:val="14"/>
                <w:szCs w:val="14"/>
                <w:color w:val="auto"/>
              </w:rPr>
            </w:pPr>
          </w:p>
        </w:tc>
        <w:tc>
          <w:tcPr>
            <w:tcW w:w="0" w:type="dxa"/>
            <w:vAlign w:val="bottom"/>
          </w:tcPr>
          <w:p>
            <w:pPr>
              <w:spacing w:after="0"/>
              <w:rPr>
                <w:sz w:val="1"/>
                <w:szCs w:val="1"/>
                <w:color w:val="auto"/>
              </w:rPr>
            </w:pPr>
          </w:p>
        </w:tc>
      </w:tr>
      <w:tr>
        <w:trPr>
          <w:trHeight w:val="110"/>
        </w:trPr>
        <w:tc>
          <w:tcPr>
            <w:tcW w:w="20" w:type="dxa"/>
            <w:vAlign w:val="bottom"/>
          </w:tcPr>
          <w:p>
            <w:pPr>
              <w:spacing w:after="0"/>
              <w:rPr>
                <w:sz w:val="9"/>
                <w:szCs w:val="9"/>
                <w:color w:val="auto"/>
              </w:rPr>
            </w:pPr>
          </w:p>
        </w:tc>
        <w:tc>
          <w:tcPr>
            <w:tcW w:w="3040" w:type="dxa"/>
            <w:vAlign w:val="bottom"/>
          </w:tcPr>
          <w:p>
            <w:pPr>
              <w:spacing w:after="0"/>
              <w:rPr>
                <w:sz w:val="9"/>
                <w:szCs w:val="9"/>
                <w:color w:val="auto"/>
              </w:rPr>
            </w:pPr>
          </w:p>
        </w:tc>
        <w:tc>
          <w:tcPr>
            <w:tcW w:w="2560" w:type="dxa"/>
            <w:vAlign w:val="bottom"/>
          </w:tcPr>
          <w:p>
            <w:pPr>
              <w:spacing w:after="0"/>
              <w:rPr>
                <w:sz w:val="9"/>
                <w:szCs w:val="9"/>
                <w:color w:val="auto"/>
              </w:rPr>
            </w:pPr>
          </w:p>
        </w:tc>
        <w:tc>
          <w:tcPr>
            <w:tcW w:w="2300" w:type="dxa"/>
            <w:vAlign w:val="bottom"/>
          </w:tcPr>
          <w:p>
            <w:pPr>
              <w:jc w:val="center"/>
              <w:ind w:right="366"/>
              <w:spacing w:after="0" w:line="110" w:lineRule="exact"/>
              <w:rPr>
                <w:sz w:val="20"/>
                <w:szCs w:val="20"/>
                <w:color w:val="auto"/>
              </w:rPr>
            </w:pPr>
            <w:r>
              <w:rPr>
                <w:rFonts w:ascii="Arial" w:cs="Arial" w:eastAsia="Arial" w:hAnsi="Arial"/>
                <w:sz w:val="12"/>
                <w:szCs w:val="12"/>
                <w:b w:val="1"/>
                <w:bCs w:val="1"/>
                <w:color w:val="auto"/>
                <w:w w:val="95"/>
              </w:rPr>
              <w:t>Termination by</w:t>
            </w:r>
          </w:p>
        </w:tc>
        <w:tc>
          <w:tcPr>
            <w:tcW w:w="1700" w:type="dxa"/>
            <w:vAlign w:val="bottom"/>
          </w:tcPr>
          <w:p>
            <w:pPr>
              <w:spacing w:after="0"/>
              <w:rPr>
                <w:sz w:val="9"/>
                <w:szCs w:val="9"/>
                <w:color w:val="auto"/>
              </w:rPr>
            </w:pPr>
          </w:p>
        </w:tc>
        <w:tc>
          <w:tcPr>
            <w:tcW w:w="14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3040" w:type="dxa"/>
            <w:vAlign w:val="bottom"/>
          </w:tcPr>
          <w:p>
            <w:pPr>
              <w:spacing w:after="0"/>
              <w:rPr>
                <w:sz w:val="11"/>
                <w:szCs w:val="11"/>
                <w:color w:val="auto"/>
              </w:rPr>
            </w:pPr>
          </w:p>
        </w:tc>
        <w:tc>
          <w:tcPr>
            <w:tcW w:w="2560" w:type="dxa"/>
            <w:vAlign w:val="bottom"/>
          </w:tcPr>
          <w:p>
            <w:pPr>
              <w:spacing w:after="0"/>
              <w:rPr>
                <w:sz w:val="11"/>
                <w:szCs w:val="11"/>
                <w:color w:val="auto"/>
              </w:rPr>
            </w:pPr>
          </w:p>
        </w:tc>
        <w:tc>
          <w:tcPr>
            <w:tcW w:w="2300" w:type="dxa"/>
            <w:vAlign w:val="bottom"/>
          </w:tcPr>
          <w:p>
            <w:pPr>
              <w:jc w:val="center"/>
              <w:ind w:right="386"/>
              <w:spacing w:after="0" w:line="135" w:lineRule="exact"/>
              <w:rPr>
                <w:sz w:val="20"/>
                <w:szCs w:val="20"/>
                <w:color w:val="auto"/>
              </w:rPr>
            </w:pPr>
            <w:r>
              <w:rPr>
                <w:rFonts w:ascii="Arial" w:cs="Arial" w:eastAsia="Arial" w:hAnsi="Arial"/>
                <w:sz w:val="13"/>
                <w:szCs w:val="13"/>
                <w:b w:val="1"/>
                <w:bCs w:val="1"/>
                <w:color w:val="auto"/>
                <w:w w:val="89"/>
              </w:rPr>
              <w:t>Company Without</w:t>
            </w:r>
          </w:p>
        </w:tc>
        <w:tc>
          <w:tcPr>
            <w:tcW w:w="1700" w:type="dxa"/>
            <w:vAlign w:val="bottom"/>
          </w:tcPr>
          <w:p>
            <w:pPr>
              <w:spacing w:after="0"/>
              <w:rPr>
                <w:sz w:val="11"/>
                <w:szCs w:val="11"/>
                <w:color w:val="auto"/>
              </w:rPr>
            </w:pPr>
          </w:p>
        </w:tc>
        <w:tc>
          <w:tcPr>
            <w:tcW w:w="14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3040" w:type="dxa"/>
            <w:vAlign w:val="bottom"/>
          </w:tcPr>
          <w:p>
            <w:pPr>
              <w:spacing w:after="0"/>
              <w:rPr>
                <w:sz w:val="11"/>
                <w:szCs w:val="11"/>
                <w:color w:val="auto"/>
              </w:rPr>
            </w:pPr>
          </w:p>
        </w:tc>
        <w:tc>
          <w:tcPr>
            <w:tcW w:w="2560" w:type="dxa"/>
            <w:vAlign w:val="bottom"/>
          </w:tcPr>
          <w:p>
            <w:pPr>
              <w:spacing w:after="0"/>
              <w:rPr>
                <w:sz w:val="11"/>
                <w:szCs w:val="11"/>
                <w:color w:val="auto"/>
              </w:rPr>
            </w:pPr>
          </w:p>
        </w:tc>
        <w:tc>
          <w:tcPr>
            <w:tcW w:w="2300" w:type="dxa"/>
            <w:vAlign w:val="bottom"/>
          </w:tcPr>
          <w:p>
            <w:pPr>
              <w:jc w:val="center"/>
              <w:ind w:right="386"/>
              <w:spacing w:after="0" w:line="135" w:lineRule="exact"/>
              <w:rPr>
                <w:sz w:val="20"/>
                <w:szCs w:val="20"/>
                <w:color w:val="auto"/>
              </w:rPr>
            </w:pPr>
            <w:r>
              <w:rPr>
                <w:rFonts w:ascii="Arial" w:cs="Arial" w:eastAsia="Arial" w:hAnsi="Arial"/>
                <w:sz w:val="13"/>
                <w:szCs w:val="13"/>
                <w:b w:val="1"/>
                <w:bCs w:val="1"/>
                <w:color w:val="auto"/>
                <w:w w:val="86"/>
              </w:rPr>
              <w:t>Cause or</w:t>
            </w:r>
          </w:p>
        </w:tc>
        <w:tc>
          <w:tcPr>
            <w:tcW w:w="1700" w:type="dxa"/>
            <w:vAlign w:val="bottom"/>
          </w:tcPr>
          <w:p>
            <w:pPr>
              <w:spacing w:after="0"/>
              <w:rPr>
                <w:sz w:val="11"/>
                <w:szCs w:val="11"/>
                <w:color w:val="auto"/>
              </w:rPr>
            </w:pPr>
          </w:p>
        </w:tc>
        <w:tc>
          <w:tcPr>
            <w:tcW w:w="1420" w:type="dxa"/>
            <w:vAlign w:val="bottom"/>
          </w:tcPr>
          <w:p>
            <w:pPr>
              <w:jc w:val="center"/>
              <w:ind w:left="237"/>
              <w:spacing w:after="0" w:line="135" w:lineRule="exact"/>
              <w:rPr>
                <w:sz w:val="20"/>
                <w:szCs w:val="20"/>
                <w:color w:val="auto"/>
              </w:rPr>
            </w:pPr>
            <w:r>
              <w:rPr>
                <w:rFonts w:ascii="Arial" w:cs="Arial" w:eastAsia="Arial" w:hAnsi="Arial"/>
                <w:sz w:val="13"/>
                <w:szCs w:val="13"/>
                <w:b w:val="1"/>
                <w:bCs w:val="1"/>
                <w:color w:val="auto"/>
                <w:w w:val="90"/>
              </w:rPr>
              <w:t>Termination by</w:t>
            </w: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3040" w:type="dxa"/>
            <w:vAlign w:val="bottom"/>
          </w:tcPr>
          <w:p>
            <w:pPr>
              <w:spacing w:after="0"/>
              <w:rPr>
                <w:sz w:val="11"/>
                <w:szCs w:val="11"/>
                <w:color w:val="auto"/>
              </w:rPr>
            </w:pPr>
          </w:p>
        </w:tc>
        <w:tc>
          <w:tcPr>
            <w:tcW w:w="2560" w:type="dxa"/>
            <w:vAlign w:val="bottom"/>
          </w:tcPr>
          <w:p>
            <w:pPr>
              <w:jc w:val="center"/>
              <w:ind w:right="102"/>
              <w:spacing w:after="0" w:line="135" w:lineRule="exact"/>
              <w:rPr>
                <w:sz w:val="20"/>
                <w:szCs w:val="20"/>
                <w:color w:val="auto"/>
              </w:rPr>
            </w:pPr>
            <w:r>
              <w:rPr>
                <w:rFonts w:ascii="Arial" w:cs="Arial" w:eastAsia="Arial" w:hAnsi="Arial"/>
                <w:sz w:val="13"/>
                <w:szCs w:val="13"/>
                <w:b w:val="1"/>
                <w:bCs w:val="1"/>
                <w:color w:val="auto"/>
                <w:w w:val="87"/>
              </w:rPr>
              <w:t>Termination by</w:t>
            </w:r>
          </w:p>
        </w:tc>
        <w:tc>
          <w:tcPr>
            <w:tcW w:w="2300" w:type="dxa"/>
            <w:vAlign w:val="bottom"/>
          </w:tcPr>
          <w:p>
            <w:pPr>
              <w:jc w:val="center"/>
              <w:ind w:right="366"/>
              <w:spacing w:after="0" w:line="135" w:lineRule="exact"/>
              <w:rPr>
                <w:sz w:val="20"/>
                <w:szCs w:val="20"/>
                <w:color w:val="auto"/>
              </w:rPr>
            </w:pPr>
            <w:r>
              <w:rPr>
                <w:rFonts w:ascii="Arial" w:cs="Arial" w:eastAsia="Arial" w:hAnsi="Arial"/>
                <w:sz w:val="13"/>
                <w:szCs w:val="13"/>
                <w:b w:val="1"/>
                <w:bCs w:val="1"/>
                <w:color w:val="auto"/>
                <w:w w:val="87"/>
              </w:rPr>
              <w:t>Termination by</w:t>
            </w:r>
          </w:p>
        </w:tc>
        <w:tc>
          <w:tcPr>
            <w:tcW w:w="1700" w:type="dxa"/>
            <w:vAlign w:val="bottom"/>
          </w:tcPr>
          <w:p>
            <w:pPr>
              <w:spacing w:after="0"/>
              <w:rPr>
                <w:sz w:val="11"/>
                <w:szCs w:val="11"/>
                <w:color w:val="auto"/>
              </w:rPr>
            </w:pPr>
          </w:p>
        </w:tc>
        <w:tc>
          <w:tcPr>
            <w:tcW w:w="1420" w:type="dxa"/>
            <w:vAlign w:val="bottom"/>
          </w:tcPr>
          <w:p>
            <w:pPr>
              <w:jc w:val="center"/>
              <w:ind w:left="237"/>
              <w:spacing w:after="0" w:line="135" w:lineRule="exact"/>
              <w:rPr>
                <w:sz w:val="20"/>
                <w:szCs w:val="20"/>
                <w:color w:val="auto"/>
              </w:rPr>
            </w:pPr>
            <w:r>
              <w:rPr>
                <w:rFonts w:ascii="Arial" w:cs="Arial" w:eastAsia="Arial" w:hAnsi="Arial"/>
                <w:sz w:val="13"/>
                <w:szCs w:val="13"/>
                <w:b w:val="1"/>
                <w:bCs w:val="1"/>
                <w:color w:val="auto"/>
                <w:w w:val="87"/>
              </w:rPr>
              <w:t>Company for Cause</w:t>
            </w: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3040" w:type="dxa"/>
            <w:vAlign w:val="bottom"/>
          </w:tcPr>
          <w:p>
            <w:pPr>
              <w:spacing w:after="0"/>
              <w:rPr>
                <w:sz w:val="11"/>
                <w:szCs w:val="11"/>
                <w:color w:val="auto"/>
              </w:rPr>
            </w:pPr>
          </w:p>
        </w:tc>
        <w:tc>
          <w:tcPr>
            <w:tcW w:w="2560" w:type="dxa"/>
            <w:vAlign w:val="bottom"/>
          </w:tcPr>
          <w:p>
            <w:pPr>
              <w:jc w:val="center"/>
              <w:ind w:right="82"/>
              <w:spacing w:after="0" w:line="135" w:lineRule="exact"/>
              <w:rPr>
                <w:sz w:val="20"/>
                <w:szCs w:val="20"/>
                <w:color w:val="auto"/>
              </w:rPr>
            </w:pPr>
            <w:r>
              <w:rPr>
                <w:rFonts w:ascii="Arial" w:cs="Arial" w:eastAsia="Arial" w:hAnsi="Arial"/>
                <w:sz w:val="13"/>
                <w:szCs w:val="13"/>
                <w:b w:val="1"/>
                <w:bCs w:val="1"/>
                <w:color w:val="auto"/>
                <w:w w:val="89"/>
              </w:rPr>
              <w:t>Company Without</w:t>
            </w:r>
          </w:p>
        </w:tc>
        <w:tc>
          <w:tcPr>
            <w:tcW w:w="2300" w:type="dxa"/>
            <w:vAlign w:val="bottom"/>
          </w:tcPr>
          <w:p>
            <w:pPr>
              <w:jc w:val="center"/>
              <w:ind w:right="386"/>
              <w:spacing w:after="0" w:line="135" w:lineRule="exact"/>
              <w:rPr>
                <w:sz w:val="20"/>
                <w:szCs w:val="20"/>
                <w:color w:val="auto"/>
              </w:rPr>
            </w:pPr>
            <w:r>
              <w:rPr>
                <w:rFonts w:ascii="Arial" w:cs="Arial" w:eastAsia="Arial" w:hAnsi="Arial"/>
                <w:sz w:val="13"/>
                <w:szCs w:val="13"/>
                <w:b w:val="1"/>
                <w:bCs w:val="1"/>
                <w:color w:val="auto"/>
                <w:w w:val="88"/>
              </w:rPr>
              <w:t>Executive for</w:t>
            </w:r>
          </w:p>
        </w:tc>
        <w:tc>
          <w:tcPr>
            <w:tcW w:w="1700" w:type="dxa"/>
            <w:vAlign w:val="bottom"/>
          </w:tcPr>
          <w:p>
            <w:pPr>
              <w:spacing w:after="0"/>
              <w:rPr>
                <w:sz w:val="11"/>
                <w:szCs w:val="11"/>
                <w:color w:val="auto"/>
              </w:rPr>
            </w:pPr>
          </w:p>
        </w:tc>
        <w:tc>
          <w:tcPr>
            <w:tcW w:w="1420" w:type="dxa"/>
            <w:vAlign w:val="bottom"/>
          </w:tcPr>
          <w:p>
            <w:pPr>
              <w:jc w:val="center"/>
              <w:ind w:left="237"/>
              <w:spacing w:after="0" w:line="135" w:lineRule="exact"/>
              <w:rPr>
                <w:sz w:val="20"/>
                <w:szCs w:val="20"/>
                <w:color w:val="auto"/>
              </w:rPr>
            </w:pPr>
            <w:r>
              <w:rPr>
                <w:rFonts w:ascii="Arial" w:cs="Arial" w:eastAsia="Arial" w:hAnsi="Arial"/>
                <w:sz w:val="13"/>
                <w:szCs w:val="13"/>
                <w:b w:val="1"/>
                <w:bCs w:val="1"/>
                <w:color w:val="auto"/>
                <w:w w:val="88"/>
              </w:rPr>
              <w:t>or Voluntary</w:t>
            </w:r>
          </w:p>
        </w:tc>
        <w:tc>
          <w:tcPr>
            <w:tcW w:w="0" w:type="dxa"/>
            <w:vAlign w:val="bottom"/>
          </w:tcPr>
          <w:p>
            <w:pPr>
              <w:spacing w:after="0"/>
              <w:rPr>
                <w:sz w:val="1"/>
                <w:szCs w:val="1"/>
                <w:color w:val="auto"/>
              </w:rPr>
            </w:pPr>
          </w:p>
        </w:tc>
      </w:tr>
      <w:tr>
        <w:trPr>
          <w:trHeight w:val="135"/>
        </w:trPr>
        <w:tc>
          <w:tcPr>
            <w:tcW w:w="3060" w:type="dxa"/>
            <w:vAlign w:val="bottom"/>
            <w:gridSpan w:val="2"/>
            <w:vMerge w:val="restart"/>
          </w:tcPr>
          <w:p>
            <w:pPr>
              <w:spacing w:after="0"/>
              <w:rPr>
                <w:sz w:val="20"/>
                <w:szCs w:val="20"/>
                <w:color w:val="auto"/>
              </w:rPr>
            </w:pPr>
            <w:r>
              <w:rPr>
                <w:rFonts w:ascii="Arial" w:cs="Arial" w:eastAsia="Arial" w:hAnsi="Arial"/>
                <w:sz w:val="18"/>
                <w:szCs w:val="18"/>
                <w:b w:val="1"/>
                <w:bCs w:val="1"/>
                <w:color w:val="auto"/>
              </w:rPr>
              <w:t>NEO Benefits and Payments</w:t>
            </w:r>
          </w:p>
        </w:tc>
        <w:tc>
          <w:tcPr>
            <w:tcW w:w="2560" w:type="dxa"/>
            <w:vAlign w:val="bottom"/>
          </w:tcPr>
          <w:p>
            <w:pPr>
              <w:jc w:val="center"/>
              <w:ind w:right="102"/>
              <w:spacing w:after="0" w:line="135" w:lineRule="exact"/>
              <w:rPr>
                <w:sz w:val="20"/>
                <w:szCs w:val="20"/>
                <w:color w:val="auto"/>
              </w:rPr>
            </w:pPr>
            <w:r>
              <w:rPr>
                <w:rFonts w:ascii="Arial" w:cs="Arial" w:eastAsia="Arial" w:hAnsi="Arial"/>
                <w:sz w:val="13"/>
                <w:szCs w:val="13"/>
                <w:b w:val="1"/>
                <w:bCs w:val="1"/>
                <w:color w:val="auto"/>
                <w:w w:val="88"/>
              </w:rPr>
              <w:t>Cause or Termination</w:t>
            </w:r>
          </w:p>
        </w:tc>
        <w:tc>
          <w:tcPr>
            <w:tcW w:w="2300" w:type="dxa"/>
            <w:vAlign w:val="bottom"/>
          </w:tcPr>
          <w:p>
            <w:pPr>
              <w:jc w:val="center"/>
              <w:ind w:right="386"/>
              <w:spacing w:after="0" w:line="135" w:lineRule="exact"/>
              <w:rPr>
                <w:sz w:val="20"/>
                <w:szCs w:val="20"/>
                <w:color w:val="auto"/>
              </w:rPr>
            </w:pPr>
            <w:r>
              <w:rPr>
                <w:rFonts w:ascii="Arial" w:cs="Arial" w:eastAsia="Arial" w:hAnsi="Arial"/>
                <w:sz w:val="13"/>
                <w:szCs w:val="13"/>
                <w:b w:val="1"/>
                <w:bCs w:val="1"/>
                <w:color w:val="auto"/>
                <w:w w:val="84"/>
              </w:rPr>
              <w:t>Good Reason, each in</w:t>
            </w:r>
          </w:p>
        </w:tc>
        <w:tc>
          <w:tcPr>
            <w:tcW w:w="1700" w:type="dxa"/>
            <w:vAlign w:val="bottom"/>
          </w:tcPr>
          <w:p>
            <w:pPr>
              <w:spacing w:after="0"/>
              <w:rPr>
                <w:sz w:val="11"/>
                <w:szCs w:val="11"/>
                <w:color w:val="auto"/>
              </w:rPr>
            </w:pPr>
          </w:p>
        </w:tc>
        <w:tc>
          <w:tcPr>
            <w:tcW w:w="1420" w:type="dxa"/>
            <w:vAlign w:val="bottom"/>
          </w:tcPr>
          <w:p>
            <w:pPr>
              <w:jc w:val="center"/>
              <w:ind w:left="237"/>
              <w:spacing w:after="0" w:line="135" w:lineRule="exact"/>
              <w:rPr>
                <w:sz w:val="20"/>
                <w:szCs w:val="20"/>
                <w:color w:val="auto"/>
              </w:rPr>
            </w:pPr>
            <w:r>
              <w:rPr>
                <w:rFonts w:ascii="Arial" w:cs="Arial" w:eastAsia="Arial" w:hAnsi="Arial"/>
                <w:sz w:val="13"/>
                <w:szCs w:val="13"/>
                <w:b w:val="1"/>
                <w:bCs w:val="1"/>
                <w:color w:val="auto"/>
                <w:w w:val="90"/>
              </w:rPr>
              <w:t>Termination by</w:t>
            </w:r>
          </w:p>
        </w:tc>
        <w:tc>
          <w:tcPr>
            <w:tcW w:w="0" w:type="dxa"/>
            <w:vAlign w:val="bottom"/>
          </w:tcPr>
          <w:p>
            <w:pPr>
              <w:spacing w:after="0"/>
              <w:rPr>
                <w:sz w:val="1"/>
                <w:szCs w:val="1"/>
                <w:color w:val="auto"/>
              </w:rPr>
            </w:pPr>
          </w:p>
        </w:tc>
      </w:tr>
      <w:tr>
        <w:trPr>
          <w:trHeight w:val="153"/>
        </w:trPr>
        <w:tc>
          <w:tcPr>
            <w:tcW w:w="3060" w:type="dxa"/>
            <w:vAlign w:val="bottom"/>
            <w:gridSpan w:val="2"/>
            <w:vMerge w:val="continue"/>
          </w:tcPr>
          <w:p>
            <w:pPr>
              <w:spacing w:after="0"/>
              <w:rPr>
                <w:sz w:val="13"/>
                <w:szCs w:val="13"/>
                <w:color w:val="auto"/>
              </w:rPr>
            </w:pPr>
          </w:p>
        </w:tc>
        <w:tc>
          <w:tcPr>
            <w:tcW w:w="2560" w:type="dxa"/>
            <w:vAlign w:val="bottom"/>
          </w:tcPr>
          <w:p>
            <w:pPr>
              <w:jc w:val="center"/>
              <w:ind w:right="82"/>
              <w:spacing w:after="0"/>
              <w:rPr>
                <w:sz w:val="20"/>
                <w:szCs w:val="20"/>
                <w:color w:val="auto"/>
              </w:rPr>
            </w:pPr>
            <w:r>
              <w:rPr>
                <w:rFonts w:ascii="Arial" w:cs="Arial" w:eastAsia="Arial" w:hAnsi="Arial"/>
                <w:sz w:val="13"/>
                <w:szCs w:val="13"/>
                <w:b w:val="1"/>
                <w:bCs w:val="1"/>
                <w:color w:val="auto"/>
                <w:w w:val="87"/>
              </w:rPr>
              <w:t>by Executive for</w:t>
            </w:r>
          </w:p>
        </w:tc>
        <w:tc>
          <w:tcPr>
            <w:tcW w:w="2300" w:type="dxa"/>
            <w:vAlign w:val="bottom"/>
          </w:tcPr>
          <w:p>
            <w:pPr>
              <w:jc w:val="center"/>
              <w:ind w:right="366"/>
              <w:spacing w:after="0"/>
              <w:rPr>
                <w:sz w:val="20"/>
                <w:szCs w:val="20"/>
                <w:color w:val="auto"/>
              </w:rPr>
            </w:pPr>
            <w:r>
              <w:rPr>
                <w:rFonts w:ascii="Arial" w:cs="Arial" w:eastAsia="Arial" w:hAnsi="Arial"/>
                <w:sz w:val="13"/>
                <w:szCs w:val="13"/>
                <w:b w:val="1"/>
                <w:bCs w:val="1"/>
                <w:color w:val="auto"/>
                <w:w w:val="85"/>
              </w:rPr>
              <w:t>connection with a</w:t>
            </w:r>
          </w:p>
        </w:tc>
        <w:tc>
          <w:tcPr>
            <w:tcW w:w="1700" w:type="dxa"/>
            <w:vAlign w:val="bottom"/>
            <w:vMerge w:val="restart"/>
          </w:tcPr>
          <w:p>
            <w:pPr>
              <w:ind w:left="340"/>
              <w:spacing w:after="0"/>
              <w:rPr>
                <w:sz w:val="20"/>
                <w:szCs w:val="20"/>
                <w:color w:val="auto"/>
              </w:rPr>
            </w:pPr>
            <w:r>
              <w:rPr>
                <w:rFonts w:ascii="Arial" w:cs="Arial" w:eastAsia="Arial" w:hAnsi="Arial"/>
                <w:sz w:val="13"/>
                <w:szCs w:val="13"/>
                <w:b w:val="1"/>
                <w:bCs w:val="1"/>
                <w:color w:val="auto"/>
              </w:rPr>
              <w:t>Death or Disability</w:t>
            </w:r>
          </w:p>
        </w:tc>
        <w:tc>
          <w:tcPr>
            <w:tcW w:w="1420" w:type="dxa"/>
            <w:vAlign w:val="bottom"/>
          </w:tcPr>
          <w:p>
            <w:pPr>
              <w:jc w:val="center"/>
              <w:ind w:left="237"/>
              <w:spacing w:after="0"/>
              <w:rPr>
                <w:sz w:val="20"/>
                <w:szCs w:val="20"/>
                <w:color w:val="auto"/>
              </w:rPr>
            </w:pPr>
            <w:r>
              <w:rPr>
                <w:rFonts w:ascii="Arial" w:cs="Arial" w:eastAsia="Arial" w:hAnsi="Arial"/>
                <w:sz w:val="13"/>
                <w:szCs w:val="13"/>
                <w:b w:val="1"/>
                <w:bCs w:val="1"/>
                <w:color w:val="auto"/>
                <w:w w:val="86"/>
              </w:rPr>
              <w:t>Executive without</w:t>
            </w:r>
          </w:p>
        </w:tc>
        <w:tc>
          <w:tcPr>
            <w:tcW w:w="0" w:type="dxa"/>
            <w:vAlign w:val="bottom"/>
          </w:tcPr>
          <w:p>
            <w:pPr>
              <w:spacing w:after="0"/>
              <w:rPr>
                <w:sz w:val="1"/>
                <w:szCs w:val="1"/>
                <w:color w:val="auto"/>
              </w:rPr>
            </w:pPr>
          </w:p>
        </w:tc>
      </w:tr>
      <w:tr>
        <w:trPr>
          <w:trHeight w:val="117"/>
        </w:trPr>
        <w:tc>
          <w:tcPr>
            <w:tcW w:w="3060" w:type="dxa"/>
            <w:vAlign w:val="bottom"/>
            <w:gridSpan w:val="2"/>
            <w:vMerge w:val="restart"/>
          </w:tcPr>
          <w:p>
            <w:pPr>
              <w:spacing w:after="0"/>
              <w:rPr>
                <w:sz w:val="20"/>
                <w:szCs w:val="20"/>
                <w:color w:val="auto"/>
              </w:rPr>
            </w:pPr>
            <w:r>
              <w:rPr>
                <w:rFonts w:ascii="Arial" w:cs="Arial" w:eastAsia="Arial" w:hAnsi="Arial"/>
                <w:sz w:val="18"/>
                <w:szCs w:val="18"/>
                <w:b w:val="1"/>
                <w:bCs w:val="1"/>
                <w:color w:val="auto"/>
              </w:rPr>
              <w:t>upon Termination</w:t>
            </w:r>
          </w:p>
        </w:tc>
        <w:tc>
          <w:tcPr>
            <w:tcW w:w="2560" w:type="dxa"/>
            <w:vAlign w:val="bottom"/>
          </w:tcPr>
          <w:p>
            <w:pPr>
              <w:jc w:val="center"/>
              <w:ind w:right="82"/>
              <w:spacing w:after="0" w:line="117" w:lineRule="exact"/>
              <w:rPr>
                <w:sz w:val="20"/>
                <w:szCs w:val="20"/>
                <w:color w:val="auto"/>
              </w:rPr>
            </w:pPr>
            <w:r>
              <w:rPr>
                <w:rFonts w:ascii="Arial" w:cs="Arial" w:eastAsia="Arial" w:hAnsi="Arial"/>
                <w:sz w:val="13"/>
                <w:szCs w:val="13"/>
                <w:b w:val="1"/>
                <w:bCs w:val="1"/>
                <w:color w:val="auto"/>
                <w:w w:val="85"/>
              </w:rPr>
              <w:t>Good Reason</w:t>
            </w:r>
          </w:p>
        </w:tc>
        <w:tc>
          <w:tcPr>
            <w:tcW w:w="2300" w:type="dxa"/>
            <w:vAlign w:val="bottom"/>
          </w:tcPr>
          <w:p>
            <w:pPr>
              <w:jc w:val="center"/>
              <w:ind w:right="386"/>
              <w:spacing w:after="0" w:line="117" w:lineRule="exact"/>
              <w:rPr>
                <w:sz w:val="20"/>
                <w:szCs w:val="20"/>
                <w:color w:val="auto"/>
              </w:rPr>
            </w:pPr>
            <w:r>
              <w:rPr>
                <w:rFonts w:ascii="Arial" w:cs="Arial" w:eastAsia="Arial" w:hAnsi="Arial"/>
                <w:sz w:val="13"/>
                <w:szCs w:val="13"/>
                <w:b w:val="1"/>
                <w:bCs w:val="1"/>
                <w:color w:val="auto"/>
                <w:w w:val="88"/>
              </w:rPr>
              <w:t>Change in Control</w:t>
            </w:r>
          </w:p>
        </w:tc>
        <w:tc>
          <w:tcPr>
            <w:tcW w:w="1700" w:type="dxa"/>
            <w:vAlign w:val="bottom"/>
            <w:vMerge w:val="continue"/>
          </w:tcPr>
          <w:p>
            <w:pPr>
              <w:spacing w:after="0"/>
              <w:rPr>
                <w:sz w:val="10"/>
                <w:szCs w:val="10"/>
                <w:color w:val="auto"/>
              </w:rPr>
            </w:pPr>
          </w:p>
        </w:tc>
        <w:tc>
          <w:tcPr>
            <w:tcW w:w="1420" w:type="dxa"/>
            <w:vAlign w:val="bottom"/>
          </w:tcPr>
          <w:p>
            <w:pPr>
              <w:jc w:val="center"/>
              <w:ind w:left="237"/>
              <w:spacing w:after="0" w:line="117" w:lineRule="exact"/>
              <w:rPr>
                <w:sz w:val="20"/>
                <w:szCs w:val="20"/>
                <w:color w:val="auto"/>
              </w:rPr>
            </w:pPr>
            <w:r>
              <w:rPr>
                <w:rFonts w:ascii="Arial" w:cs="Arial" w:eastAsia="Arial" w:hAnsi="Arial"/>
                <w:sz w:val="13"/>
                <w:szCs w:val="13"/>
                <w:b w:val="1"/>
                <w:bCs w:val="1"/>
                <w:color w:val="auto"/>
                <w:w w:val="85"/>
              </w:rPr>
              <w:t>Good Reason</w:t>
            </w:r>
          </w:p>
        </w:tc>
        <w:tc>
          <w:tcPr>
            <w:tcW w:w="0" w:type="dxa"/>
            <w:vAlign w:val="bottom"/>
          </w:tcPr>
          <w:p>
            <w:pPr>
              <w:spacing w:after="0"/>
              <w:rPr>
                <w:sz w:val="1"/>
                <w:szCs w:val="1"/>
                <w:color w:val="auto"/>
              </w:rPr>
            </w:pPr>
          </w:p>
        </w:tc>
      </w:tr>
      <w:tr>
        <w:trPr>
          <w:trHeight w:val="153"/>
        </w:trPr>
        <w:tc>
          <w:tcPr>
            <w:tcW w:w="3060" w:type="dxa"/>
            <w:vAlign w:val="bottom"/>
            <w:gridSpan w:val="2"/>
            <w:vMerge w:val="continue"/>
          </w:tcPr>
          <w:p>
            <w:pPr>
              <w:spacing w:after="0"/>
              <w:rPr>
                <w:sz w:val="13"/>
                <w:szCs w:val="13"/>
                <w:color w:val="auto"/>
              </w:rPr>
            </w:pPr>
          </w:p>
        </w:tc>
        <w:tc>
          <w:tcPr>
            <w:tcW w:w="2560" w:type="dxa"/>
            <w:vAlign w:val="bottom"/>
          </w:tcPr>
          <w:p>
            <w:pPr>
              <w:jc w:val="center"/>
              <w:ind w:right="102"/>
              <w:spacing w:after="0"/>
              <w:rPr>
                <w:sz w:val="20"/>
                <w:szCs w:val="20"/>
                <w:color w:val="auto"/>
              </w:rPr>
            </w:pPr>
            <w:r>
              <w:rPr>
                <w:rFonts w:ascii="Arial" w:cs="Arial" w:eastAsia="Arial" w:hAnsi="Arial"/>
                <w:sz w:val="13"/>
                <w:szCs w:val="13"/>
                <w:b w:val="1"/>
                <w:bCs w:val="1"/>
                <w:color w:val="auto"/>
                <w:w w:val="87"/>
              </w:rPr>
              <w:t>($)</w:t>
            </w:r>
          </w:p>
        </w:tc>
        <w:tc>
          <w:tcPr>
            <w:tcW w:w="2300" w:type="dxa"/>
            <w:vAlign w:val="bottom"/>
          </w:tcPr>
          <w:p>
            <w:pPr>
              <w:jc w:val="center"/>
              <w:ind w:right="366"/>
              <w:spacing w:after="0"/>
              <w:rPr>
                <w:sz w:val="20"/>
                <w:szCs w:val="20"/>
                <w:color w:val="auto"/>
              </w:rPr>
            </w:pPr>
            <w:r>
              <w:rPr>
                <w:rFonts w:ascii="Arial" w:cs="Arial" w:eastAsia="Arial" w:hAnsi="Arial"/>
                <w:sz w:val="13"/>
                <w:szCs w:val="13"/>
                <w:b w:val="1"/>
                <w:bCs w:val="1"/>
                <w:color w:val="auto"/>
                <w:w w:val="87"/>
              </w:rPr>
              <w:t>($)</w:t>
            </w:r>
          </w:p>
        </w:tc>
        <w:tc>
          <w:tcPr>
            <w:tcW w:w="1700" w:type="dxa"/>
            <w:vAlign w:val="bottom"/>
          </w:tcPr>
          <w:p>
            <w:pPr>
              <w:jc w:val="center"/>
              <w:spacing w:after="0"/>
              <w:rPr>
                <w:sz w:val="20"/>
                <w:szCs w:val="20"/>
                <w:color w:val="auto"/>
              </w:rPr>
            </w:pPr>
            <w:r>
              <w:rPr>
                <w:rFonts w:ascii="Arial" w:cs="Arial" w:eastAsia="Arial" w:hAnsi="Arial"/>
                <w:sz w:val="13"/>
                <w:szCs w:val="13"/>
                <w:b w:val="1"/>
                <w:bCs w:val="1"/>
                <w:color w:val="auto"/>
                <w:w w:val="87"/>
              </w:rPr>
              <w:t>($)</w:t>
            </w:r>
          </w:p>
        </w:tc>
        <w:tc>
          <w:tcPr>
            <w:tcW w:w="1420" w:type="dxa"/>
            <w:vAlign w:val="bottom"/>
          </w:tcPr>
          <w:p>
            <w:pPr>
              <w:jc w:val="center"/>
              <w:ind w:left="257"/>
              <w:spacing w:after="0"/>
              <w:rPr>
                <w:sz w:val="20"/>
                <w:szCs w:val="20"/>
                <w:color w:val="auto"/>
              </w:rPr>
            </w:pPr>
            <w:r>
              <w:rPr>
                <w:rFonts w:ascii="Arial" w:cs="Arial" w:eastAsia="Arial" w:hAnsi="Arial"/>
                <w:sz w:val="13"/>
                <w:szCs w:val="13"/>
                <w:b w:val="1"/>
                <w:bCs w:val="1"/>
                <w:color w:val="auto"/>
                <w:w w:val="87"/>
              </w:rPr>
              <w:t>($)</w:t>
            </w:r>
          </w:p>
        </w:tc>
        <w:tc>
          <w:tcPr>
            <w:tcW w:w="0" w:type="dxa"/>
            <w:vAlign w:val="bottom"/>
          </w:tcPr>
          <w:p>
            <w:pPr>
              <w:spacing w:after="0"/>
              <w:rPr>
                <w:sz w:val="1"/>
                <w:szCs w:val="1"/>
                <w:color w:val="auto"/>
              </w:rPr>
            </w:pPr>
          </w:p>
        </w:tc>
      </w:tr>
      <w:tr>
        <w:trPr>
          <w:trHeight w:val="48"/>
        </w:trPr>
        <w:tc>
          <w:tcPr>
            <w:tcW w:w="20" w:type="dxa"/>
            <w:vAlign w:val="bottom"/>
            <w:vMerge w:val="restart"/>
          </w:tcPr>
          <w:p>
            <w:pPr>
              <w:spacing w:after="0"/>
              <w:rPr>
                <w:sz w:val="4"/>
                <w:szCs w:val="4"/>
                <w:color w:val="auto"/>
              </w:rPr>
            </w:pPr>
          </w:p>
        </w:tc>
        <w:tc>
          <w:tcPr>
            <w:tcW w:w="3040" w:type="dxa"/>
            <w:vAlign w:val="bottom"/>
            <w:tcBorders>
              <w:top w:val="single" w:sz="8" w:color="407CCA"/>
            </w:tcBorders>
          </w:tcPr>
          <w:p>
            <w:pPr>
              <w:spacing w:after="0"/>
              <w:rPr>
                <w:sz w:val="4"/>
                <w:szCs w:val="4"/>
                <w:color w:val="auto"/>
              </w:rPr>
            </w:pPr>
          </w:p>
        </w:tc>
        <w:tc>
          <w:tcPr>
            <w:tcW w:w="2560" w:type="dxa"/>
            <w:vAlign w:val="bottom"/>
            <w:tcBorders>
              <w:top w:val="single" w:sz="8" w:color="407CCA"/>
            </w:tcBorders>
          </w:tcPr>
          <w:p>
            <w:pPr>
              <w:spacing w:after="0"/>
              <w:rPr>
                <w:sz w:val="4"/>
                <w:szCs w:val="4"/>
                <w:color w:val="auto"/>
              </w:rPr>
            </w:pPr>
          </w:p>
        </w:tc>
        <w:tc>
          <w:tcPr>
            <w:tcW w:w="2300" w:type="dxa"/>
            <w:vAlign w:val="bottom"/>
            <w:tcBorders>
              <w:top w:val="single" w:sz="8" w:color="407CCA"/>
            </w:tcBorders>
          </w:tcPr>
          <w:p>
            <w:pPr>
              <w:spacing w:after="0"/>
              <w:rPr>
                <w:sz w:val="4"/>
                <w:szCs w:val="4"/>
                <w:color w:val="auto"/>
              </w:rPr>
            </w:pPr>
          </w:p>
        </w:tc>
        <w:tc>
          <w:tcPr>
            <w:tcW w:w="1700" w:type="dxa"/>
            <w:vAlign w:val="bottom"/>
            <w:tcBorders>
              <w:top w:val="single" w:sz="8" w:color="407CCA"/>
            </w:tcBorders>
          </w:tcPr>
          <w:p>
            <w:pPr>
              <w:spacing w:after="0"/>
              <w:rPr>
                <w:sz w:val="4"/>
                <w:szCs w:val="4"/>
                <w:color w:val="auto"/>
              </w:rPr>
            </w:pPr>
          </w:p>
        </w:tc>
        <w:tc>
          <w:tcPr>
            <w:tcW w:w="1420" w:type="dxa"/>
            <w:vAlign w:val="bottom"/>
            <w:tcBorders>
              <w:top w:val="single" w:sz="8" w:color="407CCA"/>
            </w:tcBorders>
          </w:tcPr>
          <w:p>
            <w:pPr>
              <w:spacing w:after="0"/>
              <w:rPr>
                <w:sz w:val="4"/>
                <w:szCs w:val="4"/>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304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Kenneth L. Pollack</w:t>
            </w:r>
          </w:p>
        </w:tc>
        <w:tc>
          <w:tcPr>
            <w:tcW w:w="2560" w:type="dxa"/>
            <w:vAlign w:val="bottom"/>
            <w:shd w:val="clear" w:color="auto" w:fill="CCEEFF"/>
          </w:tcPr>
          <w:p>
            <w:pPr>
              <w:spacing w:after="0"/>
              <w:rPr>
                <w:sz w:val="18"/>
                <w:szCs w:val="18"/>
                <w:color w:val="auto"/>
              </w:rPr>
            </w:pPr>
          </w:p>
        </w:tc>
        <w:tc>
          <w:tcPr>
            <w:tcW w:w="2300" w:type="dxa"/>
            <w:vAlign w:val="bottom"/>
            <w:shd w:val="clear" w:color="auto" w:fill="CCEEFF"/>
          </w:tcPr>
          <w:p>
            <w:pPr>
              <w:spacing w:after="0"/>
              <w:rPr>
                <w:sz w:val="18"/>
                <w:szCs w:val="18"/>
                <w:color w:val="auto"/>
              </w:rPr>
            </w:pPr>
          </w:p>
        </w:tc>
        <w:tc>
          <w:tcPr>
            <w:tcW w:w="1700" w:type="dxa"/>
            <w:vAlign w:val="bottom"/>
            <w:shd w:val="clear" w:color="auto" w:fill="CCEEFF"/>
          </w:tcPr>
          <w:p>
            <w:pPr>
              <w:spacing w:after="0"/>
              <w:rPr>
                <w:sz w:val="18"/>
                <w:szCs w:val="18"/>
                <w:color w:val="auto"/>
              </w:rPr>
            </w:pPr>
          </w:p>
        </w:tc>
        <w:tc>
          <w:tcPr>
            <w:tcW w:w="14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040" w:type="dxa"/>
            <w:vAlign w:val="bottom"/>
          </w:tcPr>
          <w:p>
            <w:pPr>
              <w:spacing w:after="0"/>
              <w:rPr>
                <w:sz w:val="20"/>
                <w:szCs w:val="20"/>
                <w:color w:val="auto"/>
              </w:rPr>
            </w:pPr>
            <w:r>
              <w:rPr>
                <w:rFonts w:ascii="Arial" w:cs="Arial" w:eastAsia="Arial" w:hAnsi="Arial"/>
                <w:sz w:val="18"/>
                <w:szCs w:val="18"/>
                <w:color w:val="auto"/>
              </w:rPr>
              <w:t>Severance Amount</w:t>
            </w:r>
          </w:p>
        </w:tc>
        <w:tc>
          <w:tcPr>
            <w:tcW w:w="2560" w:type="dxa"/>
            <w:vAlign w:val="bottom"/>
          </w:tcPr>
          <w:p>
            <w:pPr>
              <w:ind w:left="1200"/>
              <w:spacing w:after="0"/>
              <w:rPr>
                <w:sz w:val="20"/>
                <w:szCs w:val="20"/>
                <w:color w:val="auto"/>
              </w:rPr>
            </w:pPr>
            <w:r>
              <w:rPr>
                <w:rFonts w:ascii="Arial" w:cs="Arial" w:eastAsia="Arial" w:hAnsi="Arial"/>
                <w:sz w:val="18"/>
                <w:szCs w:val="18"/>
                <w:color w:val="auto"/>
              </w:rPr>
              <w:t>255,167</w:t>
            </w:r>
            <w:r>
              <w:rPr>
                <w:rFonts w:ascii="Arial" w:cs="Arial" w:eastAsia="Arial" w:hAnsi="Arial"/>
                <w:sz w:val="15"/>
                <w:szCs w:val="15"/>
                <w:color w:val="auto"/>
              </w:rPr>
              <w:t>(8)(10)</w:t>
            </w:r>
          </w:p>
        </w:tc>
        <w:tc>
          <w:tcPr>
            <w:tcW w:w="2300" w:type="dxa"/>
            <w:vAlign w:val="bottom"/>
          </w:tcPr>
          <w:p>
            <w:pPr>
              <w:ind w:left="920"/>
              <w:spacing w:after="0"/>
              <w:rPr>
                <w:sz w:val="20"/>
                <w:szCs w:val="20"/>
                <w:color w:val="auto"/>
              </w:rPr>
            </w:pPr>
            <w:r>
              <w:rPr>
                <w:rFonts w:ascii="Arial" w:cs="Arial" w:eastAsia="Arial" w:hAnsi="Arial"/>
                <w:sz w:val="18"/>
                <w:szCs w:val="18"/>
                <w:color w:val="auto"/>
              </w:rPr>
              <w:t>255,167</w:t>
            </w:r>
            <w:r>
              <w:rPr>
                <w:rFonts w:ascii="Arial" w:cs="Arial" w:eastAsia="Arial" w:hAnsi="Arial"/>
                <w:sz w:val="15"/>
                <w:szCs w:val="15"/>
                <w:color w:val="auto"/>
              </w:rPr>
              <w:t>(8)(10)</w:t>
            </w:r>
          </w:p>
        </w:tc>
        <w:tc>
          <w:tcPr>
            <w:tcW w:w="170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14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040" w:type="dxa"/>
            <w:vAlign w:val="bottom"/>
            <w:shd w:val="clear" w:color="auto" w:fill="CCEEFF"/>
          </w:tcPr>
          <w:p>
            <w:pPr>
              <w:spacing w:after="0"/>
              <w:rPr>
                <w:sz w:val="20"/>
                <w:szCs w:val="20"/>
                <w:color w:val="auto"/>
              </w:rPr>
            </w:pPr>
            <w:r>
              <w:rPr>
                <w:rFonts w:ascii="Arial" w:cs="Arial" w:eastAsia="Arial" w:hAnsi="Arial"/>
                <w:sz w:val="18"/>
                <w:szCs w:val="18"/>
                <w:color w:val="auto"/>
              </w:rPr>
              <w:t>Base Salary</w:t>
            </w:r>
          </w:p>
        </w:tc>
        <w:tc>
          <w:tcPr>
            <w:tcW w:w="2560" w:type="dxa"/>
            <w:vAlign w:val="bottom"/>
            <w:shd w:val="clear" w:color="auto" w:fill="CCEEFF"/>
          </w:tcPr>
          <w:p>
            <w:pPr>
              <w:ind w:left="1200"/>
              <w:spacing w:after="0"/>
              <w:rPr>
                <w:sz w:val="20"/>
                <w:szCs w:val="20"/>
                <w:color w:val="auto"/>
              </w:rPr>
            </w:pPr>
            <w:r>
              <w:rPr>
                <w:rFonts w:ascii="Arial" w:cs="Arial" w:eastAsia="Arial" w:hAnsi="Arial"/>
                <w:sz w:val="18"/>
                <w:szCs w:val="18"/>
                <w:color w:val="auto"/>
              </w:rPr>
              <w:t>–</w:t>
            </w:r>
          </w:p>
        </w:tc>
        <w:tc>
          <w:tcPr>
            <w:tcW w:w="2300" w:type="dxa"/>
            <w:vAlign w:val="bottom"/>
            <w:shd w:val="clear" w:color="auto" w:fill="CCEEFF"/>
          </w:tcPr>
          <w:p>
            <w:pPr>
              <w:ind w:left="920"/>
              <w:spacing w:after="0"/>
              <w:rPr>
                <w:sz w:val="20"/>
                <w:szCs w:val="20"/>
                <w:color w:val="auto"/>
              </w:rPr>
            </w:pPr>
            <w:r>
              <w:rPr>
                <w:rFonts w:ascii="Arial" w:cs="Arial" w:eastAsia="Arial" w:hAnsi="Arial"/>
                <w:sz w:val="18"/>
                <w:szCs w:val="18"/>
                <w:color w:val="auto"/>
              </w:rPr>
              <w:t>–</w:t>
            </w:r>
          </w:p>
        </w:tc>
        <w:tc>
          <w:tcPr>
            <w:tcW w:w="17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9"/>
              </w:rPr>
              <w:t>–</w:t>
            </w:r>
          </w:p>
        </w:tc>
        <w:tc>
          <w:tcPr>
            <w:tcW w:w="14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040" w:type="dxa"/>
            <w:vAlign w:val="bottom"/>
          </w:tcPr>
          <w:p>
            <w:pPr>
              <w:spacing w:after="0"/>
              <w:rPr>
                <w:sz w:val="20"/>
                <w:szCs w:val="20"/>
                <w:color w:val="auto"/>
              </w:rPr>
            </w:pPr>
            <w:r>
              <w:rPr>
                <w:rFonts w:ascii="Arial" w:cs="Arial" w:eastAsia="Arial" w:hAnsi="Arial"/>
                <w:sz w:val="18"/>
                <w:szCs w:val="18"/>
                <w:color w:val="auto"/>
              </w:rPr>
              <w:t>Cash Bonus</w:t>
            </w:r>
          </w:p>
        </w:tc>
        <w:tc>
          <w:tcPr>
            <w:tcW w:w="2560" w:type="dxa"/>
            <w:vAlign w:val="bottom"/>
          </w:tcPr>
          <w:p>
            <w:pPr>
              <w:ind w:left="1200"/>
              <w:spacing w:after="0"/>
              <w:rPr>
                <w:sz w:val="20"/>
                <w:szCs w:val="20"/>
                <w:color w:val="auto"/>
              </w:rPr>
            </w:pPr>
            <w:r>
              <w:rPr>
                <w:rFonts w:ascii="Arial" w:cs="Arial" w:eastAsia="Arial" w:hAnsi="Arial"/>
                <w:sz w:val="18"/>
                <w:szCs w:val="18"/>
                <w:color w:val="auto"/>
              </w:rPr>
              <w:t>–</w:t>
            </w:r>
          </w:p>
        </w:tc>
        <w:tc>
          <w:tcPr>
            <w:tcW w:w="2300" w:type="dxa"/>
            <w:vAlign w:val="bottom"/>
          </w:tcPr>
          <w:p>
            <w:pPr>
              <w:ind w:left="920"/>
              <w:spacing w:after="0"/>
              <w:rPr>
                <w:sz w:val="20"/>
                <w:szCs w:val="20"/>
                <w:color w:val="auto"/>
              </w:rPr>
            </w:pPr>
            <w:r>
              <w:rPr>
                <w:rFonts w:ascii="Arial" w:cs="Arial" w:eastAsia="Arial" w:hAnsi="Arial"/>
                <w:sz w:val="18"/>
                <w:szCs w:val="18"/>
                <w:color w:val="auto"/>
              </w:rPr>
              <w:t>–</w:t>
            </w:r>
          </w:p>
        </w:tc>
        <w:tc>
          <w:tcPr>
            <w:tcW w:w="1700" w:type="dxa"/>
            <w:vAlign w:val="bottom"/>
          </w:tcPr>
          <w:p>
            <w:pPr>
              <w:spacing w:after="0"/>
              <w:rPr>
                <w:sz w:val="18"/>
                <w:szCs w:val="18"/>
                <w:color w:val="auto"/>
              </w:rPr>
            </w:pPr>
          </w:p>
        </w:tc>
        <w:tc>
          <w:tcPr>
            <w:tcW w:w="14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040" w:type="dxa"/>
            <w:vAlign w:val="bottom"/>
            <w:shd w:val="clear" w:color="auto" w:fill="CCEEFF"/>
          </w:tcPr>
          <w:p>
            <w:pPr>
              <w:spacing w:after="0"/>
              <w:rPr>
                <w:sz w:val="20"/>
                <w:szCs w:val="20"/>
                <w:color w:val="auto"/>
              </w:rPr>
            </w:pPr>
            <w:r>
              <w:rPr>
                <w:rFonts w:ascii="Arial" w:cs="Arial" w:eastAsia="Arial" w:hAnsi="Arial"/>
                <w:sz w:val="18"/>
                <w:szCs w:val="18"/>
                <w:color w:val="auto"/>
              </w:rPr>
              <w:t>Accelerated Equity Awards</w:t>
            </w:r>
          </w:p>
        </w:tc>
        <w:tc>
          <w:tcPr>
            <w:tcW w:w="2560" w:type="dxa"/>
            <w:vAlign w:val="bottom"/>
            <w:shd w:val="clear" w:color="auto" w:fill="CCEEFF"/>
          </w:tcPr>
          <w:p>
            <w:pPr>
              <w:ind w:left="1200"/>
              <w:spacing w:after="0"/>
              <w:rPr>
                <w:sz w:val="20"/>
                <w:szCs w:val="20"/>
                <w:color w:val="auto"/>
              </w:rPr>
            </w:pPr>
            <w:r>
              <w:rPr>
                <w:rFonts w:ascii="Arial" w:cs="Arial" w:eastAsia="Arial" w:hAnsi="Arial"/>
                <w:sz w:val="18"/>
                <w:szCs w:val="18"/>
                <w:color w:val="auto"/>
              </w:rPr>
              <w:t>–</w:t>
            </w:r>
          </w:p>
        </w:tc>
        <w:tc>
          <w:tcPr>
            <w:tcW w:w="2300" w:type="dxa"/>
            <w:vAlign w:val="bottom"/>
            <w:shd w:val="clear" w:color="auto" w:fill="CCEEFF"/>
          </w:tcPr>
          <w:p>
            <w:pPr>
              <w:ind w:left="920"/>
              <w:spacing w:after="0"/>
              <w:rPr>
                <w:sz w:val="20"/>
                <w:szCs w:val="20"/>
                <w:color w:val="auto"/>
              </w:rPr>
            </w:pPr>
            <w:r>
              <w:rPr>
                <w:rFonts w:ascii="Arial" w:cs="Arial" w:eastAsia="Arial" w:hAnsi="Arial"/>
                <w:sz w:val="18"/>
                <w:szCs w:val="18"/>
                <w:color w:val="auto"/>
              </w:rPr>
              <w:t>–</w:t>
            </w:r>
          </w:p>
        </w:tc>
        <w:tc>
          <w:tcPr>
            <w:tcW w:w="17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9"/>
              </w:rPr>
              <w:t>–</w:t>
            </w:r>
          </w:p>
        </w:tc>
        <w:tc>
          <w:tcPr>
            <w:tcW w:w="14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20" w:type="dxa"/>
            <w:vAlign w:val="bottom"/>
          </w:tcPr>
          <w:p>
            <w:pPr>
              <w:spacing w:after="0"/>
              <w:rPr>
                <w:sz w:val="17"/>
                <w:szCs w:val="17"/>
                <w:color w:val="auto"/>
              </w:rPr>
            </w:pPr>
          </w:p>
        </w:tc>
        <w:tc>
          <w:tcPr>
            <w:tcW w:w="3040" w:type="dxa"/>
            <w:vAlign w:val="bottom"/>
          </w:tcPr>
          <w:p>
            <w:pPr>
              <w:spacing w:after="0" w:line="201" w:lineRule="exact"/>
              <w:rPr>
                <w:sz w:val="20"/>
                <w:szCs w:val="20"/>
                <w:color w:val="auto"/>
              </w:rPr>
            </w:pPr>
            <w:r>
              <w:rPr>
                <w:rFonts w:ascii="Arial" w:cs="Arial" w:eastAsia="Arial" w:hAnsi="Arial"/>
                <w:sz w:val="18"/>
                <w:szCs w:val="18"/>
                <w:color w:val="auto"/>
              </w:rPr>
              <w:t>Accelerated Non-Equity Incentive</w:t>
            </w:r>
          </w:p>
        </w:tc>
        <w:tc>
          <w:tcPr>
            <w:tcW w:w="2560" w:type="dxa"/>
            <w:vAlign w:val="bottom"/>
          </w:tcPr>
          <w:p>
            <w:pPr>
              <w:spacing w:after="0"/>
              <w:rPr>
                <w:sz w:val="17"/>
                <w:szCs w:val="17"/>
                <w:color w:val="auto"/>
              </w:rPr>
            </w:pPr>
          </w:p>
        </w:tc>
        <w:tc>
          <w:tcPr>
            <w:tcW w:w="2300" w:type="dxa"/>
            <w:vAlign w:val="bottom"/>
          </w:tcPr>
          <w:p>
            <w:pPr>
              <w:spacing w:after="0"/>
              <w:rPr>
                <w:sz w:val="17"/>
                <w:szCs w:val="17"/>
                <w:color w:val="auto"/>
              </w:rPr>
            </w:pPr>
          </w:p>
        </w:tc>
        <w:tc>
          <w:tcPr>
            <w:tcW w:w="1700" w:type="dxa"/>
            <w:vAlign w:val="bottom"/>
          </w:tcPr>
          <w:p>
            <w:pPr>
              <w:spacing w:after="0"/>
              <w:rPr>
                <w:sz w:val="17"/>
                <w:szCs w:val="17"/>
                <w:color w:val="auto"/>
              </w:rPr>
            </w:pPr>
          </w:p>
        </w:tc>
        <w:tc>
          <w:tcPr>
            <w:tcW w:w="14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3040" w:type="dxa"/>
            <w:vAlign w:val="bottom"/>
          </w:tcPr>
          <w:p>
            <w:pPr>
              <w:ind w:left="160"/>
              <w:spacing w:after="0"/>
              <w:rPr>
                <w:sz w:val="20"/>
                <w:szCs w:val="20"/>
                <w:color w:val="auto"/>
              </w:rPr>
            </w:pPr>
            <w:r>
              <w:rPr>
                <w:rFonts w:ascii="Arial" w:cs="Arial" w:eastAsia="Arial" w:hAnsi="Arial"/>
                <w:sz w:val="18"/>
                <w:szCs w:val="18"/>
                <w:color w:val="auto"/>
              </w:rPr>
              <w:t>Compensation</w:t>
            </w:r>
            <w:r>
              <w:rPr>
                <w:rFonts w:ascii="Arial" w:cs="Arial" w:eastAsia="Arial" w:hAnsi="Arial"/>
                <w:sz w:val="15"/>
                <w:szCs w:val="15"/>
                <w:color w:val="auto"/>
              </w:rPr>
              <w:t>(5)</w:t>
            </w:r>
          </w:p>
        </w:tc>
        <w:tc>
          <w:tcPr>
            <w:tcW w:w="2560" w:type="dxa"/>
            <w:vAlign w:val="bottom"/>
          </w:tcPr>
          <w:p>
            <w:pPr>
              <w:ind w:left="1200"/>
              <w:spacing w:after="0"/>
              <w:rPr>
                <w:sz w:val="20"/>
                <w:szCs w:val="20"/>
                <w:color w:val="auto"/>
              </w:rPr>
            </w:pPr>
            <w:r>
              <w:rPr>
                <w:rFonts w:ascii="Arial" w:cs="Arial" w:eastAsia="Arial" w:hAnsi="Arial"/>
                <w:sz w:val="18"/>
                <w:szCs w:val="18"/>
                <w:color w:val="auto"/>
              </w:rPr>
              <w:t>–</w:t>
            </w:r>
          </w:p>
        </w:tc>
        <w:tc>
          <w:tcPr>
            <w:tcW w:w="2300" w:type="dxa"/>
            <w:vAlign w:val="bottom"/>
          </w:tcPr>
          <w:p>
            <w:pPr>
              <w:ind w:left="920"/>
              <w:spacing w:after="0"/>
              <w:rPr>
                <w:sz w:val="20"/>
                <w:szCs w:val="20"/>
                <w:color w:val="auto"/>
              </w:rPr>
            </w:pPr>
            <w:r>
              <w:rPr>
                <w:rFonts w:ascii="Arial" w:cs="Arial" w:eastAsia="Arial" w:hAnsi="Arial"/>
                <w:sz w:val="18"/>
                <w:szCs w:val="18"/>
                <w:color w:val="auto"/>
              </w:rPr>
              <w:t>–</w:t>
            </w:r>
          </w:p>
        </w:tc>
        <w:tc>
          <w:tcPr>
            <w:tcW w:w="1700" w:type="dxa"/>
            <w:vAlign w:val="bottom"/>
          </w:tcPr>
          <w:p>
            <w:pPr>
              <w:spacing w:after="0"/>
              <w:rPr>
                <w:sz w:val="20"/>
                <w:szCs w:val="20"/>
                <w:color w:val="auto"/>
              </w:rPr>
            </w:pPr>
          </w:p>
        </w:tc>
        <w:tc>
          <w:tcPr>
            <w:tcW w:w="14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040" w:type="dxa"/>
            <w:vAlign w:val="bottom"/>
            <w:tcBorders>
              <w:bottom w:val="single" w:sz="8" w:color="407CCA"/>
            </w:tcBorders>
            <w:shd w:val="clear" w:color="auto" w:fill="CCEEFF"/>
          </w:tcPr>
          <w:p>
            <w:pPr>
              <w:spacing w:after="0"/>
              <w:rPr>
                <w:sz w:val="20"/>
                <w:szCs w:val="20"/>
                <w:color w:val="auto"/>
              </w:rPr>
            </w:pPr>
            <w:r>
              <w:rPr>
                <w:rFonts w:ascii="Arial" w:cs="Arial" w:eastAsia="Arial" w:hAnsi="Arial"/>
                <w:sz w:val="18"/>
                <w:szCs w:val="18"/>
                <w:color w:val="auto"/>
              </w:rPr>
              <w:t>Insurance Benefits</w:t>
            </w:r>
          </w:p>
        </w:tc>
        <w:tc>
          <w:tcPr>
            <w:tcW w:w="2560" w:type="dxa"/>
            <w:vAlign w:val="bottom"/>
            <w:tcBorders>
              <w:bottom w:val="single" w:sz="8" w:color="407CCA"/>
            </w:tcBorders>
            <w:shd w:val="clear" w:color="auto" w:fill="CCEEFF"/>
          </w:tcPr>
          <w:p>
            <w:pPr>
              <w:ind w:left="1200"/>
              <w:spacing w:after="0"/>
              <w:rPr>
                <w:sz w:val="20"/>
                <w:szCs w:val="20"/>
                <w:color w:val="auto"/>
              </w:rPr>
            </w:pPr>
            <w:r>
              <w:rPr>
                <w:rFonts w:ascii="Arial" w:cs="Arial" w:eastAsia="Arial" w:hAnsi="Arial"/>
                <w:sz w:val="18"/>
                <w:szCs w:val="18"/>
                <w:color w:val="auto"/>
              </w:rPr>
              <w:t>–</w:t>
            </w:r>
          </w:p>
        </w:tc>
        <w:tc>
          <w:tcPr>
            <w:tcW w:w="2300" w:type="dxa"/>
            <w:vAlign w:val="bottom"/>
            <w:tcBorders>
              <w:bottom w:val="single" w:sz="8" w:color="407CCA"/>
            </w:tcBorders>
            <w:shd w:val="clear" w:color="auto" w:fill="CCEEFF"/>
          </w:tcPr>
          <w:p>
            <w:pPr>
              <w:ind w:left="920"/>
              <w:spacing w:after="0"/>
              <w:rPr>
                <w:sz w:val="20"/>
                <w:szCs w:val="20"/>
                <w:color w:val="auto"/>
              </w:rPr>
            </w:pPr>
            <w:r>
              <w:rPr>
                <w:rFonts w:ascii="Arial" w:cs="Arial" w:eastAsia="Arial" w:hAnsi="Arial"/>
                <w:sz w:val="18"/>
                <w:szCs w:val="18"/>
                <w:color w:val="auto"/>
              </w:rPr>
              <w:t>–</w:t>
            </w:r>
          </w:p>
        </w:tc>
        <w:tc>
          <w:tcPr>
            <w:tcW w:w="1700" w:type="dxa"/>
            <w:vAlign w:val="bottom"/>
            <w:tcBorders>
              <w:bottom w:val="single" w:sz="8" w:color="407CCA"/>
            </w:tcBorders>
            <w:shd w:val="clear" w:color="auto" w:fill="CCEEFF"/>
          </w:tcPr>
          <w:p>
            <w:pPr>
              <w:jc w:val="center"/>
              <w:spacing w:after="0"/>
              <w:rPr>
                <w:sz w:val="20"/>
                <w:szCs w:val="20"/>
                <w:color w:val="auto"/>
              </w:rPr>
            </w:pPr>
            <w:r>
              <w:rPr>
                <w:rFonts w:ascii="Arial" w:cs="Arial" w:eastAsia="Arial" w:hAnsi="Arial"/>
                <w:sz w:val="18"/>
                <w:szCs w:val="18"/>
                <w:color w:val="auto"/>
                <w:w w:val="99"/>
              </w:rPr>
              <w:t>–</w:t>
            </w:r>
          </w:p>
        </w:tc>
        <w:tc>
          <w:tcPr>
            <w:tcW w:w="1420" w:type="dxa"/>
            <w:vAlign w:val="bottom"/>
            <w:tcBorders>
              <w:bottom w:val="single" w:sz="8" w:color="407CCA"/>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Borders>
              <w:bottom w:val="single" w:sz="8" w:color="407CCA"/>
            </w:tcBorders>
          </w:tcPr>
          <w:p>
            <w:pPr>
              <w:spacing w:after="0"/>
              <w:rPr>
                <w:sz w:val="18"/>
                <w:szCs w:val="18"/>
                <w:color w:val="auto"/>
              </w:rPr>
            </w:pPr>
          </w:p>
        </w:tc>
        <w:tc>
          <w:tcPr>
            <w:tcW w:w="3040" w:type="dxa"/>
            <w:vAlign w:val="bottom"/>
            <w:tcBorders>
              <w:bottom w:val="single" w:sz="8" w:color="407CCA"/>
            </w:tcBorders>
          </w:tcPr>
          <w:p>
            <w:pPr>
              <w:spacing w:after="0"/>
              <w:rPr>
                <w:sz w:val="20"/>
                <w:szCs w:val="20"/>
                <w:color w:val="auto"/>
              </w:rPr>
            </w:pPr>
            <w:r>
              <w:rPr>
                <w:rFonts w:ascii="Arial" w:cs="Arial" w:eastAsia="Arial" w:hAnsi="Arial"/>
                <w:sz w:val="18"/>
                <w:szCs w:val="18"/>
                <w:b w:val="1"/>
                <w:bCs w:val="1"/>
                <w:color w:val="auto"/>
              </w:rPr>
              <w:t>TOTAL:</w:t>
            </w:r>
          </w:p>
        </w:tc>
        <w:tc>
          <w:tcPr>
            <w:tcW w:w="2560" w:type="dxa"/>
            <w:vAlign w:val="bottom"/>
            <w:tcBorders>
              <w:bottom w:val="single" w:sz="8" w:color="407CCA"/>
            </w:tcBorders>
          </w:tcPr>
          <w:p>
            <w:pPr>
              <w:ind w:left="1200"/>
              <w:spacing w:after="0"/>
              <w:rPr>
                <w:sz w:val="20"/>
                <w:szCs w:val="20"/>
                <w:color w:val="auto"/>
              </w:rPr>
            </w:pPr>
            <w:r>
              <w:rPr>
                <w:rFonts w:ascii="Arial" w:cs="Arial" w:eastAsia="Arial" w:hAnsi="Arial"/>
                <w:sz w:val="18"/>
                <w:szCs w:val="18"/>
                <w:color w:val="auto"/>
              </w:rPr>
              <w:t>255,167</w:t>
            </w:r>
          </w:p>
        </w:tc>
        <w:tc>
          <w:tcPr>
            <w:tcW w:w="2300" w:type="dxa"/>
            <w:vAlign w:val="bottom"/>
            <w:tcBorders>
              <w:bottom w:val="single" w:sz="8" w:color="407CCA"/>
            </w:tcBorders>
          </w:tcPr>
          <w:p>
            <w:pPr>
              <w:ind w:left="920"/>
              <w:spacing w:after="0"/>
              <w:rPr>
                <w:sz w:val="20"/>
                <w:szCs w:val="20"/>
                <w:color w:val="auto"/>
              </w:rPr>
            </w:pPr>
            <w:r>
              <w:rPr>
                <w:rFonts w:ascii="Arial" w:cs="Arial" w:eastAsia="Arial" w:hAnsi="Arial"/>
                <w:sz w:val="18"/>
                <w:szCs w:val="18"/>
                <w:color w:val="auto"/>
              </w:rPr>
              <w:t>255,167</w:t>
            </w:r>
          </w:p>
        </w:tc>
        <w:tc>
          <w:tcPr>
            <w:tcW w:w="1700" w:type="dxa"/>
            <w:vAlign w:val="bottom"/>
            <w:tcBorders>
              <w:bottom w:val="single" w:sz="8" w:color="407CCA"/>
            </w:tcBorders>
          </w:tcPr>
          <w:p>
            <w:pPr>
              <w:spacing w:after="0"/>
              <w:rPr>
                <w:sz w:val="18"/>
                <w:szCs w:val="18"/>
                <w:color w:val="auto"/>
              </w:rPr>
            </w:pPr>
          </w:p>
        </w:tc>
        <w:tc>
          <w:tcPr>
            <w:tcW w:w="1420" w:type="dxa"/>
            <w:vAlign w:val="bottom"/>
            <w:tcBorders>
              <w:bottom w:val="single" w:sz="8" w:color="407CCA"/>
            </w:tcBorders>
          </w:tcPr>
          <w:p>
            <w:pPr>
              <w:spacing w:after="0"/>
              <w:rPr>
                <w:sz w:val="18"/>
                <w:szCs w:val="18"/>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240030</wp:posOffset>
            </wp:positionV>
            <wp:extent cx="2444115" cy="889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2">
                      <a:extLst>
                        <a:ext uri="{28A0092B-C50C-407E-A947-70E740481C1C}"/>
                      </a:extLst>
                    </a:blip>
                    <a:srcRect/>
                    <a:stretch>
                      <a:fillRect/>
                    </a:stretch>
                  </pic:blipFill>
                  <pic:spPr bwMode="auto">
                    <a:xfrm>
                      <a:off x="0" y="0"/>
                      <a:ext cx="2444115" cy="8890"/>
                    </a:xfrm>
                    <a:prstGeom prst="rect">
                      <a:avLst/>
                    </a:prstGeom>
                    <a:noFill/>
                  </pic:spPr>
                </pic:pic>
              </a:graphicData>
            </a:graphic>
          </wp:anchor>
        </w:drawing>
      </w:r>
    </w:p>
    <w:p>
      <w:pPr>
        <w:spacing w:after="0" w:line="200" w:lineRule="exact"/>
        <w:rPr>
          <w:sz w:val="20"/>
          <w:szCs w:val="20"/>
          <w:color w:val="auto"/>
        </w:rPr>
      </w:pPr>
    </w:p>
    <w:p>
      <w:pPr>
        <w:spacing w:after="0" w:line="324" w:lineRule="exact"/>
        <w:rPr>
          <w:sz w:val="20"/>
          <w:szCs w:val="20"/>
          <w:color w:val="auto"/>
        </w:rPr>
      </w:pPr>
    </w:p>
    <w:p>
      <w:pPr>
        <w:ind w:left="860" w:hanging="656"/>
        <w:spacing w:after="0"/>
        <w:tabs>
          <w:tab w:leader="none" w:pos="860" w:val="left"/>
        </w:tabs>
        <w:numPr>
          <w:ilvl w:val="0"/>
          <w:numId w:val="49"/>
        </w:numPr>
        <w:rPr>
          <w:rFonts w:ascii="Arial" w:cs="Arial" w:eastAsia="Arial" w:hAnsi="Arial"/>
          <w:sz w:val="16"/>
          <w:szCs w:val="16"/>
          <w:color w:val="auto"/>
        </w:rPr>
      </w:pPr>
      <w:r>
        <w:rPr>
          <w:rFonts w:ascii="Arial" w:cs="Arial" w:eastAsia="Arial" w:hAnsi="Arial"/>
          <w:sz w:val="16"/>
          <w:szCs w:val="16"/>
          <w:color w:val="auto"/>
        </w:rPr>
        <w:t>Payable over a period of 30 months, 18 months, and 12 months for Messrs. Kain, Federico, and Kuehl, respectively.</w:t>
      </w:r>
    </w:p>
    <w:p>
      <w:pPr>
        <w:spacing w:after="0" w:line="22" w:lineRule="exact"/>
        <w:rPr>
          <w:rFonts w:ascii="Arial" w:cs="Arial" w:eastAsia="Arial" w:hAnsi="Arial"/>
          <w:sz w:val="16"/>
          <w:szCs w:val="16"/>
          <w:color w:val="auto"/>
        </w:rPr>
      </w:pPr>
    </w:p>
    <w:p>
      <w:pPr>
        <w:ind w:left="860" w:right="100" w:hanging="656"/>
        <w:spacing w:after="0" w:line="264" w:lineRule="auto"/>
        <w:tabs>
          <w:tab w:leader="none" w:pos="860" w:val="left"/>
        </w:tabs>
        <w:numPr>
          <w:ilvl w:val="0"/>
          <w:numId w:val="49"/>
        </w:numPr>
        <w:rPr>
          <w:rFonts w:ascii="Arial" w:cs="Arial" w:eastAsia="Arial" w:hAnsi="Arial"/>
          <w:sz w:val="16"/>
          <w:szCs w:val="16"/>
          <w:color w:val="auto"/>
        </w:rPr>
      </w:pPr>
      <w:r>
        <w:rPr>
          <w:rFonts w:ascii="Arial" w:cs="Arial" w:eastAsia="Arial" w:hAnsi="Arial"/>
          <w:sz w:val="16"/>
          <w:szCs w:val="16"/>
          <w:color w:val="auto"/>
        </w:rPr>
        <w:t>Payable in a lump sum on the first payroll date 60 days after termination. Mr. Kain’s eligibility for the Pro Rata LTIA Payment expired on December 31, 2017, and Messrs. Federico’s and Kuehl’s eligibility to receive the Pro Rata LTIA Payment expires on December 31, 2018.</w:t>
      </w:r>
    </w:p>
    <w:p>
      <w:pPr>
        <w:ind w:left="860" w:hanging="656"/>
        <w:spacing w:after="0"/>
        <w:tabs>
          <w:tab w:leader="none" w:pos="860" w:val="left"/>
        </w:tabs>
        <w:numPr>
          <w:ilvl w:val="0"/>
          <w:numId w:val="49"/>
        </w:numPr>
        <w:rPr>
          <w:rFonts w:ascii="Arial" w:cs="Arial" w:eastAsia="Arial" w:hAnsi="Arial"/>
          <w:sz w:val="16"/>
          <w:szCs w:val="16"/>
          <w:color w:val="auto"/>
        </w:rPr>
      </w:pPr>
      <w:r>
        <w:rPr>
          <w:rFonts w:ascii="Arial" w:cs="Arial" w:eastAsia="Arial" w:hAnsi="Arial"/>
          <w:sz w:val="16"/>
          <w:szCs w:val="16"/>
          <w:color w:val="auto"/>
        </w:rPr>
        <w:t>Payable in a lump sum by March 15 of the calendar year following the calendar year in which termination occurs.</w:t>
      </w:r>
    </w:p>
    <w:p>
      <w:pPr>
        <w:spacing w:after="0" w:line="18" w:lineRule="exact"/>
        <w:rPr>
          <w:rFonts w:ascii="Arial" w:cs="Arial" w:eastAsia="Arial" w:hAnsi="Arial"/>
          <w:sz w:val="16"/>
          <w:szCs w:val="16"/>
          <w:color w:val="auto"/>
        </w:rPr>
      </w:pPr>
    </w:p>
    <w:p>
      <w:pPr>
        <w:ind w:left="860" w:hanging="656"/>
        <w:spacing w:after="0"/>
        <w:tabs>
          <w:tab w:leader="none" w:pos="860" w:val="left"/>
        </w:tabs>
        <w:numPr>
          <w:ilvl w:val="0"/>
          <w:numId w:val="49"/>
        </w:numPr>
        <w:rPr>
          <w:rFonts w:ascii="Arial" w:cs="Arial" w:eastAsia="Arial" w:hAnsi="Arial"/>
          <w:sz w:val="16"/>
          <w:szCs w:val="16"/>
          <w:color w:val="auto"/>
        </w:rPr>
      </w:pPr>
      <w:r>
        <w:rPr>
          <w:rFonts w:ascii="Arial" w:cs="Arial" w:eastAsia="Arial" w:hAnsi="Arial"/>
          <w:sz w:val="16"/>
          <w:szCs w:val="16"/>
          <w:color w:val="auto"/>
        </w:rPr>
        <w:t>Assumes performance at 100% of target for AGNC Performance-Based Vesting Awards.</w:t>
      </w:r>
    </w:p>
    <w:p>
      <w:pPr>
        <w:spacing w:after="0" w:line="18" w:lineRule="exact"/>
        <w:rPr>
          <w:rFonts w:ascii="Arial" w:cs="Arial" w:eastAsia="Arial" w:hAnsi="Arial"/>
          <w:sz w:val="16"/>
          <w:szCs w:val="16"/>
          <w:color w:val="auto"/>
        </w:rPr>
      </w:pPr>
    </w:p>
    <w:p>
      <w:pPr>
        <w:ind w:left="860" w:hanging="656"/>
        <w:spacing w:after="0"/>
        <w:tabs>
          <w:tab w:leader="none" w:pos="860" w:val="left"/>
        </w:tabs>
        <w:numPr>
          <w:ilvl w:val="0"/>
          <w:numId w:val="49"/>
        </w:numPr>
        <w:rPr>
          <w:rFonts w:ascii="Arial" w:cs="Arial" w:eastAsia="Arial" w:hAnsi="Arial"/>
          <w:sz w:val="16"/>
          <w:szCs w:val="16"/>
          <w:color w:val="auto"/>
        </w:rPr>
      </w:pPr>
      <w:r>
        <w:rPr>
          <w:rFonts w:ascii="Arial" w:cs="Arial" w:eastAsia="Arial" w:hAnsi="Arial"/>
          <w:sz w:val="16"/>
          <w:szCs w:val="16"/>
          <w:color w:val="auto"/>
        </w:rPr>
        <w:t>Awards under the MTGE PIP.</w:t>
      </w:r>
    </w:p>
    <w:p>
      <w:pPr>
        <w:spacing w:after="0" w:line="18" w:lineRule="exact"/>
        <w:rPr>
          <w:rFonts w:ascii="Arial" w:cs="Arial" w:eastAsia="Arial" w:hAnsi="Arial"/>
          <w:sz w:val="16"/>
          <w:szCs w:val="16"/>
          <w:color w:val="auto"/>
        </w:rPr>
      </w:pPr>
    </w:p>
    <w:p>
      <w:pPr>
        <w:ind w:left="860" w:hanging="656"/>
        <w:spacing w:after="0"/>
        <w:tabs>
          <w:tab w:leader="none" w:pos="860" w:val="left"/>
        </w:tabs>
        <w:numPr>
          <w:ilvl w:val="0"/>
          <w:numId w:val="49"/>
        </w:numPr>
        <w:rPr>
          <w:rFonts w:ascii="Arial" w:cs="Arial" w:eastAsia="Arial" w:hAnsi="Arial"/>
          <w:sz w:val="16"/>
          <w:szCs w:val="16"/>
          <w:color w:val="auto"/>
        </w:rPr>
      </w:pPr>
      <w:r>
        <w:rPr>
          <w:rFonts w:ascii="Arial" w:cs="Arial" w:eastAsia="Arial" w:hAnsi="Arial"/>
          <w:sz w:val="16"/>
          <w:szCs w:val="16"/>
          <w:color w:val="auto"/>
        </w:rPr>
        <w:t>Insurance Benefits are based on the December 2017 monthly payment for Health, Dental, Vision, Life, and Disability coverage for each NEO.</w:t>
      </w:r>
    </w:p>
    <w:p>
      <w:pPr>
        <w:spacing w:after="0" w:line="18" w:lineRule="exact"/>
        <w:rPr>
          <w:rFonts w:ascii="Arial" w:cs="Arial" w:eastAsia="Arial" w:hAnsi="Arial"/>
          <w:sz w:val="16"/>
          <w:szCs w:val="16"/>
          <w:color w:val="auto"/>
        </w:rPr>
      </w:pPr>
    </w:p>
    <w:p>
      <w:pPr>
        <w:ind w:left="860" w:right="400" w:hanging="656"/>
        <w:spacing w:after="0" w:line="264" w:lineRule="auto"/>
        <w:tabs>
          <w:tab w:leader="none" w:pos="860" w:val="left"/>
        </w:tabs>
        <w:numPr>
          <w:ilvl w:val="0"/>
          <w:numId w:val="49"/>
        </w:numPr>
        <w:rPr>
          <w:rFonts w:ascii="Arial" w:cs="Arial" w:eastAsia="Arial" w:hAnsi="Arial"/>
          <w:sz w:val="16"/>
          <w:szCs w:val="16"/>
          <w:color w:val="auto"/>
        </w:rPr>
      </w:pPr>
      <w:r>
        <w:rPr>
          <w:rFonts w:ascii="Arial" w:cs="Arial" w:eastAsia="Arial" w:hAnsi="Arial"/>
          <w:sz w:val="16"/>
          <w:szCs w:val="16"/>
          <w:color w:val="auto"/>
        </w:rPr>
        <w:t>Mr. Kuehl would be entitled to an additional $1,251,000 if he were to remain unemployed as of December 31, 2018, payable equally over the period from January 1, 2019 to June 30, 2019, unless he were to become employed by another employer during this period in 2019.</w:t>
      </w:r>
    </w:p>
    <w:p>
      <w:pPr>
        <w:ind w:left="860" w:hanging="656"/>
        <w:spacing w:after="0"/>
        <w:tabs>
          <w:tab w:leader="none" w:pos="860" w:val="left"/>
        </w:tabs>
        <w:numPr>
          <w:ilvl w:val="0"/>
          <w:numId w:val="49"/>
        </w:numPr>
        <w:rPr>
          <w:rFonts w:ascii="Arial" w:cs="Arial" w:eastAsia="Arial" w:hAnsi="Arial"/>
          <w:sz w:val="16"/>
          <w:szCs w:val="16"/>
          <w:color w:val="auto"/>
        </w:rPr>
      </w:pPr>
      <w:r>
        <w:rPr>
          <w:rFonts w:ascii="Arial" w:cs="Arial" w:eastAsia="Arial" w:hAnsi="Arial"/>
          <w:sz w:val="16"/>
          <w:szCs w:val="16"/>
          <w:color w:val="auto"/>
        </w:rPr>
        <w:t>Payable in a lump sum.</w:t>
      </w:r>
    </w:p>
    <w:p>
      <w:pPr>
        <w:spacing w:after="0" w:line="18" w:lineRule="exact"/>
        <w:rPr>
          <w:rFonts w:ascii="Arial" w:cs="Arial" w:eastAsia="Arial" w:hAnsi="Arial"/>
          <w:sz w:val="16"/>
          <w:szCs w:val="16"/>
          <w:color w:val="auto"/>
        </w:rPr>
      </w:pPr>
    </w:p>
    <w:p>
      <w:pPr>
        <w:ind w:left="860" w:hanging="656"/>
        <w:spacing w:after="0"/>
        <w:tabs>
          <w:tab w:leader="none" w:pos="860" w:val="left"/>
        </w:tabs>
        <w:numPr>
          <w:ilvl w:val="0"/>
          <w:numId w:val="49"/>
        </w:numPr>
        <w:rPr>
          <w:rFonts w:ascii="Arial" w:cs="Arial" w:eastAsia="Arial" w:hAnsi="Arial"/>
          <w:sz w:val="16"/>
          <w:szCs w:val="16"/>
          <w:color w:val="auto"/>
        </w:rPr>
      </w:pPr>
      <w:r>
        <w:rPr>
          <w:rFonts w:ascii="Arial" w:cs="Arial" w:eastAsia="Arial" w:hAnsi="Arial"/>
          <w:sz w:val="16"/>
          <w:szCs w:val="16"/>
          <w:color w:val="auto"/>
        </w:rPr>
        <w:t>Payable only if terminated by the Company Without Cause.</w:t>
      </w:r>
    </w:p>
    <w:p>
      <w:pPr>
        <w:spacing w:after="0" w:line="18" w:lineRule="exact"/>
        <w:rPr>
          <w:rFonts w:ascii="Arial" w:cs="Arial" w:eastAsia="Arial" w:hAnsi="Arial"/>
          <w:sz w:val="16"/>
          <w:szCs w:val="16"/>
          <w:color w:val="auto"/>
        </w:rPr>
      </w:pPr>
    </w:p>
    <w:p>
      <w:pPr>
        <w:ind w:left="860" w:right="160" w:hanging="656"/>
        <w:spacing w:after="0" w:line="288" w:lineRule="auto"/>
        <w:tabs>
          <w:tab w:leader="none" w:pos="860" w:val="left"/>
        </w:tabs>
        <w:numPr>
          <w:ilvl w:val="0"/>
          <w:numId w:val="49"/>
        </w:numPr>
        <w:rPr>
          <w:rFonts w:ascii="Arial" w:cs="Arial" w:eastAsia="Arial" w:hAnsi="Arial"/>
          <w:sz w:val="16"/>
          <w:szCs w:val="16"/>
          <w:color w:val="auto"/>
        </w:rPr>
      </w:pPr>
      <w:r>
        <w:rPr>
          <w:rFonts w:ascii="Arial" w:cs="Arial" w:eastAsia="Arial" w:hAnsi="Arial"/>
          <w:sz w:val="16"/>
          <w:szCs w:val="16"/>
          <w:color w:val="auto"/>
        </w:rPr>
        <w:t>Amount is calculated in accordance with Mr. Pollack’s offer letter in effect as of December 31, 2017 and is $1,050,000, net of salary and bonus paid to him in 2016 and 2017.</w:t>
      </w:r>
    </w:p>
    <w:p>
      <w:pPr>
        <w:spacing w:after="0" w:line="171" w:lineRule="exact"/>
        <w:rPr>
          <w:sz w:val="20"/>
          <w:szCs w:val="20"/>
          <w:color w:val="auto"/>
        </w:rPr>
      </w:pPr>
    </w:p>
    <w:p>
      <w:pPr>
        <w:ind w:left="200"/>
        <w:spacing w:after="0"/>
        <w:rPr>
          <w:sz w:val="20"/>
          <w:szCs w:val="20"/>
          <w:color w:val="auto"/>
        </w:rPr>
      </w:pPr>
      <w:r>
        <w:rPr>
          <w:rFonts w:ascii="Arial" w:cs="Arial" w:eastAsia="Arial" w:hAnsi="Arial"/>
          <w:sz w:val="18"/>
          <w:szCs w:val="18"/>
          <w:b w:val="1"/>
          <w:bCs w:val="1"/>
          <w:i w:val="1"/>
          <w:iCs w:val="1"/>
          <w:color w:val="auto"/>
        </w:rPr>
        <w:t>CEO Compensation Pay Ratio</w:t>
      </w:r>
    </w:p>
    <w:p>
      <w:pPr>
        <w:spacing w:after="0" w:line="117" w:lineRule="exact"/>
        <w:rPr>
          <w:sz w:val="20"/>
          <w:szCs w:val="20"/>
          <w:color w:val="auto"/>
        </w:rPr>
      </w:pPr>
    </w:p>
    <w:p>
      <w:pPr>
        <w:ind w:left="200" w:right="160" w:firstLine="771"/>
        <w:spacing w:after="0" w:line="259" w:lineRule="auto"/>
        <w:rPr>
          <w:sz w:val="20"/>
          <w:szCs w:val="20"/>
          <w:color w:val="auto"/>
        </w:rPr>
      </w:pPr>
      <w:r>
        <w:rPr>
          <w:rFonts w:ascii="Arial" w:cs="Arial" w:eastAsia="Arial" w:hAnsi="Arial"/>
          <w:sz w:val="18"/>
          <w:szCs w:val="18"/>
          <w:color w:val="auto"/>
        </w:rPr>
        <w:t>As required by Section 953(b) of the Dodd-Frank Wall Street Reform and Consumer Protection Act, and Item 402(u) of Regulation S-K, we determined that the 2017 total compensation of Gary Kain, our Chief Executive Officer, President and Chief Investment Officer of $16,245,897, as shown in the Summary Compensation Table above (the “CEO Compensation”), was approximately 76 times the total compensation of a median employee in 2017 calculated in the same manner of $213,019.</w:t>
      </w:r>
    </w:p>
    <w:p>
      <w:pPr>
        <w:spacing w:after="0" w:line="187" w:lineRule="exact"/>
        <w:rPr>
          <w:sz w:val="20"/>
          <w:szCs w:val="20"/>
          <w:color w:val="auto"/>
        </w:rPr>
      </w:pPr>
    </w:p>
    <w:p>
      <w:pPr>
        <w:ind w:left="200" w:right="140" w:firstLine="771"/>
        <w:spacing w:after="0" w:line="279" w:lineRule="auto"/>
        <w:rPr>
          <w:sz w:val="20"/>
          <w:szCs w:val="20"/>
          <w:color w:val="auto"/>
        </w:rPr>
      </w:pPr>
      <w:r>
        <w:rPr>
          <w:rFonts w:ascii="Arial" w:cs="Arial" w:eastAsia="Arial" w:hAnsi="Arial"/>
          <w:sz w:val="17"/>
          <w:szCs w:val="17"/>
          <w:color w:val="auto"/>
        </w:rPr>
        <w:t>We identified the median employee using the annual base salary and expected bonus, as of December 31, 2017, plus any long-term incentive stock awards granted in 2017 for all individuals, excluding our Chief Executive Officer, who were employed by us on December 31, 2017, the last day of our payroll year (whether employed on a full-time, part-time, or seasonal basis). After identifying the median employee, we calculated annual total compensation for such employee using the same methodology we use for our CEO Compensation.</w:t>
      </w:r>
    </w:p>
    <w:p>
      <w:pPr>
        <w:spacing w:after="0" w:line="100" w:lineRule="exact"/>
        <w:rPr>
          <w:sz w:val="20"/>
          <w:szCs w:val="20"/>
          <w:color w:val="auto"/>
        </w:rPr>
      </w:pPr>
    </w:p>
    <w:p>
      <w:pPr>
        <w:ind w:left="8060"/>
        <w:spacing w:after="0"/>
        <w:tabs>
          <w:tab w:leader="none" w:pos="110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63</w:t>
      </w:r>
    </w:p>
    <w:p>
      <w:pPr>
        <w:sectPr>
          <w:pgSz w:w="11900" w:h="16838" w:orient="portrait"/>
          <w:cols w:equalWidth="0" w:num="1">
            <w:col w:w="11240"/>
          </w:cols>
          <w:pgMar w:left="240" w:top="459" w:right="419" w:bottom="1440" w:gutter="0" w:footer="0" w:header="0"/>
        </w:sectPr>
      </w:pPr>
    </w:p>
    <w:bookmarkStart w:id="67" w:name="page68"/>
    <w:bookmarkEnd w:id="6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INFORMATION REGARDING COMPANY VOTING SECURITIES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4">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15" w:lineRule="exact"/>
        <w:rPr>
          <w:sz w:val="20"/>
          <w:szCs w:val="20"/>
          <w:color w:val="auto"/>
        </w:rPr>
      </w:pPr>
    </w:p>
    <w:p>
      <w:pPr>
        <w:ind w:left="2500"/>
        <w:spacing w:after="0"/>
        <w:rPr>
          <w:sz w:val="20"/>
          <w:szCs w:val="20"/>
          <w:color w:val="auto"/>
        </w:rPr>
      </w:pPr>
      <w:r>
        <w:rPr>
          <w:rFonts w:ascii="Arial" w:cs="Arial" w:eastAsia="Arial" w:hAnsi="Arial"/>
          <w:sz w:val="22"/>
          <w:szCs w:val="22"/>
          <w:b w:val="1"/>
          <w:bCs w:val="1"/>
          <w:color w:val="407CCA"/>
        </w:rPr>
        <w:t>INFORMATION REGARDING COMPANY VOTING SECURITIES</w:t>
      </w:r>
    </w:p>
    <w:p>
      <w:pPr>
        <w:spacing w:after="0" w:line="21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Security Ownership of Management and Certain Beneficial Owners</w:t>
      </w:r>
    </w:p>
    <w:p>
      <w:pPr>
        <w:spacing w:after="0" w:line="121" w:lineRule="exact"/>
        <w:rPr>
          <w:sz w:val="20"/>
          <w:szCs w:val="20"/>
          <w:color w:val="auto"/>
        </w:rPr>
      </w:pPr>
    </w:p>
    <w:p>
      <w:pPr>
        <w:ind w:left="200" w:right="20" w:firstLine="771"/>
        <w:spacing w:after="0" w:line="288" w:lineRule="auto"/>
        <w:rPr>
          <w:sz w:val="20"/>
          <w:szCs w:val="20"/>
          <w:color w:val="auto"/>
        </w:rPr>
      </w:pPr>
      <w:r>
        <w:rPr>
          <w:rFonts w:ascii="Arial" w:cs="Arial" w:eastAsia="Arial" w:hAnsi="Arial"/>
          <w:sz w:val="16"/>
          <w:szCs w:val="16"/>
          <w:color w:val="auto"/>
        </w:rPr>
        <w:t>The following table sets forth, as of February , 2018 (unless otherwise indicated), the beneficial ownership of common stock of each current director, each nominee for director, each of our executive officers, our executive officers and directors as a group, and each stockholder known to management to own beneficially more than 5% of the outstanding shares of our common stock. Unless otherwise indicated, we believe that the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2717165</wp:posOffset>
            </wp:positionH>
            <wp:positionV relativeFrom="paragraph">
              <wp:posOffset>-299085</wp:posOffset>
            </wp:positionV>
            <wp:extent cx="114300" cy="889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a:extLst>
                        <a:ext uri="{28A0092B-C50C-407E-A947-70E740481C1C}"/>
                      </a:extLst>
                    </a:blip>
                    <a:srcRect/>
                    <a:stretch>
                      <a:fillRect/>
                    </a:stretch>
                  </pic:blipFill>
                  <pic:spPr bwMode="auto">
                    <a:xfrm>
                      <a:off x="0" y="0"/>
                      <a:ext cx="114300" cy="8890"/>
                    </a:xfrm>
                    <a:prstGeom prst="rect">
                      <a:avLst/>
                    </a:prstGeom>
                    <a:noFill/>
                  </pic:spPr>
                </pic:pic>
              </a:graphicData>
            </a:graphic>
          </wp:anchor>
        </w:drawing>
      </w:r>
    </w:p>
    <w:tbl>
      <w:tblPr>
        <w:tblLayout w:type="fixed"/>
        <w:tblInd w:w="200" w:type="dxa"/>
        <w:tblCellMar>
          <w:top w:w="0" w:type="dxa"/>
          <w:left w:w="0" w:type="dxa"/>
          <w:bottom w:w="0" w:type="dxa"/>
          <w:right w:w="0" w:type="dxa"/>
        </w:tblCellMar>
      </w:tblPr>
      <w:tr>
        <w:trPr>
          <w:trHeight w:val="176"/>
        </w:trPr>
        <w:tc>
          <w:tcPr>
            <w:tcW w:w="8840" w:type="dxa"/>
            <w:vAlign w:val="bottom"/>
            <w:gridSpan w:val="3"/>
          </w:tcPr>
          <w:p>
            <w:pPr>
              <w:spacing w:after="0" w:line="176" w:lineRule="exact"/>
              <w:rPr>
                <w:sz w:val="20"/>
                <w:szCs w:val="20"/>
                <w:color w:val="auto"/>
              </w:rPr>
            </w:pPr>
            <w:r>
              <w:rPr>
                <w:rFonts w:ascii="Arial" w:cs="Arial" w:eastAsia="Arial" w:hAnsi="Arial"/>
                <w:sz w:val="18"/>
                <w:szCs w:val="18"/>
                <w:color w:val="auto"/>
                <w:w w:val="92"/>
              </w:rPr>
              <w:t>beneficial owners set forth in the table below have sole voting and investment power. As of February   , 2018, there were</w:t>
            </w:r>
          </w:p>
        </w:tc>
        <w:tc>
          <w:tcPr>
            <w:tcW w:w="540" w:type="dxa"/>
            <w:vAlign w:val="bottom"/>
          </w:tcPr>
          <w:p>
            <w:pPr>
              <w:spacing w:after="0"/>
              <w:rPr>
                <w:sz w:val="15"/>
                <w:szCs w:val="15"/>
                <w:color w:val="auto"/>
              </w:rPr>
            </w:pPr>
          </w:p>
        </w:tc>
        <w:tc>
          <w:tcPr>
            <w:tcW w:w="980" w:type="dxa"/>
            <w:vAlign w:val="bottom"/>
          </w:tcPr>
          <w:p>
            <w:pPr>
              <w:ind w:left="40"/>
              <w:spacing w:after="0" w:line="176" w:lineRule="exact"/>
              <w:rPr>
                <w:sz w:val="20"/>
                <w:szCs w:val="20"/>
                <w:color w:val="auto"/>
              </w:rPr>
            </w:pPr>
            <w:r>
              <w:rPr>
                <w:rFonts w:ascii="Arial" w:cs="Arial" w:eastAsia="Arial" w:hAnsi="Arial"/>
                <w:sz w:val="18"/>
                <w:szCs w:val="18"/>
                <w:color w:val="auto"/>
                <w:w w:val="87"/>
              </w:rPr>
              <w:t>shares of our</w:t>
            </w:r>
          </w:p>
        </w:tc>
      </w:tr>
      <w:tr>
        <w:trPr>
          <w:trHeight w:val="237"/>
        </w:trPr>
        <w:tc>
          <w:tcPr>
            <w:tcW w:w="7320" w:type="dxa"/>
            <w:vAlign w:val="bottom"/>
          </w:tcPr>
          <w:p>
            <w:pPr>
              <w:spacing w:after="0"/>
              <w:rPr>
                <w:sz w:val="20"/>
                <w:szCs w:val="20"/>
                <w:color w:val="auto"/>
              </w:rPr>
            </w:pPr>
            <w:r>
              <w:rPr>
                <w:rFonts w:ascii="Arial" w:cs="Arial" w:eastAsia="Arial" w:hAnsi="Arial"/>
                <w:sz w:val="18"/>
                <w:szCs w:val="18"/>
                <w:color w:val="auto"/>
              </w:rPr>
              <w:t>common stock outstanding.</w:t>
            </w:r>
          </w:p>
        </w:tc>
        <w:tc>
          <w:tcPr>
            <w:tcW w:w="180" w:type="dxa"/>
            <w:vAlign w:val="bottom"/>
            <w:tcBorders>
              <w:top w:val="single" w:sz="8" w:color="auto"/>
            </w:tcBorders>
          </w:tcPr>
          <w:p>
            <w:pPr>
              <w:spacing w:after="0"/>
              <w:rPr>
                <w:sz w:val="20"/>
                <w:szCs w:val="20"/>
                <w:color w:val="auto"/>
              </w:rPr>
            </w:pPr>
          </w:p>
        </w:tc>
        <w:tc>
          <w:tcPr>
            <w:tcW w:w="1340" w:type="dxa"/>
            <w:vAlign w:val="bottom"/>
          </w:tcPr>
          <w:p>
            <w:pPr>
              <w:spacing w:after="0"/>
              <w:rPr>
                <w:sz w:val="20"/>
                <w:szCs w:val="20"/>
                <w:color w:val="auto"/>
              </w:rPr>
            </w:pPr>
          </w:p>
        </w:tc>
        <w:tc>
          <w:tcPr>
            <w:tcW w:w="540" w:type="dxa"/>
            <w:vAlign w:val="bottom"/>
            <w:tcBorders>
              <w:top w:val="single" w:sz="8" w:color="auto"/>
            </w:tcBorders>
          </w:tcPr>
          <w:p>
            <w:pPr>
              <w:spacing w:after="0"/>
              <w:rPr>
                <w:sz w:val="20"/>
                <w:szCs w:val="20"/>
                <w:color w:val="auto"/>
              </w:rPr>
            </w:pPr>
          </w:p>
        </w:tc>
        <w:tc>
          <w:tcPr>
            <w:tcW w:w="980" w:type="dxa"/>
            <w:vAlign w:val="bottom"/>
          </w:tcPr>
          <w:p>
            <w:pPr>
              <w:spacing w:after="0"/>
              <w:rPr>
                <w:sz w:val="20"/>
                <w:szCs w:val="20"/>
                <w:color w:val="auto"/>
              </w:rPr>
            </w:pPr>
          </w:p>
        </w:tc>
      </w:tr>
    </w:tbl>
    <w:p>
      <w:pPr>
        <w:spacing w:after="0" w:line="200" w:lineRule="exact"/>
        <w:rPr>
          <w:sz w:val="20"/>
          <w:szCs w:val="20"/>
          <w:color w:val="auto"/>
        </w:rPr>
      </w:pPr>
    </w:p>
    <w:p>
      <w:pPr>
        <w:sectPr>
          <w:pgSz w:w="11900" w:h="16838" w:orient="portrait"/>
          <w:cols w:equalWidth="0" w:num="1">
            <w:col w:w="11240"/>
          </w:cols>
          <w:pgMar w:left="240" w:top="459" w:right="419" w:bottom="1440" w:gutter="0" w:footer="0" w:header="0"/>
        </w:sectPr>
      </w:pPr>
    </w:p>
    <w:p>
      <w:pPr>
        <w:spacing w:after="0" w:line="362"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auto"/>
        </w:rPr>
        <w:t>Name and Address of Beneficial Owner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31750</wp:posOffset>
            </wp:positionV>
            <wp:extent cx="6997700" cy="14605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a:extLst>
                        <a:ext uri="{28A0092B-C50C-407E-A947-70E740481C1C}"/>
                      </a:extLst>
                    </a:blip>
                    <a:srcRect/>
                    <a:stretch>
                      <a:fillRect/>
                    </a:stretch>
                  </pic:blipFill>
                  <pic:spPr bwMode="auto">
                    <a:xfrm>
                      <a:off x="0" y="0"/>
                      <a:ext cx="6997700" cy="146050"/>
                    </a:xfrm>
                    <a:prstGeom prst="rect">
                      <a:avLst/>
                    </a:prstGeom>
                    <a:noFill/>
                  </pic:spPr>
                </pic:pic>
              </a:graphicData>
            </a:graphic>
          </wp:anchor>
        </w:drawing>
        <w:drawing>
          <wp:anchor simplePos="0" relativeHeight="251657728" behindDoc="1" locked="0" layoutInCell="0" allowOverlap="1">
            <wp:simplePos x="0" y="0"/>
            <wp:positionH relativeFrom="column">
              <wp:posOffset>133985</wp:posOffset>
            </wp:positionH>
            <wp:positionV relativeFrom="paragraph">
              <wp:posOffset>-318770</wp:posOffset>
            </wp:positionV>
            <wp:extent cx="6997700" cy="889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7">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4"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49"/>
        </w:trPr>
        <w:tc>
          <w:tcPr>
            <w:tcW w:w="1560" w:type="dxa"/>
            <w:vAlign w:val="bottom"/>
          </w:tcPr>
          <w:p>
            <w:pPr>
              <w:jc w:val="center"/>
              <w:ind w:right="477"/>
              <w:spacing w:after="0"/>
              <w:rPr>
                <w:sz w:val="20"/>
                <w:szCs w:val="20"/>
                <w:color w:val="auto"/>
              </w:rPr>
            </w:pPr>
            <w:r>
              <w:rPr>
                <w:rFonts w:ascii="Arial" w:cs="Arial" w:eastAsia="Arial" w:hAnsi="Arial"/>
                <w:sz w:val="13"/>
                <w:szCs w:val="13"/>
                <w:b w:val="1"/>
                <w:bCs w:val="1"/>
                <w:color w:val="auto"/>
                <w:w w:val="89"/>
              </w:rPr>
              <w:t>Number of</w:t>
            </w:r>
          </w:p>
        </w:tc>
        <w:tc>
          <w:tcPr>
            <w:tcW w:w="1360" w:type="dxa"/>
            <w:vAlign w:val="bottom"/>
          </w:tcPr>
          <w:p>
            <w:pPr>
              <w:jc w:val="center"/>
              <w:ind w:left="457"/>
              <w:spacing w:after="0"/>
              <w:rPr>
                <w:sz w:val="20"/>
                <w:szCs w:val="20"/>
                <w:color w:val="auto"/>
              </w:rPr>
            </w:pPr>
            <w:r>
              <w:rPr>
                <w:rFonts w:ascii="Arial" w:cs="Arial" w:eastAsia="Arial" w:hAnsi="Arial"/>
                <w:sz w:val="13"/>
                <w:szCs w:val="13"/>
                <w:b w:val="1"/>
                <w:bCs w:val="1"/>
                <w:color w:val="auto"/>
                <w:w w:val="83"/>
              </w:rPr>
              <w:t>Percentage of</w:t>
            </w:r>
          </w:p>
        </w:tc>
      </w:tr>
      <w:tr>
        <w:trPr>
          <w:trHeight w:val="135"/>
        </w:trPr>
        <w:tc>
          <w:tcPr>
            <w:tcW w:w="1560" w:type="dxa"/>
            <w:vAlign w:val="bottom"/>
          </w:tcPr>
          <w:p>
            <w:pPr>
              <w:jc w:val="center"/>
              <w:ind w:right="477"/>
              <w:spacing w:after="0" w:line="135" w:lineRule="exact"/>
              <w:rPr>
                <w:sz w:val="20"/>
                <w:szCs w:val="20"/>
                <w:color w:val="auto"/>
              </w:rPr>
            </w:pPr>
            <w:r>
              <w:rPr>
                <w:rFonts w:ascii="Arial" w:cs="Arial" w:eastAsia="Arial" w:hAnsi="Arial"/>
                <w:sz w:val="13"/>
                <w:szCs w:val="13"/>
                <w:b w:val="1"/>
                <w:bCs w:val="1"/>
                <w:color w:val="auto"/>
                <w:w w:val="85"/>
              </w:rPr>
              <w:t>Shares of Common</w:t>
            </w:r>
          </w:p>
        </w:tc>
        <w:tc>
          <w:tcPr>
            <w:tcW w:w="1360" w:type="dxa"/>
            <w:vAlign w:val="bottom"/>
          </w:tcPr>
          <w:p>
            <w:pPr>
              <w:jc w:val="center"/>
              <w:ind w:left="477"/>
              <w:spacing w:after="0" w:line="135" w:lineRule="exact"/>
              <w:rPr>
                <w:sz w:val="20"/>
                <w:szCs w:val="20"/>
                <w:color w:val="auto"/>
              </w:rPr>
            </w:pPr>
            <w:r>
              <w:rPr>
                <w:rFonts w:ascii="Arial" w:cs="Arial" w:eastAsia="Arial" w:hAnsi="Arial"/>
                <w:sz w:val="13"/>
                <w:szCs w:val="13"/>
                <w:b w:val="1"/>
                <w:bCs w:val="1"/>
                <w:color w:val="auto"/>
                <w:w w:val="85"/>
              </w:rPr>
              <w:t>Common Stock</w:t>
            </w:r>
          </w:p>
        </w:tc>
      </w:tr>
      <w:tr>
        <w:trPr>
          <w:trHeight w:val="135"/>
        </w:trPr>
        <w:tc>
          <w:tcPr>
            <w:tcW w:w="1560" w:type="dxa"/>
            <w:vAlign w:val="bottom"/>
          </w:tcPr>
          <w:p>
            <w:pPr>
              <w:jc w:val="center"/>
              <w:ind w:right="457"/>
              <w:spacing w:after="0" w:line="135" w:lineRule="exact"/>
              <w:rPr>
                <w:sz w:val="20"/>
                <w:szCs w:val="20"/>
                <w:color w:val="auto"/>
              </w:rPr>
            </w:pPr>
            <w:r>
              <w:rPr>
                <w:rFonts w:ascii="Arial" w:cs="Arial" w:eastAsia="Arial" w:hAnsi="Arial"/>
                <w:sz w:val="13"/>
                <w:szCs w:val="13"/>
                <w:b w:val="1"/>
                <w:bCs w:val="1"/>
                <w:color w:val="auto"/>
                <w:w w:val="86"/>
              </w:rPr>
              <w:t>Stock Beneficially</w:t>
            </w:r>
          </w:p>
        </w:tc>
        <w:tc>
          <w:tcPr>
            <w:tcW w:w="1360" w:type="dxa"/>
            <w:vAlign w:val="bottom"/>
          </w:tcPr>
          <w:p>
            <w:pPr>
              <w:jc w:val="center"/>
              <w:ind w:left="477"/>
              <w:spacing w:after="0" w:line="135" w:lineRule="exact"/>
              <w:rPr>
                <w:sz w:val="20"/>
                <w:szCs w:val="20"/>
                <w:color w:val="auto"/>
              </w:rPr>
            </w:pPr>
            <w:r>
              <w:rPr>
                <w:rFonts w:ascii="Arial" w:cs="Arial" w:eastAsia="Arial" w:hAnsi="Arial"/>
                <w:sz w:val="13"/>
                <w:szCs w:val="13"/>
                <w:b w:val="1"/>
                <w:bCs w:val="1"/>
                <w:color w:val="auto"/>
                <w:w w:val="85"/>
              </w:rPr>
              <w:t>Beneficially</w:t>
            </w:r>
          </w:p>
        </w:tc>
      </w:tr>
      <w:tr>
        <w:trPr>
          <w:trHeight w:val="164"/>
        </w:trPr>
        <w:tc>
          <w:tcPr>
            <w:tcW w:w="1560" w:type="dxa"/>
            <w:vAlign w:val="bottom"/>
          </w:tcPr>
          <w:p>
            <w:pPr>
              <w:jc w:val="center"/>
              <w:ind w:right="477"/>
              <w:spacing w:after="0"/>
              <w:rPr>
                <w:sz w:val="20"/>
                <w:szCs w:val="20"/>
                <w:color w:val="auto"/>
              </w:rPr>
            </w:pPr>
            <w:r>
              <w:rPr>
                <w:rFonts w:ascii="Arial" w:cs="Arial" w:eastAsia="Arial" w:hAnsi="Arial"/>
                <w:sz w:val="13"/>
                <w:szCs w:val="13"/>
                <w:b w:val="1"/>
                <w:bCs w:val="1"/>
                <w:color w:val="auto"/>
                <w:w w:val="87"/>
              </w:rPr>
              <w:t>Owned</w:t>
            </w:r>
          </w:p>
        </w:tc>
        <w:tc>
          <w:tcPr>
            <w:tcW w:w="1360" w:type="dxa"/>
            <w:vAlign w:val="bottom"/>
          </w:tcPr>
          <w:p>
            <w:pPr>
              <w:jc w:val="center"/>
              <w:ind w:left="477"/>
              <w:spacing w:after="0"/>
              <w:rPr>
                <w:sz w:val="20"/>
                <w:szCs w:val="20"/>
                <w:color w:val="auto"/>
              </w:rPr>
            </w:pPr>
            <w:r>
              <w:rPr>
                <w:rFonts w:ascii="Arial" w:cs="Arial" w:eastAsia="Arial" w:hAnsi="Arial"/>
                <w:sz w:val="13"/>
                <w:szCs w:val="13"/>
                <w:b w:val="1"/>
                <w:bCs w:val="1"/>
                <w:color w:val="auto"/>
                <w:w w:val="87"/>
              </w:rPr>
              <w:t>Owned</w:t>
            </w:r>
          </w:p>
        </w:tc>
      </w:tr>
    </w:tbl>
    <w:p>
      <w:pPr>
        <w:spacing w:after="0" w:line="1" w:lineRule="exact"/>
        <w:rPr>
          <w:sz w:val="20"/>
          <w:szCs w:val="20"/>
          <w:color w:val="auto"/>
        </w:rPr>
      </w:pPr>
    </w:p>
    <w:p>
      <w:pPr>
        <w:sectPr>
          <w:pgSz w:w="11900" w:h="16838" w:orient="portrait"/>
          <w:cols w:equalWidth="0" w:num="2">
            <w:col w:w="7580" w:space="720"/>
            <w:col w:w="2940"/>
          </w:cols>
          <w:pgMar w:left="240" w:top="459" w:right="419" w:bottom="1440" w:gutter="0" w:footer="0" w:header="0"/>
          <w:type w:val="continuous"/>
        </w:sectPr>
      </w:pPr>
    </w:p>
    <w:p>
      <w:pPr>
        <w:ind w:left="200"/>
        <w:spacing w:after="0"/>
        <w:rPr>
          <w:sz w:val="20"/>
          <w:szCs w:val="20"/>
          <w:color w:val="auto"/>
        </w:rPr>
      </w:pPr>
      <w:r>
        <w:rPr>
          <w:rFonts w:ascii="Arial" w:cs="Arial" w:eastAsia="Arial" w:hAnsi="Arial"/>
          <w:sz w:val="18"/>
          <w:szCs w:val="18"/>
          <w:i w:val="1"/>
          <w:iCs w:val="1"/>
          <w:color w:val="auto"/>
        </w:rPr>
        <w:t>Beneficial Owners of more than 5%:</w:t>
      </w:r>
    </w:p>
    <w:p>
      <w:pPr>
        <w:spacing w:after="0" w:line="12" w:lineRule="exact"/>
        <w:rPr>
          <w:sz w:val="20"/>
          <w:szCs w:val="20"/>
          <w:color w:val="auto"/>
        </w:rPr>
      </w:pPr>
    </w:p>
    <w:p>
      <w:pPr>
        <w:ind w:left="500"/>
        <w:spacing w:after="0"/>
        <w:rPr>
          <w:sz w:val="20"/>
          <w:szCs w:val="20"/>
          <w:color w:val="auto"/>
        </w:rPr>
      </w:pPr>
      <w:r>
        <w:rPr>
          <w:rFonts w:ascii="Arial" w:cs="Arial" w:eastAsia="Arial" w:hAnsi="Arial"/>
          <w:sz w:val="18"/>
          <w:szCs w:val="18"/>
          <w:color w:val="auto"/>
        </w:rPr>
        <w:t>BlackRock, Inc.</w:t>
      </w:r>
    </w:p>
    <w:p>
      <w:pPr>
        <w:spacing w:after="0" w:line="9" w:lineRule="exact"/>
        <w:rPr>
          <w:sz w:val="20"/>
          <w:szCs w:val="20"/>
          <w:color w:val="auto"/>
        </w:rPr>
      </w:pPr>
    </w:p>
    <w:p>
      <w:pPr>
        <w:ind w:left="740"/>
        <w:spacing w:after="0"/>
        <w:rPr>
          <w:sz w:val="20"/>
          <w:szCs w:val="20"/>
          <w:color w:val="auto"/>
        </w:rPr>
      </w:pPr>
      <w:r>
        <w:rPr>
          <w:rFonts w:ascii="Arial" w:cs="Arial" w:eastAsia="Arial" w:hAnsi="Arial"/>
          <w:sz w:val="18"/>
          <w:szCs w:val="18"/>
          <w:color w:val="auto"/>
        </w:rPr>
        <w:t>55 East 52nd Street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-130810</wp:posOffset>
            </wp:positionV>
            <wp:extent cx="6997700" cy="28321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8">
                      <a:extLst>
                        <a:ext uri="{28A0092B-C50C-407E-A947-70E740481C1C}"/>
                      </a:extLst>
                    </a:blip>
                    <a:srcRect/>
                    <a:stretch>
                      <a:fillRect/>
                    </a:stretch>
                  </pic:blipFill>
                  <pic:spPr bwMode="auto">
                    <a:xfrm>
                      <a:off x="0" y="0"/>
                      <a:ext cx="6997700" cy="283210"/>
                    </a:xfrm>
                    <a:prstGeom prst="rect">
                      <a:avLst/>
                    </a:prstGeom>
                    <a:noFill/>
                  </pic:spPr>
                </pic:pic>
              </a:graphicData>
            </a:graphic>
          </wp:anchor>
        </w:drawing>
      </w:r>
    </w:p>
    <w:p>
      <w:pPr>
        <w:ind w:left="740"/>
        <w:spacing w:after="0"/>
        <w:rPr>
          <w:sz w:val="20"/>
          <w:szCs w:val="20"/>
          <w:color w:val="auto"/>
        </w:rPr>
      </w:pPr>
      <w:r>
        <w:rPr>
          <w:rFonts w:ascii="Arial" w:cs="Arial" w:eastAsia="Arial" w:hAnsi="Arial"/>
          <w:sz w:val="18"/>
          <w:szCs w:val="18"/>
          <w:color w:val="auto"/>
        </w:rPr>
        <w:t>New York, NY 10055</w:t>
      </w:r>
    </w:p>
    <w:p>
      <w:pPr>
        <w:spacing w:after="0" w:line="9" w:lineRule="exact"/>
        <w:rPr>
          <w:sz w:val="20"/>
          <w:szCs w:val="20"/>
          <w:color w:val="auto"/>
        </w:rPr>
      </w:pPr>
    </w:p>
    <w:p>
      <w:pPr>
        <w:ind w:left="500"/>
        <w:spacing w:after="0"/>
        <w:rPr>
          <w:sz w:val="20"/>
          <w:szCs w:val="20"/>
          <w:color w:val="auto"/>
        </w:rPr>
      </w:pPr>
      <w:r>
        <w:rPr>
          <w:rFonts w:ascii="Arial" w:cs="Arial" w:eastAsia="Arial" w:hAnsi="Arial"/>
          <w:sz w:val="18"/>
          <w:szCs w:val="18"/>
          <w:color w:val="auto"/>
        </w:rPr>
        <w:t>The Vanguard Group</w:t>
      </w:r>
    </w:p>
    <w:p>
      <w:pPr>
        <w:spacing w:after="0" w:line="23" w:lineRule="exact"/>
        <w:rPr>
          <w:sz w:val="20"/>
          <w:szCs w:val="20"/>
          <w:color w:val="auto"/>
        </w:rPr>
      </w:pPr>
    </w:p>
    <w:p>
      <w:pPr>
        <w:ind w:left="740"/>
        <w:spacing w:after="0"/>
        <w:rPr>
          <w:sz w:val="20"/>
          <w:szCs w:val="20"/>
          <w:color w:val="auto"/>
        </w:rPr>
      </w:pPr>
      <w:r>
        <w:rPr>
          <w:rFonts w:ascii="Arial" w:cs="Arial" w:eastAsia="Arial" w:hAnsi="Arial"/>
          <w:sz w:val="18"/>
          <w:szCs w:val="18"/>
          <w:color w:val="auto"/>
        </w:rPr>
        <w:t>100 Vanguard Blvd.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-130810</wp:posOffset>
            </wp:positionV>
            <wp:extent cx="6997700" cy="28321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9">
                      <a:extLst>
                        <a:ext uri="{28A0092B-C50C-407E-A947-70E740481C1C}"/>
                      </a:extLst>
                    </a:blip>
                    <a:srcRect/>
                    <a:stretch>
                      <a:fillRect/>
                    </a:stretch>
                  </pic:blipFill>
                  <pic:spPr bwMode="auto">
                    <a:xfrm>
                      <a:off x="0" y="0"/>
                      <a:ext cx="6997700" cy="283210"/>
                    </a:xfrm>
                    <a:prstGeom prst="rect">
                      <a:avLst/>
                    </a:prstGeom>
                    <a:noFill/>
                  </pic:spPr>
                </pic:pic>
              </a:graphicData>
            </a:graphic>
          </wp:anchor>
        </w:drawing>
      </w:r>
    </w:p>
    <w:p>
      <w:pPr>
        <w:ind w:left="740"/>
        <w:spacing w:after="0"/>
        <w:rPr>
          <w:sz w:val="20"/>
          <w:szCs w:val="20"/>
          <w:color w:val="auto"/>
        </w:rPr>
      </w:pPr>
      <w:r>
        <w:rPr>
          <w:rFonts w:ascii="Arial" w:cs="Arial" w:eastAsia="Arial" w:hAnsi="Arial"/>
          <w:sz w:val="18"/>
          <w:szCs w:val="18"/>
          <w:color w:val="auto"/>
        </w:rPr>
        <w:t>Malvern, PA 19355</w:t>
      </w:r>
    </w:p>
    <w:p>
      <w:pPr>
        <w:spacing w:after="0" w:line="9" w:lineRule="exact"/>
        <w:rPr>
          <w:sz w:val="20"/>
          <w:szCs w:val="20"/>
          <w:color w:val="auto"/>
        </w:rPr>
      </w:pPr>
    </w:p>
    <w:tbl>
      <w:tblPr>
        <w:tblLayout w:type="fixed"/>
        <w:tblInd w:w="200" w:type="dxa"/>
        <w:tblCellMar>
          <w:top w:w="0" w:type="dxa"/>
          <w:left w:w="0" w:type="dxa"/>
          <w:bottom w:w="0" w:type="dxa"/>
          <w:right w:w="0" w:type="dxa"/>
        </w:tblCellMar>
      </w:tblPr>
      <w:tr>
        <w:trPr>
          <w:trHeight w:val="230"/>
        </w:trPr>
        <w:tc>
          <w:tcPr>
            <w:tcW w:w="6440" w:type="dxa"/>
            <w:vAlign w:val="bottom"/>
            <w:gridSpan w:val="3"/>
          </w:tcPr>
          <w:p>
            <w:pPr>
              <w:spacing w:after="0"/>
              <w:rPr>
                <w:sz w:val="20"/>
                <w:szCs w:val="20"/>
                <w:color w:val="auto"/>
              </w:rPr>
            </w:pPr>
            <w:r>
              <w:rPr>
                <w:rFonts w:ascii="Arial" w:cs="Arial" w:eastAsia="Arial" w:hAnsi="Arial"/>
                <w:sz w:val="18"/>
                <w:szCs w:val="18"/>
                <w:i w:val="1"/>
                <w:iCs w:val="1"/>
                <w:color w:val="auto"/>
              </w:rPr>
              <w:t>Directors and Named Executive Officers:</w:t>
            </w:r>
          </w:p>
        </w:tc>
        <w:tc>
          <w:tcPr>
            <w:tcW w:w="3260" w:type="dxa"/>
            <w:vAlign w:val="bottom"/>
          </w:tcPr>
          <w:p>
            <w:pPr>
              <w:spacing w:after="0"/>
              <w:rPr>
                <w:sz w:val="19"/>
                <w:szCs w:val="19"/>
                <w:color w:val="auto"/>
              </w:rPr>
            </w:pPr>
          </w:p>
        </w:tc>
        <w:tc>
          <w:tcPr>
            <w:tcW w:w="1340" w:type="dxa"/>
            <w:vAlign w:val="bottom"/>
          </w:tcPr>
          <w:p>
            <w:pPr>
              <w:spacing w:after="0"/>
              <w:rPr>
                <w:sz w:val="19"/>
                <w:szCs w:val="19"/>
                <w:color w:val="auto"/>
              </w:rPr>
            </w:pPr>
          </w:p>
        </w:tc>
      </w:tr>
      <w:tr>
        <w:trPr>
          <w:trHeight w:val="216"/>
        </w:trPr>
        <w:tc>
          <w:tcPr>
            <w:tcW w:w="20" w:type="dxa"/>
            <w:vAlign w:val="bottom"/>
          </w:tcPr>
          <w:p>
            <w:pPr>
              <w:spacing w:after="0"/>
              <w:rPr>
                <w:sz w:val="18"/>
                <w:szCs w:val="18"/>
                <w:color w:val="auto"/>
              </w:rPr>
            </w:pPr>
          </w:p>
        </w:tc>
        <w:tc>
          <w:tcPr>
            <w:tcW w:w="642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rPr>
              <w:t>Gary D. Kain</w:t>
            </w:r>
          </w:p>
        </w:tc>
        <w:tc>
          <w:tcPr>
            <w:tcW w:w="3260" w:type="dxa"/>
            <w:vAlign w:val="bottom"/>
            <w:shd w:val="clear" w:color="auto" w:fill="CCEEFF"/>
          </w:tcPr>
          <w:p>
            <w:pPr>
              <w:spacing w:after="0"/>
              <w:rPr>
                <w:sz w:val="18"/>
                <w:szCs w:val="18"/>
                <w:color w:val="auto"/>
              </w:rPr>
            </w:pPr>
          </w:p>
        </w:tc>
        <w:tc>
          <w:tcPr>
            <w:tcW w:w="1340" w:type="dxa"/>
            <w:vAlign w:val="bottom"/>
            <w:shd w:val="clear" w:color="auto" w:fill="CCEEFF"/>
          </w:tcPr>
          <w:p>
            <w:pPr>
              <w:jc w:val="right"/>
              <w:ind w:right="290"/>
              <w:spacing w:after="0"/>
              <w:rPr>
                <w:sz w:val="20"/>
                <w:szCs w:val="20"/>
                <w:color w:val="auto"/>
              </w:rPr>
            </w:pPr>
            <w:r>
              <w:rPr>
                <w:rFonts w:ascii="Arial" w:cs="Arial" w:eastAsia="Arial" w:hAnsi="Arial"/>
                <w:sz w:val="18"/>
                <w:szCs w:val="18"/>
                <w:color w:val="auto"/>
              </w:rPr>
              <w:t>*</w:t>
            </w:r>
          </w:p>
        </w:tc>
      </w:tr>
      <w:tr>
        <w:trPr>
          <w:trHeight w:val="216"/>
        </w:trPr>
        <w:tc>
          <w:tcPr>
            <w:tcW w:w="20" w:type="dxa"/>
            <w:vAlign w:val="bottom"/>
          </w:tcPr>
          <w:p>
            <w:pPr>
              <w:spacing w:after="0"/>
              <w:rPr>
                <w:sz w:val="18"/>
                <w:szCs w:val="18"/>
                <w:color w:val="auto"/>
              </w:rPr>
            </w:pPr>
          </w:p>
        </w:tc>
        <w:tc>
          <w:tcPr>
            <w:tcW w:w="6420" w:type="dxa"/>
            <w:vAlign w:val="bottom"/>
            <w:gridSpan w:val="2"/>
          </w:tcPr>
          <w:p>
            <w:pPr>
              <w:ind w:left="280"/>
              <w:spacing w:after="0"/>
              <w:rPr>
                <w:sz w:val="20"/>
                <w:szCs w:val="20"/>
                <w:color w:val="auto"/>
              </w:rPr>
            </w:pPr>
            <w:r>
              <w:rPr>
                <w:rFonts w:ascii="Arial" w:cs="Arial" w:eastAsia="Arial" w:hAnsi="Arial"/>
                <w:sz w:val="18"/>
                <w:szCs w:val="18"/>
                <w:color w:val="auto"/>
              </w:rPr>
              <w:t>Peter J. Federico</w:t>
            </w:r>
          </w:p>
        </w:tc>
        <w:tc>
          <w:tcPr>
            <w:tcW w:w="3260" w:type="dxa"/>
            <w:vAlign w:val="bottom"/>
          </w:tcPr>
          <w:p>
            <w:pPr>
              <w:spacing w:after="0"/>
              <w:rPr>
                <w:sz w:val="18"/>
                <w:szCs w:val="18"/>
                <w:color w:val="auto"/>
              </w:rPr>
            </w:pPr>
          </w:p>
        </w:tc>
        <w:tc>
          <w:tcPr>
            <w:tcW w:w="1340" w:type="dxa"/>
            <w:vAlign w:val="bottom"/>
          </w:tcPr>
          <w:p>
            <w:pPr>
              <w:jc w:val="right"/>
              <w:ind w:right="290"/>
              <w:spacing w:after="0"/>
              <w:rPr>
                <w:sz w:val="20"/>
                <w:szCs w:val="20"/>
                <w:color w:val="auto"/>
              </w:rPr>
            </w:pPr>
            <w:r>
              <w:rPr>
                <w:rFonts w:ascii="Arial" w:cs="Arial" w:eastAsia="Arial" w:hAnsi="Arial"/>
                <w:sz w:val="18"/>
                <w:szCs w:val="18"/>
                <w:color w:val="auto"/>
              </w:rPr>
              <w:t>*</w:t>
            </w:r>
          </w:p>
        </w:tc>
      </w:tr>
      <w:tr>
        <w:trPr>
          <w:trHeight w:val="216"/>
        </w:trPr>
        <w:tc>
          <w:tcPr>
            <w:tcW w:w="20" w:type="dxa"/>
            <w:vAlign w:val="bottom"/>
          </w:tcPr>
          <w:p>
            <w:pPr>
              <w:spacing w:after="0"/>
              <w:rPr>
                <w:sz w:val="18"/>
                <w:szCs w:val="18"/>
                <w:color w:val="auto"/>
              </w:rPr>
            </w:pPr>
          </w:p>
        </w:tc>
        <w:tc>
          <w:tcPr>
            <w:tcW w:w="642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rPr>
              <w:t>Christopher J. Kuehl</w:t>
            </w:r>
          </w:p>
        </w:tc>
        <w:tc>
          <w:tcPr>
            <w:tcW w:w="3260" w:type="dxa"/>
            <w:vAlign w:val="bottom"/>
            <w:shd w:val="clear" w:color="auto" w:fill="CCEEFF"/>
          </w:tcPr>
          <w:p>
            <w:pPr>
              <w:spacing w:after="0"/>
              <w:rPr>
                <w:sz w:val="18"/>
                <w:szCs w:val="18"/>
                <w:color w:val="auto"/>
              </w:rPr>
            </w:pPr>
          </w:p>
        </w:tc>
        <w:tc>
          <w:tcPr>
            <w:tcW w:w="1340" w:type="dxa"/>
            <w:vAlign w:val="bottom"/>
            <w:shd w:val="clear" w:color="auto" w:fill="CCEEFF"/>
          </w:tcPr>
          <w:p>
            <w:pPr>
              <w:jc w:val="right"/>
              <w:ind w:right="290"/>
              <w:spacing w:after="0"/>
              <w:rPr>
                <w:sz w:val="20"/>
                <w:szCs w:val="20"/>
                <w:color w:val="auto"/>
              </w:rPr>
            </w:pPr>
            <w:r>
              <w:rPr>
                <w:rFonts w:ascii="Arial" w:cs="Arial" w:eastAsia="Arial" w:hAnsi="Arial"/>
                <w:sz w:val="18"/>
                <w:szCs w:val="18"/>
                <w:color w:val="auto"/>
              </w:rPr>
              <w:t>*</w:t>
            </w:r>
          </w:p>
        </w:tc>
      </w:tr>
      <w:tr>
        <w:trPr>
          <w:trHeight w:val="216"/>
        </w:trPr>
        <w:tc>
          <w:tcPr>
            <w:tcW w:w="20" w:type="dxa"/>
            <w:vAlign w:val="bottom"/>
          </w:tcPr>
          <w:p>
            <w:pPr>
              <w:spacing w:after="0"/>
              <w:rPr>
                <w:sz w:val="18"/>
                <w:szCs w:val="18"/>
                <w:color w:val="auto"/>
              </w:rPr>
            </w:pPr>
          </w:p>
        </w:tc>
        <w:tc>
          <w:tcPr>
            <w:tcW w:w="6420" w:type="dxa"/>
            <w:vAlign w:val="bottom"/>
            <w:gridSpan w:val="2"/>
          </w:tcPr>
          <w:p>
            <w:pPr>
              <w:ind w:left="280"/>
              <w:spacing w:after="0"/>
              <w:rPr>
                <w:sz w:val="20"/>
                <w:szCs w:val="20"/>
                <w:color w:val="auto"/>
              </w:rPr>
            </w:pPr>
            <w:r>
              <w:rPr>
                <w:rFonts w:ascii="Arial" w:cs="Arial" w:eastAsia="Arial" w:hAnsi="Arial"/>
                <w:sz w:val="18"/>
                <w:szCs w:val="18"/>
                <w:color w:val="auto"/>
              </w:rPr>
              <w:t>Morris A. Davis</w:t>
            </w:r>
          </w:p>
        </w:tc>
        <w:tc>
          <w:tcPr>
            <w:tcW w:w="3260" w:type="dxa"/>
            <w:vAlign w:val="bottom"/>
          </w:tcPr>
          <w:p>
            <w:pPr>
              <w:spacing w:after="0"/>
              <w:rPr>
                <w:sz w:val="18"/>
                <w:szCs w:val="18"/>
                <w:color w:val="auto"/>
              </w:rPr>
            </w:pPr>
          </w:p>
        </w:tc>
        <w:tc>
          <w:tcPr>
            <w:tcW w:w="1340" w:type="dxa"/>
            <w:vAlign w:val="bottom"/>
          </w:tcPr>
          <w:p>
            <w:pPr>
              <w:jc w:val="right"/>
              <w:ind w:right="290"/>
              <w:spacing w:after="0"/>
              <w:rPr>
                <w:sz w:val="20"/>
                <w:szCs w:val="20"/>
                <w:color w:val="auto"/>
              </w:rPr>
            </w:pPr>
            <w:r>
              <w:rPr>
                <w:rFonts w:ascii="Arial" w:cs="Arial" w:eastAsia="Arial" w:hAnsi="Arial"/>
                <w:sz w:val="18"/>
                <w:szCs w:val="18"/>
                <w:color w:val="auto"/>
              </w:rPr>
              <w:t>–</w:t>
            </w:r>
          </w:p>
        </w:tc>
      </w:tr>
      <w:tr>
        <w:trPr>
          <w:trHeight w:val="216"/>
        </w:trPr>
        <w:tc>
          <w:tcPr>
            <w:tcW w:w="20" w:type="dxa"/>
            <w:vAlign w:val="bottom"/>
          </w:tcPr>
          <w:p>
            <w:pPr>
              <w:spacing w:after="0"/>
              <w:rPr>
                <w:sz w:val="18"/>
                <w:szCs w:val="18"/>
                <w:color w:val="auto"/>
              </w:rPr>
            </w:pPr>
          </w:p>
        </w:tc>
        <w:tc>
          <w:tcPr>
            <w:tcW w:w="642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rPr>
              <w:t>Larry K. Harvey</w:t>
            </w:r>
          </w:p>
        </w:tc>
        <w:tc>
          <w:tcPr>
            <w:tcW w:w="3260" w:type="dxa"/>
            <w:vAlign w:val="bottom"/>
            <w:shd w:val="clear" w:color="auto" w:fill="CCEEFF"/>
          </w:tcPr>
          <w:p>
            <w:pPr>
              <w:spacing w:after="0"/>
              <w:rPr>
                <w:sz w:val="18"/>
                <w:szCs w:val="18"/>
                <w:color w:val="auto"/>
              </w:rPr>
            </w:pPr>
          </w:p>
        </w:tc>
        <w:tc>
          <w:tcPr>
            <w:tcW w:w="1340" w:type="dxa"/>
            <w:vAlign w:val="bottom"/>
            <w:shd w:val="clear" w:color="auto" w:fill="CCEEFF"/>
          </w:tcPr>
          <w:p>
            <w:pPr>
              <w:jc w:val="right"/>
              <w:ind w:right="290"/>
              <w:spacing w:after="0"/>
              <w:rPr>
                <w:sz w:val="20"/>
                <w:szCs w:val="20"/>
                <w:color w:val="auto"/>
              </w:rPr>
            </w:pPr>
            <w:r>
              <w:rPr>
                <w:rFonts w:ascii="Arial" w:cs="Arial" w:eastAsia="Arial" w:hAnsi="Arial"/>
                <w:sz w:val="18"/>
                <w:szCs w:val="18"/>
                <w:color w:val="auto"/>
              </w:rPr>
              <w:t>*</w:t>
            </w:r>
          </w:p>
        </w:tc>
      </w:tr>
      <w:tr>
        <w:trPr>
          <w:trHeight w:val="216"/>
        </w:trPr>
        <w:tc>
          <w:tcPr>
            <w:tcW w:w="20" w:type="dxa"/>
            <w:vAlign w:val="bottom"/>
          </w:tcPr>
          <w:p>
            <w:pPr>
              <w:spacing w:after="0"/>
              <w:rPr>
                <w:sz w:val="18"/>
                <w:szCs w:val="18"/>
                <w:color w:val="auto"/>
              </w:rPr>
            </w:pPr>
          </w:p>
        </w:tc>
        <w:tc>
          <w:tcPr>
            <w:tcW w:w="6420" w:type="dxa"/>
            <w:vAlign w:val="bottom"/>
            <w:gridSpan w:val="2"/>
          </w:tcPr>
          <w:p>
            <w:pPr>
              <w:ind w:left="280"/>
              <w:spacing w:after="0"/>
              <w:rPr>
                <w:sz w:val="20"/>
                <w:szCs w:val="20"/>
                <w:color w:val="auto"/>
              </w:rPr>
            </w:pPr>
            <w:r>
              <w:rPr>
                <w:rFonts w:ascii="Arial" w:cs="Arial" w:eastAsia="Arial" w:hAnsi="Arial"/>
                <w:sz w:val="18"/>
                <w:szCs w:val="18"/>
                <w:color w:val="auto"/>
              </w:rPr>
              <w:t>Prue B. Larocca</w:t>
            </w:r>
          </w:p>
        </w:tc>
        <w:tc>
          <w:tcPr>
            <w:tcW w:w="3260" w:type="dxa"/>
            <w:vAlign w:val="bottom"/>
          </w:tcPr>
          <w:p>
            <w:pPr>
              <w:spacing w:after="0"/>
              <w:rPr>
                <w:sz w:val="18"/>
                <w:szCs w:val="18"/>
                <w:color w:val="auto"/>
              </w:rPr>
            </w:pPr>
          </w:p>
        </w:tc>
        <w:tc>
          <w:tcPr>
            <w:tcW w:w="1340" w:type="dxa"/>
            <w:vAlign w:val="bottom"/>
          </w:tcPr>
          <w:p>
            <w:pPr>
              <w:jc w:val="right"/>
              <w:ind w:right="290"/>
              <w:spacing w:after="0"/>
              <w:rPr>
                <w:sz w:val="20"/>
                <w:szCs w:val="20"/>
                <w:color w:val="auto"/>
              </w:rPr>
            </w:pPr>
            <w:r>
              <w:rPr>
                <w:rFonts w:ascii="Arial" w:cs="Arial" w:eastAsia="Arial" w:hAnsi="Arial"/>
                <w:sz w:val="18"/>
                <w:szCs w:val="18"/>
                <w:color w:val="auto"/>
              </w:rPr>
              <w:t>*</w:t>
            </w:r>
          </w:p>
        </w:tc>
      </w:tr>
      <w:tr>
        <w:trPr>
          <w:trHeight w:val="216"/>
        </w:trPr>
        <w:tc>
          <w:tcPr>
            <w:tcW w:w="20" w:type="dxa"/>
            <w:vAlign w:val="bottom"/>
          </w:tcPr>
          <w:p>
            <w:pPr>
              <w:spacing w:after="0"/>
              <w:rPr>
                <w:sz w:val="18"/>
                <w:szCs w:val="18"/>
                <w:color w:val="auto"/>
              </w:rPr>
            </w:pPr>
          </w:p>
        </w:tc>
        <w:tc>
          <w:tcPr>
            <w:tcW w:w="642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rPr>
              <w:t>Paul E. Mullings</w:t>
            </w:r>
          </w:p>
        </w:tc>
        <w:tc>
          <w:tcPr>
            <w:tcW w:w="3260" w:type="dxa"/>
            <w:vAlign w:val="bottom"/>
            <w:shd w:val="clear" w:color="auto" w:fill="CCEEFF"/>
          </w:tcPr>
          <w:p>
            <w:pPr>
              <w:spacing w:after="0"/>
              <w:rPr>
                <w:sz w:val="18"/>
                <w:szCs w:val="18"/>
                <w:color w:val="auto"/>
              </w:rPr>
            </w:pPr>
          </w:p>
        </w:tc>
        <w:tc>
          <w:tcPr>
            <w:tcW w:w="1340" w:type="dxa"/>
            <w:vAlign w:val="bottom"/>
            <w:shd w:val="clear" w:color="auto" w:fill="CCEEFF"/>
          </w:tcPr>
          <w:p>
            <w:pPr>
              <w:jc w:val="right"/>
              <w:ind w:right="290"/>
              <w:spacing w:after="0"/>
              <w:rPr>
                <w:sz w:val="20"/>
                <w:szCs w:val="20"/>
                <w:color w:val="auto"/>
              </w:rPr>
            </w:pPr>
            <w:r>
              <w:rPr>
                <w:rFonts w:ascii="Arial" w:cs="Arial" w:eastAsia="Arial" w:hAnsi="Arial"/>
                <w:sz w:val="18"/>
                <w:szCs w:val="18"/>
                <w:color w:val="auto"/>
              </w:rPr>
              <w:t>–</w:t>
            </w:r>
          </w:p>
        </w:tc>
      </w:tr>
      <w:tr>
        <w:trPr>
          <w:trHeight w:val="216"/>
        </w:trPr>
        <w:tc>
          <w:tcPr>
            <w:tcW w:w="20" w:type="dxa"/>
            <w:vAlign w:val="bottom"/>
          </w:tcPr>
          <w:p>
            <w:pPr>
              <w:spacing w:after="0"/>
              <w:rPr>
                <w:sz w:val="18"/>
                <w:szCs w:val="18"/>
                <w:color w:val="auto"/>
              </w:rPr>
            </w:pPr>
          </w:p>
        </w:tc>
        <w:tc>
          <w:tcPr>
            <w:tcW w:w="6420" w:type="dxa"/>
            <w:vAlign w:val="bottom"/>
            <w:gridSpan w:val="2"/>
          </w:tcPr>
          <w:p>
            <w:pPr>
              <w:ind w:left="280"/>
              <w:spacing w:after="0"/>
              <w:rPr>
                <w:sz w:val="20"/>
                <w:szCs w:val="20"/>
                <w:color w:val="auto"/>
              </w:rPr>
            </w:pPr>
            <w:r>
              <w:rPr>
                <w:rFonts w:ascii="Arial" w:cs="Arial" w:eastAsia="Arial" w:hAnsi="Arial"/>
                <w:sz w:val="18"/>
                <w:szCs w:val="18"/>
                <w:color w:val="auto"/>
              </w:rPr>
              <w:t>Aaron J. Pas</w:t>
            </w:r>
          </w:p>
        </w:tc>
        <w:tc>
          <w:tcPr>
            <w:tcW w:w="3260" w:type="dxa"/>
            <w:vAlign w:val="bottom"/>
          </w:tcPr>
          <w:p>
            <w:pPr>
              <w:spacing w:after="0"/>
              <w:rPr>
                <w:sz w:val="18"/>
                <w:szCs w:val="18"/>
                <w:color w:val="auto"/>
              </w:rPr>
            </w:pPr>
          </w:p>
        </w:tc>
        <w:tc>
          <w:tcPr>
            <w:tcW w:w="1340" w:type="dxa"/>
            <w:vAlign w:val="bottom"/>
          </w:tcPr>
          <w:p>
            <w:pPr>
              <w:jc w:val="right"/>
              <w:ind w:right="290"/>
              <w:spacing w:after="0"/>
              <w:rPr>
                <w:sz w:val="20"/>
                <w:szCs w:val="20"/>
                <w:color w:val="auto"/>
              </w:rPr>
            </w:pPr>
            <w:r>
              <w:rPr>
                <w:rFonts w:ascii="Arial" w:cs="Arial" w:eastAsia="Arial" w:hAnsi="Arial"/>
                <w:sz w:val="18"/>
                <w:szCs w:val="18"/>
                <w:color w:val="auto"/>
              </w:rPr>
              <w:t>–</w:t>
            </w:r>
          </w:p>
        </w:tc>
      </w:tr>
      <w:tr>
        <w:trPr>
          <w:trHeight w:val="216"/>
        </w:trPr>
        <w:tc>
          <w:tcPr>
            <w:tcW w:w="20" w:type="dxa"/>
            <w:vAlign w:val="bottom"/>
          </w:tcPr>
          <w:p>
            <w:pPr>
              <w:spacing w:after="0"/>
              <w:rPr>
                <w:sz w:val="18"/>
                <w:szCs w:val="18"/>
                <w:color w:val="auto"/>
              </w:rPr>
            </w:pPr>
          </w:p>
        </w:tc>
        <w:tc>
          <w:tcPr>
            <w:tcW w:w="6420" w:type="dxa"/>
            <w:vAlign w:val="bottom"/>
            <w:tcBorders>
              <w:bottom w:val="single" w:sz="8" w:color="407CCA"/>
            </w:tcBorders>
            <w:gridSpan w:val="2"/>
            <w:shd w:val="clear" w:color="auto" w:fill="CCEEFF"/>
          </w:tcPr>
          <w:p>
            <w:pPr>
              <w:ind w:left="280"/>
              <w:spacing w:after="0"/>
              <w:rPr>
                <w:sz w:val="20"/>
                <w:szCs w:val="20"/>
                <w:color w:val="auto"/>
              </w:rPr>
            </w:pPr>
            <w:r>
              <w:rPr>
                <w:rFonts w:ascii="Arial" w:cs="Arial" w:eastAsia="Arial" w:hAnsi="Arial"/>
                <w:sz w:val="18"/>
                <w:szCs w:val="18"/>
                <w:color w:val="auto"/>
              </w:rPr>
              <w:t>Kenneth L. Pollack</w:t>
            </w:r>
          </w:p>
        </w:tc>
        <w:tc>
          <w:tcPr>
            <w:tcW w:w="3260" w:type="dxa"/>
            <w:vAlign w:val="bottom"/>
            <w:tcBorders>
              <w:bottom w:val="single" w:sz="8" w:color="407CCA"/>
            </w:tcBorders>
            <w:shd w:val="clear" w:color="auto" w:fill="CCEEFF"/>
          </w:tcPr>
          <w:p>
            <w:pPr>
              <w:spacing w:after="0"/>
              <w:rPr>
                <w:sz w:val="18"/>
                <w:szCs w:val="18"/>
                <w:color w:val="auto"/>
              </w:rPr>
            </w:pPr>
          </w:p>
        </w:tc>
        <w:tc>
          <w:tcPr>
            <w:tcW w:w="1340" w:type="dxa"/>
            <w:vAlign w:val="bottom"/>
            <w:tcBorders>
              <w:bottom w:val="single" w:sz="8" w:color="407CCA"/>
            </w:tcBorders>
            <w:shd w:val="clear" w:color="auto" w:fill="CCEEFF"/>
          </w:tcPr>
          <w:p>
            <w:pPr>
              <w:jc w:val="right"/>
              <w:ind w:right="290"/>
              <w:spacing w:after="0"/>
              <w:rPr>
                <w:sz w:val="20"/>
                <w:szCs w:val="20"/>
                <w:color w:val="auto"/>
              </w:rPr>
            </w:pPr>
            <w:r>
              <w:rPr>
                <w:rFonts w:ascii="Arial" w:cs="Arial" w:eastAsia="Arial" w:hAnsi="Arial"/>
                <w:sz w:val="18"/>
                <w:szCs w:val="18"/>
                <w:color w:val="auto"/>
              </w:rPr>
              <w:t>*</w:t>
            </w:r>
          </w:p>
        </w:tc>
      </w:tr>
      <w:tr>
        <w:trPr>
          <w:trHeight w:val="210"/>
        </w:trPr>
        <w:tc>
          <w:tcPr>
            <w:tcW w:w="20" w:type="dxa"/>
            <w:vAlign w:val="bottom"/>
            <w:tcBorders>
              <w:bottom w:val="single" w:sz="8" w:color="407CCA"/>
            </w:tcBorders>
          </w:tcPr>
          <w:p>
            <w:pPr>
              <w:spacing w:after="0"/>
              <w:rPr>
                <w:sz w:val="18"/>
                <w:szCs w:val="18"/>
                <w:color w:val="auto"/>
              </w:rPr>
            </w:pPr>
          </w:p>
        </w:tc>
        <w:tc>
          <w:tcPr>
            <w:tcW w:w="6420" w:type="dxa"/>
            <w:vAlign w:val="bottom"/>
            <w:tcBorders>
              <w:bottom w:val="single" w:sz="8" w:color="407CCA"/>
            </w:tcBorders>
            <w:gridSpan w:val="2"/>
          </w:tcPr>
          <w:p>
            <w:pPr>
              <w:spacing w:after="0"/>
              <w:rPr>
                <w:sz w:val="20"/>
                <w:szCs w:val="20"/>
                <w:color w:val="auto"/>
              </w:rPr>
            </w:pPr>
            <w:r>
              <w:rPr>
                <w:rFonts w:ascii="Arial" w:cs="Arial" w:eastAsia="Arial" w:hAnsi="Arial"/>
                <w:sz w:val="18"/>
                <w:szCs w:val="18"/>
                <w:i w:val="1"/>
                <w:iCs w:val="1"/>
                <w:color w:val="auto"/>
              </w:rPr>
              <w:t>Directors and Executive Officers as a group (10 persons)</w:t>
            </w:r>
          </w:p>
        </w:tc>
        <w:tc>
          <w:tcPr>
            <w:tcW w:w="3260" w:type="dxa"/>
            <w:vAlign w:val="bottom"/>
            <w:tcBorders>
              <w:bottom w:val="single" w:sz="8" w:color="407CCA"/>
            </w:tcBorders>
          </w:tcPr>
          <w:p>
            <w:pPr>
              <w:ind w:left="2320"/>
              <w:spacing w:after="0"/>
              <w:rPr>
                <w:sz w:val="20"/>
                <w:szCs w:val="20"/>
                <w:color w:val="auto"/>
              </w:rPr>
            </w:pPr>
            <w:r>
              <w:rPr>
                <w:rFonts w:ascii="Arial" w:cs="Arial" w:eastAsia="Arial" w:hAnsi="Arial"/>
                <w:sz w:val="18"/>
                <w:szCs w:val="18"/>
                <w:color w:val="auto"/>
              </w:rPr>
              <w:t>–</w:t>
            </w:r>
          </w:p>
        </w:tc>
        <w:tc>
          <w:tcPr>
            <w:tcW w:w="1340" w:type="dxa"/>
            <w:vAlign w:val="bottom"/>
            <w:tcBorders>
              <w:bottom w:val="single" w:sz="8" w:color="407CCA"/>
            </w:tcBorders>
          </w:tcPr>
          <w:p>
            <w:pPr>
              <w:jc w:val="right"/>
              <w:ind w:right="290"/>
              <w:spacing w:after="0"/>
              <w:rPr>
                <w:sz w:val="20"/>
                <w:szCs w:val="20"/>
                <w:color w:val="auto"/>
              </w:rPr>
            </w:pPr>
            <w:r>
              <w:rPr>
                <w:rFonts w:ascii="Arial" w:cs="Arial" w:eastAsia="Arial" w:hAnsi="Arial"/>
                <w:sz w:val="18"/>
                <w:szCs w:val="18"/>
                <w:color w:val="auto"/>
              </w:rPr>
              <w:t>*</w:t>
            </w:r>
          </w:p>
        </w:tc>
      </w:tr>
      <w:tr>
        <w:trPr>
          <w:trHeight w:val="129"/>
        </w:trPr>
        <w:tc>
          <w:tcPr>
            <w:tcW w:w="20" w:type="dxa"/>
            <w:vAlign w:val="bottom"/>
          </w:tcPr>
          <w:p>
            <w:pPr>
              <w:spacing w:after="0"/>
              <w:rPr>
                <w:sz w:val="11"/>
                <w:szCs w:val="11"/>
                <w:color w:val="auto"/>
              </w:rPr>
            </w:pPr>
          </w:p>
        </w:tc>
        <w:tc>
          <w:tcPr>
            <w:tcW w:w="3840" w:type="dxa"/>
            <w:vAlign w:val="bottom"/>
            <w:tcBorders>
              <w:bottom w:val="single" w:sz="8" w:color="auto"/>
            </w:tcBorders>
          </w:tcPr>
          <w:p>
            <w:pPr>
              <w:spacing w:after="0"/>
              <w:rPr>
                <w:sz w:val="11"/>
                <w:szCs w:val="11"/>
                <w:color w:val="auto"/>
              </w:rPr>
            </w:pPr>
          </w:p>
        </w:tc>
        <w:tc>
          <w:tcPr>
            <w:tcW w:w="2580" w:type="dxa"/>
            <w:vAlign w:val="bottom"/>
          </w:tcPr>
          <w:p>
            <w:pPr>
              <w:spacing w:after="0"/>
              <w:rPr>
                <w:sz w:val="11"/>
                <w:szCs w:val="11"/>
                <w:color w:val="auto"/>
              </w:rPr>
            </w:pPr>
          </w:p>
        </w:tc>
        <w:tc>
          <w:tcPr>
            <w:tcW w:w="3260" w:type="dxa"/>
            <w:vAlign w:val="bottom"/>
          </w:tcPr>
          <w:p>
            <w:pPr>
              <w:spacing w:after="0"/>
              <w:rPr>
                <w:sz w:val="11"/>
                <w:szCs w:val="11"/>
                <w:color w:val="auto"/>
              </w:rPr>
            </w:pPr>
          </w:p>
        </w:tc>
        <w:tc>
          <w:tcPr>
            <w:tcW w:w="1340" w:type="dxa"/>
            <w:vAlign w:val="bottom"/>
          </w:tcPr>
          <w:p>
            <w:pPr>
              <w:spacing w:after="0"/>
              <w:rPr>
                <w:sz w:val="11"/>
                <w:szCs w:val="11"/>
                <w:color w:val="auto"/>
              </w:rPr>
            </w:pPr>
          </w:p>
        </w:tc>
      </w:tr>
    </w:tbl>
    <w:p>
      <w:pPr>
        <w:spacing w:after="0" w:line="143" w:lineRule="exact"/>
        <w:rPr>
          <w:sz w:val="20"/>
          <w:szCs w:val="20"/>
          <w:color w:val="auto"/>
        </w:rPr>
      </w:pPr>
    </w:p>
    <w:p>
      <w:pPr>
        <w:ind w:left="860" w:hanging="656"/>
        <w:spacing w:after="0"/>
        <w:tabs>
          <w:tab w:leader="none" w:pos="860" w:val="left"/>
        </w:tabs>
        <w:numPr>
          <w:ilvl w:val="0"/>
          <w:numId w:val="50"/>
        </w:numPr>
        <w:rPr>
          <w:rFonts w:ascii="Arial" w:cs="Arial" w:eastAsia="Arial" w:hAnsi="Arial"/>
          <w:sz w:val="14"/>
          <w:szCs w:val="14"/>
          <w:color w:val="auto"/>
        </w:rPr>
      </w:pPr>
      <w:r>
        <w:rPr>
          <w:rFonts w:ascii="Arial" w:cs="Arial" w:eastAsia="Arial" w:hAnsi="Arial"/>
          <w:sz w:val="14"/>
          <w:szCs w:val="14"/>
          <w:color w:val="auto"/>
        </w:rPr>
        <w:t>Less than one percent.</w:t>
      </w:r>
    </w:p>
    <w:p>
      <w:pPr>
        <w:jc w:val="both"/>
        <w:ind w:left="860" w:right="100" w:hanging="656"/>
        <w:spacing w:after="0" w:line="221" w:lineRule="auto"/>
        <w:tabs>
          <w:tab w:leader="none" w:pos="860" w:val="left"/>
        </w:tabs>
        <w:numPr>
          <w:ilvl w:val="0"/>
          <w:numId w:val="51"/>
        </w:numPr>
        <w:rPr>
          <w:rFonts w:ascii="Arial" w:cs="Arial" w:eastAsia="Arial" w:hAnsi="Arial"/>
          <w:sz w:val="14"/>
          <w:szCs w:val="14"/>
          <w:color w:val="auto"/>
        </w:rPr>
      </w:pPr>
      <w:r>
        <w:rPr>
          <w:rFonts w:ascii="Arial" w:cs="Arial" w:eastAsia="Arial" w:hAnsi="Arial"/>
          <w:sz w:val="14"/>
          <w:szCs w:val="14"/>
          <w:color w:val="auto"/>
        </w:rPr>
        <w:t>This information is based on a Schedule 13G/A filed with the SEC on January 29, 2018 by BlackRock, Inc., as a parent holding company or control person of certain named funds (“BlackRock”). BlackRock is the beneficial owner of 35,339,656 shares and has the sole power to dispose or direct the disposition of 35,339,656 of such shares and sole power to vote or direct the vote of 31,986,244 of such shares.</w:t>
      </w:r>
    </w:p>
    <w:p>
      <w:pPr>
        <w:ind w:left="860" w:right="120" w:hanging="656"/>
        <w:spacing w:after="0" w:line="238" w:lineRule="auto"/>
        <w:tabs>
          <w:tab w:leader="none" w:pos="860" w:val="left"/>
        </w:tabs>
        <w:numPr>
          <w:ilvl w:val="0"/>
          <w:numId w:val="51"/>
        </w:numPr>
        <w:rPr>
          <w:rFonts w:ascii="Arial" w:cs="Arial" w:eastAsia="Arial" w:hAnsi="Arial"/>
          <w:sz w:val="13"/>
          <w:szCs w:val="13"/>
          <w:color w:val="auto"/>
        </w:rPr>
      </w:pPr>
      <w:r>
        <w:rPr>
          <w:rFonts w:ascii="Arial" w:cs="Arial" w:eastAsia="Arial" w:hAnsi="Arial"/>
          <w:sz w:val="13"/>
          <w:szCs w:val="13"/>
          <w:color w:val="auto"/>
        </w:rPr>
        <w:t>This information is based on a Schedule 13G/A filed with the SEC on February 8, 2018 by The Vanguard Group, Inc. (“Vanguard”), as an investment adviser. Vanguard is the beneficial owner of 32,953,662 shares and has the sole power to dispose or direct the disposition of 32,516,531 of such shares, shared power to dispose or direct the disposition of 437,131 of such shares, sole power to vote or direct the vote of 283,312 of such shares and shared power to vote or direct the vote of 174,291 of such shares.</w:t>
      </w:r>
    </w:p>
    <w:p>
      <w:pPr>
        <w:ind w:left="860" w:hanging="656"/>
        <w:spacing w:after="0"/>
        <w:tabs>
          <w:tab w:leader="none" w:pos="860" w:val="left"/>
        </w:tabs>
        <w:numPr>
          <w:ilvl w:val="0"/>
          <w:numId w:val="51"/>
        </w:numPr>
        <w:rPr>
          <w:rFonts w:ascii="Arial" w:cs="Arial" w:eastAsia="Arial" w:hAnsi="Arial"/>
          <w:sz w:val="14"/>
          <w:szCs w:val="14"/>
          <w:color w:val="auto"/>
        </w:rPr>
      </w:pPr>
      <w:r>
        <w:rPr>
          <w:rFonts w:ascii="Arial" w:cs="Arial" w:eastAsia="Arial" w:hAnsi="Arial"/>
          <w:sz w:val="14"/>
          <w:szCs w:val="14"/>
          <w:color w:val="auto"/>
        </w:rPr>
        <w:t>The address of each of the executive officers and directors listed above is c/o AGNC Investment Corp., 2 Bethesda Metro Center, 12</w:t>
      </w:r>
      <w:r>
        <w:rPr>
          <w:rFonts w:ascii="Arial" w:cs="Arial" w:eastAsia="Arial" w:hAnsi="Arial"/>
          <w:sz w:val="12"/>
          <w:szCs w:val="12"/>
          <w:color w:val="auto"/>
        </w:rPr>
        <w:t>th</w:t>
      </w:r>
      <w:r>
        <w:rPr>
          <w:rFonts w:ascii="Arial" w:cs="Arial" w:eastAsia="Arial" w:hAnsi="Arial"/>
          <w:sz w:val="14"/>
          <w:szCs w:val="14"/>
          <w:color w:val="auto"/>
        </w:rPr>
        <w:t xml:space="preserve"> Floor, Bethesda, MD 20814.</w:t>
      </w:r>
    </w:p>
    <w:p>
      <w:pPr>
        <w:spacing w:after="0" w:line="124"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64</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40"/>
          </w:cols>
          <w:pgMar w:left="240" w:top="459" w:right="419" w:bottom="1440" w:gutter="0" w:footer="0" w:header="0"/>
          <w:type w:val="continuous"/>
        </w:sectPr>
      </w:pPr>
    </w:p>
    <w:bookmarkStart w:id="68" w:name="page69"/>
    <w:bookmarkEnd w:id="6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INFORMATION REGARDING COMPANY VOTING SECURITIES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1">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Section 16(a) Beneficial Ownership Reporting Compliance</w:t>
      </w:r>
    </w:p>
    <w:p>
      <w:pPr>
        <w:spacing w:after="0" w:line="121" w:lineRule="exact"/>
        <w:rPr>
          <w:sz w:val="20"/>
          <w:szCs w:val="20"/>
          <w:color w:val="auto"/>
        </w:rPr>
      </w:pPr>
    </w:p>
    <w:p>
      <w:pPr>
        <w:ind w:left="980"/>
        <w:spacing w:after="0"/>
        <w:rPr>
          <w:sz w:val="20"/>
          <w:szCs w:val="20"/>
          <w:color w:val="auto"/>
        </w:rPr>
      </w:pPr>
      <w:r>
        <w:rPr>
          <w:rFonts w:ascii="Arial" w:cs="Arial" w:eastAsia="Arial" w:hAnsi="Arial"/>
          <w:sz w:val="17"/>
          <w:szCs w:val="17"/>
          <w:color w:val="auto"/>
        </w:rPr>
        <w:t>Section 16(a) of the Exchange Act and the disclosure requirements of Item 405 of SEC Regulation S-K require that our directors and</w:t>
      </w:r>
    </w:p>
    <w:p>
      <w:pPr>
        <w:spacing w:after="0" w:line="35" w:lineRule="exact"/>
        <w:rPr>
          <w:sz w:val="20"/>
          <w:szCs w:val="20"/>
          <w:color w:val="auto"/>
        </w:rPr>
      </w:pPr>
    </w:p>
    <w:p>
      <w:pPr>
        <w:ind w:left="200"/>
        <w:spacing w:after="0"/>
        <w:rPr>
          <w:sz w:val="20"/>
          <w:szCs w:val="20"/>
          <w:color w:val="auto"/>
        </w:rPr>
      </w:pPr>
      <w:r>
        <w:rPr>
          <w:rFonts w:ascii="Arial" w:cs="Arial" w:eastAsia="Arial" w:hAnsi="Arial"/>
          <w:sz w:val="16"/>
          <w:szCs w:val="16"/>
          <w:color w:val="auto"/>
        </w:rPr>
        <w:t>executive officers, and any persons holding more than 10% of our common stock report their ownership of such equity securities and any subsequent</w:t>
      </w:r>
    </w:p>
    <w:p>
      <w:pPr>
        <w:spacing w:after="0" w:line="32" w:lineRule="exact"/>
        <w:rPr>
          <w:sz w:val="20"/>
          <w:szCs w:val="20"/>
          <w:color w:val="auto"/>
        </w:rPr>
      </w:pPr>
    </w:p>
    <w:p>
      <w:pPr>
        <w:ind w:left="200"/>
        <w:spacing w:after="0"/>
        <w:rPr>
          <w:sz w:val="20"/>
          <w:szCs w:val="20"/>
          <w:color w:val="auto"/>
        </w:rPr>
      </w:pPr>
      <w:r>
        <w:rPr>
          <w:rFonts w:ascii="Arial" w:cs="Arial" w:eastAsia="Arial" w:hAnsi="Arial"/>
          <w:sz w:val="16"/>
          <w:szCs w:val="16"/>
          <w:color w:val="auto"/>
        </w:rPr>
        <w:t>changes in that ownership to the SEC, The Nasdaq Global Select Market and to us. Based on a review of the written statements and copies of such</w:t>
      </w:r>
    </w:p>
    <w:p>
      <w:pPr>
        <w:spacing w:after="0" w:line="32" w:lineRule="exact"/>
        <w:rPr>
          <w:sz w:val="20"/>
          <w:szCs w:val="20"/>
          <w:color w:val="auto"/>
        </w:rPr>
      </w:pPr>
    </w:p>
    <w:p>
      <w:pPr>
        <w:ind w:left="200"/>
        <w:spacing w:after="0"/>
        <w:rPr>
          <w:sz w:val="20"/>
          <w:szCs w:val="20"/>
          <w:color w:val="auto"/>
        </w:rPr>
      </w:pPr>
      <w:r>
        <w:rPr>
          <w:rFonts w:ascii="Arial" w:cs="Arial" w:eastAsia="Arial" w:hAnsi="Arial"/>
          <w:sz w:val="17"/>
          <w:szCs w:val="17"/>
          <w:color w:val="auto"/>
        </w:rPr>
        <w:t>reports furnished to us by our executive officers, directors, and greater than 10% beneficial owners, we believe that during fiscal year 2017 all</w:t>
      </w:r>
    </w:p>
    <w:p>
      <w:pPr>
        <w:spacing w:after="0" w:line="21" w:lineRule="exact"/>
        <w:rPr>
          <w:sz w:val="20"/>
          <w:szCs w:val="20"/>
          <w:color w:val="auto"/>
        </w:rPr>
      </w:pPr>
    </w:p>
    <w:p>
      <w:pPr>
        <w:ind w:left="200"/>
        <w:spacing w:after="0"/>
        <w:rPr>
          <w:sz w:val="20"/>
          <w:szCs w:val="20"/>
          <w:color w:val="auto"/>
        </w:rPr>
      </w:pPr>
      <w:r>
        <w:rPr>
          <w:rFonts w:ascii="Arial" w:cs="Arial" w:eastAsia="Arial" w:hAnsi="Arial"/>
          <w:sz w:val="16"/>
          <w:szCs w:val="16"/>
          <w:color w:val="auto"/>
        </w:rPr>
        <w:t>Section 16(a) filing requirements applicable to our executive officers, directors, and beneficial owners of 10% or more of our common stock were timely</w:t>
      </w:r>
    </w:p>
    <w:p>
      <w:pPr>
        <w:spacing w:after="0" w:line="32" w:lineRule="exact"/>
        <w:rPr>
          <w:sz w:val="20"/>
          <w:szCs w:val="20"/>
          <w:color w:val="auto"/>
        </w:rPr>
      </w:pPr>
    </w:p>
    <w:p>
      <w:pPr>
        <w:ind w:left="200"/>
        <w:spacing w:after="0"/>
        <w:rPr>
          <w:sz w:val="20"/>
          <w:szCs w:val="20"/>
          <w:color w:val="auto"/>
        </w:rPr>
      </w:pPr>
      <w:r>
        <w:rPr>
          <w:rFonts w:ascii="Arial" w:cs="Arial" w:eastAsia="Arial" w:hAnsi="Arial"/>
          <w:sz w:val="18"/>
          <w:szCs w:val="18"/>
          <w:color w:val="auto"/>
        </w:rPr>
        <w:t>satisfied.</w:t>
      </w:r>
    </w:p>
    <w:p>
      <w:pPr>
        <w:spacing w:after="0" w:line="139"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65</w:t>
      </w:r>
    </w:p>
    <w:p>
      <w:pPr>
        <w:sectPr>
          <w:pgSz w:w="11900" w:h="16838" w:orient="portrait"/>
          <w:cols w:equalWidth="0" w:num="1">
            <w:col w:w="11220"/>
          </w:cols>
          <w:pgMar w:left="240" w:top="459" w:right="439" w:bottom="1440" w:gutter="0" w:footer="0" w:header="0"/>
        </w:sectPr>
      </w:pPr>
    </w:p>
    <w:bookmarkStart w:id="69" w:name="page70"/>
    <w:bookmarkEnd w:id="6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QUESTIONS AND ANSWERS ABOUT STOCKHOLDER COMMUNICATIONS AND PROPOSALS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3">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15" w:lineRule="exact"/>
        <w:rPr>
          <w:sz w:val="20"/>
          <w:szCs w:val="20"/>
          <w:color w:val="auto"/>
        </w:rPr>
      </w:pPr>
    </w:p>
    <w:p>
      <w:pPr>
        <w:ind w:left="960"/>
        <w:spacing w:after="0"/>
        <w:rPr>
          <w:sz w:val="20"/>
          <w:szCs w:val="20"/>
          <w:color w:val="auto"/>
        </w:rPr>
      </w:pPr>
      <w:r>
        <w:rPr>
          <w:rFonts w:ascii="Arial" w:cs="Arial" w:eastAsia="Arial" w:hAnsi="Arial"/>
          <w:sz w:val="22"/>
          <w:szCs w:val="22"/>
          <w:b w:val="1"/>
          <w:bCs w:val="1"/>
          <w:color w:val="407CCA"/>
        </w:rPr>
        <w:t>QUESTIONS AND ANSWERS ABOUT STOCKHOLDER COMMUNICATIONS AND PROPOSALS</w:t>
      </w:r>
    </w:p>
    <w:p>
      <w:pPr>
        <w:spacing w:after="0" w:line="242" w:lineRule="exact"/>
        <w:rPr>
          <w:sz w:val="20"/>
          <w:szCs w:val="20"/>
          <w:color w:val="auto"/>
        </w:rPr>
      </w:pPr>
    </w:p>
    <w:p>
      <w:pPr>
        <w:ind w:left="520" w:hanging="316"/>
        <w:spacing w:after="0"/>
        <w:tabs>
          <w:tab w:leader="none" w:pos="520" w:val="left"/>
        </w:tabs>
        <w:numPr>
          <w:ilvl w:val="0"/>
          <w:numId w:val="52"/>
        </w:numPr>
        <w:rPr>
          <w:rFonts w:ascii="Arial" w:cs="Arial" w:eastAsia="Arial" w:hAnsi="Arial"/>
          <w:sz w:val="18"/>
          <w:szCs w:val="18"/>
          <w:b w:val="1"/>
          <w:bCs w:val="1"/>
          <w:color w:val="auto"/>
        </w:rPr>
      </w:pPr>
      <w:r>
        <w:rPr>
          <w:rFonts w:ascii="Arial" w:cs="Arial" w:eastAsia="Arial" w:hAnsi="Arial"/>
          <w:sz w:val="18"/>
          <w:szCs w:val="18"/>
          <w:b w:val="1"/>
          <w:bCs w:val="1"/>
          <w:color w:val="auto"/>
        </w:rPr>
        <w:t>WHO IS RESPONSIBLE FOR STOCKHOLDER COMMUNICATIONS?</w:t>
      </w:r>
    </w:p>
    <w:p>
      <w:pPr>
        <w:spacing w:after="0" w:line="229" w:lineRule="exact"/>
        <w:rPr>
          <w:sz w:val="20"/>
          <w:szCs w:val="20"/>
          <w:color w:val="auto"/>
        </w:rPr>
      </w:pPr>
    </w:p>
    <w:p>
      <w:pPr>
        <w:jc w:val="both"/>
        <w:ind w:left="200" w:right="160"/>
        <w:spacing w:after="0" w:line="264" w:lineRule="auto"/>
        <w:rPr>
          <w:sz w:val="20"/>
          <w:szCs w:val="20"/>
          <w:color w:val="auto"/>
        </w:rPr>
      </w:pPr>
      <w:r>
        <w:rPr>
          <w:rFonts w:ascii="Arial" w:cs="Arial" w:eastAsia="Arial" w:hAnsi="Arial"/>
          <w:sz w:val="18"/>
          <w:szCs w:val="18"/>
          <w:color w:val="auto"/>
        </w:rPr>
        <w:t>The Board of Directors is of the view that management is primarily responsible for all communications on behalf of AGNC with stockholders and the public at large. Thus, in addition to our executive officers, we employ a Vice President, Investor Relations, whose primary responsibilities and those of certain members of her staff include investor and stockholder relations.</w:t>
      </w:r>
    </w:p>
    <w:p>
      <w:pPr>
        <w:spacing w:after="0" w:line="204" w:lineRule="exact"/>
        <w:rPr>
          <w:sz w:val="20"/>
          <w:szCs w:val="20"/>
          <w:color w:val="auto"/>
        </w:rPr>
      </w:pPr>
    </w:p>
    <w:p>
      <w:pPr>
        <w:ind w:left="520" w:hanging="316"/>
        <w:spacing w:after="0"/>
        <w:tabs>
          <w:tab w:leader="none" w:pos="520" w:val="left"/>
        </w:tabs>
        <w:numPr>
          <w:ilvl w:val="0"/>
          <w:numId w:val="53"/>
        </w:numPr>
        <w:rPr>
          <w:rFonts w:ascii="Arial" w:cs="Arial" w:eastAsia="Arial" w:hAnsi="Arial"/>
          <w:sz w:val="18"/>
          <w:szCs w:val="18"/>
          <w:b w:val="1"/>
          <w:bCs w:val="1"/>
          <w:color w:val="auto"/>
        </w:rPr>
      </w:pPr>
      <w:r>
        <w:rPr>
          <w:rFonts w:ascii="Arial" w:cs="Arial" w:eastAsia="Arial" w:hAnsi="Arial"/>
          <w:sz w:val="18"/>
          <w:szCs w:val="18"/>
          <w:b w:val="1"/>
          <w:bCs w:val="1"/>
          <w:color w:val="auto"/>
        </w:rPr>
        <w:t>HOW DO I COMMUNICATE WITH THE COMPANY’S BOARD OF DIRECTORS?</w:t>
      </w:r>
    </w:p>
    <w:p>
      <w:pPr>
        <w:spacing w:after="0" w:line="229" w:lineRule="exact"/>
        <w:rPr>
          <w:sz w:val="20"/>
          <w:szCs w:val="20"/>
          <w:color w:val="auto"/>
        </w:rPr>
      </w:pPr>
    </w:p>
    <w:p>
      <w:pPr>
        <w:jc w:val="both"/>
        <w:ind w:left="200" w:right="20"/>
        <w:spacing w:after="0" w:line="264" w:lineRule="auto"/>
        <w:rPr>
          <w:sz w:val="20"/>
          <w:szCs w:val="20"/>
          <w:color w:val="auto"/>
        </w:rPr>
      </w:pPr>
      <w:r>
        <w:rPr>
          <w:rFonts w:ascii="Arial" w:cs="Arial" w:eastAsia="Arial" w:hAnsi="Arial"/>
          <w:sz w:val="18"/>
          <w:szCs w:val="18"/>
          <w:color w:val="auto"/>
        </w:rPr>
        <w:t>Stockholders who wish to communicate with our Board of Directors or with a particular director may send a letter to our Secretary at AGNC Investment Corp., 2 Bethesda Metro Center, 12</w:t>
      </w:r>
      <w:r>
        <w:rPr>
          <w:rFonts w:ascii="Arial" w:cs="Arial" w:eastAsia="Arial" w:hAnsi="Arial"/>
          <w:sz w:val="15"/>
          <w:szCs w:val="15"/>
          <w:color w:val="auto"/>
        </w:rPr>
        <w:t>th</w:t>
      </w:r>
      <w:r>
        <w:rPr>
          <w:rFonts w:ascii="Arial" w:cs="Arial" w:eastAsia="Arial" w:hAnsi="Arial"/>
          <w:sz w:val="18"/>
          <w:szCs w:val="18"/>
          <w:color w:val="auto"/>
        </w:rPr>
        <w:t xml:space="preserve"> Floor, Bethesda, MD 20814. Any communication should clearly specify that it is intended to be made to the entire Board of Directors or to one or more particular director(s).</w:t>
      </w:r>
    </w:p>
    <w:p>
      <w:pPr>
        <w:spacing w:after="0" w:line="73" w:lineRule="exact"/>
        <w:rPr>
          <w:sz w:val="20"/>
          <w:szCs w:val="20"/>
          <w:color w:val="auto"/>
        </w:rPr>
      </w:pPr>
    </w:p>
    <w:p>
      <w:pPr>
        <w:ind w:left="200" w:right="40"/>
        <w:spacing w:after="0" w:line="273" w:lineRule="auto"/>
        <w:rPr>
          <w:sz w:val="20"/>
          <w:szCs w:val="20"/>
          <w:color w:val="auto"/>
        </w:rPr>
      </w:pPr>
      <w:r>
        <w:rPr>
          <w:rFonts w:ascii="Arial" w:cs="Arial" w:eastAsia="Arial" w:hAnsi="Arial"/>
          <w:sz w:val="17"/>
          <w:szCs w:val="17"/>
          <w:color w:val="auto"/>
        </w:rPr>
        <w:t>Under this process, our Secretary reviews all such correspondence and will forward to the Board of Directors a summary of all such correspondence and copies of all correspondence that, in the opinion of the Secretary, deals with the functions of the Board of Directors or committees thereof or that he otherwise determines requires their attention. Directors may at any time review a log of all correspondence received by AGNC that is addressed to members of the Board of Directors and request copies of any such correspondence. Concerns relating to accounting, internal controls, or auditing matters are immediately brought to the attention of the Chair of the Audit Committee and handled in accordance with procedures approved by the Board of Directors with respect to such matters.</w:t>
      </w:r>
    </w:p>
    <w:p>
      <w:pPr>
        <w:spacing w:after="0" w:line="70" w:lineRule="exact"/>
        <w:rPr>
          <w:sz w:val="20"/>
          <w:szCs w:val="20"/>
          <w:color w:val="auto"/>
        </w:rPr>
      </w:pPr>
    </w:p>
    <w:p>
      <w:pPr>
        <w:ind w:left="200" w:right="280"/>
        <w:spacing w:after="0" w:line="308" w:lineRule="auto"/>
        <w:rPr>
          <w:sz w:val="20"/>
          <w:szCs w:val="20"/>
          <w:color w:val="auto"/>
        </w:rPr>
      </w:pPr>
      <w:r>
        <w:rPr>
          <w:rFonts w:ascii="Arial" w:cs="Arial" w:eastAsia="Arial" w:hAnsi="Arial"/>
          <w:sz w:val="17"/>
          <w:szCs w:val="17"/>
          <w:color w:val="auto"/>
        </w:rPr>
        <w:t xml:space="preserve">A copy of such procedures for the submission and handling of complaints or concerns regarding accounting, internal accounting controls, or auditing matters is included in our Code of Ethics, which is published in the Investor Relations section of our web site at </w:t>
      </w:r>
      <w:r>
        <w:rPr>
          <w:rFonts w:ascii="Arial" w:cs="Arial" w:eastAsia="Arial" w:hAnsi="Arial"/>
          <w:sz w:val="17"/>
          <w:szCs w:val="17"/>
          <w:i w:val="1"/>
          <w:iCs w:val="1"/>
          <w:color w:val="auto"/>
        </w:rPr>
        <w:t>www.AGNC.com</w:t>
      </w:r>
      <w:r>
        <w:rPr>
          <w:rFonts w:ascii="Arial" w:cs="Arial" w:eastAsia="Arial" w:hAnsi="Arial"/>
          <w:sz w:val="17"/>
          <w:szCs w:val="17"/>
          <w:color w:val="auto"/>
        </w:rPr>
        <w:t>.</w:t>
      </w:r>
    </w:p>
    <w:p>
      <w:pPr>
        <w:spacing w:after="0" w:line="170" w:lineRule="exact"/>
        <w:rPr>
          <w:sz w:val="20"/>
          <w:szCs w:val="20"/>
          <w:color w:val="auto"/>
        </w:rPr>
      </w:pPr>
    </w:p>
    <w:p>
      <w:pPr>
        <w:ind w:left="520" w:hanging="316"/>
        <w:spacing w:after="0"/>
        <w:tabs>
          <w:tab w:leader="none" w:pos="520" w:val="left"/>
        </w:tabs>
        <w:numPr>
          <w:ilvl w:val="0"/>
          <w:numId w:val="54"/>
        </w:numPr>
        <w:rPr>
          <w:rFonts w:ascii="Arial" w:cs="Arial" w:eastAsia="Arial" w:hAnsi="Arial"/>
          <w:sz w:val="18"/>
          <w:szCs w:val="18"/>
          <w:b w:val="1"/>
          <w:bCs w:val="1"/>
          <w:color w:val="auto"/>
        </w:rPr>
      </w:pPr>
      <w:r>
        <w:rPr>
          <w:rFonts w:ascii="Arial" w:cs="Arial" w:eastAsia="Arial" w:hAnsi="Arial"/>
          <w:sz w:val="18"/>
          <w:szCs w:val="18"/>
          <w:b w:val="1"/>
          <w:bCs w:val="1"/>
          <w:color w:val="auto"/>
        </w:rPr>
        <w:t>HOW CAN A STOCKHOLDER NOMINATE A DIRECTOR OR SUBMIT A PROPOSAL FOR THE 2019 ANNUAL MEETING?</w:t>
      </w:r>
    </w:p>
    <w:p>
      <w:pPr>
        <w:spacing w:after="0" w:line="229" w:lineRule="exact"/>
        <w:rPr>
          <w:sz w:val="20"/>
          <w:szCs w:val="20"/>
          <w:color w:val="auto"/>
        </w:rPr>
      </w:pPr>
    </w:p>
    <w:p>
      <w:pPr>
        <w:ind w:left="200" w:right="220"/>
        <w:spacing w:after="0" w:line="277" w:lineRule="auto"/>
        <w:rPr>
          <w:sz w:val="20"/>
          <w:szCs w:val="20"/>
          <w:color w:val="auto"/>
        </w:rPr>
      </w:pPr>
      <w:r>
        <w:rPr>
          <w:rFonts w:ascii="Arial" w:cs="Arial" w:eastAsia="Arial" w:hAnsi="Arial"/>
          <w:sz w:val="18"/>
          <w:szCs w:val="18"/>
          <w:color w:val="auto"/>
        </w:rPr>
        <w:t>Stockholder proposals or nominees for election to the Board of Directors must be made in accordance with the procedures set forth in our Bylaws and described in the following question, and not the procedures set forth in the preceding paragraph.</w:t>
      </w:r>
    </w:p>
    <w:p>
      <w:pPr>
        <w:spacing w:after="0" w:line="193" w:lineRule="exact"/>
        <w:rPr>
          <w:sz w:val="20"/>
          <w:szCs w:val="20"/>
          <w:color w:val="auto"/>
        </w:rPr>
      </w:pPr>
    </w:p>
    <w:p>
      <w:pPr>
        <w:ind w:left="520" w:hanging="316"/>
        <w:spacing w:after="0"/>
        <w:tabs>
          <w:tab w:leader="none" w:pos="520" w:val="left"/>
        </w:tabs>
        <w:numPr>
          <w:ilvl w:val="0"/>
          <w:numId w:val="55"/>
        </w:numPr>
        <w:rPr>
          <w:rFonts w:ascii="Arial" w:cs="Arial" w:eastAsia="Arial" w:hAnsi="Arial"/>
          <w:sz w:val="18"/>
          <w:szCs w:val="18"/>
          <w:b w:val="1"/>
          <w:bCs w:val="1"/>
          <w:color w:val="auto"/>
        </w:rPr>
      </w:pPr>
      <w:r>
        <w:rPr>
          <w:rFonts w:ascii="Arial" w:cs="Arial" w:eastAsia="Arial" w:hAnsi="Arial"/>
          <w:sz w:val="18"/>
          <w:szCs w:val="18"/>
          <w:b w:val="1"/>
          <w:bCs w:val="1"/>
          <w:color w:val="auto"/>
        </w:rPr>
        <w:t>HOW CAN A STOCKHOLDER SUBMIT A PROPOSAL FOR THE 2019 ANNUAL MEETING OF STOCKHOLDERS?</w:t>
      </w:r>
    </w:p>
    <w:p>
      <w:pPr>
        <w:spacing w:after="0" w:line="229" w:lineRule="exact"/>
        <w:rPr>
          <w:sz w:val="20"/>
          <w:szCs w:val="20"/>
          <w:color w:val="auto"/>
        </w:rPr>
      </w:pPr>
    </w:p>
    <w:p>
      <w:pPr>
        <w:ind w:left="200"/>
        <w:spacing w:after="0" w:line="273" w:lineRule="auto"/>
        <w:rPr>
          <w:sz w:val="20"/>
          <w:szCs w:val="20"/>
          <w:color w:val="auto"/>
        </w:rPr>
      </w:pPr>
      <w:r>
        <w:rPr>
          <w:rFonts w:ascii="Arial" w:cs="Arial" w:eastAsia="Arial" w:hAnsi="Arial"/>
          <w:sz w:val="17"/>
          <w:szCs w:val="17"/>
          <w:color w:val="auto"/>
        </w:rPr>
        <w:t>Proposals received from common stockholders in accordance with Rule 14a-8 under the Exchange Act are given careful consideration by our Compensation Committee and our Board of Directors. If a common stockholder intends to present a proposal at the 2019 annual meeting of stockholders pursuant to Rule 14a-8 under the Exchange Act, in order for such stockholder proposal to be included in our proxy statement and proxy card for that meeting, the stockholder proposal must be received by our Secretary at AGNC Investment Corp., 2 Bethesda Metro Center, 12th Floor, Bethesda, Maryland 20814, on or before November , 2018, unless the date of the 2019 annual meeting of stockholders has been changed by more than 30 days from April 19, 2019; then the deadline is a reasonable time before we begin to print and send our proxy materials.</w:t>
      </w:r>
    </w:p>
    <w:p>
      <w:pPr>
        <w:spacing w:after="0" w:line="107"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66</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20"/>
          </w:cols>
          <w:pgMar w:left="240" w:top="459" w:right="439" w:bottom="1440" w:gutter="0" w:footer="0" w:header="0"/>
        </w:sectPr>
      </w:pPr>
    </w:p>
    <w:bookmarkStart w:id="70" w:name="page71"/>
    <w:bookmarkEnd w:id="7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QUESTIONS AND ANSWERS ABOUT STOCKHOLDER COMMUNICATIONS AND PROPOSALS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5">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9" w:lineRule="exact"/>
        <w:rPr>
          <w:sz w:val="20"/>
          <w:szCs w:val="20"/>
          <w:color w:val="auto"/>
        </w:rPr>
      </w:pPr>
    </w:p>
    <w:p>
      <w:pPr>
        <w:ind w:left="200" w:right="380"/>
        <w:spacing w:after="0" w:line="286" w:lineRule="auto"/>
        <w:rPr>
          <w:sz w:val="20"/>
          <w:szCs w:val="20"/>
          <w:color w:val="auto"/>
        </w:rPr>
      </w:pPr>
      <w:r>
        <w:rPr>
          <w:rFonts w:ascii="Arial" w:cs="Arial" w:eastAsia="Arial" w:hAnsi="Arial"/>
          <w:sz w:val="17"/>
          <w:szCs w:val="17"/>
          <w:color w:val="auto"/>
        </w:rPr>
        <w:t>If such proposal is in compliance with all of the requirements of Rule 14a-8 under the Exchange Act, the proposal will be included in our proxy statement and proxy card relating to such meeting. Nothing in the response to this question shall be deemed to require us to include any stockholder proposal that does not meet all the requirements for such inclusion established by the SEC in effect at that time.</w:t>
      </w:r>
    </w:p>
    <w:p>
      <w:pPr>
        <w:spacing w:after="0" w:line="57" w:lineRule="exact"/>
        <w:rPr>
          <w:sz w:val="20"/>
          <w:szCs w:val="20"/>
          <w:color w:val="auto"/>
        </w:rPr>
      </w:pPr>
    </w:p>
    <w:p>
      <w:pPr>
        <w:ind w:left="200" w:right="120"/>
        <w:spacing w:after="0" w:line="259" w:lineRule="auto"/>
        <w:rPr>
          <w:sz w:val="20"/>
          <w:szCs w:val="20"/>
          <w:color w:val="auto"/>
        </w:rPr>
      </w:pPr>
      <w:r>
        <w:rPr>
          <w:rFonts w:ascii="Arial" w:cs="Arial" w:eastAsia="Arial" w:hAnsi="Arial"/>
          <w:sz w:val="18"/>
          <w:szCs w:val="18"/>
          <w:color w:val="auto"/>
        </w:rPr>
        <w:t>In order for a proposal by a common stockholder submitted outside of Rule 14a-8, including any nominations for election to the Board of Directors made by common stockholders, to be considered at the 2019 annual meeting of stockholders, such proposal must be made by written notice (setting forth the information required by our current Bylaws) and received by our Secretary not less than sixty and not more than ninety days in advance of the 2019 annual meeting.</w:t>
      </w:r>
    </w:p>
    <w:p>
      <w:pPr>
        <w:spacing w:after="0" w:line="79" w:lineRule="exact"/>
        <w:rPr>
          <w:sz w:val="20"/>
          <w:szCs w:val="20"/>
          <w:color w:val="auto"/>
        </w:rPr>
      </w:pPr>
    </w:p>
    <w:p>
      <w:pPr>
        <w:ind w:left="200"/>
        <w:spacing w:after="0"/>
        <w:rPr>
          <w:sz w:val="20"/>
          <w:szCs w:val="20"/>
          <w:color w:val="auto"/>
        </w:rPr>
      </w:pPr>
      <w:r>
        <w:rPr>
          <w:rFonts w:ascii="Arial" w:cs="Arial" w:eastAsia="Arial" w:hAnsi="Arial"/>
          <w:sz w:val="18"/>
          <w:szCs w:val="18"/>
          <w:color w:val="auto"/>
        </w:rPr>
        <w:t>Such proposals should be submitted by certified mail, return receipt requested.</w:t>
      </w:r>
    </w:p>
    <w:p>
      <w:pPr>
        <w:spacing w:after="0" w:line="248" w:lineRule="exact"/>
        <w:rPr>
          <w:sz w:val="20"/>
          <w:szCs w:val="20"/>
          <w:color w:val="auto"/>
        </w:rPr>
      </w:pPr>
    </w:p>
    <w:p>
      <w:pPr>
        <w:ind w:left="520" w:hanging="316"/>
        <w:spacing w:after="0"/>
        <w:tabs>
          <w:tab w:leader="none" w:pos="520" w:val="left"/>
        </w:tabs>
        <w:numPr>
          <w:ilvl w:val="0"/>
          <w:numId w:val="56"/>
        </w:numPr>
        <w:rPr>
          <w:rFonts w:ascii="Arial" w:cs="Arial" w:eastAsia="Arial" w:hAnsi="Arial"/>
          <w:sz w:val="18"/>
          <w:szCs w:val="18"/>
          <w:b w:val="1"/>
          <w:bCs w:val="1"/>
          <w:color w:val="auto"/>
        </w:rPr>
      </w:pPr>
      <w:r>
        <w:rPr>
          <w:rFonts w:ascii="Arial" w:cs="Arial" w:eastAsia="Arial" w:hAnsi="Arial"/>
          <w:sz w:val="18"/>
          <w:szCs w:val="18"/>
          <w:b w:val="1"/>
          <w:bCs w:val="1"/>
          <w:color w:val="auto"/>
        </w:rPr>
        <w:t>HOW CAN I OBTAIN A COPY OF THE COMPANY’S 2017 ANNUAL REPORT ON FORM 10-K AND OTHER SEC FILINGS?</w:t>
      </w:r>
    </w:p>
    <w:p>
      <w:pPr>
        <w:spacing w:after="0" w:line="229" w:lineRule="exact"/>
        <w:rPr>
          <w:sz w:val="20"/>
          <w:szCs w:val="20"/>
          <w:color w:val="auto"/>
        </w:rPr>
      </w:pPr>
    </w:p>
    <w:p>
      <w:pPr>
        <w:ind w:left="200" w:right="60"/>
        <w:spacing w:after="0" w:line="257" w:lineRule="auto"/>
        <w:rPr>
          <w:sz w:val="20"/>
          <w:szCs w:val="20"/>
          <w:color w:val="auto"/>
        </w:rPr>
      </w:pPr>
      <w:r>
        <w:rPr>
          <w:rFonts w:ascii="Arial" w:cs="Arial" w:eastAsia="Arial" w:hAnsi="Arial"/>
          <w:sz w:val="18"/>
          <w:szCs w:val="18"/>
          <w:color w:val="auto"/>
        </w:rPr>
        <w:t>A copy of our 2017 annual report on Form 10-K containing audited financial statements was delivered or made available with this proxy statement. Additional copies of our 2017 annual report on Form 10-K (without exhibits, unless otherwise requested) are available in print, free of charge, to stockholders requesting a copy by writing to: AGNC Investment Corp., Investor Relations, 2 Bethesda Metro Center, 12</w:t>
      </w:r>
      <w:r>
        <w:rPr>
          <w:rFonts w:ascii="Arial" w:cs="Arial" w:eastAsia="Arial" w:hAnsi="Arial"/>
          <w:sz w:val="15"/>
          <w:szCs w:val="15"/>
          <w:color w:val="auto"/>
        </w:rPr>
        <w:t>th</w:t>
      </w:r>
      <w:r>
        <w:rPr>
          <w:rFonts w:ascii="Arial" w:cs="Arial" w:eastAsia="Arial" w:hAnsi="Arial"/>
          <w:sz w:val="18"/>
          <w:szCs w:val="18"/>
          <w:color w:val="auto"/>
        </w:rPr>
        <w:t xml:space="preserve"> Floor, Bethesda, Maryland 20814, or by calling (301) 968-9300. You may review our filings with the SEC by visiting the SEC’s home page on the internet at </w:t>
      </w:r>
      <w:r>
        <w:rPr>
          <w:rFonts w:ascii="Arial" w:cs="Arial" w:eastAsia="Arial" w:hAnsi="Arial"/>
          <w:sz w:val="18"/>
          <w:szCs w:val="18"/>
          <w:i w:val="1"/>
          <w:iCs w:val="1"/>
          <w:color w:val="auto"/>
        </w:rPr>
        <w:t>http://www.sec.gov</w:t>
      </w:r>
      <w:r>
        <w:rPr>
          <w:rFonts w:ascii="Arial" w:cs="Arial" w:eastAsia="Arial" w:hAnsi="Arial"/>
          <w:sz w:val="18"/>
          <w:szCs w:val="18"/>
          <w:color w:val="auto"/>
        </w:rPr>
        <w:t xml:space="preserve"> or by visiting the Investors section of our web site at </w:t>
      </w:r>
      <w:r>
        <w:rPr>
          <w:rFonts w:ascii="Arial" w:cs="Arial" w:eastAsia="Arial" w:hAnsi="Arial"/>
          <w:sz w:val="18"/>
          <w:szCs w:val="18"/>
          <w:i w:val="1"/>
          <w:iCs w:val="1"/>
          <w:color w:val="auto"/>
        </w:rPr>
        <w:t>www.AGNC.com</w:t>
      </w:r>
      <w:r>
        <w:rPr>
          <w:rFonts w:ascii="Arial" w:cs="Arial" w:eastAsia="Arial" w:hAnsi="Arial"/>
          <w:sz w:val="18"/>
          <w:szCs w:val="18"/>
          <w:color w:val="auto"/>
        </w:rPr>
        <w:t>.</w:t>
      </w:r>
    </w:p>
    <w:p>
      <w:pPr>
        <w:spacing w:after="0" w:line="116" w:lineRule="exact"/>
        <w:rPr>
          <w:sz w:val="20"/>
          <w:szCs w:val="20"/>
          <w:color w:val="auto"/>
        </w:rPr>
      </w:pPr>
    </w:p>
    <w:p>
      <w:pPr>
        <w:ind w:left="8060"/>
        <w:spacing w:after="0"/>
        <w:tabs>
          <w:tab w:leader="none" w:pos="110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67</w:t>
      </w:r>
    </w:p>
    <w:p>
      <w:pPr>
        <w:sectPr>
          <w:pgSz w:w="11900" w:h="16838" w:orient="portrait"/>
          <w:cols w:equalWidth="0" w:num="1">
            <w:col w:w="11220"/>
          </w:cols>
          <w:pgMar w:left="240" w:top="459" w:right="439" w:bottom="1440" w:gutter="0" w:footer="0" w:header="0"/>
        </w:sectPr>
      </w:pPr>
    </w:p>
    <w:bookmarkStart w:id="71" w:name="page72"/>
    <w:bookmarkEnd w:id="7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QUESTIONS AND ANSWERS ABOUT THE 2018 ANNUAL MEETING AND VOTING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7">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15" w:lineRule="exact"/>
        <w:rPr>
          <w:sz w:val="20"/>
          <w:szCs w:val="20"/>
          <w:color w:val="auto"/>
        </w:rPr>
      </w:pPr>
    </w:p>
    <w:p>
      <w:pPr>
        <w:jc w:val="center"/>
        <w:ind w:right="-199"/>
        <w:spacing w:after="0"/>
        <w:rPr>
          <w:sz w:val="20"/>
          <w:szCs w:val="20"/>
          <w:color w:val="auto"/>
        </w:rPr>
      </w:pPr>
      <w:r>
        <w:rPr>
          <w:rFonts w:ascii="Arial" w:cs="Arial" w:eastAsia="Arial" w:hAnsi="Arial"/>
          <w:sz w:val="22"/>
          <w:szCs w:val="22"/>
          <w:b w:val="1"/>
          <w:bCs w:val="1"/>
          <w:color w:val="407CCA"/>
        </w:rPr>
        <w:t>QUESTIONS AND ANSWERS</w:t>
      </w:r>
    </w:p>
    <w:p>
      <w:pPr>
        <w:spacing w:after="0" w:line="14" w:lineRule="exact"/>
        <w:rPr>
          <w:sz w:val="20"/>
          <w:szCs w:val="20"/>
          <w:color w:val="auto"/>
        </w:rPr>
      </w:pPr>
    </w:p>
    <w:p>
      <w:pPr>
        <w:jc w:val="center"/>
        <w:ind w:right="-199"/>
        <w:spacing w:after="0"/>
        <w:rPr>
          <w:sz w:val="20"/>
          <w:szCs w:val="20"/>
          <w:color w:val="auto"/>
        </w:rPr>
      </w:pPr>
      <w:r>
        <w:rPr>
          <w:rFonts w:ascii="Arial" w:cs="Arial" w:eastAsia="Arial" w:hAnsi="Arial"/>
          <w:sz w:val="21"/>
          <w:szCs w:val="21"/>
          <w:b w:val="1"/>
          <w:bCs w:val="1"/>
          <w:color w:val="407CCA"/>
        </w:rPr>
        <w:t>ABOUT THE 2018 ANNUAL MEETING AND VOTING</w:t>
      </w:r>
    </w:p>
    <w:p>
      <w:pPr>
        <w:sectPr>
          <w:pgSz w:w="11900" w:h="16838" w:orient="portrait"/>
          <w:cols w:equalWidth="0" w:num="1">
            <w:col w:w="11220"/>
          </w:cols>
          <w:pgMar w:left="240" w:top="459" w:right="439" w:bottom="1440" w:gutter="0" w:footer="0" w:header="0"/>
        </w:sectPr>
      </w:pPr>
    </w:p>
    <w:p>
      <w:pPr>
        <w:spacing w:after="0" w:line="200" w:lineRule="exact"/>
        <w:rPr>
          <w:sz w:val="20"/>
          <w:szCs w:val="20"/>
          <w:color w:val="auto"/>
        </w:rPr>
      </w:pPr>
    </w:p>
    <w:p>
      <w:pPr>
        <w:spacing w:after="0" w:line="205" w:lineRule="exact"/>
        <w:rPr>
          <w:sz w:val="20"/>
          <w:szCs w:val="20"/>
          <w:color w:val="auto"/>
        </w:rPr>
      </w:pPr>
    </w:p>
    <w:p>
      <w:pPr>
        <w:ind w:left="280"/>
        <w:spacing w:after="0"/>
        <w:tabs>
          <w:tab w:leader="none" w:pos="560" w:val="left"/>
        </w:tabs>
        <w:rPr>
          <w:sz w:val="20"/>
          <w:szCs w:val="20"/>
          <w:color w:val="auto"/>
        </w:rPr>
      </w:pPr>
      <w:r>
        <w:rPr>
          <w:rFonts w:ascii="Arial" w:cs="Arial" w:eastAsia="Arial" w:hAnsi="Arial"/>
          <w:sz w:val="18"/>
          <w:szCs w:val="18"/>
          <w:b w:val="1"/>
          <w:bCs w:val="1"/>
          <w:color w:val="auto"/>
        </w:rPr>
        <w:t>1.</w:t>
        <w:tab/>
        <w:t>WHY DID I RECEIVE THESE PROXY MATERIALS?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60325</wp:posOffset>
            </wp:positionV>
            <wp:extent cx="3353435" cy="889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8">
                      <a:extLst>
                        <a:ext uri="{28A0092B-C50C-407E-A947-70E740481C1C}"/>
                      </a:extLst>
                    </a:blip>
                    <a:srcRect/>
                    <a:stretch>
                      <a:fillRect/>
                    </a:stretch>
                  </pic:blipFill>
                  <pic:spPr bwMode="auto">
                    <a:xfrm>
                      <a:off x="0" y="0"/>
                      <a:ext cx="3353435" cy="8890"/>
                    </a:xfrm>
                    <a:prstGeom prst="rect">
                      <a:avLst/>
                    </a:prstGeom>
                    <a:noFill/>
                  </pic:spPr>
                </pic:pic>
              </a:graphicData>
            </a:graphic>
          </wp:anchor>
        </w:drawing>
      </w:r>
    </w:p>
    <w:p>
      <w:pPr>
        <w:spacing w:after="0" w:line="182" w:lineRule="exact"/>
        <w:rPr>
          <w:sz w:val="20"/>
          <w:szCs w:val="20"/>
          <w:color w:val="auto"/>
        </w:rPr>
      </w:pPr>
    </w:p>
    <w:p>
      <w:pPr>
        <w:ind w:left="200" w:right="480"/>
        <w:spacing w:after="0" w:line="291" w:lineRule="auto"/>
        <w:rPr>
          <w:sz w:val="20"/>
          <w:szCs w:val="20"/>
          <w:color w:val="auto"/>
        </w:rPr>
      </w:pPr>
      <w:r>
        <w:rPr>
          <w:rFonts w:ascii="Arial" w:cs="Arial" w:eastAsia="Arial" w:hAnsi="Arial"/>
          <w:sz w:val="16"/>
          <w:szCs w:val="16"/>
          <w:color w:val="auto"/>
        </w:rPr>
        <w:t>Our Board of Directors is furnishing this proxy statement to you to solicit proxies on its behalf to be voted at the Annual Meeting on</w:t>
      </w:r>
    </w:p>
    <w:p>
      <w:pPr>
        <w:ind w:left="200" w:right="260"/>
        <w:spacing w:after="0" w:line="254" w:lineRule="auto"/>
        <w:rPr>
          <w:sz w:val="20"/>
          <w:szCs w:val="20"/>
          <w:color w:val="auto"/>
        </w:rPr>
      </w:pPr>
      <w:r>
        <w:rPr>
          <w:rFonts w:ascii="Arial" w:cs="Arial" w:eastAsia="Arial" w:hAnsi="Arial"/>
          <w:sz w:val="18"/>
          <w:szCs w:val="18"/>
          <w:b w:val="1"/>
          <w:bCs w:val="1"/>
          <w:color w:val="auto"/>
        </w:rPr>
        <w:t>Thursday, April 19, 2018, at 9:00 a.m., Eastern Time, at the Hyatt Regency Bethesda, 7400 Wisconsin Avenue, Bethesda, Maryland 20814</w:t>
      </w:r>
      <w:r>
        <w:rPr>
          <w:rFonts w:ascii="Arial" w:cs="Arial" w:eastAsia="Arial" w:hAnsi="Arial"/>
          <w:sz w:val="18"/>
          <w:szCs w:val="18"/>
          <w:color w:val="auto"/>
        </w:rPr>
        <w:t>. The proxies also may be voted at any postponement or</w:t>
      </w:r>
      <w:r>
        <w:rPr>
          <w:rFonts w:ascii="Arial" w:cs="Arial" w:eastAsia="Arial" w:hAnsi="Arial"/>
          <w:sz w:val="18"/>
          <w:szCs w:val="18"/>
          <w:b w:val="1"/>
          <w:bCs w:val="1"/>
          <w:color w:val="auto"/>
        </w:rPr>
        <w:t xml:space="preserve"> </w:t>
      </w:r>
      <w:r>
        <w:rPr>
          <w:rFonts w:ascii="Arial" w:cs="Arial" w:eastAsia="Arial" w:hAnsi="Arial"/>
          <w:sz w:val="18"/>
          <w:szCs w:val="18"/>
          <w:color w:val="auto"/>
        </w:rPr>
        <w:t>adjournment of the meeting.</w:t>
      </w:r>
    </w:p>
    <w:p>
      <w:pPr>
        <w:spacing w:after="0" w:line="82" w:lineRule="exact"/>
        <w:rPr>
          <w:sz w:val="20"/>
          <w:szCs w:val="20"/>
          <w:color w:val="auto"/>
        </w:rPr>
      </w:pPr>
    </w:p>
    <w:p>
      <w:pPr>
        <w:ind w:left="200" w:right="160"/>
        <w:spacing w:after="0" w:line="276" w:lineRule="auto"/>
        <w:rPr>
          <w:sz w:val="20"/>
          <w:szCs w:val="20"/>
          <w:color w:val="auto"/>
        </w:rPr>
      </w:pPr>
      <w:r>
        <w:rPr>
          <w:rFonts w:ascii="Arial" w:cs="Arial" w:eastAsia="Arial" w:hAnsi="Arial"/>
          <w:sz w:val="17"/>
          <w:szCs w:val="17"/>
          <w:color w:val="auto"/>
        </w:rPr>
        <w:t>All properly executed written proxies, and all properly completed proxies submitted by telephone or by the internet, that are timely delivered pursuant to this solicitation will be voted at the Annual Meeting in accordance with the directions given in the proxy unless the proxy is revoked before the completion of voting at the meeting.</w:t>
      </w:r>
    </w:p>
    <w:p>
      <w:pPr>
        <w:spacing w:after="0" w:line="196" w:lineRule="exact"/>
        <w:rPr>
          <w:sz w:val="20"/>
          <w:szCs w:val="20"/>
          <w:color w:val="auto"/>
        </w:rPr>
      </w:pPr>
    </w:p>
    <w:p>
      <w:pPr>
        <w:ind w:left="580" w:right="240" w:hanging="309"/>
        <w:spacing w:after="0" w:line="282" w:lineRule="auto"/>
        <w:tabs>
          <w:tab w:leader="none" w:pos="580" w:val="left"/>
        </w:tabs>
        <w:numPr>
          <w:ilvl w:val="0"/>
          <w:numId w:val="57"/>
        </w:numPr>
        <w:rPr>
          <w:rFonts w:ascii="Arial" w:cs="Arial" w:eastAsia="Arial" w:hAnsi="Arial"/>
          <w:sz w:val="18"/>
          <w:szCs w:val="18"/>
          <w:b w:val="1"/>
          <w:bCs w:val="1"/>
          <w:color w:val="auto"/>
        </w:rPr>
      </w:pPr>
      <w:r>
        <w:rPr>
          <w:rFonts w:ascii="Arial" w:cs="Arial" w:eastAsia="Arial" w:hAnsi="Arial"/>
          <w:sz w:val="18"/>
          <w:szCs w:val="18"/>
          <w:b w:val="1"/>
          <w:bCs w:val="1"/>
          <w:color w:val="auto"/>
        </w:rPr>
        <w:t>WHAT ITEMS WILL BE CONSIDERED AND VOTED ON AT THE 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11430</wp:posOffset>
            </wp:positionV>
            <wp:extent cx="3353435" cy="889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9">
                      <a:extLst>
                        <a:ext uri="{28A0092B-C50C-407E-A947-70E740481C1C}"/>
                      </a:extLst>
                    </a:blip>
                    <a:srcRect/>
                    <a:stretch>
                      <a:fillRect/>
                    </a:stretch>
                  </pic:blipFill>
                  <pic:spPr bwMode="auto">
                    <a:xfrm>
                      <a:off x="0" y="0"/>
                      <a:ext cx="3353435" cy="8890"/>
                    </a:xfrm>
                    <a:prstGeom prst="rect">
                      <a:avLst/>
                    </a:prstGeom>
                    <a:noFill/>
                  </pic:spPr>
                </pic:pic>
              </a:graphicData>
            </a:graphic>
          </wp:anchor>
        </w:drawing>
      </w:r>
    </w:p>
    <w:p>
      <w:pPr>
        <w:spacing w:after="0" w:line="277" w:lineRule="exact"/>
        <w:rPr>
          <w:sz w:val="20"/>
          <w:szCs w:val="20"/>
          <w:color w:val="auto"/>
        </w:rPr>
      </w:pPr>
    </w:p>
    <w:tbl>
      <w:tblPr>
        <w:tblLayout w:type="fixed"/>
        <w:tblInd w:w="200" w:type="dxa"/>
        <w:tblCellMar>
          <w:top w:w="0" w:type="dxa"/>
          <w:left w:w="0" w:type="dxa"/>
          <w:bottom w:w="0" w:type="dxa"/>
          <w:right w:w="0" w:type="dxa"/>
        </w:tblCellMar>
      </w:tblPr>
      <w:tr>
        <w:trPr>
          <w:trHeight w:val="216"/>
        </w:trPr>
        <w:tc>
          <w:tcPr>
            <w:tcW w:w="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920" w:type="dxa"/>
            <w:vAlign w:val="bottom"/>
          </w:tcPr>
          <w:p>
            <w:pPr>
              <w:spacing w:after="0"/>
              <w:rPr>
                <w:sz w:val="18"/>
                <w:szCs w:val="18"/>
                <w:color w:val="auto"/>
              </w:rPr>
            </w:pPr>
          </w:p>
        </w:tc>
        <w:tc>
          <w:tcPr>
            <w:tcW w:w="2140" w:type="dxa"/>
            <w:vAlign w:val="bottom"/>
          </w:tcPr>
          <w:p>
            <w:pPr>
              <w:ind w:left="140"/>
              <w:spacing w:after="0"/>
              <w:rPr>
                <w:sz w:val="20"/>
                <w:szCs w:val="20"/>
                <w:color w:val="auto"/>
              </w:rPr>
            </w:pPr>
            <w:r>
              <w:rPr>
                <w:rFonts w:ascii="Arial" w:cs="Arial" w:eastAsia="Arial" w:hAnsi="Arial"/>
                <w:sz w:val="18"/>
                <w:szCs w:val="18"/>
                <w:b w:val="1"/>
                <w:bCs w:val="1"/>
                <w:color w:val="auto"/>
              </w:rPr>
              <w:t>Board</w:t>
            </w:r>
          </w:p>
        </w:tc>
        <w:tc>
          <w:tcPr>
            <w:tcW w:w="0" w:type="dxa"/>
            <w:vAlign w:val="bottom"/>
          </w:tcPr>
          <w:p>
            <w:pPr>
              <w:spacing w:after="0"/>
              <w:rPr>
                <w:sz w:val="1"/>
                <w:szCs w:val="1"/>
                <w:color w:val="auto"/>
              </w:rPr>
            </w:pPr>
          </w:p>
        </w:tc>
      </w:tr>
      <w:tr>
        <w:trPr>
          <w:trHeight w:val="234"/>
        </w:trPr>
        <w:tc>
          <w:tcPr>
            <w:tcW w:w="3160" w:type="dxa"/>
            <w:vAlign w:val="bottom"/>
            <w:tcBorders>
              <w:bottom w:val="single" w:sz="8" w:color="407CCA"/>
            </w:tcBorders>
            <w:gridSpan w:val="3"/>
          </w:tcPr>
          <w:p>
            <w:pPr>
              <w:spacing w:after="0"/>
              <w:rPr>
                <w:sz w:val="20"/>
                <w:szCs w:val="20"/>
                <w:color w:val="auto"/>
              </w:rPr>
            </w:pPr>
            <w:r>
              <w:rPr>
                <w:rFonts w:ascii="Arial" w:cs="Arial" w:eastAsia="Arial" w:hAnsi="Arial"/>
                <w:sz w:val="18"/>
                <w:szCs w:val="18"/>
                <w:b w:val="1"/>
                <w:bCs w:val="1"/>
                <w:color w:val="auto"/>
              </w:rPr>
              <w:t>Proposal</w:t>
            </w:r>
          </w:p>
        </w:tc>
        <w:tc>
          <w:tcPr>
            <w:tcW w:w="2140" w:type="dxa"/>
            <w:vAlign w:val="bottom"/>
            <w:tcBorders>
              <w:bottom w:val="single" w:sz="8" w:color="407CCA"/>
            </w:tcBorders>
          </w:tcPr>
          <w:p>
            <w:pPr>
              <w:ind w:left="140"/>
              <w:spacing w:after="0"/>
              <w:rPr>
                <w:sz w:val="20"/>
                <w:szCs w:val="20"/>
                <w:color w:val="auto"/>
              </w:rPr>
            </w:pPr>
            <w:r>
              <w:rPr>
                <w:rFonts w:ascii="Arial" w:cs="Arial" w:eastAsia="Arial" w:hAnsi="Arial"/>
                <w:sz w:val="18"/>
                <w:szCs w:val="18"/>
                <w:b w:val="1"/>
                <w:bCs w:val="1"/>
                <w:color w:val="auto"/>
              </w:rPr>
              <w:t>Recommendations</w:t>
            </w:r>
          </w:p>
        </w:tc>
        <w:tc>
          <w:tcPr>
            <w:tcW w:w="0" w:type="dxa"/>
            <w:vAlign w:val="bottom"/>
          </w:tcPr>
          <w:p>
            <w:pPr>
              <w:spacing w:after="0"/>
              <w:rPr>
                <w:sz w:val="1"/>
                <w:szCs w:val="1"/>
                <w:color w:val="auto"/>
              </w:rPr>
            </w:pPr>
          </w:p>
        </w:tc>
      </w:tr>
      <w:tr>
        <w:trPr>
          <w:trHeight w:val="195"/>
        </w:trPr>
        <w:tc>
          <w:tcPr>
            <w:tcW w:w="240" w:type="dxa"/>
            <w:vAlign w:val="bottom"/>
            <w:gridSpan w:val="2"/>
          </w:tcPr>
          <w:p>
            <w:pPr>
              <w:spacing w:after="0" w:line="195" w:lineRule="exact"/>
              <w:rPr>
                <w:sz w:val="20"/>
                <w:szCs w:val="20"/>
                <w:color w:val="auto"/>
              </w:rPr>
            </w:pPr>
            <w:r>
              <w:rPr>
                <w:rFonts w:ascii="Arial" w:cs="Arial" w:eastAsia="Arial" w:hAnsi="Arial"/>
                <w:sz w:val="18"/>
                <w:szCs w:val="18"/>
                <w:color w:val="auto"/>
              </w:rPr>
              <w:t>1)</w:t>
            </w:r>
          </w:p>
        </w:tc>
        <w:tc>
          <w:tcPr>
            <w:tcW w:w="2920" w:type="dxa"/>
            <w:vAlign w:val="bottom"/>
          </w:tcPr>
          <w:p>
            <w:pPr>
              <w:ind w:left="80"/>
              <w:spacing w:after="0" w:line="195" w:lineRule="exact"/>
              <w:rPr>
                <w:sz w:val="20"/>
                <w:szCs w:val="20"/>
                <w:color w:val="auto"/>
              </w:rPr>
            </w:pPr>
            <w:r>
              <w:rPr>
                <w:rFonts w:ascii="Arial" w:cs="Arial" w:eastAsia="Arial" w:hAnsi="Arial"/>
                <w:sz w:val="18"/>
                <w:szCs w:val="18"/>
                <w:color w:val="auto"/>
              </w:rPr>
              <w:t>Election of five directors, each to</w:t>
            </w:r>
          </w:p>
        </w:tc>
        <w:tc>
          <w:tcPr>
            <w:tcW w:w="2140" w:type="dxa"/>
            <w:vAlign w:val="bottom"/>
            <w:vMerge w:val="restart"/>
          </w:tcPr>
          <w:p>
            <w:pPr>
              <w:ind w:left="140"/>
              <w:spacing w:after="0"/>
              <w:rPr>
                <w:sz w:val="20"/>
                <w:szCs w:val="20"/>
                <w:color w:val="auto"/>
              </w:rPr>
            </w:pPr>
            <w:r>
              <w:rPr>
                <w:rFonts w:ascii="Arial" w:cs="Arial" w:eastAsia="Arial" w:hAnsi="Arial"/>
                <w:sz w:val="18"/>
                <w:szCs w:val="18"/>
                <w:b w:val="1"/>
                <w:bCs w:val="1"/>
                <w:color w:val="auto"/>
                <w:w w:val="92"/>
              </w:rPr>
              <w:t xml:space="preserve">FOR </w:t>
            </w:r>
            <w:r>
              <w:rPr>
                <w:rFonts w:ascii="Arial" w:cs="Arial" w:eastAsia="Arial" w:hAnsi="Arial"/>
                <w:sz w:val="18"/>
                <w:szCs w:val="18"/>
                <w:color w:val="auto"/>
                <w:w w:val="92"/>
              </w:rPr>
              <w:t>each of the nominees</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920" w:type="dxa"/>
            <w:vAlign w:val="bottom"/>
          </w:tcPr>
          <w:p>
            <w:pPr>
              <w:ind w:left="100"/>
              <w:spacing w:after="0"/>
              <w:rPr>
                <w:sz w:val="20"/>
                <w:szCs w:val="20"/>
                <w:color w:val="auto"/>
              </w:rPr>
            </w:pPr>
            <w:r>
              <w:rPr>
                <w:rFonts w:ascii="Arial" w:cs="Arial" w:eastAsia="Arial" w:hAnsi="Arial"/>
                <w:sz w:val="18"/>
                <w:szCs w:val="18"/>
                <w:color w:val="auto"/>
                <w:w w:val="93"/>
              </w:rPr>
              <w:t>serve a one-year term and until his or</w:t>
            </w:r>
          </w:p>
        </w:tc>
        <w:tc>
          <w:tcPr>
            <w:tcW w:w="214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920" w:type="dxa"/>
            <w:vAlign w:val="bottom"/>
          </w:tcPr>
          <w:p>
            <w:pPr>
              <w:ind w:left="100"/>
              <w:spacing w:after="0"/>
              <w:rPr>
                <w:sz w:val="20"/>
                <w:szCs w:val="20"/>
                <w:color w:val="auto"/>
              </w:rPr>
            </w:pPr>
            <w:r>
              <w:rPr>
                <w:rFonts w:ascii="Arial" w:cs="Arial" w:eastAsia="Arial" w:hAnsi="Arial"/>
                <w:sz w:val="18"/>
                <w:szCs w:val="18"/>
                <w:color w:val="auto"/>
                <w:w w:val="93"/>
              </w:rPr>
              <w:t>her successor is elected and qualified</w:t>
            </w:r>
          </w:p>
        </w:tc>
        <w:tc>
          <w:tcPr>
            <w:tcW w:w="2140" w:type="dxa"/>
            <w:vAlign w:val="bottom"/>
          </w:tcPr>
          <w:p>
            <w:pPr>
              <w:ind w:left="140"/>
              <w:spacing w:after="0"/>
              <w:rPr>
                <w:sz w:val="20"/>
                <w:szCs w:val="20"/>
                <w:color w:val="auto"/>
              </w:rPr>
            </w:pPr>
            <w:r>
              <w:rPr>
                <w:rFonts w:ascii="Arial" w:cs="Arial" w:eastAsia="Arial" w:hAnsi="Arial"/>
                <w:sz w:val="18"/>
                <w:szCs w:val="18"/>
                <w:color w:val="auto"/>
              </w:rPr>
              <w:t>of the Board of Directors</w:t>
            </w:r>
          </w:p>
        </w:tc>
        <w:tc>
          <w:tcPr>
            <w:tcW w:w="0" w:type="dxa"/>
            <w:vAlign w:val="bottom"/>
          </w:tcPr>
          <w:p>
            <w:pPr>
              <w:spacing w:after="0"/>
              <w:rPr>
                <w:sz w:val="1"/>
                <w:szCs w:val="1"/>
                <w:color w:val="auto"/>
              </w:rPr>
            </w:pPr>
          </w:p>
        </w:tc>
      </w:tr>
      <w:tr>
        <w:trPr>
          <w:trHeight w:val="216"/>
        </w:trPr>
        <w:tc>
          <w:tcPr>
            <w:tcW w:w="240" w:type="dxa"/>
            <w:vAlign w:val="bottom"/>
            <w:gridSpan w:val="2"/>
          </w:tcPr>
          <w:p>
            <w:pPr>
              <w:spacing w:after="0"/>
              <w:rPr>
                <w:sz w:val="20"/>
                <w:szCs w:val="20"/>
                <w:color w:val="auto"/>
              </w:rPr>
            </w:pPr>
            <w:r>
              <w:rPr>
                <w:rFonts w:ascii="Arial" w:cs="Arial" w:eastAsia="Arial" w:hAnsi="Arial"/>
                <w:sz w:val="18"/>
                <w:szCs w:val="18"/>
                <w:color w:val="auto"/>
              </w:rPr>
              <w:t>2)</w:t>
            </w:r>
          </w:p>
        </w:tc>
        <w:tc>
          <w:tcPr>
            <w:tcW w:w="2920" w:type="dxa"/>
            <w:vAlign w:val="bottom"/>
          </w:tcPr>
          <w:p>
            <w:pPr>
              <w:ind w:left="80"/>
              <w:spacing w:after="0"/>
              <w:rPr>
                <w:sz w:val="20"/>
                <w:szCs w:val="20"/>
                <w:color w:val="auto"/>
              </w:rPr>
            </w:pPr>
            <w:r>
              <w:rPr>
                <w:rFonts w:ascii="Arial" w:cs="Arial" w:eastAsia="Arial" w:hAnsi="Arial"/>
                <w:sz w:val="18"/>
                <w:szCs w:val="18"/>
                <w:color w:val="auto"/>
              </w:rPr>
              <w:t>Approve an amendment to the</w:t>
            </w:r>
          </w:p>
        </w:tc>
        <w:tc>
          <w:tcPr>
            <w:tcW w:w="2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920" w:type="dxa"/>
            <w:vAlign w:val="bottom"/>
          </w:tcPr>
          <w:p>
            <w:pPr>
              <w:ind w:left="100"/>
              <w:spacing w:after="0"/>
              <w:rPr>
                <w:sz w:val="20"/>
                <w:szCs w:val="20"/>
                <w:color w:val="auto"/>
              </w:rPr>
            </w:pPr>
            <w:r>
              <w:rPr>
                <w:rFonts w:ascii="Arial" w:cs="Arial" w:eastAsia="Arial" w:hAnsi="Arial"/>
                <w:sz w:val="18"/>
                <w:szCs w:val="18"/>
                <w:color w:val="auto"/>
                <w:w w:val="94"/>
              </w:rPr>
              <w:t>Amended and Restated Certificate of</w:t>
            </w:r>
          </w:p>
        </w:tc>
        <w:tc>
          <w:tcPr>
            <w:tcW w:w="2140" w:type="dxa"/>
            <w:vAlign w:val="bottom"/>
            <w:vMerge w:val="restart"/>
          </w:tcPr>
          <w:p>
            <w:pPr>
              <w:ind w:left="140"/>
              <w:spacing w:after="0"/>
              <w:rPr>
                <w:sz w:val="20"/>
                <w:szCs w:val="20"/>
                <w:color w:val="auto"/>
              </w:rPr>
            </w:pPr>
            <w:r>
              <w:rPr>
                <w:rFonts w:ascii="Arial" w:cs="Arial" w:eastAsia="Arial" w:hAnsi="Arial"/>
                <w:sz w:val="18"/>
                <w:szCs w:val="18"/>
                <w:b w:val="1"/>
                <w:bCs w:val="1"/>
                <w:color w:val="auto"/>
              </w:rPr>
              <w:t xml:space="preserve">FOR </w:t>
            </w:r>
            <w:r>
              <w:rPr>
                <w:rFonts w:ascii="Arial" w:cs="Arial" w:eastAsia="Arial" w:hAnsi="Arial"/>
                <w:sz w:val="18"/>
                <w:szCs w:val="18"/>
                <w:color w:val="auto"/>
              </w:rPr>
              <w:t>increasing</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920" w:type="dxa"/>
            <w:vAlign w:val="bottom"/>
          </w:tcPr>
          <w:p>
            <w:pPr>
              <w:ind w:left="100"/>
              <w:spacing w:after="0"/>
              <w:rPr>
                <w:sz w:val="20"/>
                <w:szCs w:val="20"/>
                <w:color w:val="auto"/>
              </w:rPr>
            </w:pPr>
            <w:r>
              <w:rPr>
                <w:rFonts w:ascii="Arial" w:cs="Arial" w:eastAsia="Arial" w:hAnsi="Arial"/>
                <w:sz w:val="18"/>
                <w:szCs w:val="18"/>
                <w:color w:val="auto"/>
              </w:rPr>
              <w:t>Incorporation to increase the</w:t>
            </w:r>
          </w:p>
        </w:tc>
        <w:tc>
          <w:tcPr>
            <w:tcW w:w="214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920" w:type="dxa"/>
            <w:vAlign w:val="bottom"/>
          </w:tcPr>
          <w:p>
            <w:pPr>
              <w:ind w:left="100"/>
              <w:spacing w:after="0"/>
              <w:rPr>
                <w:sz w:val="20"/>
                <w:szCs w:val="20"/>
                <w:color w:val="auto"/>
              </w:rPr>
            </w:pPr>
            <w:r>
              <w:rPr>
                <w:rFonts w:ascii="Arial" w:cs="Arial" w:eastAsia="Arial" w:hAnsi="Arial"/>
                <w:sz w:val="18"/>
                <w:szCs w:val="18"/>
                <w:color w:val="auto"/>
              </w:rPr>
              <w:t>authorized number of shares of</w:t>
            </w:r>
          </w:p>
        </w:tc>
        <w:tc>
          <w:tcPr>
            <w:tcW w:w="2140" w:type="dxa"/>
            <w:vAlign w:val="bottom"/>
          </w:tcPr>
          <w:p>
            <w:pPr>
              <w:ind w:left="140"/>
              <w:spacing w:after="0"/>
              <w:rPr>
                <w:sz w:val="20"/>
                <w:szCs w:val="20"/>
                <w:color w:val="auto"/>
              </w:rPr>
            </w:pPr>
            <w:r>
              <w:rPr>
                <w:rFonts w:ascii="Arial" w:cs="Arial" w:eastAsia="Arial" w:hAnsi="Arial"/>
                <w:sz w:val="18"/>
                <w:szCs w:val="18"/>
                <w:color w:val="auto"/>
                <w:w w:val="98"/>
              </w:rPr>
              <w:t>the number of authorized</w:t>
            </w:r>
          </w:p>
        </w:tc>
        <w:tc>
          <w:tcPr>
            <w:tcW w:w="0" w:type="dxa"/>
            <w:vAlign w:val="bottom"/>
          </w:tcPr>
          <w:p>
            <w:pPr>
              <w:spacing w:after="0"/>
              <w:rPr>
                <w:sz w:val="1"/>
                <w:szCs w:val="1"/>
                <w:color w:val="auto"/>
              </w:rPr>
            </w:pPr>
          </w:p>
        </w:tc>
      </w:tr>
      <w:tr>
        <w:trPr>
          <w:trHeight w:val="212"/>
        </w:trPr>
        <w:tc>
          <w:tcPr>
            <w:tcW w:w="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920" w:type="dxa"/>
            <w:vAlign w:val="bottom"/>
          </w:tcPr>
          <w:p>
            <w:pPr>
              <w:ind w:left="100"/>
              <w:spacing w:after="0"/>
              <w:rPr>
                <w:sz w:val="20"/>
                <w:szCs w:val="20"/>
                <w:color w:val="auto"/>
              </w:rPr>
            </w:pPr>
            <w:r>
              <w:rPr>
                <w:rFonts w:ascii="Arial" w:cs="Arial" w:eastAsia="Arial" w:hAnsi="Arial"/>
                <w:sz w:val="18"/>
                <w:szCs w:val="18"/>
                <w:color w:val="auto"/>
              </w:rPr>
              <w:t>common stock</w:t>
            </w:r>
          </w:p>
        </w:tc>
        <w:tc>
          <w:tcPr>
            <w:tcW w:w="2140" w:type="dxa"/>
            <w:vAlign w:val="bottom"/>
          </w:tcPr>
          <w:p>
            <w:pPr>
              <w:ind w:left="140"/>
              <w:spacing w:after="0"/>
              <w:rPr>
                <w:sz w:val="20"/>
                <w:szCs w:val="20"/>
                <w:color w:val="auto"/>
              </w:rPr>
            </w:pPr>
            <w:r>
              <w:rPr>
                <w:rFonts w:ascii="Arial" w:cs="Arial" w:eastAsia="Arial" w:hAnsi="Arial"/>
                <w:sz w:val="18"/>
                <w:szCs w:val="18"/>
                <w:color w:val="auto"/>
              </w:rPr>
              <w:t>common shares</w:t>
            </w:r>
          </w:p>
        </w:tc>
        <w:tc>
          <w:tcPr>
            <w:tcW w:w="0" w:type="dxa"/>
            <w:vAlign w:val="bottom"/>
          </w:tcPr>
          <w:p>
            <w:pPr>
              <w:spacing w:after="0"/>
              <w:rPr>
                <w:sz w:val="1"/>
                <w:szCs w:val="1"/>
                <w:color w:val="auto"/>
              </w:rPr>
            </w:pPr>
          </w:p>
        </w:tc>
      </w:tr>
      <w:tr>
        <w:trPr>
          <w:trHeight w:val="220"/>
        </w:trPr>
        <w:tc>
          <w:tcPr>
            <w:tcW w:w="240" w:type="dxa"/>
            <w:vAlign w:val="bottom"/>
            <w:gridSpan w:val="2"/>
          </w:tcPr>
          <w:p>
            <w:pPr>
              <w:spacing w:after="0"/>
              <w:rPr>
                <w:sz w:val="20"/>
                <w:szCs w:val="20"/>
                <w:color w:val="auto"/>
              </w:rPr>
            </w:pPr>
            <w:r>
              <w:rPr>
                <w:rFonts w:ascii="Arial" w:cs="Arial" w:eastAsia="Arial" w:hAnsi="Arial"/>
                <w:sz w:val="18"/>
                <w:szCs w:val="18"/>
                <w:color w:val="auto"/>
              </w:rPr>
              <w:t>3)</w:t>
            </w:r>
          </w:p>
        </w:tc>
        <w:tc>
          <w:tcPr>
            <w:tcW w:w="2920" w:type="dxa"/>
            <w:vAlign w:val="bottom"/>
          </w:tcPr>
          <w:p>
            <w:pPr>
              <w:ind w:left="80"/>
              <w:spacing w:after="0"/>
              <w:rPr>
                <w:sz w:val="20"/>
                <w:szCs w:val="20"/>
                <w:color w:val="auto"/>
              </w:rPr>
            </w:pPr>
            <w:r>
              <w:rPr>
                <w:rFonts w:ascii="Arial" w:cs="Arial" w:eastAsia="Arial" w:hAnsi="Arial"/>
                <w:sz w:val="18"/>
                <w:szCs w:val="18"/>
                <w:color w:val="auto"/>
              </w:rPr>
              <w:t>Approve an advisory resolution on</w:t>
            </w:r>
          </w:p>
        </w:tc>
        <w:tc>
          <w:tcPr>
            <w:tcW w:w="2140" w:type="dxa"/>
            <w:vAlign w:val="bottom"/>
          </w:tcPr>
          <w:p>
            <w:pPr>
              <w:ind w:left="140"/>
              <w:spacing w:after="0"/>
              <w:rPr>
                <w:sz w:val="20"/>
                <w:szCs w:val="20"/>
                <w:color w:val="auto"/>
              </w:rPr>
            </w:pPr>
            <w:r>
              <w:rPr>
                <w:rFonts w:ascii="Arial" w:cs="Arial" w:eastAsia="Arial" w:hAnsi="Arial"/>
                <w:sz w:val="18"/>
                <w:szCs w:val="18"/>
                <w:b w:val="1"/>
                <w:bCs w:val="1"/>
                <w:color w:val="auto"/>
              </w:rPr>
              <w:t xml:space="preserve">FOR </w:t>
            </w:r>
            <w:r>
              <w:rPr>
                <w:rFonts w:ascii="Arial" w:cs="Arial" w:eastAsia="Arial" w:hAnsi="Arial"/>
                <w:sz w:val="18"/>
                <w:szCs w:val="18"/>
                <w:color w:val="auto"/>
              </w:rPr>
              <w:t>the advisory</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920" w:type="dxa"/>
            <w:vAlign w:val="bottom"/>
          </w:tcPr>
          <w:p>
            <w:pPr>
              <w:ind w:left="100"/>
              <w:spacing w:after="0"/>
              <w:rPr>
                <w:sz w:val="20"/>
                <w:szCs w:val="20"/>
                <w:color w:val="auto"/>
              </w:rPr>
            </w:pPr>
            <w:r>
              <w:rPr>
                <w:rFonts w:ascii="Arial" w:cs="Arial" w:eastAsia="Arial" w:hAnsi="Arial"/>
                <w:sz w:val="18"/>
                <w:szCs w:val="18"/>
                <w:color w:val="auto"/>
              </w:rPr>
              <w:t>executive compensation</w:t>
            </w:r>
          </w:p>
        </w:tc>
        <w:tc>
          <w:tcPr>
            <w:tcW w:w="2140" w:type="dxa"/>
            <w:vAlign w:val="bottom"/>
          </w:tcPr>
          <w:p>
            <w:pPr>
              <w:ind w:left="140"/>
              <w:spacing w:after="0"/>
              <w:rPr>
                <w:sz w:val="20"/>
                <w:szCs w:val="20"/>
                <w:color w:val="auto"/>
              </w:rPr>
            </w:pPr>
            <w:r>
              <w:rPr>
                <w:rFonts w:ascii="Arial" w:cs="Arial" w:eastAsia="Arial" w:hAnsi="Arial"/>
                <w:sz w:val="18"/>
                <w:szCs w:val="18"/>
                <w:color w:val="auto"/>
              </w:rPr>
              <w:t>resolution</w:t>
            </w:r>
          </w:p>
        </w:tc>
        <w:tc>
          <w:tcPr>
            <w:tcW w:w="0" w:type="dxa"/>
            <w:vAlign w:val="bottom"/>
          </w:tcPr>
          <w:p>
            <w:pPr>
              <w:spacing w:after="0"/>
              <w:rPr>
                <w:sz w:val="1"/>
                <w:szCs w:val="1"/>
                <w:color w:val="auto"/>
              </w:rPr>
            </w:pPr>
          </w:p>
        </w:tc>
      </w:tr>
      <w:tr>
        <w:trPr>
          <w:trHeight w:val="216"/>
        </w:trPr>
        <w:tc>
          <w:tcPr>
            <w:tcW w:w="240" w:type="dxa"/>
            <w:vAlign w:val="bottom"/>
            <w:gridSpan w:val="2"/>
          </w:tcPr>
          <w:p>
            <w:pPr>
              <w:spacing w:after="0"/>
              <w:rPr>
                <w:sz w:val="20"/>
                <w:szCs w:val="20"/>
                <w:color w:val="auto"/>
              </w:rPr>
            </w:pPr>
            <w:r>
              <w:rPr>
                <w:rFonts w:ascii="Arial" w:cs="Arial" w:eastAsia="Arial" w:hAnsi="Arial"/>
                <w:sz w:val="18"/>
                <w:szCs w:val="18"/>
                <w:color w:val="auto"/>
              </w:rPr>
              <w:t>4)</w:t>
            </w:r>
          </w:p>
        </w:tc>
        <w:tc>
          <w:tcPr>
            <w:tcW w:w="2920" w:type="dxa"/>
            <w:vAlign w:val="bottom"/>
          </w:tcPr>
          <w:p>
            <w:pPr>
              <w:ind w:left="80"/>
              <w:spacing w:after="0"/>
              <w:rPr>
                <w:sz w:val="20"/>
                <w:szCs w:val="20"/>
                <w:color w:val="auto"/>
              </w:rPr>
            </w:pPr>
            <w:r>
              <w:rPr>
                <w:rFonts w:ascii="Arial" w:cs="Arial" w:eastAsia="Arial" w:hAnsi="Arial"/>
                <w:sz w:val="18"/>
                <w:szCs w:val="18"/>
                <w:color w:val="auto"/>
              </w:rPr>
              <w:t>Ratification of the appointment of</w:t>
            </w:r>
          </w:p>
        </w:tc>
        <w:tc>
          <w:tcPr>
            <w:tcW w:w="2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920" w:type="dxa"/>
            <w:vAlign w:val="bottom"/>
          </w:tcPr>
          <w:p>
            <w:pPr>
              <w:ind w:left="100"/>
              <w:spacing w:after="0"/>
              <w:rPr>
                <w:sz w:val="20"/>
                <w:szCs w:val="20"/>
                <w:color w:val="auto"/>
              </w:rPr>
            </w:pPr>
            <w:r>
              <w:rPr>
                <w:rFonts w:ascii="Arial" w:cs="Arial" w:eastAsia="Arial" w:hAnsi="Arial"/>
                <w:sz w:val="18"/>
                <w:szCs w:val="18"/>
                <w:color w:val="auto"/>
              </w:rPr>
              <w:t>Ernst &amp; Young LLP to serve as our</w:t>
            </w:r>
          </w:p>
        </w:tc>
        <w:tc>
          <w:tcPr>
            <w:tcW w:w="2140" w:type="dxa"/>
            <w:vAlign w:val="bottom"/>
            <w:vMerge w:val="restart"/>
          </w:tcPr>
          <w:p>
            <w:pPr>
              <w:ind w:left="140"/>
              <w:spacing w:after="0"/>
              <w:rPr>
                <w:sz w:val="20"/>
                <w:szCs w:val="20"/>
                <w:color w:val="auto"/>
              </w:rPr>
            </w:pPr>
            <w:r>
              <w:rPr>
                <w:rFonts w:ascii="Arial" w:cs="Arial" w:eastAsia="Arial" w:hAnsi="Arial"/>
                <w:sz w:val="18"/>
                <w:szCs w:val="18"/>
                <w:b w:val="1"/>
                <w:bCs w:val="1"/>
                <w:color w:val="auto"/>
              </w:rPr>
              <w:t xml:space="preserve">FOR </w:t>
            </w:r>
            <w:r>
              <w:rPr>
                <w:rFonts w:ascii="Arial" w:cs="Arial" w:eastAsia="Arial" w:hAnsi="Arial"/>
                <w:sz w:val="18"/>
                <w:szCs w:val="18"/>
                <w:color w:val="auto"/>
              </w:rPr>
              <w:t>the ratification of</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920" w:type="dxa"/>
            <w:vAlign w:val="bottom"/>
          </w:tcPr>
          <w:p>
            <w:pPr>
              <w:ind w:left="100"/>
              <w:spacing w:after="0"/>
              <w:rPr>
                <w:sz w:val="20"/>
                <w:szCs w:val="20"/>
                <w:color w:val="auto"/>
              </w:rPr>
            </w:pPr>
            <w:r>
              <w:rPr>
                <w:rFonts w:ascii="Arial" w:cs="Arial" w:eastAsia="Arial" w:hAnsi="Arial"/>
                <w:sz w:val="18"/>
                <w:szCs w:val="18"/>
                <w:color w:val="auto"/>
              </w:rPr>
              <w:t>independent public accountant for</w:t>
            </w:r>
          </w:p>
        </w:tc>
        <w:tc>
          <w:tcPr>
            <w:tcW w:w="214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220" w:type="dxa"/>
            <w:vAlign w:val="bottom"/>
            <w:tcBorders>
              <w:bottom w:val="single" w:sz="8" w:color="407CCA"/>
            </w:tcBorders>
          </w:tcPr>
          <w:p>
            <w:pPr>
              <w:spacing w:after="0"/>
              <w:rPr>
                <w:sz w:val="20"/>
                <w:szCs w:val="20"/>
                <w:color w:val="auto"/>
              </w:rPr>
            </w:pPr>
          </w:p>
        </w:tc>
        <w:tc>
          <w:tcPr>
            <w:tcW w:w="2920" w:type="dxa"/>
            <w:vAlign w:val="bottom"/>
            <w:tcBorders>
              <w:bottom w:val="single" w:sz="8" w:color="407CCA"/>
            </w:tcBorders>
          </w:tcPr>
          <w:p>
            <w:pPr>
              <w:ind w:left="100"/>
              <w:spacing w:after="0"/>
              <w:rPr>
                <w:sz w:val="20"/>
                <w:szCs w:val="20"/>
                <w:color w:val="auto"/>
              </w:rPr>
            </w:pPr>
            <w:r>
              <w:rPr>
                <w:rFonts w:ascii="Arial" w:cs="Arial" w:eastAsia="Arial" w:hAnsi="Arial"/>
                <w:sz w:val="18"/>
                <w:szCs w:val="18"/>
                <w:color w:val="auto"/>
                <w:w w:val="97"/>
              </w:rPr>
              <w:t>the year ending December 31, 2018</w:t>
            </w:r>
          </w:p>
        </w:tc>
        <w:tc>
          <w:tcPr>
            <w:tcW w:w="2140" w:type="dxa"/>
            <w:vAlign w:val="bottom"/>
            <w:tcBorders>
              <w:bottom w:val="single" w:sz="8" w:color="407CCA"/>
            </w:tcBorders>
          </w:tcPr>
          <w:p>
            <w:pPr>
              <w:ind w:left="140"/>
              <w:spacing w:after="0"/>
              <w:rPr>
                <w:sz w:val="20"/>
                <w:szCs w:val="20"/>
                <w:color w:val="auto"/>
              </w:rPr>
            </w:pPr>
            <w:r>
              <w:rPr>
                <w:rFonts w:ascii="Arial" w:cs="Arial" w:eastAsia="Arial" w:hAnsi="Arial"/>
                <w:sz w:val="18"/>
                <w:szCs w:val="18"/>
                <w:color w:val="auto"/>
              </w:rPr>
              <w:t>appointment</w:t>
            </w:r>
          </w:p>
        </w:tc>
        <w:tc>
          <w:tcPr>
            <w:tcW w:w="0" w:type="dxa"/>
            <w:vAlign w:val="bottom"/>
          </w:tcPr>
          <w:p>
            <w:pPr>
              <w:spacing w:after="0"/>
              <w:rPr>
                <w:sz w:val="1"/>
                <w:szCs w:val="1"/>
                <w:color w:val="auto"/>
              </w:rPr>
            </w:pPr>
          </w:p>
        </w:tc>
      </w:tr>
    </w:tbl>
    <w:p>
      <w:pPr>
        <w:spacing w:after="0" w:line="265"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68</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pacing w:after="0" w:line="20" w:lineRule="exact"/>
        <w:rPr>
          <w:sz w:val="20"/>
          <w:szCs w:val="20"/>
          <w:color w:val="auto"/>
        </w:rPr>
      </w:pPr>
      <w:r>
        <w:rPr>
          <w:sz w:val="20"/>
          <w:szCs w:val="20"/>
          <w:color w:val="auto"/>
        </w:rPr>
        <w:br w:type="column"/>
      </w:r>
    </w:p>
    <w:p>
      <w:pPr>
        <w:spacing w:after="0" w:line="389" w:lineRule="exact"/>
        <w:rPr>
          <w:sz w:val="20"/>
          <w:szCs w:val="20"/>
          <w:color w:val="auto"/>
        </w:rPr>
      </w:pPr>
    </w:p>
    <w:p>
      <w:pPr>
        <w:ind w:right="20"/>
        <w:spacing w:after="0" w:line="293" w:lineRule="auto"/>
        <w:rPr>
          <w:sz w:val="20"/>
          <w:szCs w:val="20"/>
          <w:color w:val="auto"/>
        </w:rPr>
      </w:pPr>
      <w:r>
        <w:rPr>
          <w:rFonts w:ascii="Arial" w:cs="Arial" w:eastAsia="Arial" w:hAnsi="Arial"/>
          <w:sz w:val="16"/>
          <w:szCs w:val="16"/>
          <w:color w:val="auto"/>
        </w:rPr>
        <w:t>The Board of Directors does not intend to bring other matters before the Annual Meeting except items incidental to the conduct of the meeting. However, on all other matters properly brought before the meeting, or any postponement or adjournment thereof, by the Board of Directors or others, the persons named as proxies in the accompanying proxy card, or their substitutes, will vote in accordance with their discretion.</w:t>
      </w:r>
    </w:p>
    <w:p>
      <w:pPr>
        <w:spacing w:after="0" w:line="188" w:lineRule="exact"/>
        <w:rPr>
          <w:sz w:val="20"/>
          <w:szCs w:val="20"/>
          <w:color w:val="auto"/>
        </w:rPr>
      </w:pPr>
    </w:p>
    <w:p>
      <w:pPr>
        <w:ind w:left="80"/>
        <w:spacing w:after="0"/>
        <w:tabs>
          <w:tab w:leader="none" w:pos="360" w:val="left"/>
        </w:tabs>
        <w:rPr>
          <w:sz w:val="20"/>
          <w:szCs w:val="20"/>
          <w:color w:val="auto"/>
        </w:rPr>
      </w:pPr>
      <w:r>
        <w:rPr>
          <w:rFonts w:ascii="Arial" w:cs="Arial" w:eastAsia="Arial" w:hAnsi="Arial"/>
          <w:sz w:val="18"/>
          <w:szCs w:val="18"/>
          <w:b w:val="1"/>
          <w:bCs w:val="1"/>
          <w:color w:val="auto"/>
        </w:rPr>
        <w:t>3.</w:t>
      </w:r>
      <w:r>
        <w:rPr>
          <w:sz w:val="20"/>
          <w:szCs w:val="20"/>
          <w:color w:val="auto"/>
        </w:rPr>
        <w:tab/>
      </w:r>
      <w:r>
        <w:rPr>
          <w:rFonts w:ascii="Arial" w:cs="Arial" w:eastAsia="Arial" w:hAnsi="Arial"/>
          <w:sz w:val="17"/>
          <w:szCs w:val="17"/>
          <w:b w:val="1"/>
          <w:bCs w:val="1"/>
          <w:color w:val="auto"/>
        </w:rPr>
        <w:t>WHAT IS A PROXY?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60325</wp:posOffset>
            </wp:positionV>
            <wp:extent cx="3422015" cy="889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0">
                      <a:extLst>
                        <a:ext uri="{28A0092B-C50C-407E-A947-70E740481C1C}"/>
                      </a:extLst>
                    </a:blip>
                    <a:srcRect/>
                    <a:stretch>
                      <a:fillRect/>
                    </a:stretch>
                  </pic:blipFill>
                  <pic:spPr bwMode="auto">
                    <a:xfrm>
                      <a:off x="0" y="0"/>
                      <a:ext cx="3422015" cy="8890"/>
                    </a:xfrm>
                    <a:prstGeom prst="rect">
                      <a:avLst/>
                    </a:prstGeom>
                    <a:noFill/>
                  </pic:spPr>
                </pic:pic>
              </a:graphicData>
            </a:graphic>
          </wp:anchor>
        </w:drawing>
      </w:r>
    </w:p>
    <w:p>
      <w:pPr>
        <w:spacing w:after="0" w:line="182" w:lineRule="exact"/>
        <w:rPr>
          <w:sz w:val="20"/>
          <w:szCs w:val="20"/>
          <w:color w:val="auto"/>
        </w:rPr>
      </w:pPr>
    </w:p>
    <w:p>
      <w:pPr>
        <w:spacing w:after="0" w:line="276" w:lineRule="auto"/>
        <w:rPr>
          <w:sz w:val="20"/>
          <w:szCs w:val="20"/>
          <w:color w:val="auto"/>
        </w:rPr>
      </w:pPr>
      <w:r>
        <w:rPr>
          <w:rFonts w:ascii="Arial" w:cs="Arial" w:eastAsia="Arial" w:hAnsi="Arial"/>
          <w:sz w:val="17"/>
          <w:szCs w:val="17"/>
          <w:color w:val="auto"/>
        </w:rPr>
        <w:t>It is your legal designation of another person to vote the stock you own. That other person is called a proxy. If you designate someone as your proxy in a written document, that document is also called a proxy or a proxy card. Peter J. Federico and Kenneth L. Pollack have been designated as proxies by the Board of Directors for the Annual Meeting.</w:t>
      </w:r>
    </w:p>
    <w:p>
      <w:pPr>
        <w:spacing w:after="0" w:line="196" w:lineRule="exact"/>
        <w:rPr>
          <w:sz w:val="20"/>
          <w:szCs w:val="20"/>
          <w:color w:val="auto"/>
        </w:rPr>
      </w:pPr>
    </w:p>
    <w:p>
      <w:pPr>
        <w:ind w:left="380" w:right="660" w:hanging="309"/>
        <w:spacing w:after="0" w:line="282" w:lineRule="auto"/>
        <w:tabs>
          <w:tab w:leader="none" w:pos="380" w:val="left"/>
        </w:tabs>
        <w:numPr>
          <w:ilvl w:val="0"/>
          <w:numId w:val="58"/>
        </w:numPr>
        <w:rPr>
          <w:rFonts w:ascii="Arial" w:cs="Arial" w:eastAsia="Arial" w:hAnsi="Arial"/>
          <w:sz w:val="18"/>
          <w:szCs w:val="18"/>
          <w:b w:val="1"/>
          <w:bCs w:val="1"/>
          <w:color w:val="auto"/>
        </w:rPr>
      </w:pPr>
      <w:r>
        <w:rPr>
          <w:rFonts w:ascii="Arial" w:cs="Arial" w:eastAsia="Arial" w:hAnsi="Arial"/>
          <w:sz w:val="18"/>
          <w:szCs w:val="18"/>
          <w:b w:val="1"/>
          <w:bCs w:val="1"/>
          <w:color w:val="auto"/>
        </w:rPr>
        <w:t>WHAT IS THE RECORD DATE AND WHAT DOES IT MEAN?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11430</wp:posOffset>
            </wp:positionV>
            <wp:extent cx="3422015" cy="889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1">
                      <a:extLst>
                        <a:ext uri="{28A0092B-C50C-407E-A947-70E740481C1C}"/>
                      </a:extLst>
                    </a:blip>
                    <a:srcRect/>
                    <a:stretch>
                      <a:fillRect/>
                    </a:stretch>
                  </pic:blipFill>
                  <pic:spPr bwMode="auto">
                    <a:xfrm>
                      <a:off x="0" y="0"/>
                      <a:ext cx="3422015" cy="8890"/>
                    </a:xfrm>
                    <a:prstGeom prst="rect">
                      <a:avLst/>
                    </a:prstGeom>
                    <a:noFill/>
                  </pic:spPr>
                </pic:pic>
              </a:graphicData>
            </a:graphic>
          </wp:anchor>
        </w:drawing>
      </w:r>
    </w:p>
    <w:p>
      <w:pPr>
        <w:spacing w:after="0" w:line="105" w:lineRule="exact"/>
        <w:rPr>
          <w:sz w:val="20"/>
          <w:szCs w:val="20"/>
          <w:color w:val="auto"/>
        </w:rPr>
      </w:pPr>
    </w:p>
    <w:p>
      <w:pPr>
        <w:ind w:right="60"/>
        <w:spacing w:after="0" w:line="259" w:lineRule="auto"/>
        <w:rPr>
          <w:sz w:val="20"/>
          <w:szCs w:val="20"/>
          <w:color w:val="auto"/>
        </w:rPr>
      </w:pPr>
      <w:r>
        <w:rPr>
          <w:rFonts w:ascii="Arial" w:cs="Arial" w:eastAsia="Arial" w:hAnsi="Arial"/>
          <w:sz w:val="18"/>
          <w:szCs w:val="18"/>
          <w:color w:val="auto"/>
        </w:rPr>
        <w:t>The record date for the Annual Meeting is February 26, 2018 (the “record date”). The record date is established by the Board of Directors and only common stockholders of record at the close of business on the record date are entitled to:</w:t>
      </w:r>
    </w:p>
    <w:p>
      <w:pPr>
        <w:spacing w:after="0" w:line="92" w:lineRule="exact"/>
        <w:rPr>
          <w:sz w:val="20"/>
          <w:szCs w:val="20"/>
          <w:color w:val="auto"/>
        </w:rPr>
      </w:pPr>
    </w:p>
    <w:p>
      <w:pPr>
        <w:ind w:left="740" w:hanging="371"/>
        <w:spacing w:after="0"/>
        <w:tabs>
          <w:tab w:leader="none" w:pos="740" w:val="left"/>
        </w:tabs>
        <w:numPr>
          <w:ilvl w:val="0"/>
          <w:numId w:val="59"/>
        </w:numPr>
        <w:rPr>
          <w:rFonts w:ascii="Arial" w:cs="Arial" w:eastAsia="Arial" w:hAnsi="Arial"/>
          <w:sz w:val="18"/>
          <w:szCs w:val="18"/>
          <w:color w:val="auto"/>
        </w:rPr>
      </w:pPr>
      <w:r>
        <w:rPr>
          <w:rFonts w:ascii="Arial" w:cs="Arial" w:eastAsia="Arial" w:hAnsi="Arial"/>
          <w:sz w:val="18"/>
          <w:szCs w:val="18"/>
          <w:color w:val="auto"/>
        </w:rPr>
        <w:t>receive notice of the meeting; and</w:t>
      </w:r>
    </w:p>
    <w:p>
      <w:pPr>
        <w:spacing w:after="0" w:line="130" w:lineRule="exact"/>
        <w:rPr>
          <w:rFonts w:ascii="Arial" w:cs="Arial" w:eastAsia="Arial" w:hAnsi="Arial"/>
          <w:sz w:val="18"/>
          <w:szCs w:val="18"/>
          <w:color w:val="auto"/>
        </w:rPr>
      </w:pPr>
    </w:p>
    <w:p>
      <w:pPr>
        <w:ind w:left="740" w:right="20" w:hanging="371"/>
        <w:spacing w:after="0" w:line="277" w:lineRule="auto"/>
        <w:tabs>
          <w:tab w:leader="none" w:pos="740" w:val="left"/>
        </w:tabs>
        <w:numPr>
          <w:ilvl w:val="0"/>
          <w:numId w:val="59"/>
        </w:numPr>
        <w:rPr>
          <w:rFonts w:ascii="Arial" w:cs="Arial" w:eastAsia="Arial" w:hAnsi="Arial"/>
          <w:sz w:val="18"/>
          <w:szCs w:val="18"/>
          <w:color w:val="auto"/>
        </w:rPr>
      </w:pPr>
      <w:r>
        <w:rPr>
          <w:rFonts w:ascii="Arial" w:cs="Arial" w:eastAsia="Arial" w:hAnsi="Arial"/>
          <w:sz w:val="18"/>
          <w:szCs w:val="18"/>
          <w:color w:val="auto"/>
        </w:rPr>
        <w:t>vote at the meeting and any postponement or adjournment of the meeting.</w:t>
      </w:r>
    </w:p>
    <w:p>
      <w:pPr>
        <w:spacing w:after="0" w:line="62" w:lineRule="exact"/>
        <w:rPr>
          <w:sz w:val="20"/>
          <w:szCs w:val="20"/>
          <w:color w:val="auto"/>
        </w:rPr>
      </w:pPr>
    </w:p>
    <w:p>
      <w:pPr>
        <w:ind w:right="120"/>
        <w:spacing w:after="0" w:line="291" w:lineRule="auto"/>
        <w:rPr>
          <w:sz w:val="20"/>
          <w:szCs w:val="20"/>
          <w:color w:val="auto"/>
        </w:rPr>
      </w:pPr>
      <w:r>
        <w:rPr>
          <w:rFonts w:ascii="Arial" w:cs="Arial" w:eastAsia="Arial" w:hAnsi="Arial"/>
          <w:sz w:val="16"/>
          <w:szCs w:val="16"/>
          <w:color w:val="auto"/>
        </w:rPr>
        <w:t>Each common stockholder of record on the record date is entitled to one vote for each share of common stock held. On the record date, there were</w:t>
      </w:r>
    </w:p>
    <w:p>
      <w:pPr>
        <w:ind w:left="580"/>
        <w:spacing w:after="0"/>
        <w:rPr>
          <w:sz w:val="20"/>
          <w:szCs w:val="20"/>
          <w:color w:val="auto"/>
        </w:rPr>
      </w:pPr>
      <w:r>
        <w:rPr>
          <w:rFonts w:ascii="Arial" w:cs="Arial" w:eastAsia="Arial" w:hAnsi="Arial"/>
          <w:sz w:val="18"/>
          <w:szCs w:val="18"/>
          <w:color w:val="auto"/>
        </w:rPr>
        <w:t>shares of common stock outstanding.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-19050</wp:posOffset>
            </wp:positionV>
            <wp:extent cx="339725" cy="889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2">
                      <a:extLst>
                        <a:ext uri="{28A0092B-C50C-407E-A947-70E740481C1C}"/>
                      </a:extLst>
                    </a:blip>
                    <a:srcRect/>
                    <a:stretch>
                      <a:fillRect/>
                    </a:stretch>
                  </pic:blipFill>
                  <pic:spPr bwMode="auto">
                    <a:xfrm>
                      <a:off x="0" y="0"/>
                      <a:ext cx="339725" cy="8890"/>
                    </a:xfrm>
                    <a:prstGeom prst="rect">
                      <a:avLst/>
                    </a:prstGeom>
                    <a:noFill/>
                  </pic:spPr>
                </pic:pic>
              </a:graphicData>
            </a:graphic>
          </wp:anchor>
        </w:drawing>
      </w:r>
    </w:p>
    <w:p>
      <w:pPr>
        <w:sectPr>
          <w:pgSz w:w="11900" w:h="16838" w:orient="portrait"/>
          <w:cols w:equalWidth="0" w:num="2">
            <w:col w:w="5500" w:space="320"/>
            <w:col w:w="5400"/>
          </w:cols>
          <w:pgMar w:left="240" w:top="459" w:right="439" w:bottom="1440" w:gutter="0" w:footer="0" w:header="0"/>
          <w:type w:val="continuous"/>
        </w:sectPr>
      </w:pPr>
    </w:p>
    <w:bookmarkStart w:id="72" w:name="page73"/>
    <w:bookmarkEnd w:id="7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QUESTIONS AND ANSWERS ABOUT THE 2018 ANNUAL MEETING AND VOTING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4">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ectPr>
          <w:pgSz w:w="11900" w:h="16838" w:orient="portrait"/>
          <w:cols w:equalWidth="0" w:num="1">
            <w:col w:w="11220"/>
          </w:cols>
          <w:pgMar w:left="240" w:top="459" w:right="439" w:bottom="1440" w:gutter="0" w:footer="0" w:header="0"/>
        </w:sectPr>
      </w:pPr>
    </w:p>
    <w:p>
      <w:pPr>
        <w:spacing w:after="0" w:line="299" w:lineRule="exact"/>
        <w:rPr>
          <w:sz w:val="20"/>
          <w:szCs w:val="20"/>
          <w:color w:val="auto"/>
        </w:rPr>
      </w:pPr>
    </w:p>
    <w:p>
      <w:pPr>
        <w:ind w:left="580" w:right="280" w:hanging="309"/>
        <w:spacing w:after="0" w:line="266" w:lineRule="auto"/>
        <w:tabs>
          <w:tab w:leader="none" w:pos="580" w:val="left"/>
        </w:tabs>
        <w:numPr>
          <w:ilvl w:val="0"/>
          <w:numId w:val="60"/>
        </w:numPr>
        <w:rPr>
          <w:rFonts w:ascii="Arial" w:cs="Arial" w:eastAsia="Arial" w:hAnsi="Arial"/>
          <w:sz w:val="18"/>
          <w:szCs w:val="18"/>
          <w:b w:val="1"/>
          <w:bCs w:val="1"/>
          <w:color w:val="auto"/>
        </w:rPr>
      </w:pPr>
      <w:r>
        <w:rPr>
          <w:rFonts w:ascii="Arial" w:cs="Arial" w:eastAsia="Arial" w:hAnsi="Arial"/>
          <w:sz w:val="18"/>
          <w:szCs w:val="18"/>
          <w:b w:val="1"/>
          <w:bCs w:val="1"/>
          <w:color w:val="auto"/>
        </w:rPr>
        <w:t>WHAT IS THE DIFFERENCE BETWEEN A STOCKHOLDER OF RECORD AND A STOCKHOLDER WHO HOLDS STOCK IN STREET 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29210</wp:posOffset>
            </wp:positionV>
            <wp:extent cx="3353435" cy="889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5">
                      <a:extLst>
                        <a:ext uri="{28A0092B-C50C-407E-A947-70E740481C1C}"/>
                      </a:extLst>
                    </a:blip>
                    <a:srcRect/>
                    <a:stretch>
                      <a:fillRect/>
                    </a:stretch>
                  </pic:blipFill>
                  <pic:spPr bwMode="auto">
                    <a:xfrm>
                      <a:off x="0" y="0"/>
                      <a:ext cx="3353435" cy="8890"/>
                    </a:xfrm>
                    <a:prstGeom prst="rect">
                      <a:avLst/>
                    </a:prstGeom>
                    <a:noFill/>
                  </pic:spPr>
                </pic:pic>
              </a:graphicData>
            </a:graphic>
          </wp:anchor>
        </w:drawing>
      </w:r>
    </w:p>
    <w:p>
      <w:pPr>
        <w:spacing w:after="0" w:line="133" w:lineRule="exact"/>
        <w:rPr>
          <w:sz w:val="20"/>
          <w:szCs w:val="20"/>
          <w:color w:val="auto"/>
        </w:rPr>
      </w:pPr>
    </w:p>
    <w:p>
      <w:pPr>
        <w:ind w:left="220"/>
        <w:spacing w:after="0" w:line="264" w:lineRule="auto"/>
        <w:rPr>
          <w:sz w:val="20"/>
          <w:szCs w:val="20"/>
          <w:color w:val="auto"/>
        </w:rPr>
      </w:pPr>
      <w:r>
        <w:rPr>
          <w:rFonts w:ascii="Arial" w:cs="Arial" w:eastAsia="Arial" w:hAnsi="Arial"/>
          <w:sz w:val="18"/>
          <w:szCs w:val="18"/>
          <w:color w:val="auto"/>
        </w:rPr>
        <w:t>If your shares of common stock are registered in your name on the books and records of our transfer agent, you are a common stockholder of record.</w:t>
      </w:r>
    </w:p>
    <w:p>
      <w:pPr>
        <w:spacing w:after="0" w:line="73" w:lineRule="exact"/>
        <w:rPr>
          <w:sz w:val="20"/>
          <w:szCs w:val="20"/>
          <w:color w:val="auto"/>
        </w:rPr>
      </w:pPr>
    </w:p>
    <w:p>
      <w:pPr>
        <w:ind w:left="220"/>
        <w:spacing w:after="0" w:line="270" w:lineRule="auto"/>
        <w:rPr>
          <w:sz w:val="20"/>
          <w:szCs w:val="20"/>
          <w:color w:val="auto"/>
        </w:rPr>
      </w:pPr>
      <w:r>
        <w:rPr>
          <w:rFonts w:ascii="Arial" w:cs="Arial" w:eastAsia="Arial" w:hAnsi="Arial"/>
          <w:sz w:val="17"/>
          <w:szCs w:val="17"/>
          <w:color w:val="auto"/>
        </w:rPr>
        <w:t>If your shares of common stock are held for you through an intermediary in the name of your broker, bank or other nominee, your shares are held in street name. The answer to Question 10 below describes brokers’ discretionary voting authority and when your broker, bank or other nominee is permitted to vote your shares of common stock without instructions from you. For shares held through a benefit or compensation plan or a broker, bank, or other nominee, you may vote by submitting voting instructions to your plan trustee, broker, bank or nominee. If you attend the Annual Meeting, you may withdraw your proxy and vote in person.</w:t>
      </w:r>
    </w:p>
    <w:p>
      <w:pPr>
        <w:spacing w:after="0" w:line="70" w:lineRule="exact"/>
        <w:rPr>
          <w:sz w:val="20"/>
          <w:szCs w:val="20"/>
          <w:color w:val="auto"/>
        </w:rPr>
      </w:pPr>
    </w:p>
    <w:p>
      <w:pPr>
        <w:jc w:val="both"/>
        <w:ind w:left="220" w:right="260"/>
        <w:spacing w:after="0" w:line="302" w:lineRule="auto"/>
        <w:rPr>
          <w:sz w:val="20"/>
          <w:szCs w:val="20"/>
          <w:color w:val="auto"/>
        </w:rPr>
      </w:pPr>
      <w:r>
        <w:rPr>
          <w:rFonts w:ascii="Arial" w:cs="Arial" w:eastAsia="Arial" w:hAnsi="Arial"/>
          <w:sz w:val="16"/>
          <w:szCs w:val="16"/>
          <w:i w:val="1"/>
          <w:iCs w:val="1"/>
          <w:color w:val="auto"/>
        </w:rPr>
        <w:t>It is important that you vote your shares of common stock if you are a stockholder of record and, if you hold shares in street name, that you provide appropriate voting instructions to your broker, bank, or other nominee as discussed in the answer to Question 10 below.</w:t>
      </w:r>
    </w:p>
    <w:p>
      <w:pPr>
        <w:spacing w:after="0" w:line="177" w:lineRule="exact"/>
        <w:rPr>
          <w:sz w:val="20"/>
          <w:szCs w:val="20"/>
          <w:color w:val="auto"/>
        </w:rPr>
      </w:pPr>
    </w:p>
    <w:p>
      <w:pPr>
        <w:ind w:left="580" w:right="320" w:hanging="309"/>
        <w:spacing w:after="0" w:line="282" w:lineRule="auto"/>
        <w:tabs>
          <w:tab w:leader="none" w:pos="580" w:val="left"/>
        </w:tabs>
        <w:numPr>
          <w:ilvl w:val="0"/>
          <w:numId w:val="61"/>
        </w:numPr>
        <w:rPr>
          <w:rFonts w:ascii="Arial" w:cs="Arial" w:eastAsia="Arial" w:hAnsi="Arial"/>
          <w:sz w:val="18"/>
          <w:szCs w:val="18"/>
          <w:b w:val="1"/>
          <w:bCs w:val="1"/>
          <w:color w:val="auto"/>
        </w:rPr>
      </w:pPr>
      <w:r>
        <w:rPr>
          <w:rFonts w:ascii="Arial" w:cs="Arial" w:eastAsia="Arial" w:hAnsi="Arial"/>
          <w:sz w:val="18"/>
          <w:szCs w:val="18"/>
          <w:b w:val="1"/>
          <w:bCs w:val="1"/>
          <w:color w:val="auto"/>
        </w:rPr>
        <w:t>WHAT ARE THE DIFFERENT METHODS THAT I CAN USE TO VOTE MY SHARES OF 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11430</wp:posOffset>
            </wp:positionV>
            <wp:extent cx="3353435" cy="889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6">
                      <a:extLst>
                        <a:ext uri="{28A0092B-C50C-407E-A947-70E740481C1C}"/>
                      </a:extLst>
                    </a:blip>
                    <a:srcRect/>
                    <a:stretch>
                      <a:fillRect/>
                    </a:stretch>
                  </pic:blipFill>
                  <pic:spPr bwMode="auto">
                    <a:xfrm>
                      <a:off x="0" y="0"/>
                      <a:ext cx="3353435" cy="8890"/>
                    </a:xfrm>
                    <a:prstGeom prst="rect">
                      <a:avLst/>
                    </a:prstGeom>
                    <a:noFill/>
                  </pic:spPr>
                </pic:pic>
              </a:graphicData>
            </a:graphic>
          </wp:anchor>
        </w:drawing>
      </w:r>
    </w:p>
    <w:p>
      <w:pPr>
        <w:spacing w:after="0" w:line="105" w:lineRule="exact"/>
        <w:rPr>
          <w:sz w:val="20"/>
          <w:szCs w:val="20"/>
          <w:color w:val="auto"/>
        </w:rPr>
      </w:pPr>
    </w:p>
    <w:p>
      <w:pPr>
        <w:ind w:left="220"/>
        <w:spacing w:after="0" w:line="277" w:lineRule="auto"/>
        <w:rPr>
          <w:sz w:val="20"/>
          <w:szCs w:val="20"/>
          <w:color w:val="auto"/>
        </w:rPr>
      </w:pPr>
      <w:r>
        <w:rPr>
          <w:rFonts w:ascii="Arial" w:cs="Arial" w:eastAsia="Arial" w:hAnsi="Arial"/>
          <w:sz w:val="18"/>
          <w:szCs w:val="18"/>
          <w:color w:val="auto"/>
        </w:rPr>
        <w:t>You may submit your proxy or vote your shares of our common stock by any of the following methods:</w:t>
      </w:r>
    </w:p>
    <w:p>
      <w:pPr>
        <w:spacing w:after="0" w:line="58" w:lineRule="exact"/>
        <w:rPr>
          <w:sz w:val="20"/>
          <w:szCs w:val="20"/>
          <w:color w:val="auto"/>
        </w:rPr>
      </w:pPr>
    </w:p>
    <w:p>
      <w:pPr>
        <w:ind w:left="220" w:right="60"/>
        <w:spacing w:after="0" w:line="256" w:lineRule="auto"/>
        <w:rPr>
          <w:sz w:val="20"/>
          <w:szCs w:val="20"/>
          <w:color w:val="auto"/>
        </w:rPr>
      </w:pPr>
      <w:r>
        <w:rPr>
          <w:rFonts w:ascii="Arial" w:cs="Arial" w:eastAsia="Arial" w:hAnsi="Arial"/>
          <w:sz w:val="18"/>
          <w:szCs w:val="18"/>
          <w:b w:val="1"/>
          <w:bCs w:val="1"/>
          <w:color w:val="auto"/>
        </w:rPr>
        <w:t>By Telephone or the Internet—</w:t>
      </w:r>
      <w:r>
        <w:rPr>
          <w:rFonts w:ascii="Arial" w:cs="Arial" w:eastAsia="Arial" w:hAnsi="Arial"/>
          <w:sz w:val="18"/>
          <w:szCs w:val="18"/>
          <w:color w:val="auto"/>
        </w:rPr>
        <w:t>Common stockholders can vote their</w:t>
      </w:r>
      <w:r>
        <w:rPr>
          <w:rFonts w:ascii="Arial" w:cs="Arial" w:eastAsia="Arial" w:hAnsi="Arial"/>
          <w:sz w:val="18"/>
          <w:szCs w:val="18"/>
          <w:b w:val="1"/>
          <w:bCs w:val="1"/>
          <w:color w:val="auto"/>
        </w:rPr>
        <w:t xml:space="preserve"> </w:t>
      </w:r>
      <w:r>
        <w:rPr>
          <w:rFonts w:ascii="Arial" w:cs="Arial" w:eastAsia="Arial" w:hAnsi="Arial"/>
          <w:sz w:val="18"/>
          <w:szCs w:val="18"/>
          <w:color w:val="auto"/>
        </w:rPr>
        <w:t>shares via telephone or the internet as instructed in the proxy card or the voting instruction form. The telephone and internet procedures are designed to authenticate a stockholder’s identity, to allow common stockholders to vote their shares and to confirm that their instructions have been properly recorded.</w:t>
      </w:r>
    </w:p>
    <w:p>
      <w:pPr>
        <w:spacing w:after="0" w:line="80" w:lineRule="exact"/>
        <w:rPr>
          <w:sz w:val="20"/>
          <w:szCs w:val="20"/>
          <w:color w:val="auto"/>
        </w:rPr>
      </w:pPr>
    </w:p>
    <w:p>
      <w:pPr>
        <w:ind w:left="220" w:right="200"/>
        <w:spacing w:after="0" w:line="282" w:lineRule="auto"/>
        <w:rPr>
          <w:sz w:val="20"/>
          <w:szCs w:val="20"/>
          <w:color w:val="auto"/>
        </w:rPr>
      </w:pPr>
      <w:r>
        <w:rPr>
          <w:rFonts w:ascii="Arial" w:cs="Arial" w:eastAsia="Arial" w:hAnsi="Arial"/>
          <w:sz w:val="18"/>
          <w:szCs w:val="18"/>
          <w:b w:val="1"/>
          <w:bCs w:val="1"/>
          <w:color w:val="auto"/>
        </w:rPr>
        <w:t>By Mail—</w:t>
      </w:r>
      <w:r>
        <w:rPr>
          <w:rFonts w:ascii="Arial" w:cs="Arial" w:eastAsia="Arial" w:hAnsi="Arial"/>
          <w:sz w:val="18"/>
          <w:szCs w:val="18"/>
          <w:color w:val="auto"/>
        </w:rPr>
        <w:t>A common stockholder who receives a paper proxy card or</w:t>
      </w:r>
      <w:r>
        <w:rPr>
          <w:rFonts w:ascii="Arial" w:cs="Arial" w:eastAsia="Arial" w:hAnsi="Arial"/>
          <w:sz w:val="18"/>
          <w:szCs w:val="18"/>
          <w:b w:val="1"/>
          <w:bCs w:val="1"/>
          <w:color w:val="auto"/>
        </w:rPr>
        <w:t xml:space="preserve"> </w:t>
      </w:r>
      <w:r>
        <w:rPr>
          <w:rFonts w:ascii="Arial" w:cs="Arial" w:eastAsia="Arial" w:hAnsi="Arial"/>
          <w:sz w:val="18"/>
          <w:szCs w:val="18"/>
          <w:color w:val="auto"/>
        </w:rPr>
        <w:t>voting instruction form or</w:t>
      </w:r>
    </w:p>
    <w:p>
      <w:pPr>
        <w:spacing w:after="0" w:line="20" w:lineRule="exact"/>
        <w:rPr>
          <w:sz w:val="20"/>
          <w:szCs w:val="20"/>
          <w:color w:val="auto"/>
        </w:rPr>
      </w:pPr>
      <w:r>
        <w:rPr>
          <w:sz w:val="20"/>
          <w:szCs w:val="20"/>
          <w:color w:val="auto"/>
        </w:rPr>
        <w:br w:type="column"/>
      </w:r>
    </w:p>
    <w:p>
      <w:pPr>
        <w:spacing w:after="0" w:line="283" w:lineRule="exact"/>
        <w:rPr>
          <w:sz w:val="20"/>
          <w:szCs w:val="20"/>
          <w:color w:val="auto"/>
        </w:rPr>
      </w:pPr>
    </w:p>
    <w:p>
      <w:pPr>
        <w:ind w:right="140"/>
        <w:spacing w:after="0" w:line="269" w:lineRule="auto"/>
        <w:rPr>
          <w:sz w:val="20"/>
          <w:szCs w:val="20"/>
          <w:color w:val="auto"/>
        </w:rPr>
      </w:pPr>
      <w:r>
        <w:rPr>
          <w:rFonts w:ascii="Arial" w:cs="Arial" w:eastAsia="Arial" w:hAnsi="Arial"/>
          <w:sz w:val="17"/>
          <w:szCs w:val="17"/>
          <w:color w:val="auto"/>
        </w:rPr>
        <w:t>requests a paper proxy card or voting instruction form by telephone or internet may elect to vote by mail and should complete, sign and date the proxy card or voting instruction form and mail it in the pre-addressed envelope that accompanies the delivery of the proxy card or voting instruction form. For common stockholders of record, proxy cards submitted by mail must be received by the date and time of the Annual Meeting. For common stockholders who hold their shares through an intermediary, such as a broker, bank, or other nominee, the voting instruction form submitted by mail must be mailed by the deadline imposed by your broker, bank, or other nominee for your shares to be voted.</w:t>
      </w:r>
    </w:p>
    <w:p>
      <w:pPr>
        <w:spacing w:after="0" w:line="71" w:lineRule="exact"/>
        <w:rPr>
          <w:sz w:val="20"/>
          <w:szCs w:val="20"/>
          <w:color w:val="auto"/>
        </w:rPr>
      </w:pPr>
    </w:p>
    <w:p>
      <w:pPr>
        <w:spacing w:after="0" w:line="295" w:lineRule="auto"/>
        <w:rPr>
          <w:sz w:val="20"/>
          <w:szCs w:val="20"/>
          <w:color w:val="auto"/>
        </w:rPr>
      </w:pPr>
      <w:r>
        <w:rPr>
          <w:rFonts w:ascii="Arial" w:cs="Arial" w:eastAsia="Arial" w:hAnsi="Arial"/>
          <w:sz w:val="16"/>
          <w:szCs w:val="16"/>
          <w:b w:val="1"/>
          <w:bCs w:val="1"/>
          <w:color w:val="auto"/>
        </w:rPr>
        <w:t>In Person—</w:t>
      </w:r>
      <w:r>
        <w:rPr>
          <w:rFonts w:ascii="Arial" w:cs="Arial" w:eastAsia="Arial" w:hAnsi="Arial"/>
          <w:sz w:val="16"/>
          <w:szCs w:val="16"/>
          <w:color w:val="auto"/>
        </w:rPr>
        <w:t>Shares of common stock held in your name as the stockholder</w:t>
      </w:r>
      <w:r>
        <w:rPr>
          <w:rFonts w:ascii="Arial" w:cs="Arial" w:eastAsia="Arial" w:hAnsi="Arial"/>
          <w:sz w:val="16"/>
          <w:szCs w:val="16"/>
          <w:b w:val="1"/>
          <w:bCs w:val="1"/>
          <w:color w:val="auto"/>
        </w:rPr>
        <w:t xml:space="preserve"> </w:t>
      </w:r>
      <w:r>
        <w:rPr>
          <w:rFonts w:ascii="Arial" w:cs="Arial" w:eastAsia="Arial" w:hAnsi="Arial"/>
          <w:sz w:val="16"/>
          <w:szCs w:val="16"/>
          <w:color w:val="auto"/>
        </w:rPr>
        <w:t>of record may be voted by you in person at the Annual Meeting. Shares of common stock held beneficially in street name may be voted by you in person at the Annual Meeting only if you obtain a “legal” proxy from the broker, bank, or other nominee that holds your shares giving you the right to vote the shares and bring that “legal” proxy to the meeting.</w:t>
      </w:r>
    </w:p>
    <w:p>
      <w:pPr>
        <w:spacing w:after="0" w:line="183" w:lineRule="exact"/>
        <w:rPr>
          <w:sz w:val="20"/>
          <w:szCs w:val="20"/>
          <w:color w:val="auto"/>
        </w:rPr>
      </w:pPr>
    </w:p>
    <w:p>
      <w:pPr>
        <w:ind w:left="80"/>
        <w:spacing w:after="0"/>
        <w:tabs>
          <w:tab w:leader="none" w:pos="360" w:val="left"/>
        </w:tabs>
        <w:rPr>
          <w:sz w:val="20"/>
          <w:szCs w:val="20"/>
          <w:color w:val="auto"/>
        </w:rPr>
      </w:pPr>
      <w:r>
        <w:rPr>
          <w:rFonts w:ascii="Arial" w:cs="Arial" w:eastAsia="Arial" w:hAnsi="Arial"/>
          <w:sz w:val="18"/>
          <w:szCs w:val="18"/>
          <w:b w:val="1"/>
          <w:bCs w:val="1"/>
          <w:color w:val="auto"/>
        </w:rPr>
        <w:t>7.</w:t>
      </w:r>
      <w:r>
        <w:rPr>
          <w:sz w:val="20"/>
          <w:szCs w:val="20"/>
          <w:color w:val="auto"/>
        </w:rPr>
        <w:tab/>
      </w:r>
      <w:r>
        <w:rPr>
          <w:rFonts w:ascii="Arial" w:cs="Arial" w:eastAsia="Arial" w:hAnsi="Arial"/>
          <w:sz w:val="17"/>
          <w:szCs w:val="17"/>
          <w:b w:val="1"/>
          <w:bCs w:val="1"/>
          <w:color w:val="auto"/>
        </w:rPr>
        <w:t>WHO COUNTS THE VOTES?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60325</wp:posOffset>
            </wp:positionV>
            <wp:extent cx="3422015" cy="889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7">
                      <a:extLst>
                        <a:ext uri="{28A0092B-C50C-407E-A947-70E740481C1C}"/>
                      </a:extLst>
                    </a:blip>
                    <a:srcRect/>
                    <a:stretch>
                      <a:fillRect/>
                    </a:stretch>
                  </pic:blipFill>
                  <pic:spPr bwMode="auto">
                    <a:xfrm>
                      <a:off x="0" y="0"/>
                      <a:ext cx="3422015" cy="8890"/>
                    </a:xfrm>
                    <a:prstGeom prst="rect">
                      <a:avLst/>
                    </a:prstGeom>
                    <a:noFill/>
                  </pic:spPr>
                </pic:pic>
              </a:graphicData>
            </a:graphic>
          </wp:anchor>
        </w:drawing>
      </w:r>
    </w:p>
    <w:p>
      <w:pPr>
        <w:spacing w:after="0" w:line="182" w:lineRule="exact"/>
        <w:rPr>
          <w:sz w:val="20"/>
          <w:szCs w:val="20"/>
          <w:color w:val="auto"/>
        </w:rPr>
      </w:pPr>
    </w:p>
    <w:p>
      <w:pPr>
        <w:ind w:right="360"/>
        <w:spacing w:after="0" w:line="277" w:lineRule="auto"/>
        <w:rPr>
          <w:sz w:val="20"/>
          <w:szCs w:val="20"/>
          <w:color w:val="auto"/>
        </w:rPr>
      </w:pPr>
      <w:r>
        <w:rPr>
          <w:rFonts w:ascii="Arial" w:cs="Arial" w:eastAsia="Arial" w:hAnsi="Arial"/>
          <w:sz w:val="18"/>
          <w:szCs w:val="18"/>
          <w:color w:val="auto"/>
        </w:rPr>
        <w:t>Our transfer agent will receive and tabulate the proxies and certify the results.</w:t>
      </w:r>
    </w:p>
    <w:p>
      <w:pPr>
        <w:spacing w:after="0" w:line="193" w:lineRule="exact"/>
        <w:rPr>
          <w:sz w:val="20"/>
          <w:szCs w:val="20"/>
          <w:color w:val="auto"/>
        </w:rPr>
      </w:pPr>
    </w:p>
    <w:p>
      <w:pPr>
        <w:ind w:left="380" w:right="160" w:hanging="309"/>
        <w:spacing w:after="0" w:line="282" w:lineRule="auto"/>
        <w:tabs>
          <w:tab w:leader="none" w:pos="380" w:val="left"/>
        </w:tabs>
        <w:numPr>
          <w:ilvl w:val="0"/>
          <w:numId w:val="62"/>
        </w:numPr>
        <w:rPr>
          <w:rFonts w:ascii="Arial" w:cs="Arial" w:eastAsia="Arial" w:hAnsi="Arial"/>
          <w:sz w:val="18"/>
          <w:szCs w:val="18"/>
          <w:b w:val="1"/>
          <w:bCs w:val="1"/>
          <w:color w:val="auto"/>
        </w:rPr>
      </w:pPr>
      <w:r>
        <w:rPr>
          <w:rFonts w:ascii="Arial" w:cs="Arial" w:eastAsia="Arial" w:hAnsi="Arial"/>
          <w:sz w:val="18"/>
          <w:szCs w:val="18"/>
          <w:b w:val="1"/>
          <w:bCs w:val="1"/>
          <w:color w:val="auto"/>
        </w:rPr>
        <w:t>WHAT IF A STOCKHOLDER DOES NOT SPECIFY A CHOICE FOR A MATTER WHEN RETURNING A PROXY?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11430</wp:posOffset>
            </wp:positionV>
            <wp:extent cx="3422015" cy="889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8">
                      <a:extLst>
                        <a:ext uri="{28A0092B-C50C-407E-A947-70E740481C1C}"/>
                      </a:extLst>
                    </a:blip>
                    <a:srcRect/>
                    <a:stretch>
                      <a:fillRect/>
                    </a:stretch>
                  </pic:blipFill>
                  <pic:spPr bwMode="auto">
                    <a:xfrm>
                      <a:off x="0" y="0"/>
                      <a:ext cx="3422015" cy="8890"/>
                    </a:xfrm>
                    <a:prstGeom prst="rect">
                      <a:avLst/>
                    </a:prstGeom>
                    <a:noFill/>
                  </pic:spPr>
                </pic:pic>
              </a:graphicData>
            </a:graphic>
          </wp:anchor>
        </w:drawing>
      </w:r>
    </w:p>
    <w:p>
      <w:pPr>
        <w:spacing w:after="0" w:line="105" w:lineRule="exact"/>
        <w:rPr>
          <w:sz w:val="20"/>
          <w:szCs w:val="20"/>
          <w:color w:val="auto"/>
        </w:rPr>
      </w:pPr>
    </w:p>
    <w:p>
      <w:pPr>
        <w:spacing w:after="0" w:line="272" w:lineRule="auto"/>
        <w:rPr>
          <w:sz w:val="20"/>
          <w:szCs w:val="20"/>
          <w:color w:val="auto"/>
        </w:rPr>
      </w:pPr>
      <w:r>
        <w:rPr>
          <w:rFonts w:ascii="Arial" w:cs="Arial" w:eastAsia="Arial" w:hAnsi="Arial"/>
          <w:sz w:val="17"/>
          <w:szCs w:val="17"/>
          <w:color w:val="auto"/>
        </w:rPr>
        <w:t>Stockholders should specify their voting choice for each matter on the accompanying proxy. If no specification is made, such shares will be voted “FOR” the election of the five director nominees, “FOR” the increase in the number of authorized shares of common stock, “FOR” the advisory resolution on executive compensation, and “FOR” the ratification of the appointment of Ernst &amp; Young LLP as our independent public accountant for the year ending December 31, 2018.</w:t>
      </w:r>
    </w:p>
    <w:p>
      <w:pPr>
        <w:spacing w:after="0" w:line="941" w:lineRule="exact"/>
        <w:rPr>
          <w:sz w:val="20"/>
          <w:szCs w:val="20"/>
          <w:color w:val="auto"/>
        </w:rPr>
      </w:pPr>
    </w:p>
    <w:p>
      <w:pPr>
        <w:sectPr>
          <w:pgSz w:w="11900" w:h="16838" w:orient="portrait"/>
          <w:cols w:equalWidth="0" w:num="2">
            <w:col w:w="5460" w:space="360"/>
            <w:col w:w="5400"/>
          </w:cols>
          <w:pgMar w:left="240" w:top="459" w:right="439" w:bottom="1440" w:gutter="0" w:footer="0" w:header="0"/>
          <w:type w:val="continuous"/>
        </w:sectPr>
      </w:pPr>
    </w:p>
    <w:p>
      <w:pPr>
        <w:spacing w:after="0" w:line="42" w:lineRule="exact"/>
        <w:rPr>
          <w:sz w:val="20"/>
          <w:szCs w:val="20"/>
          <w:color w:val="auto"/>
        </w:rPr>
      </w:pPr>
    </w:p>
    <w:p>
      <w:pPr>
        <w:ind w:left="8060"/>
        <w:spacing w:after="0"/>
        <w:tabs>
          <w:tab w:leader="none" w:pos="110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69</w:t>
      </w:r>
    </w:p>
    <w:p>
      <w:pPr>
        <w:sectPr>
          <w:pgSz w:w="11900" w:h="16838" w:orient="portrait"/>
          <w:cols w:equalWidth="0" w:num="1">
            <w:col w:w="11220"/>
          </w:cols>
          <w:pgMar w:left="240" w:top="459" w:right="439" w:bottom="1440" w:gutter="0" w:footer="0" w:header="0"/>
          <w:type w:val="continuous"/>
        </w:sectPr>
      </w:pPr>
    </w:p>
    <w:bookmarkStart w:id="73" w:name="page74"/>
    <w:bookmarkEnd w:id="7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QUESTIONS AND ANSWERS ABOUT THE 2018 ANNUAL MEETING AND VOTING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0">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ectPr>
          <w:pgSz w:w="11900" w:h="16838" w:orient="portrait"/>
          <w:cols w:equalWidth="0" w:num="1">
            <w:col w:w="11220"/>
          </w:cols>
          <w:pgMar w:left="240" w:top="459" w:right="439" w:bottom="1440" w:gutter="0" w:footer="0" w:header="0"/>
        </w:sectPr>
      </w:pPr>
    </w:p>
    <w:p>
      <w:pPr>
        <w:spacing w:after="0" w:line="299" w:lineRule="exact"/>
        <w:rPr>
          <w:sz w:val="20"/>
          <w:szCs w:val="20"/>
          <w:color w:val="auto"/>
        </w:rPr>
      </w:pPr>
    </w:p>
    <w:p>
      <w:pPr>
        <w:ind w:left="580" w:right="160" w:hanging="309"/>
        <w:spacing w:after="0" w:line="282" w:lineRule="auto"/>
        <w:tabs>
          <w:tab w:leader="none" w:pos="580" w:val="left"/>
        </w:tabs>
        <w:numPr>
          <w:ilvl w:val="0"/>
          <w:numId w:val="63"/>
        </w:numPr>
        <w:rPr>
          <w:rFonts w:ascii="Arial" w:cs="Arial" w:eastAsia="Arial" w:hAnsi="Arial"/>
          <w:sz w:val="18"/>
          <w:szCs w:val="18"/>
          <w:b w:val="1"/>
          <w:bCs w:val="1"/>
          <w:color w:val="auto"/>
        </w:rPr>
      </w:pPr>
      <w:r>
        <w:rPr>
          <w:rFonts w:ascii="Arial" w:cs="Arial" w:eastAsia="Arial" w:hAnsi="Arial"/>
          <w:sz w:val="18"/>
          <w:szCs w:val="18"/>
          <w:b w:val="1"/>
          <w:bCs w:val="1"/>
          <w:color w:val="auto"/>
        </w:rPr>
        <w:t>WHAT DOES IT MEAN IF I RECEIVE MORE THAN ONE PROXY CARD?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20320</wp:posOffset>
            </wp:positionV>
            <wp:extent cx="3353435" cy="889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1">
                      <a:extLst>
                        <a:ext uri="{28A0092B-C50C-407E-A947-70E740481C1C}"/>
                      </a:extLst>
                    </a:blip>
                    <a:srcRect/>
                    <a:stretch>
                      <a:fillRect/>
                    </a:stretch>
                  </pic:blipFill>
                  <pic:spPr bwMode="auto">
                    <a:xfrm>
                      <a:off x="0" y="0"/>
                      <a:ext cx="3353435" cy="8890"/>
                    </a:xfrm>
                    <a:prstGeom prst="rect">
                      <a:avLst/>
                    </a:prstGeom>
                    <a:noFill/>
                  </pic:spPr>
                </pic:pic>
              </a:graphicData>
            </a:graphic>
          </wp:anchor>
        </w:drawing>
      </w:r>
    </w:p>
    <w:p>
      <w:pPr>
        <w:spacing w:after="0" w:line="119" w:lineRule="exact"/>
        <w:rPr>
          <w:sz w:val="20"/>
          <w:szCs w:val="20"/>
          <w:color w:val="auto"/>
        </w:rPr>
      </w:pPr>
    </w:p>
    <w:p>
      <w:pPr>
        <w:ind w:left="220"/>
        <w:spacing w:after="0" w:line="277" w:lineRule="auto"/>
        <w:rPr>
          <w:sz w:val="20"/>
          <w:szCs w:val="20"/>
          <w:color w:val="auto"/>
        </w:rPr>
      </w:pPr>
      <w:r>
        <w:rPr>
          <w:rFonts w:ascii="Arial" w:cs="Arial" w:eastAsia="Arial" w:hAnsi="Arial"/>
          <w:sz w:val="18"/>
          <w:szCs w:val="18"/>
          <w:color w:val="auto"/>
        </w:rPr>
        <w:t xml:space="preserve">It means that you have multiple accounts with brokers and/or our transfer agent. </w:t>
      </w:r>
      <w:r>
        <w:rPr>
          <w:rFonts w:ascii="Arial" w:cs="Arial" w:eastAsia="Arial" w:hAnsi="Arial"/>
          <w:sz w:val="18"/>
          <w:szCs w:val="18"/>
          <w:i w:val="1"/>
          <w:iCs w:val="1"/>
          <w:color w:val="auto"/>
        </w:rPr>
        <w:t>Please vote all of these shares.</w:t>
      </w:r>
    </w:p>
    <w:p>
      <w:pPr>
        <w:spacing w:after="0" w:line="62" w:lineRule="exact"/>
        <w:rPr>
          <w:sz w:val="20"/>
          <w:szCs w:val="20"/>
          <w:color w:val="auto"/>
        </w:rPr>
      </w:pPr>
    </w:p>
    <w:p>
      <w:pPr>
        <w:ind w:left="220"/>
        <w:spacing w:after="0" w:line="255" w:lineRule="auto"/>
        <w:rPr>
          <w:sz w:val="20"/>
          <w:szCs w:val="20"/>
          <w:color w:val="auto"/>
        </w:rPr>
      </w:pPr>
      <w:r>
        <w:rPr>
          <w:rFonts w:ascii="Arial" w:cs="Arial" w:eastAsia="Arial" w:hAnsi="Arial"/>
          <w:sz w:val="18"/>
          <w:szCs w:val="18"/>
          <w:color w:val="auto"/>
        </w:rPr>
        <w:t>We recommend that you contact your broker and/or our transfer agent to consolidate as many accounts as possible under the same name and address. Our transfer agent is Computershare Investor Services. Computershare’s address is 462 South 4</w:t>
      </w:r>
      <w:r>
        <w:rPr>
          <w:rFonts w:ascii="Arial" w:cs="Arial" w:eastAsia="Arial" w:hAnsi="Arial"/>
          <w:sz w:val="15"/>
          <w:szCs w:val="15"/>
          <w:color w:val="auto"/>
        </w:rPr>
        <w:t>th</w:t>
      </w:r>
      <w:r>
        <w:rPr>
          <w:rFonts w:ascii="Arial" w:cs="Arial" w:eastAsia="Arial" w:hAnsi="Arial"/>
          <w:sz w:val="18"/>
          <w:szCs w:val="18"/>
          <w:color w:val="auto"/>
        </w:rPr>
        <w:t xml:space="preserve"> St., Suite 1600, Louisville, KY 40202; you can reach Computershare at 1-800-733-5001 (from within the United States or Canada) or 781-575-3400 (from outside the United States or Canada).</w:t>
      </w:r>
    </w:p>
    <w:p>
      <w:pPr>
        <w:spacing w:after="0" w:line="212" w:lineRule="exact"/>
        <w:rPr>
          <w:sz w:val="20"/>
          <w:szCs w:val="20"/>
          <w:color w:val="auto"/>
        </w:rPr>
      </w:pPr>
    </w:p>
    <w:p>
      <w:pPr>
        <w:ind w:left="580" w:right="20" w:hanging="309"/>
        <w:spacing w:after="0" w:line="282" w:lineRule="auto"/>
        <w:tabs>
          <w:tab w:leader="none" w:pos="580" w:val="left"/>
        </w:tabs>
        <w:numPr>
          <w:ilvl w:val="0"/>
          <w:numId w:val="64"/>
        </w:numPr>
        <w:rPr>
          <w:rFonts w:ascii="Arial" w:cs="Arial" w:eastAsia="Arial" w:hAnsi="Arial"/>
          <w:sz w:val="18"/>
          <w:szCs w:val="18"/>
          <w:b w:val="1"/>
          <w:bCs w:val="1"/>
          <w:color w:val="auto"/>
        </w:rPr>
      </w:pPr>
      <w:r>
        <w:rPr>
          <w:rFonts w:ascii="Arial" w:cs="Arial" w:eastAsia="Arial" w:hAnsi="Arial"/>
          <w:sz w:val="18"/>
          <w:szCs w:val="18"/>
          <w:b w:val="1"/>
          <w:bCs w:val="1"/>
          <w:color w:val="auto"/>
        </w:rPr>
        <w:t>WILL MY SHARES BE VOTED IF I DO NOT PROVIDE MY PROXY?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11430</wp:posOffset>
            </wp:positionV>
            <wp:extent cx="3353435" cy="889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2">
                      <a:extLst>
                        <a:ext uri="{28A0092B-C50C-407E-A947-70E740481C1C}"/>
                      </a:extLst>
                    </a:blip>
                    <a:srcRect/>
                    <a:stretch>
                      <a:fillRect/>
                    </a:stretch>
                  </pic:blipFill>
                  <pic:spPr bwMode="auto">
                    <a:xfrm>
                      <a:off x="0" y="0"/>
                      <a:ext cx="3353435" cy="8890"/>
                    </a:xfrm>
                    <a:prstGeom prst="rect">
                      <a:avLst/>
                    </a:prstGeom>
                    <a:noFill/>
                  </pic:spPr>
                </pic:pic>
              </a:graphicData>
            </a:graphic>
          </wp:anchor>
        </w:drawing>
      </w:r>
    </w:p>
    <w:p>
      <w:pPr>
        <w:spacing w:after="0" w:line="101" w:lineRule="exact"/>
        <w:rPr>
          <w:sz w:val="20"/>
          <w:szCs w:val="20"/>
          <w:color w:val="auto"/>
        </w:rPr>
      </w:pPr>
    </w:p>
    <w:p>
      <w:pPr>
        <w:ind w:left="220" w:right="20"/>
        <w:spacing w:after="0" w:line="261" w:lineRule="auto"/>
        <w:rPr>
          <w:sz w:val="20"/>
          <w:szCs w:val="20"/>
          <w:color w:val="auto"/>
        </w:rPr>
      </w:pPr>
      <w:r>
        <w:rPr>
          <w:rFonts w:ascii="Arial" w:cs="Arial" w:eastAsia="Arial" w:hAnsi="Arial"/>
          <w:sz w:val="18"/>
          <w:szCs w:val="18"/>
          <w:b w:val="1"/>
          <w:bCs w:val="1"/>
          <w:color w:val="auto"/>
        </w:rPr>
        <w:t>Stockholders of Record—</w:t>
      </w:r>
      <w:r>
        <w:rPr>
          <w:rFonts w:ascii="Arial" w:cs="Arial" w:eastAsia="Arial" w:hAnsi="Arial"/>
          <w:sz w:val="18"/>
          <w:szCs w:val="18"/>
          <w:color w:val="auto"/>
        </w:rPr>
        <w:t>If you are a stockholder of record (</w:t>
      </w:r>
      <w:r>
        <w:rPr>
          <w:rFonts w:ascii="Arial" w:cs="Arial" w:eastAsia="Arial" w:hAnsi="Arial"/>
          <w:sz w:val="18"/>
          <w:szCs w:val="18"/>
          <w:i w:val="1"/>
          <w:iCs w:val="1"/>
          <w:color w:val="auto"/>
        </w:rPr>
        <w:t>see</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Question 5 above), your shares of common stock will not be voted if you do not provide your proxy unless you vote in person at the Annual Meeting. </w:t>
      </w:r>
      <w:r>
        <w:rPr>
          <w:rFonts w:ascii="Arial" w:cs="Arial" w:eastAsia="Arial" w:hAnsi="Arial"/>
          <w:sz w:val="18"/>
          <w:szCs w:val="18"/>
          <w:i w:val="1"/>
          <w:iCs w:val="1"/>
          <w:color w:val="auto"/>
        </w:rPr>
        <w:t>It is important that you vote your shares.</w:t>
      </w:r>
    </w:p>
    <w:p>
      <w:pPr>
        <w:spacing w:after="0" w:line="72" w:lineRule="exact"/>
        <w:rPr>
          <w:sz w:val="20"/>
          <w:szCs w:val="20"/>
          <w:color w:val="auto"/>
        </w:rPr>
      </w:pPr>
    </w:p>
    <w:p>
      <w:pPr>
        <w:ind w:left="220"/>
        <w:spacing w:after="0" w:line="272" w:lineRule="auto"/>
        <w:rPr>
          <w:sz w:val="20"/>
          <w:szCs w:val="20"/>
          <w:color w:val="auto"/>
        </w:rPr>
      </w:pPr>
      <w:r>
        <w:rPr>
          <w:rFonts w:ascii="Arial" w:cs="Arial" w:eastAsia="Arial" w:hAnsi="Arial"/>
          <w:sz w:val="17"/>
          <w:szCs w:val="17"/>
          <w:b w:val="1"/>
          <w:bCs w:val="1"/>
          <w:color w:val="auto"/>
        </w:rPr>
        <w:t>Street Name Holders—</w:t>
      </w:r>
      <w:r>
        <w:rPr>
          <w:rFonts w:ascii="Arial" w:cs="Arial" w:eastAsia="Arial" w:hAnsi="Arial"/>
          <w:sz w:val="17"/>
          <w:szCs w:val="17"/>
          <w:color w:val="auto"/>
        </w:rPr>
        <w:t>If your shares of common stock are held in</w:t>
      </w:r>
      <w:r>
        <w:rPr>
          <w:rFonts w:ascii="Arial" w:cs="Arial" w:eastAsia="Arial" w:hAnsi="Arial"/>
          <w:sz w:val="17"/>
          <w:szCs w:val="17"/>
          <w:b w:val="1"/>
          <w:bCs w:val="1"/>
          <w:color w:val="auto"/>
        </w:rPr>
        <w:t xml:space="preserve"> </w:t>
      </w:r>
      <w:r>
        <w:rPr>
          <w:rFonts w:ascii="Arial" w:cs="Arial" w:eastAsia="Arial" w:hAnsi="Arial"/>
          <w:sz w:val="17"/>
          <w:szCs w:val="17"/>
          <w:color w:val="auto"/>
        </w:rPr>
        <w:t>street name (</w:t>
      </w:r>
      <w:r>
        <w:rPr>
          <w:rFonts w:ascii="Arial" w:cs="Arial" w:eastAsia="Arial" w:hAnsi="Arial"/>
          <w:sz w:val="17"/>
          <w:szCs w:val="17"/>
          <w:i w:val="1"/>
          <w:iCs w:val="1"/>
          <w:color w:val="auto"/>
        </w:rPr>
        <w:t>see</w:t>
      </w:r>
      <w:r>
        <w:rPr>
          <w:rFonts w:ascii="Arial" w:cs="Arial" w:eastAsia="Arial" w:hAnsi="Arial"/>
          <w:sz w:val="17"/>
          <w:szCs w:val="17"/>
          <w:color w:val="auto"/>
        </w:rPr>
        <w:t xml:space="preserve"> Question 5 above) and you do not provide your signed and dated voting instruction form to your broker, bank, or other nominee, your shares may be voted by your broker, bank, or other nominee but </w:t>
      </w:r>
      <w:r>
        <w:rPr>
          <w:rFonts w:ascii="Arial" w:cs="Arial" w:eastAsia="Arial" w:hAnsi="Arial"/>
          <w:sz w:val="17"/>
          <w:szCs w:val="17"/>
          <w:i w:val="1"/>
          <w:iCs w:val="1"/>
          <w:u w:val="single" w:color="auto"/>
          <w:color w:val="auto"/>
        </w:rPr>
        <w:t>only</w:t>
      </w:r>
      <w:r>
        <w:rPr>
          <w:rFonts w:ascii="Arial" w:cs="Arial" w:eastAsia="Arial" w:hAnsi="Arial"/>
          <w:sz w:val="17"/>
          <w:szCs w:val="17"/>
          <w:i w:val="1"/>
          <w:iCs w:val="1"/>
          <w:color w:val="auto"/>
        </w:rPr>
        <w:t xml:space="preserve"> </w:t>
      </w:r>
      <w:r>
        <w:rPr>
          <w:rFonts w:ascii="Arial" w:cs="Arial" w:eastAsia="Arial" w:hAnsi="Arial"/>
          <w:sz w:val="17"/>
          <w:szCs w:val="17"/>
          <w:color w:val="auto"/>
        </w:rPr>
        <w:t>under certain circumstances. Specifically, under applicable rules,</w:t>
      </w:r>
      <w:r>
        <w:rPr>
          <w:rFonts w:ascii="Arial" w:cs="Arial" w:eastAsia="Arial" w:hAnsi="Arial"/>
          <w:sz w:val="17"/>
          <w:szCs w:val="17"/>
          <w:i w:val="1"/>
          <w:iCs w:val="1"/>
          <w:color w:val="auto"/>
        </w:rPr>
        <w:t xml:space="preserve"> </w:t>
      </w:r>
      <w:r>
        <w:rPr>
          <w:rFonts w:ascii="Arial" w:cs="Arial" w:eastAsia="Arial" w:hAnsi="Arial"/>
          <w:sz w:val="17"/>
          <w:szCs w:val="17"/>
          <w:color w:val="auto"/>
        </w:rPr>
        <w:t>shares held in the name of your broker, bank or other nominee may be voted by your broker, bank, or other nominee on certain “routine” matters if you do not provide voting instructions.</w:t>
      </w:r>
    </w:p>
    <w:p>
      <w:pPr>
        <w:spacing w:after="0" w:line="68" w:lineRule="exact"/>
        <w:rPr>
          <w:sz w:val="20"/>
          <w:szCs w:val="20"/>
          <w:color w:val="auto"/>
        </w:rPr>
      </w:pPr>
    </w:p>
    <w:p>
      <w:pPr>
        <w:ind w:left="220" w:right="180"/>
        <w:spacing w:after="0" w:line="271" w:lineRule="auto"/>
        <w:rPr>
          <w:sz w:val="20"/>
          <w:szCs w:val="20"/>
          <w:color w:val="auto"/>
        </w:rPr>
      </w:pPr>
      <w:r>
        <w:rPr>
          <w:rFonts w:ascii="Arial" w:cs="Arial" w:eastAsia="Arial" w:hAnsi="Arial"/>
          <w:sz w:val="17"/>
          <w:szCs w:val="17"/>
          <w:color w:val="auto"/>
        </w:rPr>
        <w:t>The only proposal to be voted on at the Annual Meeting that is considered a “routine” matter for which brokers, banks or other nominees may vote uninstructed shares is the ratification of the appointment of Ernst &amp; Young LLP as the Company’s independent public accountant. The other proposals (specifically, the election of director nominees, the approval of the amendment to our Certificate of Incorporation to increase the authorized number of shares of common stock and the approval</w:t>
      </w:r>
    </w:p>
    <w:p>
      <w:pPr>
        <w:spacing w:after="0" w:line="20" w:lineRule="exact"/>
        <w:rPr>
          <w:sz w:val="20"/>
          <w:szCs w:val="20"/>
          <w:color w:val="auto"/>
        </w:rPr>
      </w:pPr>
      <w:r>
        <w:rPr>
          <w:sz w:val="20"/>
          <w:szCs w:val="20"/>
          <w:color w:val="auto"/>
        </w:rPr>
        <w:br w:type="column"/>
      </w:r>
    </w:p>
    <w:p>
      <w:pPr>
        <w:spacing w:after="0" w:line="283" w:lineRule="exact"/>
        <w:rPr>
          <w:sz w:val="20"/>
          <w:szCs w:val="20"/>
          <w:color w:val="auto"/>
        </w:rPr>
      </w:pPr>
    </w:p>
    <w:p>
      <w:pPr>
        <w:ind w:right="20"/>
        <w:spacing w:after="0" w:line="291" w:lineRule="auto"/>
        <w:rPr>
          <w:sz w:val="20"/>
          <w:szCs w:val="20"/>
          <w:color w:val="auto"/>
        </w:rPr>
      </w:pPr>
      <w:r>
        <w:rPr>
          <w:rFonts w:ascii="Arial" w:cs="Arial" w:eastAsia="Arial" w:hAnsi="Arial"/>
          <w:sz w:val="16"/>
          <w:szCs w:val="16"/>
          <w:color w:val="auto"/>
        </w:rPr>
        <w:t xml:space="preserve">of the advisory resolution on executive compensation) are </w:t>
      </w:r>
      <w:r>
        <w:rPr>
          <w:rFonts w:ascii="Arial" w:cs="Arial" w:eastAsia="Arial" w:hAnsi="Arial"/>
          <w:sz w:val="16"/>
          <w:szCs w:val="16"/>
          <w:u w:val="single" w:color="auto"/>
          <w:color w:val="auto"/>
        </w:rPr>
        <w:t>not</w:t>
      </w:r>
      <w:r>
        <w:rPr>
          <w:rFonts w:ascii="Arial" w:cs="Arial" w:eastAsia="Arial" w:hAnsi="Arial"/>
          <w:sz w:val="16"/>
          <w:szCs w:val="16"/>
          <w:color w:val="auto"/>
        </w:rPr>
        <w:t xml:space="preserve"> considered “routine” under applicable rules, so the broker, bank, or other nominee cannot vote your shares on these proposals unless you provide to the broker, bank, or other nominee voting instructions for these matters. If you do not provide voting instructions on a non-routine matter, your shares of common stock will not be voted on the matter, which is referred to as a “broker non-vote.” </w:t>
      </w:r>
      <w:r>
        <w:rPr>
          <w:rFonts w:ascii="Arial" w:cs="Arial" w:eastAsia="Arial" w:hAnsi="Arial"/>
          <w:sz w:val="16"/>
          <w:szCs w:val="16"/>
          <w:i w:val="1"/>
          <w:iCs w:val="1"/>
          <w:color w:val="auto"/>
        </w:rPr>
        <w:t>It is, therefore, important that you vote your shares.</w:t>
      </w:r>
    </w:p>
    <w:p>
      <w:pPr>
        <w:spacing w:after="0" w:line="190" w:lineRule="exact"/>
        <w:rPr>
          <w:sz w:val="20"/>
          <w:szCs w:val="20"/>
          <w:color w:val="auto"/>
        </w:rPr>
      </w:pPr>
    </w:p>
    <w:p>
      <w:pPr>
        <w:ind w:left="380" w:right="940" w:hanging="309"/>
        <w:spacing w:after="0" w:line="282" w:lineRule="auto"/>
        <w:tabs>
          <w:tab w:leader="none" w:pos="380" w:val="left"/>
        </w:tabs>
        <w:numPr>
          <w:ilvl w:val="0"/>
          <w:numId w:val="65"/>
        </w:numPr>
        <w:rPr>
          <w:rFonts w:ascii="Arial" w:cs="Arial" w:eastAsia="Arial" w:hAnsi="Arial"/>
          <w:sz w:val="18"/>
          <w:szCs w:val="18"/>
          <w:b w:val="1"/>
          <w:bCs w:val="1"/>
          <w:color w:val="auto"/>
        </w:rPr>
      </w:pPr>
      <w:r>
        <w:rPr>
          <w:rFonts w:ascii="Arial" w:cs="Arial" w:eastAsia="Arial" w:hAnsi="Arial"/>
          <w:sz w:val="18"/>
          <w:szCs w:val="18"/>
          <w:b w:val="1"/>
          <w:bCs w:val="1"/>
          <w:color w:val="auto"/>
        </w:rPr>
        <w:t>ARE ABSTENTIONS AND BROKER NON-VOTES COUNTED?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20320</wp:posOffset>
            </wp:positionV>
            <wp:extent cx="3422015" cy="889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3">
                      <a:extLst>
                        <a:ext uri="{28A0092B-C50C-407E-A947-70E740481C1C}"/>
                      </a:extLst>
                    </a:blip>
                    <a:srcRect/>
                    <a:stretch>
                      <a:fillRect/>
                    </a:stretch>
                  </pic:blipFill>
                  <pic:spPr bwMode="auto">
                    <a:xfrm>
                      <a:off x="0" y="0"/>
                      <a:ext cx="3422015" cy="8890"/>
                    </a:xfrm>
                    <a:prstGeom prst="rect">
                      <a:avLst/>
                    </a:prstGeom>
                    <a:noFill/>
                  </pic:spPr>
                </pic:pic>
              </a:graphicData>
            </a:graphic>
          </wp:anchor>
        </w:drawing>
      </w:r>
    </w:p>
    <w:p>
      <w:pPr>
        <w:spacing w:after="0" w:line="119" w:lineRule="exact"/>
        <w:rPr>
          <w:sz w:val="20"/>
          <w:szCs w:val="20"/>
          <w:color w:val="auto"/>
        </w:rPr>
      </w:pPr>
    </w:p>
    <w:p>
      <w:pPr>
        <w:ind w:right="280"/>
        <w:spacing w:after="0" w:line="312" w:lineRule="auto"/>
        <w:rPr>
          <w:sz w:val="20"/>
          <w:szCs w:val="20"/>
          <w:color w:val="auto"/>
        </w:rPr>
      </w:pPr>
      <w:r>
        <w:rPr>
          <w:rFonts w:ascii="Arial" w:cs="Arial" w:eastAsia="Arial" w:hAnsi="Arial"/>
          <w:sz w:val="16"/>
          <w:szCs w:val="16"/>
          <w:color w:val="auto"/>
        </w:rPr>
        <w:t xml:space="preserve">Abstentions and broker non-votes will not be counted as votes cast and will not affect the outcome of the votes at the Annual Meeting. </w:t>
      </w:r>
      <w:r>
        <w:rPr>
          <w:rFonts w:ascii="Arial" w:cs="Arial" w:eastAsia="Arial" w:hAnsi="Arial"/>
          <w:sz w:val="16"/>
          <w:szCs w:val="16"/>
          <w:i w:val="1"/>
          <w:iCs w:val="1"/>
          <w:color w:val="auto"/>
        </w:rPr>
        <w:t>See</w:t>
      </w:r>
      <w:r>
        <w:rPr>
          <w:rFonts w:ascii="Arial" w:cs="Arial" w:eastAsia="Arial" w:hAnsi="Arial"/>
          <w:sz w:val="16"/>
          <w:szCs w:val="16"/>
          <w:color w:val="auto"/>
        </w:rPr>
        <w:t xml:space="preserve"> Question 10 above for more information about broker non-votes.</w:t>
      </w:r>
    </w:p>
    <w:p>
      <w:pPr>
        <w:spacing w:after="0" w:line="170" w:lineRule="exact"/>
        <w:rPr>
          <w:sz w:val="20"/>
          <w:szCs w:val="20"/>
          <w:color w:val="auto"/>
        </w:rPr>
      </w:pPr>
    </w:p>
    <w:p>
      <w:pPr>
        <w:ind w:left="80"/>
        <w:spacing w:after="0"/>
        <w:rPr>
          <w:sz w:val="20"/>
          <w:szCs w:val="20"/>
          <w:color w:val="auto"/>
        </w:rPr>
      </w:pPr>
      <w:r>
        <w:rPr>
          <w:rFonts w:ascii="Arial" w:cs="Arial" w:eastAsia="Arial" w:hAnsi="Arial"/>
          <w:sz w:val="18"/>
          <w:szCs w:val="18"/>
          <w:b w:val="1"/>
          <w:bCs w:val="1"/>
          <w:color w:val="auto"/>
        </w:rPr>
        <w:t>12. HOW CAN I REVOKE A PROXY?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51435</wp:posOffset>
            </wp:positionV>
            <wp:extent cx="3422015" cy="889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4">
                      <a:extLst>
                        <a:ext uri="{28A0092B-C50C-407E-A947-70E740481C1C}"/>
                      </a:extLst>
                    </a:blip>
                    <a:srcRect/>
                    <a:stretch>
                      <a:fillRect/>
                    </a:stretch>
                  </pic:blipFill>
                  <pic:spPr bwMode="auto">
                    <a:xfrm>
                      <a:off x="0" y="0"/>
                      <a:ext cx="3422015" cy="8890"/>
                    </a:xfrm>
                    <a:prstGeom prst="rect">
                      <a:avLst/>
                    </a:prstGeom>
                    <a:noFill/>
                  </pic:spPr>
                </pic:pic>
              </a:graphicData>
            </a:graphic>
          </wp:anchor>
        </w:drawing>
      </w:r>
    </w:p>
    <w:p>
      <w:pPr>
        <w:spacing w:after="0" w:line="169" w:lineRule="exact"/>
        <w:rPr>
          <w:sz w:val="20"/>
          <w:szCs w:val="20"/>
          <w:color w:val="auto"/>
        </w:rPr>
      </w:pPr>
    </w:p>
    <w:p>
      <w:pPr>
        <w:spacing w:after="0" w:line="272" w:lineRule="auto"/>
        <w:rPr>
          <w:sz w:val="20"/>
          <w:szCs w:val="20"/>
          <w:color w:val="auto"/>
        </w:rPr>
      </w:pPr>
      <w:r>
        <w:rPr>
          <w:rFonts w:ascii="Arial" w:cs="Arial" w:eastAsia="Arial" w:hAnsi="Arial"/>
          <w:sz w:val="17"/>
          <w:szCs w:val="17"/>
          <w:color w:val="auto"/>
        </w:rPr>
        <w:t>The enclosed proxy is solicited on behalf of the Board of Directors and is revocable at any time prior to the voting of the proxy, by the filing of an instrument revoking it, or a duly executed proxy bearing a later date, with our Secretary, addressed to our principal executive offices at 2 Bethesda Metro Center, 12th Floor, Bethesda, Maryland 20814. In the event that you attend the Annual Meeting, you may revoke your proxy and cast your vote personally at the meeting.</w:t>
      </w:r>
    </w:p>
    <w:p>
      <w:pPr>
        <w:spacing w:after="0" w:line="201" w:lineRule="exact"/>
        <w:rPr>
          <w:sz w:val="20"/>
          <w:szCs w:val="20"/>
          <w:color w:val="auto"/>
        </w:rPr>
      </w:pPr>
    </w:p>
    <w:p>
      <w:pPr>
        <w:ind w:left="380" w:right="1220" w:hanging="309"/>
        <w:spacing w:after="0" w:line="282" w:lineRule="auto"/>
        <w:tabs>
          <w:tab w:leader="none" w:pos="380" w:val="left"/>
        </w:tabs>
        <w:numPr>
          <w:ilvl w:val="0"/>
          <w:numId w:val="66"/>
        </w:numPr>
        <w:rPr>
          <w:rFonts w:ascii="Arial" w:cs="Arial" w:eastAsia="Arial" w:hAnsi="Arial"/>
          <w:sz w:val="18"/>
          <w:szCs w:val="18"/>
          <w:b w:val="1"/>
          <w:bCs w:val="1"/>
          <w:color w:val="auto"/>
        </w:rPr>
      </w:pPr>
      <w:r>
        <w:rPr>
          <w:rFonts w:ascii="Arial" w:cs="Arial" w:eastAsia="Arial" w:hAnsi="Arial"/>
          <w:sz w:val="18"/>
          <w:szCs w:val="18"/>
          <w:b w:val="1"/>
          <w:bCs w:val="1"/>
          <w:color w:val="auto"/>
        </w:rPr>
        <w:t>WHO WILL PAY THE COST OF THIS PROXY SOLICITATION?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11430</wp:posOffset>
            </wp:positionV>
            <wp:extent cx="3422015" cy="889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5">
                      <a:extLst>
                        <a:ext uri="{28A0092B-C50C-407E-A947-70E740481C1C}"/>
                      </a:extLst>
                    </a:blip>
                    <a:srcRect/>
                    <a:stretch>
                      <a:fillRect/>
                    </a:stretch>
                  </pic:blipFill>
                  <pic:spPr bwMode="auto">
                    <a:xfrm>
                      <a:off x="0" y="0"/>
                      <a:ext cx="3422015" cy="8890"/>
                    </a:xfrm>
                    <a:prstGeom prst="rect">
                      <a:avLst/>
                    </a:prstGeom>
                    <a:noFill/>
                  </pic:spPr>
                </pic:pic>
              </a:graphicData>
            </a:graphic>
          </wp:anchor>
        </w:drawing>
      </w:r>
    </w:p>
    <w:p>
      <w:pPr>
        <w:spacing w:after="0" w:line="38" w:lineRule="exact"/>
        <w:rPr>
          <w:sz w:val="20"/>
          <w:szCs w:val="20"/>
          <w:color w:val="auto"/>
        </w:rPr>
      </w:pPr>
    </w:p>
    <w:p>
      <w:pPr>
        <w:ind w:right="60"/>
        <w:spacing w:after="0" w:line="255" w:lineRule="auto"/>
        <w:rPr>
          <w:sz w:val="20"/>
          <w:szCs w:val="20"/>
          <w:color w:val="auto"/>
        </w:rPr>
      </w:pPr>
      <w:r>
        <w:rPr>
          <w:rFonts w:ascii="Arial" w:cs="Arial" w:eastAsia="Arial" w:hAnsi="Arial"/>
          <w:sz w:val="18"/>
          <w:szCs w:val="18"/>
          <w:color w:val="auto"/>
        </w:rPr>
        <w:t>We will bear the cost of soliciting proxies on the accompanying form. In addition to the use of mail, our officers and employees may solicit proxies by telephone or facsimile. Upon request, we will reimburse brokers, dealers, banks and trustees, or their nominees, for reasonable expenses incurred by them in forwarding our proxy materials to beneficial owners of our common stock.</w:t>
      </w:r>
    </w:p>
    <w:p>
      <w:pPr>
        <w:spacing w:after="0" w:line="1024" w:lineRule="exact"/>
        <w:rPr>
          <w:sz w:val="20"/>
          <w:szCs w:val="20"/>
          <w:color w:val="auto"/>
        </w:rPr>
      </w:pPr>
    </w:p>
    <w:p>
      <w:pPr>
        <w:sectPr>
          <w:pgSz w:w="11900" w:h="16838" w:orient="portrait"/>
          <w:cols w:equalWidth="0" w:num="2">
            <w:col w:w="5480" w:space="340"/>
            <w:col w:w="5400"/>
          </w:cols>
          <w:pgMar w:left="240" w:top="459" w:right="439" w:bottom="1440" w:gutter="0" w:footer="0" w:header="0"/>
          <w:type w:val="continuous"/>
        </w:sectPr>
      </w:pPr>
    </w:p>
    <w:p>
      <w:pPr>
        <w:spacing w:after="0" w:line="56"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70</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20"/>
          </w:cols>
          <w:pgMar w:left="240" w:top="459" w:right="439" w:bottom="1440" w:gutter="0" w:footer="0" w:header="0"/>
          <w:type w:val="continuous"/>
        </w:sectPr>
      </w:pPr>
    </w:p>
    <w:bookmarkStart w:id="74" w:name="page75"/>
    <w:bookmarkEnd w:id="7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QUESTIONS AND ANSWERS ABOUT THE 2018 ANNUAL MEETING AND VOTING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7">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ectPr>
          <w:pgSz w:w="11900" w:h="16838" w:orient="portrait"/>
          <w:cols w:equalWidth="0" w:num="1">
            <w:col w:w="11220"/>
          </w:cols>
          <w:pgMar w:left="240" w:top="459" w:right="439" w:bottom="1440" w:gutter="0" w:footer="0" w:header="0"/>
        </w:sectPr>
      </w:pPr>
    </w:p>
    <w:p>
      <w:pPr>
        <w:spacing w:after="0" w:line="299" w:lineRule="exact"/>
        <w:rPr>
          <w:sz w:val="20"/>
          <w:szCs w:val="20"/>
          <w:color w:val="auto"/>
        </w:rPr>
      </w:pPr>
    </w:p>
    <w:p>
      <w:pPr>
        <w:ind w:left="580" w:right="660" w:hanging="309"/>
        <w:spacing w:after="0" w:line="282" w:lineRule="auto"/>
        <w:tabs>
          <w:tab w:leader="none" w:pos="580" w:val="left"/>
        </w:tabs>
        <w:numPr>
          <w:ilvl w:val="0"/>
          <w:numId w:val="67"/>
        </w:numPr>
        <w:rPr>
          <w:rFonts w:ascii="Arial" w:cs="Arial" w:eastAsia="Arial" w:hAnsi="Arial"/>
          <w:sz w:val="18"/>
          <w:szCs w:val="18"/>
          <w:b w:val="1"/>
          <w:bCs w:val="1"/>
          <w:color w:val="auto"/>
        </w:rPr>
      </w:pPr>
      <w:r>
        <w:rPr>
          <w:rFonts w:ascii="Arial" w:cs="Arial" w:eastAsia="Arial" w:hAnsi="Arial"/>
          <w:sz w:val="18"/>
          <w:szCs w:val="18"/>
          <w:b w:val="1"/>
          <w:bCs w:val="1"/>
          <w:color w:val="auto"/>
        </w:rPr>
        <w:t>HOW DO I OBTAIN ADMISSION TO THE 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20320</wp:posOffset>
            </wp:positionV>
            <wp:extent cx="3353435" cy="889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8">
                      <a:extLst>
                        <a:ext uri="{28A0092B-C50C-407E-A947-70E740481C1C}"/>
                      </a:extLst>
                    </a:blip>
                    <a:srcRect/>
                    <a:stretch>
                      <a:fillRect/>
                    </a:stretch>
                  </pic:blipFill>
                  <pic:spPr bwMode="auto">
                    <a:xfrm>
                      <a:off x="0" y="0"/>
                      <a:ext cx="3353435" cy="8890"/>
                    </a:xfrm>
                    <a:prstGeom prst="rect">
                      <a:avLst/>
                    </a:prstGeom>
                    <a:noFill/>
                  </pic:spPr>
                </pic:pic>
              </a:graphicData>
            </a:graphic>
          </wp:anchor>
        </w:drawing>
      </w:r>
    </w:p>
    <w:p>
      <w:pPr>
        <w:spacing w:after="0" w:line="119" w:lineRule="exact"/>
        <w:rPr>
          <w:sz w:val="20"/>
          <w:szCs w:val="20"/>
          <w:color w:val="auto"/>
        </w:rPr>
      </w:pPr>
    </w:p>
    <w:p>
      <w:pPr>
        <w:ind w:left="220"/>
        <w:spacing w:after="0" w:line="287" w:lineRule="auto"/>
        <w:rPr>
          <w:sz w:val="20"/>
          <w:szCs w:val="20"/>
          <w:color w:val="auto"/>
        </w:rPr>
      </w:pPr>
      <w:r>
        <w:rPr>
          <w:rFonts w:ascii="Arial" w:cs="Arial" w:eastAsia="Arial" w:hAnsi="Arial"/>
          <w:sz w:val="16"/>
          <w:szCs w:val="16"/>
          <w:color w:val="auto"/>
        </w:rPr>
        <w:t xml:space="preserve">If you wish to attend the Annual Meeting in person, we request that you register in advance with our Investor Relations department either by email at </w:t>
      </w:r>
      <w:r>
        <w:rPr>
          <w:rFonts w:ascii="Arial" w:cs="Arial" w:eastAsia="Arial" w:hAnsi="Arial"/>
          <w:sz w:val="16"/>
          <w:szCs w:val="16"/>
          <w:i w:val="1"/>
          <w:iCs w:val="1"/>
          <w:color w:val="auto"/>
        </w:rPr>
        <w:t>IR@AGNC.com</w:t>
      </w:r>
      <w:r>
        <w:rPr>
          <w:rFonts w:ascii="Arial" w:cs="Arial" w:eastAsia="Arial" w:hAnsi="Arial"/>
          <w:sz w:val="16"/>
          <w:szCs w:val="16"/>
          <w:color w:val="auto"/>
        </w:rPr>
        <w:t xml:space="preserve"> or by telephone at (301) 968-9300. </w:t>
      </w:r>
      <w:r>
        <w:rPr>
          <w:rFonts w:ascii="Arial" w:cs="Arial" w:eastAsia="Arial" w:hAnsi="Arial"/>
          <w:sz w:val="16"/>
          <w:szCs w:val="16"/>
          <w:b w:val="1"/>
          <w:bCs w:val="1"/>
          <w:color w:val="auto"/>
        </w:rPr>
        <w:t>Attendance</w:t>
      </w:r>
      <w:r>
        <w:rPr>
          <w:rFonts w:ascii="Arial" w:cs="Arial" w:eastAsia="Arial" w:hAnsi="Arial"/>
          <w:sz w:val="16"/>
          <w:szCs w:val="16"/>
          <w:color w:val="auto"/>
        </w:rPr>
        <w:t xml:space="preserve"> </w:t>
      </w:r>
      <w:r>
        <w:rPr>
          <w:rFonts w:ascii="Arial" w:cs="Arial" w:eastAsia="Arial" w:hAnsi="Arial"/>
          <w:sz w:val="16"/>
          <w:szCs w:val="16"/>
          <w:b w:val="1"/>
          <w:bCs w:val="1"/>
          <w:color w:val="auto"/>
        </w:rPr>
        <w:t xml:space="preserve">at the Annual Meeting will be limited to persons presenting proof of stock ownership on the record date and picture identification. </w:t>
      </w:r>
      <w:r>
        <w:rPr>
          <w:rFonts w:ascii="Arial" w:cs="Arial" w:eastAsia="Arial" w:hAnsi="Arial"/>
          <w:sz w:val="16"/>
          <w:szCs w:val="16"/>
          <w:color w:val="auto"/>
        </w:rPr>
        <w:t>If you</w:t>
      </w:r>
      <w:r>
        <w:rPr>
          <w:rFonts w:ascii="Arial" w:cs="Arial" w:eastAsia="Arial" w:hAnsi="Arial"/>
          <w:sz w:val="16"/>
          <w:szCs w:val="16"/>
          <w:b w:val="1"/>
          <w:bCs w:val="1"/>
          <w:color w:val="auto"/>
        </w:rPr>
        <w:t xml:space="preserve"> </w:t>
      </w:r>
      <w:r>
        <w:rPr>
          <w:rFonts w:ascii="Arial" w:cs="Arial" w:eastAsia="Arial" w:hAnsi="Arial"/>
          <w:sz w:val="16"/>
          <w:szCs w:val="16"/>
          <w:color w:val="auto"/>
        </w:rPr>
        <w:t>hold shares directly in your name as the stockholder of record, proof of ownership could include a copy of your account statement or a copy of your stock certificate(s). If you hold shares through an intermediary, such as a broker, bank, or other nominee, proof of stock ownership could include a proxy from your broker, bank, or other nominee or a copy of your brokerage or bank account statement.</w:t>
      </w:r>
    </w:p>
    <w:p>
      <w:pPr>
        <w:spacing w:after="0" w:line="20" w:lineRule="exact"/>
        <w:rPr>
          <w:sz w:val="20"/>
          <w:szCs w:val="20"/>
          <w:color w:val="auto"/>
        </w:rPr>
      </w:pPr>
      <w:r>
        <w:rPr>
          <w:sz w:val="20"/>
          <w:szCs w:val="20"/>
          <w:color w:val="auto"/>
        </w:rPr>
        <w:br w:type="column"/>
      </w:r>
    </w:p>
    <w:p>
      <w:pPr>
        <w:spacing w:after="0" w:line="279" w:lineRule="exact"/>
        <w:rPr>
          <w:sz w:val="20"/>
          <w:szCs w:val="20"/>
          <w:color w:val="auto"/>
        </w:rPr>
      </w:pPr>
    </w:p>
    <w:p>
      <w:pPr>
        <w:ind w:left="380" w:right="280" w:hanging="309"/>
        <w:spacing w:after="0" w:line="282" w:lineRule="auto"/>
        <w:tabs>
          <w:tab w:leader="none" w:pos="380" w:val="left"/>
        </w:tabs>
        <w:numPr>
          <w:ilvl w:val="0"/>
          <w:numId w:val="68"/>
        </w:numPr>
        <w:rPr>
          <w:rFonts w:ascii="Arial" w:cs="Arial" w:eastAsia="Arial" w:hAnsi="Arial"/>
          <w:sz w:val="18"/>
          <w:szCs w:val="18"/>
          <w:b w:val="1"/>
          <w:bCs w:val="1"/>
          <w:color w:val="auto"/>
        </w:rPr>
      </w:pPr>
      <w:r>
        <w:rPr>
          <w:rFonts w:ascii="Arial" w:cs="Arial" w:eastAsia="Arial" w:hAnsi="Arial"/>
          <w:sz w:val="18"/>
          <w:szCs w:val="18"/>
          <w:b w:val="1"/>
          <w:bCs w:val="1"/>
          <w:color w:val="auto"/>
        </w:rPr>
        <w:t>HOW MANY VOTES MUST BE PRESENT TO HOLD THE 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20320</wp:posOffset>
            </wp:positionV>
            <wp:extent cx="3422015" cy="889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9">
                      <a:extLst>
                        <a:ext uri="{28A0092B-C50C-407E-A947-70E740481C1C}"/>
                      </a:extLst>
                    </a:blip>
                    <a:srcRect/>
                    <a:stretch>
                      <a:fillRect/>
                    </a:stretch>
                  </pic:blipFill>
                  <pic:spPr bwMode="auto">
                    <a:xfrm>
                      <a:off x="0" y="0"/>
                      <a:ext cx="3422015" cy="8890"/>
                    </a:xfrm>
                    <a:prstGeom prst="rect">
                      <a:avLst/>
                    </a:prstGeom>
                    <a:noFill/>
                  </pic:spPr>
                </pic:pic>
              </a:graphicData>
            </a:graphic>
          </wp:anchor>
        </w:drawing>
      </w:r>
    </w:p>
    <w:p>
      <w:pPr>
        <w:spacing w:after="0" w:line="119" w:lineRule="exact"/>
        <w:rPr>
          <w:sz w:val="20"/>
          <w:szCs w:val="20"/>
          <w:color w:val="auto"/>
        </w:rPr>
      </w:pPr>
    </w:p>
    <w:p>
      <w:pPr>
        <w:ind w:right="120"/>
        <w:spacing w:after="0" w:line="255" w:lineRule="auto"/>
        <w:rPr>
          <w:sz w:val="20"/>
          <w:szCs w:val="20"/>
          <w:color w:val="auto"/>
        </w:rPr>
      </w:pPr>
      <w:r>
        <w:rPr>
          <w:rFonts w:ascii="Arial" w:cs="Arial" w:eastAsia="Arial" w:hAnsi="Arial"/>
          <w:sz w:val="18"/>
          <w:szCs w:val="18"/>
          <w:color w:val="auto"/>
        </w:rPr>
        <w:t>In order for us to conduct the Annual Meeting, holders representing a majority of our outstanding shares of common stock entitled to vote as of the close of business on the record date must be present in person or by proxy at the meeting. This is referred to as a quorum. Your shares are counted as present at the Annual Meeting if you attend the meeting and vote in person or if you properly return a proxy by internet, telephone or mail.</w:t>
      </w:r>
    </w:p>
    <w:p>
      <w:pPr>
        <w:spacing w:after="0" w:line="189" w:lineRule="exact"/>
        <w:rPr>
          <w:sz w:val="20"/>
          <w:szCs w:val="20"/>
          <w:color w:val="auto"/>
        </w:rPr>
      </w:pPr>
    </w:p>
    <w:p>
      <w:pPr>
        <w:ind w:right="520"/>
        <w:spacing w:after="0" w:line="277" w:lineRule="auto"/>
        <w:rPr>
          <w:sz w:val="20"/>
          <w:szCs w:val="20"/>
          <w:color w:val="auto"/>
        </w:rPr>
      </w:pPr>
      <w:r>
        <w:rPr>
          <w:rFonts w:ascii="Arial" w:cs="Arial" w:eastAsia="Arial" w:hAnsi="Arial"/>
          <w:sz w:val="18"/>
          <w:szCs w:val="18"/>
          <w:color w:val="auto"/>
        </w:rPr>
        <w:t>Abstentions and broker non-votes will be considered present for the purpose of determining whether a quorum is present.</w:t>
      </w:r>
    </w:p>
    <w:p>
      <w:pPr>
        <w:spacing w:after="0" w:line="413" w:lineRule="exact"/>
        <w:rPr>
          <w:sz w:val="20"/>
          <w:szCs w:val="20"/>
          <w:color w:val="auto"/>
        </w:rPr>
      </w:pPr>
    </w:p>
    <w:p>
      <w:pPr>
        <w:sectPr>
          <w:pgSz w:w="11900" w:h="16838" w:orient="portrait"/>
          <w:cols w:equalWidth="0" w:num="2">
            <w:col w:w="5500" w:space="320"/>
            <w:col w:w="5400"/>
          </w:cols>
          <w:pgMar w:left="240" w:top="459" w:right="439" w:bottom="1440" w:gutter="0" w:footer="0" w:header="0"/>
          <w:type w:val="continuous"/>
        </w:sectPr>
      </w:pPr>
    </w:p>
    <w:p>
      <w:pPr>
        <w:spacing w:after="0" w:line="365" w:lineRule="exact"/>
        <w:rPr>
          <w:sz w:val="20"/>
          <w:szCs w:val="20"/>
          <w:color w:val="auto"/>
        </w:rPr>
      </w:pPr>
    </w:p>
    <w:p>
      <w:pPr>
        <w:jc w:val="center"/>
        <w:ind w:right="-199"/>
        <w:spacing w:after="0"/>
        <w:rPr>
          <w:sz w:val="20"/>
          <w:szCs w:val="20"/>
          <w:color w:val="auto"/>
        </w:rPr>
      </w:pPr>
      <w:r>
        <w:rPr>
          <w:rFonts w:ascii="Arial" w:cs="Arial" w:eastAsia="Arial" w:hAnsi="Arial"/>
          <w:sz w:val="22"/>
          <w:szCs w:val="22"/>
          <w:b w:val="1"/>
          <w:bCs w:val="1"/>
          <w:color w:val="407CCA"/>
        </w:rPr>
        <w:t>OTHER MATTERS</w:t>
      </w:r>
    </w:p>
    <w:p>
      <w:pPr>
        <w:spacing w:after="0" w:line="219" w:lineRule="exact"/>
        <w:rPr>
          <w:sz w:val="20"/>
          <w:szCs w:val="20"/>
          <w:color w:val="auto"/>
        </w:rPr>
      </w:pPr>
    </w:p>
    <w:p>
      <w:pPr>
        <w:ind w:left="200"/>
        <w:spacing w:after="0" w:line="286" w:lineRule="auto"/>
        <w:rPr>
          <w:sz w:val="20"/>
          <w:szCs w:val="20"/>
          <w:color w:val="auto"/>
        </w:rPr>
      </w:pPr>
      <w:r>
        <w:rPr>
          <w:rFonts w:ascii="Arial" w:cs="Arial" w:eastAsia="Arial" w:hAnsi="Arial"/>
          <w:sz w:val="17"/>
          <w:szCs w:val="17"/>
          <w:color w:val="auto"/>
        </w:rPr>
        <w:t>The Board of Directors does not intend to bring other matters before the Annual Meeting except items incidental to the conduct of the meeting. However, on all other matters properly brought before the meeting, or any postponement or adjournment thereof, by the Board of Directors or others, the persons named as proxies in the accompanying proxy card, or their substitutes, will vote in accordance with their discretion.</w:t>
      </w:r>
    </w:p>
    <w:p>
      <w:pPr>
        <w:spacing w:after="0" w:line="94"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71</w:t>
      </w:r>
    </w:p>
    <w:p>
      <w:pPr>
        <w:sectPr>
          <w:pgSz w:w="11900" w:h="16838" w:orient="portrait"/>
          <w:cols w:equalWidth="0" w:num="1">
            <w:col w:w="11220"/>
          </w:cols>
          <w:pgMar w:left="240" w:top="459" w:right="439" w:bottom="1440" w:gutter="0" w:footer="0" w:header="0"/>
          <w:type w:val="continuous"/>
        </w:sectPr>
      </w:pPr>
    </w:p>
    <w:bookmarkStart w:id="75" w:name="page76"/>
    <w:bookmarkEnd w:id="75"/>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503555</wp:posOffset>
            </wp:positionV>
            <wp:extent cx="5925820" cy="198120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1">
                      <a:extLst>
                        <a:ext uri="{28A0092B-C50C-407E-A947-70E740481C1C}"/>
                      </a:extLst>
                    </a:blip>
                    <a:srcRect/>
                    <a:stretch>
                      <a:fillRect/>
                    </a:stretch>
                  </pic:blipFill>
                  <pic:spPr bwMode="auto">
                    <a:xfrm>
                      <a:off x="0" y="0"/>
                      <a:ext cx="5925820" cy="1981200"/>
                    </a:xfrm>
                    <a:prstGeom prst="rect">
                      <a:avLst/>
                    </a:prstGeom>
                    <a:noFill/>
                  </pic:spPr>
                </pic:pic>
              </a:graphicData>
            </a:graphic>
          </wp:anchor>
        </w:drawing>
      </w:r>
    </w:p>
    <w:p>
      <w:pPr>
        <w:sectPr>
          <w:pgSz w:w="11900" w:h="16838" w:orient="portrait"/>
          <w:cols w:equalWidth="0" w:num="1">
            <w:col w:w="11400"/>
          </w:cols>
          <w:pgMar w:left="240" w:top="459" w:right="259" w:bottom="47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1" w:lineRule="exact"/>
        <w:rPr>
          <w:sz w:val="20"/>
          <w:szCs w:val="20"/>
          <w:color w:val="auto"/>
        </w:rPr>
      </w:pPr>
    </w:p>
    <w:p>
      <w:pPr>
        <w:spacing w:after="0"/>
        <w:rPr>
          <w:sz w:val="20"/>
          <w:szCs w:val="20"/>
          <w:color w:val="auto"/>
        </w:rPr>
      </w:pPr>
      <w:r>
        <w:rPr>
          <w:rFonts w:ascii="Arial" w:cs="Arial" w:eastAsia="Arial" w:hAnsi="Arial"/>
          <w:sz w:val="14"/>
          <w:szCs w:val="14"/>
          <w:color w:val="auto"/>
        </w:rPr>
        <w:t xml:space="preserve">Using a </w:t>
      </w:r>
      <w:r>
        <w:rPr>
          <w:rFonts w:ascii="Arial" w:cs="Arial" w:eastAsia="Arial" w:hAnsi="Arial"/>
          <w:sz w:val="14"/>
          <w:szCs w:val="14"/>
          <w:b w:val="1"/>
          <w:bCs w:val="1"/>
          <w:u w:val="single" w:color="auto"/>
          <w:color w:val="auto"/>
        </w:rPr>
        <w:t>black ink</w:t>
      </w:r>
      <w:r>
        <w:rPr>
          <w:rFonts w:ascii="Arial" w:cs="Arial" w:eastAsia="Arial" w:hAnsi="Arial"/>
          <w:sz w:val="14"/>
          <w:szCs w:val="14"/>
          <w:color w:val="auto"/>
        </w:rPr>
        <w:t xml:space="preserve"> pen, mark your votes with an </w:t>
      </w:r>
      <w:r>
        <w:rPr>
          <w:rFonts w:ascii="Arial" w:cs="Arial" w:eastAsia="Arial" w:hAnsi="Arial"/>
          <w:sz w:val="14"/>
          <w:szCs w:val="14"/>
          <w:b w:val="1"/>
          <w:bCs w:val="1"/>
          <w:color w:val="auto"/>
        </w:rPr>
        <w:t>X</w:t>
      </w:r>
      <w:r>
        <w:rPr>
          <w:rFonts w:ascii="Arial" w:cs="Arial" w:eastAsia="Arial" w:hAnsi="Arial"/>
          <w:sz w:val="14"/>
          <w:szCs w:val="14"/>
          <w:color w:val="auto"/>
        </w:rPr>
        <w:t xml:space="preserve"> as shown in this example.</w:t>
      </w:r>
    </w:p>
    <w:p>
      <w:pPr>
        <w:spacing w:after="0" w:line="19" w:lineRule="exact"/>
        <w:rPr>
          <w:sz w:val="20"/>
          <w:szCs w:val="20"/>
          <w:color w:val="auto"/>
        </w:rPr>
      </w:pPr>
    </w:p>
    <w:p>
      <w:pPr>
        <w:spacing w:after="0"/>
        <w:rPr>
          <w:sz w:val="20"/>
          <w:szCs w:val="20"/>
          <w:color w:val="auto"/>
        </w:rPr>
      </w:pPr>
      <w:r>
        <w:rPr>
          <w:rFonts w:ascii="Arial" w:cs="Arial" w:eastAsia="Arial" w:hAnsi="Arial"/>
          <w:sz w:val="14"/>
          <w:szCs w:val="14"/>
          <w:color w:val="auto"/>
        </w:rPr>
        <w:t>Please do not write outside the designated areas.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143510</wp:posOffset>
            </wp:positionV>
            <wp:extent cx="5942965" cy="34290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2">
                      <a:extLst>
                        <a:ext uri="{28A0092B-C50C-407E-A947-70E740481C1C}"/>
                      </a:extLst>
                    </a:blip>
                    <a:srcRect/>
                    <a:stretch>
                      <a:fillRect/>
                    </a:stretch>
                  </pic:blipFill>
                  <pic:spPr bwMode="auto">
                    <a:xfrm>
                      <a:off x="0" y="0"/>
                      <a:ext cx="5942965" cy="34290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1" w:lineRule="exact"/>
        <w:rPr>
          <w:sz w:val="20"/>
          <w:szCs w:val="20"/>
          <w:color w:val="auto"/>
        </w:rPr>
      </w:pPr>
    </w:p>
    <w:p>
      <w:pPr>
        <w:ind w:left="1260"/>
        <w:spacing w:after="0"/>
        <w:rPr>
          <w:sz w:val="20"/>
          <w:szCs w:val="20"/>
          <w:color w:val="auto"/>
        </w:rPr>
      </w:pPr>
      <w:r>
        <w:rPr>
          <w:rFonts w:ascii="Arial" w:cs="Arial" w:eastAsia="Arial" w:hAnsi="Arial"/>
          <w:sz w:val="22"/>
          <w:szCs w:val="22"/>
          <w:b w:val="1"/>
          <w:bCs w:val="1"/>
          <w:color w:val="auto"/>
        </w:rPr>
        <w:t>Electronic Voting Instructions</w:t>
      </w:r>
    </w:p>
    <w:p>
      <w:pPr>
        <w:spacing w:after="0" w:line="81"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Available 24 hours a day, 7 days a week!</w:t>
      </w:r>
    </w:p>
    <w:p>
      <w:pPr>
        <w:spacing w:after="0" w:line="104" w:lineRule="exact"/>
        <w:rPr>
          <w:sz w:val="20"/>
          <w:szCs w:val="20"/>
          <w:color w:val="auto"/>
        </w:rPr>
      </w:pPr>
    </w:p>
    <w:p>
      <w:pPr>
        <w:ind w:left="1260" w:right="440"/>
        <w:spacing w:after="0" w:line="258" w:lineRule="auto"/>
        <w:rPr>
          <w:sz w:val="20"/>
          <w:szCs w:val="20"/>
          <w:color w:val="auto"/>
        </w:rPr>
      </w:pPr>
      <w:r>
        <w:rPr>
          <w:rFonts w:ascii="Arial" w:cs="Arial" w:eastAsia="Arial" w:hAnsi="Arial"/>
          <w:sz w:val="14"/>
          <w:szCs w:val="14"/>
          <w:color w:val="auto"/>
        </w:rPr>
        <w:t>Instead of mailing your proxy, you may choose one of the voting methods outlined below to vote your proxy.</w:t>
      </w:r>
    </w:p>
    <w:p>
      <w:pPr>
        <w:spacing w:after="0" w:line="59" w:lineRule="exact"/>
        <w:rPr>
          <w:sz w:val="20"/>
          <w:szCs w:val="20"/>
          <w:color w:val="auto"/>
        </w:rPr>
      </w:pPr>
    </w:p>
    <w:p>
      <w:pPr>
        <w:ind w:left="1260"/>
        <w:spacing w:after="0"/>
        <w:rPr>
          <w:sz w:val="20"/>
          <w:szCs w:val="20"/>
          <w:color w:val="auto"/>
        </w:rPr>
      </w:pPr>
      <w:r>
        <w:rPr>
          <w:rFonts w:ascii="Arial" w:cs="Arial" w:eastAsia="Arial" w:hAnsi="Arial"/>
          <w:sz w:val="14"/>
          <w:szCs w:val="14"/>
          <w:color w:val="auto"/>
        </w:rPr>
        <w:t>VALIDATION DETAILS ARE LOCATED BELOW IN THE TITLE BAR.</w:t>
      </w:r>
    </w:p>
    <w:p>
      <w:pPr>
        <w:spacing w:after="0" w:line="64" w:lineRule="exact"/>
        <w:rPr>
          <w:sz w:val="20"/>
          <w:szCs w:val="20"/>
          <w:color w:val="auto"/>
        </w:rPr>
      </w:pPr>
    </w:p>
    <w:p>
      <w:pPr>
        <w:ind w:left="1260" w:right="160"/>
        <w:spacing w:after="0" w:line="285" w:lineRule="auto"/>
        <w:rPr>
          <w:sz w:val="20"/>
          <w:szCs w:val="20"/>
          <w:color w:val="auto"/>
        </w:rPr>
      </w:pPr>
      <w:r>
        <w:rPr>
          <w:rFonts w:ascii="Arial" w:cs="Arial" w:eastAsia="Arial" w:hAnsi="Arial"/>
          <w:sz w:val="14"/>
          <w:szCs w:val="14"/>
          <w:b w:val="1"/>
          <w:bCs w:val="1"/>
          <w:color w:val="auto"/>
        </w:rPr>
        <w:t>Proxies submitted by the Internet or telephone must be received by 1:00 a.m., Central Time, on April 19, 2018.</w:t>
      </w:r>
    </w:p>
    <w:p>
      <w:pPr>
        <w:spacing w:after="0" w:line="27" w:lineRule="exact"/>
        <w:rPr>
          <w:sz w:val="20"/>
          <w:szCs w:val="20"/>
          <w:color w:val="auto"/>
        </w:rPr>
      </w:pPr>
    </w:p>
    <w:p>
      <w:pPr>
        <w:ind w:left="2740"/>
        <w:spacing w:after="0"/>
        <w:rPr>
          <w:sz w:val="20"/>
          <w:szCs w:val="20"/>
          <w:color w:val="auto"/>
        </w:rPr>
      </w:pPr>
      <w:r>
        <w:rPr>
          <w:rFonts w:ascii="Arial" w:cs="Arial" w:eastAsia="Arial" w:hAnsi="Arial"/>
          <w:sz w:val="18"/>
          <w:szCs w:val="18"/>
          <w:b w:val="1"/>
          <w:bCs w:val="1"/>
          <w:color w:val="auto"/>
        </w:rPr>
        <w:t>Vote by Internet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800735</wp:posOffset>
            </wp:positionH>
            <wp:positionV relativeFrom="paragraph">
              <wp:posOffset>37465</wp:posOffset>
            </wp:positionV>
            <wp:extent cx="411480" cy="41148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3">
                      <a:extLst>
                        <a:ext uri="{28A0092B-C50C-407E-A947-70E740481C1C}"/>
                      </a:extLst>
                    </a:blip>
                    <a:srcRect/>
                    <a:stretch>
                      <a:fillRect/>
                    </a:stretch>
                  </pic:blipFill>
                  <pic:spPr bwMode="auto">
                    <a:xfrm>
                      <a:off x="0" y="0"/>
                      <a:ext cx="411480" cy="411480"/>
                    </a:xfrm>
                    <a:prstGeom prst="rect">
                      <a:avLst/>
                    </a:prstGeom>
                    <a:noFill/>
                  </pic:spPr>
                </pic:pic>
              </a:graphicData>
            </a:graphic>
          </wp:anchor>
        </w:drawing>
      </w:r>
    </w:p>
    <w:p>
      <w:pPr>
        <w:spacing w:after="0" w:line="66" w:lineRule="exact"/>
        <w:rPr>
          <w:sz w:val="20"/>
          <w:szCs w:val="20"/>
          <w:color w:val="auto"/>
        </w:rPr>
      </w:pPr>
    </w:p>
    <w:p>
      <w:pPr>
        <w:ind w:left="2820" w:hanging="86"/>
        <w:spacing w:after="0"/>
        <w:tabs>
          <w:tab w:leader="none" w:pos="2820" w:val="left"/>
        </w:tabs>
        <w:numPr>
          <w:ilvl w:val="0"/>
          <w:numId w:val="69"/>
        </w:numPr>
        <w:rPr>
          <w:rFonts w:ascii="Arial" w:cs="Arial" w:eastAsia="Arial" w:hAnsi="Arial"/>
          <w:sz w:val="14"/>
          <w:szCs w:val="14"/>
          <w:color w:val="auto"/>
        </w:rPr>
      </w:pPr>
      <w:r>
        <w:rPr>
          <w:rFonts w:ascii="Arial" w:cs="Arial" w:eastAsia="Arial" w:hAnsi="Arial"/>
          <w:sz w:val="14"/>
          <w:szCs w:val="14"/>
          <w:color w:val="auto"/>
        </w:rPr>
        <w:t xml:space="preserve">Go to </w:t>
      </w:r>
      <w:r>
        <w:rPr>
          <w:rFonts w:ascii="Arial" w:cs="Arial" w:eastAsia="Arial" w:hAnsi="Arial"/>
          <w:sz w:val="14"/>
          <w:szCs w:val="14"/>
          <w:b w:val="1"/>
          <w:bCs w:val="1"/>
          <w:color w:val="auto"/>
        </w:rPr>
        <w:t>www.investorvote.com/agnc</w:t>
      </w:r>
    </w:p>
    <w:p>
      <w:pPr>
        <w:spacing w:after="0" w:line="113" w:lineRule="exact"/>
        <w:rPr>
          <w:rFonts w:ascii="Arial" w:cs="Arial" w:eastAsia="Arial" w:hAnsi="Arial"/>
          <w:sz w:val="14"/>
          <w:szCs w:val="14"/>
          <w:color w:val="auto"/>
        </w:rPr>
      </w:pPr>
    </w:p>
    <w:p>
      <w:pPr>
        <w:ind w:left="2820" w:hanging="86"/>
        <w:spacing w:after="0"/>
        <w:tabs>
          <w:tab w:leader="none" w:pos="2820" w:val="left"/>
        </w:tabs>
        <w:numPr>
          <w:ilvl w:val="0"/>
          <w:numId w:val="69"/>
        </w:numPr>
        <w:rPr>
          <w:rFonts w:ascii="Arial" w:cs="Arial" w:eastAsia="Arial" w:hAnsi="Arial"/>
          <w:sz w:val="14"/>
          <w:szCs w:val="14"/>
          <w:color w:val="auto"/>
        </w:rPr>
      </w:pPr>
      <w:r>
        <w:rPr>
          <w:rFonts w:ascii="Arial" w:cs="Arial" w:eastAsia="Arial" w:hAnsi="Arial"/>
          <w:sz w:val="14"/>
          <w:szCs w:val="14"/>
          <w:color w:val="auto"/>
        </w:rPr>
        <w:t>Or scan the QR code with your smartphone</w:t>
      </w:r>
    </w:p>
    <w:p>
      <w:pPr>
        <w:spacing w:after="0" w:line="95" w:lineRule="exact"/>
        <w:rPr>
          <w:rFonts w:ascii="Arial" w:cs="Arial" w:eastAsia="Arial" w:hAnsi="Arial"/>
          <w:sz w:val="14"/>
          <w:szCs w:val="14"/>
          <w:color w:val="auto"/>
        </w:rPr>
      </w:pPr>
    </w:p>
    <w:p>
      <w:pPr>
        <w:ind w:left="2820" w:hanging="86"/>
        <w:spacing w:after="0"/>
        <w:tabs>
          <w:tab w:leader="none" w:pos="2820" w:val="left"/>
        </w:tabs>
        <w:numPr>
          <w:ilvl w:val="0"/>
          <w:numId w:val="69"/>
        </w:numPr>
        <w:rPr>
          <w:rFonts w:ascii="Arial" w:cs="Arial" w:eastAsia="Arial" w:hAnsi="Arial"/>
          <w:sz w:val="14"/>
          <w:szCs w:val="14"/>
          <w:color w:val="auto"/>
        </w:rPr>
      </w:pPr>
      <w:r>
        <w:rPr>
          <w:rFonts w:ascii="Arial" w:cs="Arial" w:eastAsia="Arial" w:hAnsi="Arial"/>
          <w:sz w:val="14"/>
          <w:szCs w:val="14"/>
          <w:color w:val="auto"/>
        </w:rPr>
        <w:t>Follow the steps outlined on the secure website</w:t>
      </w:r>
    </w:p>
    <w:p>
      <w:pPr>
        <w:spacing w:after="0" w:line="230"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Vote by telephone</w:t>
      </w:r>
    </w:p>
    <w:p>
      <w:pPr>
        <w:spacing w:after="0" w:line="118" w:lineRule="exact"/>
        <w:rPr>
          <w:sz w:val="20"/>
          <w:szCs w:val="20"/>
          <w:color w:val="auto"/>
        </w:rPr>
      </w:pPr>
    </w:p>
    <w:p>
      <w:pPr>
        <w:ind w:left="1440" w:hanging="106"/>
        <w:spacing w:after="0" w:line="258" w:lineRule="auto"/>
        <w:tabs>
          <w:tab w:leader="none" w:pos="1427" w:val="left"/>
        </w:tabs>
        <w:numPr>
          <w:ilvl w:val="0"/>
          <w:numId w:val="70"/>
        </w:numPr>
        <w:rPr>
          <w:rFonts w:ascii="Arial" w:cs="Arial" w:eastAsia="Arial" w:hAnsi="Arial"/>
          <w:sz w:val="14"/>
          <w:szCs w:val="14"/>
          <w:color w:val="auto"/>
        </w:rPr>
      </w:pPr>
      <w:r>
        <w:rPr>
          <w:rFonts w:ascii="Arial" w:cs="Arial" w:eastAsia="Arial" w:hAnsi="Arial"/>
          <w:sz w:val="14"/>
          <w:szCs w:val="14"/>
          <w:color w:val="auto"/>
        </w:rPr>
        <w:t>Call toll free 1-800-652-VOTE (8683) within the USA, US territories &amp; Canada on a touch tone telephone</w:t>
      </w:r>
    </w:p>
    <w:p>
      <w:pPr>
        <w:spacing w:after="0" w:line="72" w:lineRule="exact"/>
        <w:rPr>
          <w:rFonts w:ascii="Arial" w:cs="Arial" w:eastAsia="Arial" w:hAnsi="Arial"/>
          <w:sz w:val="14"/>
          <w:szCs w:val="14"/>
          <w:color w:val="auto"/>
        </w:rPr>
      </w:pPr>
    </w:p>
    <w:p>
      <w:pPr>
        <w:ind w:left="1420" w:hanging="86"/>
        <w:spacing w:after="0"/>
        <w:tabs>
          <w:tab w:leader="none" w:pos="1420" w:val="left"/>
        </w:tabs>
        <w:numPr>
          <w:ilvl w:val="0"/>
          <w:numId w:val="70"/>
        </w:numPr>
        <w:rPr>
          <w:rFonts w:ascii="Arial" w:cs="Arial" w:eastAsia="Arial" w:hAnsi="Arial"/>
          <w:sz w:val="14"/>
          <w:szCs w:val="14"/>
          <w:color w:val="auto"/>
        </w:rPr>
      </w:pPr>
      <w:r>
        <w:rPr>
          <w:rFonts w:ascii="Arial" w:cs="Arial" w:eastAsia="Arial" w:hAnsi="Arial"/>
          <w:sz w:val="14"/>
          <w:szCs w:val="14"/>
          <w:color w:val="auto"/>
        </w:rPr>
        <w:t>Follow the instructions provided by the recorded message</w:t>
      </w:r>
    </w:p>
    <w:p>
      <w:pPr>
        <w:spacing w:after="0" w:line="11" w:lineRule="exact"/>
        <w:rPr>
          <w:sz w:val="20"/>
          <w:szCs w:val="20"/>
          <w:color w:val="auto"/>
        </w:rPr>
      </w:pPr>
    </w:p>
    <w:p>
      <w:pPr>
        <w:spacing w:after="0" w:line="361" w:lineRule="exact"/>
        <w:rPr>
          <w:sz w:val="20"/>
          <w:szCs w:val="20"/>
          <w:color w:val="auto"/>
        </w:rPr>
      </w:pPr>
      <w:r>
        <w:rPr>
          <w:rFonts w:ascii="MS PGothic" w:cs="MS PGothic" w:eastAsia="MS PGothic" w:hAnsi="MS PGothic"/>
          <w:sz w:val="36"/>
          <w:szCs w:val="36"/>
          <w:color w:val="auto"/>
        </w:rPr>
        <w:t>☒</w:t>
      </w:r>
    </w:p>
    <w:p>
      <w:pPr>
        <w:spacing w:after="0" w:line="200" w:lineRule="exact"/>
        <w:rPr>
          <w:sz w:val="20"/>
          <w:szCs w:val="20"/>
          <w:color w:val="auto"/>
        </w:rPr>
      </w:pPr>
    </w:p>
    <w:p>
      <w:pPr>
        <w:sectPr>
          <w:pgSz w:w="11900" w:h="16838" w:orient="portrait"/>
          <w:cols w:equalWidth="0" w:num="2">
            <w:col w:w="4860" w:space="180"/>
            <w:col w:w="6360"/>
          </w:cols>
          <w:pgMar w:left="240" w:top="459" w:right="259" w:bottom="479" w:gutter="0" w:footer="0" w:header="0"/>
          <w:type w:val="continuous"/>
        </w:sectPr>
      </w:pPr>
    </w:p>
    <w:p>
      <w:pPr>
        <w:spacing w:after="0" w:line="200" w:lineRule="exact"/>
        <w:rPr>
          <w:sz w:val="20"/>
          <w:szCs w:val="20"/>
          <w:color w:val="auto"/>
        </w:rPr>
      </w:pPr>
    </w:p>
    <w:p>
      <w:pPr>
        <w:spacing w:after="0" w:line="400" w:lineRule="exact"/>
        <w:rPr>
          <w:sz w:val="20"/>
          <w:szCs w:val="20"/>
          <w:color w:val="auto"/>
        </w:rPr>
      </w:pPr>
    </w:p>
    <w:p>
      <w:pPr>
        <w:jc w:val="center"/>
        <w:ind w:left="340" w:right="320"/>
        <w:spacing w:after="0" w:line="285" w:lineRule="auto"/>
        <w:rPr>
          <w:sz w:val="20"/>
          <w:szCs w:val="20"/>
          <w:color w:val="auto"/>
        </w:rPr>
      </w:pPr>
      <w:r>
        <w:rPr>
          <w:rFonts w:ascii="Arial" w:cs="Arial" w:eastAsia="Arial" w:hAnsi="Arial"/>
          <w:sz w:val="14"/>
          <w:szCs w:val="14"/>
          <w:color w:val="auto"/>
        </w:rPr>
        <w:t xml:space="preserve">q </w:t>
      </w:r>
      <w:r>
        <w:rPr>
          <w:rFonts w:ascii="Arial" w:cs="Arial" w:eastAsia="Arial" w:hAnsi="Arial"/>
          <w:sz w:val="14"/>
          <w:szCs w:val="14"/>
          <w:b w:val="1"/>
          <w:bCs w:val="1"/>
          <w:color w:val="auto"/>
        </w:rPr>
        <w:t>IF YOU HAVE NOT VOTED VIA THE INTERNET</w:t>
      </w:r>
      <w:r>
        <w:rPr>
          <w:rFonts w:ascii="Arial" w:cs="Arial" w:eastAsia="Arial" w:hAnsi="Arial"/>
          <w:sz w:val="14"/>
          <w:szCs w:val="14"/>
          <w:color w:val="auto"/>
        </w:rPr>
        <w:t xml:space="preserve"> </w:t>
      </w:r>
      <w:r>
        <w:rPr>
          <w:rFonts w:ascii="Arial" w:cs="Arial" w:eastAsia="Arial" w:hAnsi="Arial"/>
          <w:sz w:val="14"/>
          <w:szCs w:val="14"/>
          <w:b w:val="1"/>
          <w:bCs w:val="1"/>
          <w:u w:val="single" w:color="auto"/>
          <w:color w:val="auto"/>
        </w:rPr>
        <w:t>OR</w:t>
      </w:r>
      <w:r>
        <w:rPr>
          <w:rFonts w:ascii="Arial" w:cs="Arial" w:eastAsia="Arial" w:hAnsi="Arial"/>
          <w:sz w:val="14"/>
          <w:szCs w:val="14"/>
          <w:color w:val="auto"/>
        </w:rPr>
        <w:t xml:space="preserve"> </w:t>
      </w:r>
      <w:r>
        <w:rPr>
          <w:rFonts w:ascii="Arial" w:cs="Arial" w:eastAsia="Arial" w:hAnsi="Arial"/>
          <w:sz w:val="14"/>
          <w:szCs w:val="14"/>
          <w:b w:val="1"/>
          <w:bCs w:val="1"/>
          <w:color w:val="auto"/>
        </w:rPr>
        <w:t>TELEPHONE, FOLD ALONG THE PERFORATION, DETACH AND RETURN THE BOTTOM PORTION IN THE</w:t>
      </w:r>
      <w:r>
        <w:rPr>
          <w:rFonts w:ascii="Arial" w:cs="Arial" w:eastAsia="Arial" w:hAnsi="Arial"/>
          <w:sz w:val="14"/>
          <w:szCs w:val="14"/>
          <w:color w:val="auto"/>
        </w:rPr>
        <w:t xml:space="preserve"> </w:t>
      </w:r>
      <w:r>
        <w:rPr>
          <w:rFonts w:ascii="Arial" w:cs="Arial" w:eastAsia="Arial" w:hAnsi="Arial"/>
          <w:sz w:val="14"/>
          <w:szCs w:val="14"/>
          <w:b w:val="1"/>
          <w:bCs w:val="1"/>
          <w:color w:val="auto"/>
        </w:rPr>
        <w:t xml:space="preserve">ENCLOSED ENVELOPE. </w:t>
      </w:r>
      <w:r>
        <w:rPr>
          <w:rFonts w:ascii="Arial" w:cs="Arial" w:eastAsia="Arial" w:hAnsi="Arial"/>
          <w:sz w:val="14"/>
          <w:szCs w:val="14"/>
          <w:color w:val="auto"/>
        </w:rPr>
        <w:t>q</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142875</wp:posOffset>
            </wp:positionV>
            <wp:extent cx="7246620" cy="1714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4">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ectPr>
          <w:pgSz w:w="11900" w:h="16838" w:orient="portrait"/>
          <w:cols w:equalWidth="0" w:num="1">
            <w:col w:w="11400"/>
          </w:cols>
          <w:pgMar w:left="240" w:top="459" w:right="259" w:bottom="479" w:gutter="0" w:footer="0" w:header="0"/>
          <w:type w:val="continuous"/>
        </w:sectPr>
      </w:pPr>
    </w:p>
    <w:p>
      <w:pPr>
        <w:spacing w:after="0" w:line="200" w:lineRule="exact"/>
        <w:rPr>
          <w:sz w:val="20"/>
          <w:szCs w:val="20"/>
          <w:color w:val="auto"/>
        </w:rPr>
      </w:pPr>
    </w:p>
    <w:p>
      <w:pPr>
        <w:spacing w:after="0" w:line="299" w:lineRule="exact"/>
        <w:rPr>
          <w:sz w:val="20"/>
          <w:szCs w:val="20"/>
          <w:color w:val="auto"/>
        </w:rPr>
      </w:pPr>
    </w:p>
    <w:p>
      <w:pPr>
        <w:ind w:left="380" w:hanging="329"/>
        <w:spacing w:after="0"/>
        <w:tabs>
          <w:tab w:leader="none" w:pos="380" w:val="left"/>
        </w:tabs>
        <w:numPr>
          <w:ilvl w:val="1"/>
          <w:numId w:val="71"/>
        </w:numPr>
        <w:rPr>
          <w:rFonts w:ascii="Arial" w:cs="Arial" w:eastAsia="Arial" w:hAnsi="Arial"/>
          <w:sz w:val="18"/>
          <w:szCs w:val="18"/>
          <w:b w:val="1"/>
          <w:bCs w:val="1"/>
          <w:color w:val="FFFFFF"/>
        </w:rPr>
      </w:pPr>
      <w:r>
        <w:rPr>
          <w:rFonts w:ascii="Arial" w:cs="Arial" w:eastAsia="Arial" w:hAnsi="Arial"/>
          <w:sz w:val="18"/>
          <w:szCs w:val="18"/>
          <w:b w:val="1"/>
          <w:bCs w:val="1"/>
          <w:color w:val="auto"/>
        </w:rPr>
        <w:t>Proposals —</w:t>
      </w:r>
    </w:p>
    <w:p>
      <w:pPr>
        <w:spacing w:after="0" w:line="200" w:lineRule="exact"/>
        <w:rPr>
          <w:rFonts w:ascii="Arial" w:cs="Arial" w:eastAsia="Arial" w:hAnsi="Arial"/>
          <w:sz w:val="18"/>
          <w:szCs w:val="18"/>
          <w:b w:val="1"/>
          <w:bCs w:val="1"/>
          <w:color w:val="FFFFFF"/>
        </w:rPr>
      </w:pPr>
    </w:p>
    <w:p>
      <w:pPr>
        <w:spacing w:after="0" w:line="200" w:lineRule="exact"/>
        <w:rPr>
          <w:rFonts w:ascii="Arial" w:cs="Arial" w:eastAsia="Arial" w:hAnsi="Arial"/>
          <w:sz w:val="18"/>
          <w:szCs w:val="18"/>
          <w:b w:val="1"/>
          <w:bCs w:val="1"/>
          <w:color w:val="FFFFFF"/>
        </w:rPr>
      </w:pPr>
    </w:p>
    <w:p>
      <w:pPr>
        <w:spacing w:after="0" w:line="244" w:lineRule="exact"/>
        <w:rPr>
          <w:rFonts w:ascii="Arial" w:cs="Arial" w:eastAsia="Arial" w:hAnsi="Arial"/>
          <w:sz w:val="18"/>
          <w:szCs w:val="18"/>
          <w:b w:val="1"/>
          <w:bCs w:val="1"/>
          <w:color w:val="FFFFFF"/>
        </w:rPr>
      </w:pPr>
    </w:p>
    <w:p>
      <w:pPr>
        <w:ind w:left="260" w:hanging="212"/>
        <w:spacing w:after="0"/>
        <w:tabs>
          <w:tab w:leader="none" w:pos="260" w:val="left"/>
        </w:tabs>
        <w:numPr>
          <w:ilvl w:val="0"/>
          <w:numId w:val="71"/>
        </w:numPr>
        <w:rPr>
          <w:rFonts w:ascii="Arial" w:cs="Arial" w:eastAsia="Arial" w:hAnsi="Arial"/>
          <w:sz w:val="14"/>
          <w:szCs w:val="14"/>
          <w:color w:val="auto"/>
        </w:rPr>
      </w:pPr>
      <w:r>
        <w:rPr>
          <w:rFonts w:ascii="Arial" w:cs="Arial" w:eastAsia="Arial" w:hAnsi="Arial"/>
          <w:sz w:val="14"/>
          <w:szCs w:val="14"/>
          <w:color w:val="auto"/>
        </w:rPr>
        <w:t>Election of Directors:</w:t>
      </w:r>
    </w:p>
    <w:p>
      <w:pPr>
        <w:spacing w:after="0" w:line="200" w:lineRule="exact"/>
        <w:rPr>
          <w:rFonts w:ascii="Arial" w:cs="Arial" w:eastAsia="Arial" w:hAnsi="Arial"/>
          <w:sz w:val="14"/>
          <w:szCs w:val="14"/>
          <w:color w:val="auto"/>
        </w:rPr>
      </w:pPr>
    </w:p>
    <w:p>
      <w:pPr>
        <w:spacing w:after="0" w:line="260" w:lineRule="exact"/>
        <w:rPr>
          <w:rFonts w:ascii="Arial" w:cs="Arial" w:eastAsia="Arial" w:hAnsi="Arial"/>
          <w:sz w:val="14"/>
          <w:szCs w:val="14"/>
          <w:color w:val="auto"/>
        </w:rPr>
      </w:pPr>
    </w:p>
    <w:p>
      <w:pPr>
        <w:ind w:left="260"/>
        <w:spacing w:after="0"/>
        <w:rPr>
          <w:rFonts w:ascii="Arial" w:cs="Arial" w:eastAsia="Arial" w:hAnsi="Arial"/>
          <w:sz w:val="14"/>
          <w:szCs w:val="14"/>
          <w:color w:val="auto"/>
        </w:rPr>
      </w:pPr>
      <w:r>
        <w:rPr>
          <w:rFonts w:ascii="Arial" w:cs="Arial" w:eastAsia="Arial" w:hAnsi="Arial"/>
          <w:sz w:val="14"/>
          <w:szCs w:val="14"/>
          <w:color w:val="auto"/>
        </w:rPr>
        <w:t>01 - Gary D. Kain</w:t>
      </w:r>
    </w:p>
    <w:p>
      <w:pPr>
        <w:spacing w:after="0" w:line="365" w:lineRule="exact"/>
        <w:rPr>
          <w:rFonts w:ascii="Arial" w:cs="Arial" w:eastAsia="Arial" w:hAnsi="Arial"/>
          <w:sz w:val="14"/>
          <w:szCs w:val="14"/>
          <w:color w:val="auto"/>
        </w:rPr>
      </w:pPr>
    </w:p>
    <w:p>
      <w:pPr>
        <w:ind w:left="260"/>
        <w:spacing w:after="0"/>
        <w:rPr>
          <w:rFonts w:ascii="Arial" w:cs="Arial" w:eastAsia="Arial" w:hAnsi="Arial"/>
          <w:sz w:val="14"/>
          <w:szCs w:val="14"/>
          <w:color w:val="auto"/>
        </w:rPr>
      </w:pPr>
      <w:r>
        <w:rPr>
          <w:rFonts w:ascii="Arial" w:cs="Arial" w:eastAsia="Arial" w:hAnsi="Arial"/>
          <w:sz w:val="14"/>
          <w:szCs w:val="14"/>
          <w:color w:val="auto"/>
        </w:rPr>
        <w:t>04 - Prue B. Larocca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-1356995</wp:posOffset>
            </wp:positionV>
            <wp:extent cx="163195" cy="12890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5">
                      <a:extLst>
                        <a:ext uri="{28A0092B-C50C-407E-A947-70E740481C1C}"/>
                      </a:extLst>
                    </a:blip>
                    <a:srcRect/>
                    <a:stretch>
                      <a:fillRect/>
                    </a:stretch>
                  </pic:blipFill>
                  <pic:spPr bwMode="auto">
                    <a:xfrm>
                      <a:off x="0" y="0"/>
                      <a:ext cx="163195" cy="12890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7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The Board of Directors recommends a vote FOR all the nominees listed in Proposal 1 and FOR</w:t>
      </w:r>
    </w:p>
    <w:tbl>
      <w:tblPr>
        <w:tblLayout w:type="fixed"/>
        <w:tblInd w:w="60" w:type="dxa"/>
        <w:tblCellMar>
          <w:top w:w="0" w:type="dxa"/>
          <w:left w:w="0" w:type="dxa"/>
          <w:bottom w:w="0" w:type="dxa"/>
          <w:right w:w="0" w:type="dxa"/>
        </w:tblCellMar>
      </w:tblPr>
      <w:tr>
        <w:trPr>
          <w:trHeight w:val="169"/>
        </w:trPr>
        <w:tc>
          <w:tcPr>
            <w:tcW w:w="2260" w:type="dxa"/>
            <w:vAlign w:val="bottom"/>
            <w:gridSpan w:val="3"/>
            <w:vMerge w:val="restart"/>
          </w:tcPr>
          <w:p>
            <w:pPr>
              <w:spacing w:after="0"/>
              <w:rPr>
                <w:sz w:val="20"/>
                <w:szCs w:val="20"/>
                <w:color w:val="auto"/>
              </w:rPr>
            </w:pPr>
            <w:r>
              <w:rPr>
                <w:rFonts w:ascii="Arial" w:cs="Arial" w:eastAsia="Arial" w:hAnsi="Arial"/>
                <w:sz w:val="18"/>
                <w:szCs w:val="18"/>
                <w:b w:val="1"/>
                <w:bCs w:val="1"/>
                <w:color w:val="auto"/>
              </w:rPr>
              <w:t>Proposals 2, 3, and 4.</w:t>
            </w:r>
          </w:p>
        </w:tc>
        <w:tc>
          <w:tcPr>
            <w:tcW w:w="1420" w:type="dxa"/>
            <w:vAlign w:val="bottom"/>
          </w:tcPr>
          <w:p>
            <w:pPr>
              <w:spacing w:after="0"/>
              <w:rPr>
                <w:sz w:val="14"/>
                <w:szCs w:val="14"/>
                <w:color w:val="auto"/>
              </w:rPr>
            </w:pPr>
          </w:p>
        </w:tc>
        <w:tc>
          <w:tcPr>
            <w:tcW w:w="380" w:type="dxa"/>
            <w:vAlign w:val="bottom"/>
            <w:tcBorders>
              <w:top w:val="single" w:sz="8" w:color="auto"/>
            </w:tcBorders>
          </w:tcPr>
          <w:p>
            <w:pPr>
              <w:spacing w:after="0"/>
              <w:rPr>
                <w:sz w:val="14"/>
                <w:szCs w:val="14"/>
                <w:color w:val="auto"/>
              </w:rPr>
            </w:pPr>
          </w:p>
        </w:tc>
        <w:tc>
          <w:tcPr>
            <w:tcW w:w="92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174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380" w:type="dxa"/>
            <w:vAlign w:val="bottom"/>
            <w:tcBorders>
              <w:top w:val="single" w:sz="8" w:color="auto"/>
            </w:tcBorders>
          </w:tcPr>
          <w:p>
            <w:pPr>
              <w:spacing w:after="0"/>
              <w:rPr>
                <w:sz w:val="14"/>
                <w:szCs w:val="14"/>
                <w:color w:val="auto"/>
              </w:rPr>
            </w:pPr>
          </w:p>
        </w:tc>
        <w:tc>
          <w:tcPr>
            <w:tcW w:w="1600" w:type="dxa"/>
            <w:vAlign w:val="bottom"/>
          </w:tcPr>
          <w:p>
            <w:pPr>
              <w:jc w:val="right"/>
              <w:spacing w:after="0" w:line="169" w:lineRule="exact"/>
              <w:rPr>
                <w:sz w:val="20"/>
                <w:szCs w:val="20"/>
                <w:color w:val="auto"/>
              </w:rPr>
            </w:pPr>
            <w:r>
              <w:rPr>
                <w:rFonts w:ascii="Arial" w:cs="Arial" w:eastAsia="Arial" w:hAnsi="Arial"/>
                <w:sz w:val="19"/>
                <w:szCs w:val="19"/>
                <w:color w:val="auto"/>
              </w:rPr>
              <w:t>+</w:t>
            </w:r>
          </w:p>
        </w:tc>
        <w:tc>
          <w:tcPr>
            <w:tcW w:w="0" w:type="dxa"/>
            <w:vAlign w:val="bottom"/>
          </w:tcPr>
          <w:p>
            <w:pPr>
              <w:spacing w:after="0"/>
              <w:rPr>
                <w:sz w:val="1"/>
                <w:szCs w:val="1"/>
                <w:color w:val="auto"/>
              </w:rPr>
            </w:pPr>
          </w:p>
        </w:tc>
      </w:tr>
      <w:tr>
        <w:trPr>
          <w:trHeight w:val="90"/>
        </w:trPr>
        <w:tc>
          <w:tcPr>
            <w:tcW w:w="2260" w:type="dxa"/>
            <w:vAlign w:val="bottom"/>
            <w:gridSpan w:val="3"/>
            <w:vMerge w:val="continue"/>
          </w:tcPr>
          <w:p>
            <w:pPr>
              <w:spacing w:after="0"/>
              <w:rPr>
                <w:sz w:val="7"/>
                <w:szCs w:val="7"/>
                <w:color w:val="auto"/>
              </w:rPr>
            </w:pPr>
          </w:p>
        </w:tc>
        <w:tc>
          <w:tcPr>
            <w:tcW w:w="1420" w:type="dxa"/>
            <w:vAlign w:val="bottom"/>
          </w:tcPr>
          <w:p>
            <w:pPr>
              <w:spacing w:after="0"/>
              <w:rPr>
                <w:sz w:val="7"/>
                <w:szCs w:val="7"/>
                <w:color w:val="auto"/>
              </w:rPr>
            </w:pPr>
          </w:p>
        </w:tc>
        <w:tc>
          <w:tcPr>
            <w:tcW w:w="380" w:type="dxa"/>
            <w:vAlign w:val="bottom"/>
          </w:tcPr>
          <w:p>
            <w:pPr>
              <w:spacing w:after="0"/>
              <w:rPr>
                <w:sz w:val="7"/>
                <w:szCs w:val="7"/>
                <w:color w:val="auto"/>
              </w:rPr>
            </w:pPr>
          </w:p>
        </w:tc>
        <w:tc>
          <w:tcPr>
            <w:tcW w:w="920" w:type="dxa"/>
            <w:vAlign w:val="bottom"/>
          </w:tcPr>
          <w:p>
            <w:pPr>
              <w:spacing w:after="0"/>
              <w:rPr>
                <w:sz w:val="7"/>
                <w:szCs w:val="7"/>
                <w:color w:val="auto"/>
              </w:rPr>
            </w:pPr>
          </w:p>
        </w:tc>
        <w:tc>
          <w:tcPr>
            <w:tcW w:w="580" w:type="dxa"/>
            <w:vAlign w:val="bottom"/>
          </w:tcPr>
          <w:p>
            <w:pPr>
              <w:spacing w:after="0"/>
              <w:rPr>
                <w:sz w:val="7"/>
                <w:szCs w:val="7"/>
                <w:color w:val="auto"/>
              </w:rPr>
            </w:pPr>
          </w:p>
        </w:tc>
        <w:tc>
          <w:tcPr>
            <w:tcW w:w="1740" w:type="dxa"/>
            <w:vAlign w:val="bottom"/>
          </w:tcPr>
          <w:p>
            <w:pPr>
              <w:spacing w:after="0"/>
              <w:rPr>
                <w:sz w:val="7"/>
                <w:szCs w:val="7"/>
                <w:color w:val="auto"/>
              </w:rPr>
            </w:pPr>
          </w:p>
        </w:tc>
        <w:tc>
          <w:tcPr>
            <w:tcW w:w="340" w:type="dxa"/>
            <w:vAlign w:val="bottom"/>
          </w:tcPr>
          <w:p>
            <w:pPr>
              <w:spacing w:after="0"/>
              <w:rPr>
                <w:sz w:val="7"/>
                <w:szCs w:val="7"/>
                <w:color w:val="auto"/>
              </w:rPr>
            </w:pPr>
          </w:p>
        </w:tc>
        <w:tc>
          <w:tcPr>
            <w:tcW w:w="380" w:type="dxa"/>
            <w:vAlign w:val="bottom"/>
          </w:tcPr>
          <w:p>
            <w:pPr>
              <w:spacing w:after="0"/>
              <w:rPr>
                <w:sz w:val="7"/>
                <w:szCs w:val="7"/>
                <w:color w:val="auto"/>
              </w:rPr>
            </w:pPr>
          </w:p>
        </w:tc>
        <w:tc>
          <w:tcPr>
            <w:tcW w:w="160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816"/>
        </w:trPr>
        <w:tc>
          <w:tcPr>
            <w:tcW w:w="2260" w:type="dxa"/>
            <w:vAlign w:val="bottom"/>
            <w:gridSpan w:val="3"/>
          </w:tcPr>
          <w:p>
            <w:pPr>
              <w:ind w:left="420"/>
              <w:spacing w:after="0"/>
              <w:rPr>
                <w:sz w:val="20"/>
                <w:szCs w:val="20"/>
                <w:color w:val="auto"/>
              </w:rPr>
            </w:pPr>
            <w:r>
              <w:rPr>
                <w:rFonts w:ascii="Arial" w:cs="Arial" w:eastAsia="Arial" w:hAnsi="Arial"/>
                <w:sz w:val="14"/>
                <w:szCs w:val="14"/>
                <w:b w:val="1"/>
                <w:bCs w:val="1"/>
                <w:color w:val="auto"/>
              </w:rPr>
              <w:t>For  Against  Abstain</w:t>
            </w:r>
          </w:p>
        </w:tc>
        <w:tc>
          <w:tcPr>
            <w:tcW w:w="1420" w:type="dxa"/>
            <w:vAlign w:val="bottom"/>
          </w:tcPr>
          <w:p>
            <w:pPr>
              <w:spacing w:after="0"/>
              <w:rPr>
                <w:sz w:val="24"/>
                <w:szCs w:val="24"/>
                <w:color w:val="auto"/>
              </w:rPr>
            </w:pPr>
          </w:p>
        </w:tc>
        <w:tc>
          <w:tcPr>
            <w:tcW w:w="3620" w:type="dxa"/>
            <w:vAlign w:val="bottom"/>
            <w:gridSpan w:val="4"/>
          </w:tcPr>
          <w:p>
            <w:pPr>
              <w:ind w:left="360"/>
              <w:spacing w:after="0"/>
              <w:rPr>
                <w:sz w:val="20"/>
                <w:szCs w:val="20"/>
                <w:color w:val="auto"/>
              </w:rPr>
            </w:pPr>
            <w:r>
              <w:rPr>
                <w:rFonts w:ascii="Arial" w:cs="Arial" w:eastAsia="Arial" w:hAnsi="Arial"/>
                <w:sz w:val="14"/>
                <w:szCs w:val="14"/>
                <w:b w:val="1"/>
                <w:bCs w:val="1"/>
                <w:color w:val="auto"/>
              </w:rPr>
              <w:t>For  Against  Abstain</w:t>
            </w:r>
          </w:p>
        </w:tc>
        <w:tc>
          <w:tcPr>
            <w:tcW w:w="2320" w:type="dxa"/>
            <w:vAlign w:val="bottom"/>
            <w:gridSpan w:val="3"/>
          </w:tcPr>
          <w:p>
            <w:pPr>
              <w:ind w:left="340"/>
              <w:spacing w:after="0"/>
              <w:rPr>
                <w:sz w:val="20"/>
                <w:szCs w:val="20"/>
                <w:color w:val="auto"/>
              </w:rPr>
            </w:pPr>
            <w:r>
              <w:rPr>
                <w:rFonts w:ascii="Arial" w:cs="Arial" w:eastAsia="Arial" w:hAnsi="Arial"/>
                <w:sz w:val="14"/>
                <w:szCs w:val="14"/>
                <w:b w:val="1"/>
                <w:bCs w:val="1"/>
                <w:color w:val="auto"/>
              </w:rPr>
              <w:t>For  Against  Abstain</w:t>
            </w:r>
          </w:p>
        </w:tc>
        <w:tc>
          <w:tcPr>
            <w:tcW w:w="0" w:type="dxa"/>
            <w:vAlign w:val="bottom"/>
          </w:tcPr>
          <w:p>
            <w:pPr>
              <w:spacing w:after="0"/>
              <w:rPr>
                <w:sz w:val="1"/>
                <w:szCs w:val="1"/>
                <w:color w:val="auto"/>
              </w:rPr>
            </w:pPr>
          </w:p>
        </w:tc>
      </w:tr>
      <w:tr>
        <w:trPr>
          <w:trHeight w:val="468"/>
        </w:trPr>
        <w:tc>
          <w:tcPr>
            <w:tcW w:w="1380" w:type="dxa"/>
            <w:vAlign w:val="bottom"/>
          </w:tcPr>
          <w:p>
            <w:pPr>
              <w:ind w:left="420"/>
              <w:spacing w:after="0" w:line="291" w:lineRule="exact"/>
              <w:rPr>
                <w:sz w:val="20"/>
                <w:szCs w:val="20"/>
                <w:color w:val="auto"/>
              </w:rPr>
            </w:pPr>
            <w:r>
              <w:rPr>
                <w:rFonts w:ascii="MS PGothic" w:cs="MS PGothic" w:eastAsia="MS PGothic" w:hAnsi="MS PGothic"/>
                <w:sz w:val="29"/>
                <w:szCs w:val="29"/>
                <w:color w:val="auto"/>
              </w:rPr>
              <w:t>☐ ☐</w:t>
            </w:r>
          </w:p>
        </w:tc>
        <w:tc>
          <w:tcPr>
            <w:tcW w:w="580" w:type="dxa"/>
            <w:vAlign w:val="bottom"/>
          </w:tcPr>
          <w:p>
            <w:pPr>
              <w:ind w:left="200"/>
              <w:spacing w:after="0" w:line="291" w:lineRule="exact"/>
              <w:rPr>
                <w:sz w:val="20"/>
                <w:szCs w:val="20"/>
                <w:color w:val="auto"/>
              </w:rPr>
            </w:pPr>
            <w:r>
              <w:rPr>
                <w:rFonts w:ascii="MS PGothic" w:cs="MS PGothic" w:eastAsia="MS PGothic" w:hAnsi="MS PGothic"/>
                <w:sz w:val="29"/>
                <w:szCs w:val="29"/>
                <w:color w:val="auto"/>
              </w:rPr>
              <w:t>☐</w:t>
            </w:r>
          </w:p>
        </w:tc>
        <w:tc>
          <w:tcPr>
            <w:tcW w:w="300" w:type="dxa"/>
            <w:vAlign w:val="bottom"/>
          </w:tcPr>
          <w:p>
            <w:pPr>
              <w:jc w:val="right"/>
              <w:spacing w:after="0"/>
              <w:rPr>
                <w:sz w:val="20"/>
                <w:szCs w:val="20"/>
                <w:color w:val="auto"/>
              </w:rPr>
            </w:pPr>
            <w:r>
              <w:rPr>
                <w:rFonts w:ascii="Arial" w:cs="Arial" w:eastAsia="Arial" w:hAnsi="Arial"/>
                <w:sz w:val="14"/>
                <w:szCs w:val="14"/>
                <w:color w:val="auto"/>
              </w:rPr>
              <w:t>02</w:t>
            </w:r>
          </w:p>
        </w:tc>
        <w:tc>
          <w:tcPr>
            <w:tcW w:w="1420" w:type="dxa"/>
            <w:vAlign w:val="bottom"/>
          </w:tcPr>
          <w:p>
            <w:pPr>
              <w:ind w:left="20"/>
              <w:spacing w:after="0"/>
              <w:rPr>
                <w:sz w:val="20"/>
                <w:szCs w:val="20"/>
                <w:color w:val="auto"/>
              </w:rPr>
            </w:pPr>
            <w:r>
              <w:rPr>
                <w:rFonts w:ascii="Arial" w:cs="Arial" w:eastAsia="Arial" w:hAnsi="Arial"/>
                <w:sz w:val="14"/>
                <w:szCs w:val="14"/>
                <w:color w:val="auto"/>
              </w:rPr>
              <w:t>- Morris A. Davis</w:t>
            </w:r>
          </w:p>
        </w:tc>
        <w:tc>
          <w:tcPr>
            <w:tcW w:w="1300" w:type="dxa"/>
            <w:vAlign w:val="bottom"/>
            <w:gridSpan w:val="2"/>
          </w:tcPr>
          <w:p>
            <w:pPr>
              <w:ind w:left="340"/>
              <w:spacing w:after="0" w:line="291" w:lineRule="exact"/>
              <w:rPr>
                <w:sz w:val="20"/>
                <w:szCs w:val="20"/>
                <w:color w:val="auto"/>
              </w:rPr>
            </w:pPr>
            <w:r>
              <w:rPr>
                <w:rFonts w:ascii="MS PGothic" w:cs="MS PGothic" w:eastAsia="MS PGothic" w:hAnsi="MS PGothic"/>
                <w:sz w:val="29"/>
                <w:szCs w:val="29"/>
                <w:color w:val="auto"/>
              </w:rPr>
              <w:t>☐ ☐</w:t>
            </w:r>
          </w:p>
        </w:tc>
        <w:tc>
          <w:tcPr>
            <w:tcW w:w="580" w:type="dxa"/>
            <w:vAlign w:val="bottom"/>
          </w:tcPr>
          <w:p>
            <w:pPr>
              <w:ind w:left="200"/>
              <w:spacing w:after="0" w:line="291" w:lineRule="exact"/>
              <w:rPr>
                <w:sz w:val="20"/>
                <w:szCs w:val="20"/>
                <w:color w:val="auto"/>
              </w:rPr>
            </w:pPr>
            <w:r>
              <w:rPr>
                <w:rFonts w:ascii="MS PGothic" w:cs="MS PGothic" w:eastAsia="MS PGothic" w:hAnsi="MS PGothic"/>
                <w:sz w:val="29"/>
                <w:szCs w:val="29"/>
                <w:color w:val="auto"/>
              </w:rPr>
              <w:t>☐</w:t>
            </w:r>
          </w:p>
        </w:tc>
        <w:tc>
          <w:tcPr>
            <w:tcW w:w="1740" w:type="dxa"/>
            <w:vAlign w:val="bottom"/>
          </w:tcPr>
          <w:p>
            <w:pPr>
              <w:ind w:left="120"/>
              <w:spacing w:after="0"/>
              <w:rPr>
                <w:sz w:val="20"/>
                <w:szCs w:val="20"/>
                <w:color w:val="auto"/>
              </w:rPr>
            </w:pPr>
            <w:r>
              <w:rPr>
                <w:rFonts w:ascii="Arial" w:cs="Arial" w:eastAsia="Arial" w:hAnsi="Arial"/>
                <w:sz w:val="14"/>
                <w:szCs w:val="14"/>
                <w:color w:val="auto"/>
              </w:rPr>
              <w:t>03 - Larry K. Harvey</w:t>
            </w:r>
          </w:p>
        </w:tc>
        <w:tc>
          <w:tcPr>
            <w:tcW w:w="2320" w:type="dxa"/>
            <w:vAlign w:val="bottom"/>
            <w:gridSpan w:val="3"/>
          </w:tcPr>
          <w:p>
            <w:pPr>
              <w:ind w:left="320"/>
              <w:spacing w:after="0" w:line="291" w:lineRule="exact"/>
              <w:rPr>
                <w:sz w:val="20"/>
                <w:szCs w:val="20"/>
                <w:color w:val="auto"/>
              </w:rPr>
            </w:pPr>
            <w:r>
              <w:rPr>
                <w:rFonts w:ascii="MS PGothic" w:cs="MS PGothic" w:eastAsia="MS PGothic" w:hAnsi="MS PGothic"/>
                <w:sz w:val="29"/>
                <w:szCs w:val="29"/>
                <w:color w:val="auto"/>
              </w:rPr>
              <w:t>☐ ☐  ☐</w:t>
            </w:r>
          </w:p>
        </w:tc>
        <w:tc>
          <w:tcPr>
            <w:tcW w:w="0" w:type="dxa"/>
            <w:vAlign w:val="bottom"/>
          </w:tcPr>
          <w:p>
            <w:pPr>
              <w:spacing w:after="0"/>
              <w:rPr>
                <w:sz w:val="1"/>
                <w:szCs w:val="1"/>
                <w:color w:val="auto"/>
              </w:rPr>
            </w:pPr>
          </w:p>
        </w:tc>
      </w:tr>
      <w:tr>
        <w:trPr>
          <w:trHeight w:val="527"/>
        </w:trPr>
        <w:tc>
          <w:tcPr>
            <w:tcW w:w="1380" w:type="dxa"/>
            <w:vAlign w:val="bottom"/>
          </w:tcPr>
          <w:p>
            <w:pPr>
              <w:ind w:left="420"/>
              <w:spacing w:after="0" w:line="291" w:lineRule="exact"/>
              <w:rPr>
                <w:sz w:val="20"/>
                <w:szCs w:val="20"/>
                <w:color w:val="auto"/>
              </w:rPr>
            </w:pPr>
            <w:r>
              <w:rPr>
                <w:rFonts w:ascii="MS PGothic" w:cs="MS PGothic" w:eastAsia="MS PGothic" w:hAnsi="MS PGothic"/>
                <w:sz w:val="29"/>
                <w:szCs w:val="29"/>
                <w:color w:val="auto"/>
              </w:rPr>
              <w:t>☐ ☐</w:t>
            </w:r>
          </w:p>
        </w:tc>
        <w:tc>
          <w:tcPr>
            <w:tcW w:w="580" w:type="dxa"/>
            <w:vAlign w:val="bottom"/>
          </w:tcPr>
          <w:p>
            <w:pPr>
              <w:ind w:left="200"/>
              <w:spacing w:after="0" w:line="291" w:lineRule="exact"/>
              <w:rPr>
                <w:sz w:val="20"/>
                <w:szCs w:val="20"/>
                <w:color w:val="auto"/>
              </w:rPr>
            </w:pPr>
            <w:r>
              <w:rPr>
                <w:rFonts w:ascii="MS PGothic" w:cs="MS PGothic" w:eastAsia="MS PGothic" w:hAnsi="MS PGothic"/>
                <w:sz w:val="29"/>
                <w:szCs w:val="29"/>
                <w:color w:val="auto"/>
              </w:rPr>
              <w:t>☐</w:t>
            </w:r>
          </w:p>
        </w:tc>
        <w:tc>
          <w:tcPr>
            <w:tcW w:w="300" w:type="dxa"/>
            <w:vAlign w:val="bottom"/>
          </w:tcPr>
          <w:p>
            <w:pPr>
              <w:jc w:val="right"/>
              <w:spacing w:after="0"/>
              <w:rPr>
                <w:sz w:val="20"/>
                <w:szCs w:val="20"/>
                <w:color w:val="auto"/>
              </w:rPr>
            </w:pPr>
            <w:r>
              <w:rPr>
                <w:rFonts w:ascii="Arial" w:cs="Arial" w:eastAsia="Arial" w:hAnsi="Arial"/>
                <w:sz w:val="14"/>
                <w:szCs w:val="14"/>
                <w:color w:val="auto"/>
              </w:rPr>
              <w:t>05</w:t>
            </w:r>
          </w:p>
        </w:tc>
        <w:tc>
          <w:tcPr>
            <w:tcW w:w="1420" w:type="dxa"/>
            <w:vAlign w:val="bottom"/>
          </w:tcPr>
          <w:p>
            <w:pPr>
              <w:ind w:left="20"/>
              <w:spacing w:after="0"/>
              <w:rPr>
                <w:sz w:val="20"/>
                <w:szCs w:val="20"/>
                <w:color w:val="auto"/>
              </w:rPr>
            </w:pPr>
            <w:r>
              <w:rPr>
                <w:rFonts w:ascii="Arial" w:cs="Arial" w:eastAsia="Arial" w:hAnsi="Arial"/>
                <w:sz w:val="14"/>
                <w:szCs w:val="14"/>
                <w:color w:val="auto"/>
              </w:rPr>
              <w:t>- Paul E. Mullings</w:t>
            </w:r>
          </w:p>
        </w:tc>
        <w:tc>
          <w:tcPr>
            <w:tcW w:w="1300" w:type="dxa"/>
            <w:vAlign w:val="bottom"/>
            <w:gridSpan w:val="2"/>
          </w:tcPr>
          <w:p>
            <w:pPr>
              <w:ind w:left="340"/>
              <w:spacing w:after="0" w:line="291" w:lineRule="exact"/>
              <w:rPr>
                <w:sz w:val="20"/>
                <w:szCs w:val="20"/>
                <w:color w:val="auto"/>
              </w:rPr>
            </w:pPr>
            <w:r>
              <w:rPr>
                <w:rFonts w:ascii="MS PGothic" w:cs="MS PGothic" w:eastAsia="MS PGothic" w:hAnsi="MS PGothic"/>
                <w:sz w:val="29"/>
                <w:szCs w:val="29"/>
                <w:color w:val="auto"/>
              </w:rPr>
              <w:t>☐ ☐</w:t>
            </w:r>
          </w:p>
        </w:tc>
        <w:tc>
          <w:tcPr>
            <w:tcW w:w="580" w:type="dxa"/>
            <w:vAlign w:val="bottom"/>
          </w:tcPr>
          <w:p>
            <w:pPr>
              <w:ind w:left="200"/>
              <w:spacing w:after="0" w:line="291" w:lineRule="exact"/>
              <w:rPr>
                <w:sz w:val="20"/>
                <w:szCs w:val="20"/>
                <w:color w:val="auto"/>
              </w:rPr>
            </w:pPr>
            <w:r>
              <w:rPr>
                <w:rFonts w:ascii="MS PGothic" w:cs="MS PGothic" w:eastAsia="MS PGothic" w:hAnsi="MS PGothic"/>
                <w:sz w:val="29"/>
                <w:szCs w:val="29"/>
                <w:color w:val="auto"/>
              </w:rPr>
              <w:t>☐</w:t>
            </w:r>
          </w:p>
        </w:tc>
        <w:tc>
          <w:tcPr>
            <w:tcW w:w="174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6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ectPr>
          <w:pgSz w:w="11900" w:h="16838" w:orient="portrait"/>
          <w:cols w:equalWidth="0" w:num="2">
            <w:col w:w="1600" w:space="120"/>
            <w:col w:w="9680"/>
          </w:cols>
          <w:pgMar w:left="240" w:top="459" w:right="259" w:bottom="479" w:gutter="0" w:footer="0" w:header="0"/>
          <w:type w:val="continuous"/>
        </w:sectPr>
      </w:pPr>
    </w:p>
    <w:p>
      <w:pPr>
        <w:spacing w:after="0" w:line="47" w:lineRule="exact"/>
        <w:rPr>
          <w:sz w:val="20"/>
          <w:szCs w:val="20"/>
          <w:color w:val="auto"/>
        </w:rPr>
      </w:pPr>
    </w:p>
    <w:tbl>
      <w:tblPr>
        <w:tblLayout w:type="fixed"/>
        <w:tblInd w:w="40" w:type="dxa"/>
        <w:tblCellMar>
          <w:top w:w="0" w:type="dxa"/>
          <w:left w:w="0" w:type="dxa"/>
          <w:bottom w:w="0" w:type="dxa"/>
          <w:right w:w="0" w:type="dxa"/>
        </w:tblCellMar>
      </w:tblPr>
      <w:tr>
        <w:trPr>
          <w:trHeight w:val="190"/>
        </w:trPr>
        <w:tc>
          <w:tcPr>
            <w:tcW w:w="180" w:type="dxa"/>
            <w:vAlign w:val="bottom"/>
            <w:vMerge w:val="restart"/>
          </w:tcPr>
          <w:p>
            <w:pPr>
              <w:jc w:val="right"/>
              <w:spacing w:after="0"/>
              <w:rPr>
                <w:sz w:val="20"/>
                <w:szCs w:val="20"/>
                <w:color w:val="auto"/>
              </w:rPr>
            </w:pPr>
            <w:r>
              <w:rPr>
                <w:rFonts w:ascii="Arial" w:cs="Arial" w:eastAsia="Arial" w:hAnsi="Arial"/>
                <w:sz w:val="14"/>
                <w:szCs w:val="14"/>
                <w:color w:val="auto"/>
                <w:w w:val="85"/>
              </w:rPr>
              <w:t>2.</w:t>
            </w:r>
          </w:p>
        </w:tc>
        <w:tc>
          <w:tcPr>
            <w:tcW w:w="3840" w:type="dxa"/>
            <w:vAlign w:val="bottom"/>
            <w:vMerge w:val="restart"/>
          </w:tcPr>
          <w:p>
            <w:pPr>
              <w:ind w:left="40"/>
              <w:spacing w:after="0"/>
              <w:rPr>
                <w:sz w:val="20"/>
                <w:szCs w:val="20"/>
                <w:color w:val="auto"/>
              </w:rPr>
            </w:pPr>
            <w:r>
              <w:rPr>
                <w:rFonts w:ascii="Arial" w:cs="Arial" w:eastAsia="Arial" w:hAnsi="Arial"/>
                <w:sz w:val="14"/>
                <w:szCs w:val="14"/>
                <w:color w:val="auto"/>
              </w:rPr>
              <w:t>Approval of the amendment to our Amended and Restated</w:t>
            </w:r>
          </w:p>
        </w:tc>
        <w:tc>
          <w:tcPr>
            <w:tcW w:w="360" w:type="dxa"/>
            <w:vAlign w:val="bottom"/>
          </w:tcPr>
          <w:p>
            <w:pPr>
              <w:ind w:left="60"/>
              <w:spacing w:after="0"/>
              <w:rPr>
                <w:sz w:val="20"/>
                <w:szCs w:val="20"/>
                <w:color w:val="auto"/>
              </w:rPr>
            </w:pPr>
            <w:r>
              <w:rPr>
                <w:rFonts w:ascii="Arial" w:cs="Arial" w:eastAsia="Arial" w:hAnsi="Arial"/>
                <w:sz w:val="14"/>
                <w:szCs w:val="14"/>
                <w:b w:val="1"/>
                <w:bCs w:val="1"/>
                <w:color w:val="auto"/>
              </w:rPr>
              <w:t>For</w:t>
            </w:r>
          </w:p>
        </w:tc>
        <w:tc>
          <w:tcPr>
            <w:tcW w:w="680" w:type="dxa"/>
            <w:vAlign w:val="bottom"/>
          </w:tcPr>
          <w:p>
            <w:pPr>
              <w:ind w:left="80"/>
              <w:spacing w:after="0"/>
              <w:rPr>
                <w:sz w:val="20"/>
                <w:szCs w:val="20"/>
                <w:color w:val="auto"/>
              </w:rPr>
            </w:pPr>
            <w:r>
              <w:rPr>
                <w:rFonts w:ascii="Arial" w:cs="Arial" w:eastAsia="Arial" w:hAnsi="Arial"/>
                <w:sz w:val="14"/>
                <w:szCs w:val="14"/>
                <w:b w:val="1"/>
                <w:bCs w:val="1"/>
                <w:color w:val="auto"/>
              </w:rPr>
              <w:t>Against</w:t>
            </w:r>
          </w:p>
        </w:tc>
        <w:tc>
          <w:tcPr>
            <w:tcW w:w="600" w:type="dxa"/>
            <w:vAlign w:val="bottom"/>
          </w:tcPr>
          <w:p>
            <w:pPr>
              <w:jc w:val="center"/>
              <w:spacing w:after="0"/>
              <w:rPr>
                <w:sz w:val="20"/>
                <w:szCs w:val="20"/>
                <w:color w:val="auto"/>
              </w:rPr>
            </w:pPr>
            <w:r>
              <w:rPr>
                <w:rFonts w:ascii="Arial" w:cs="Arial" w:eastAsia="Arial" w:hAnsi="Arial"/>
                <w:sz w:val="14"/>
                <w:szCs w:val="14"/>
                <w:b w:val="1"/>
                <w:bCs w:val="1"/>
                <w:color w:val="auto"/>
              </w:rPr>
              <w:t>Abstain</w:t>
            </w:r>
          </w:p>
        </w:tc>
        <w:tc>
          <w:tcPr>
            <w:tcW w:w="0" w:type="dxa"/>
            <w:vAlign w:val="bottom"/>
          </w:tcPr>
          <w:p>
            <w:pPr>
              <w:spacing w:after="0"/>
              <w:rPr>
                <w:sz w:val="1"/>
                <w:szCs w:val="1"/>
                <w:color w:val="auto"/>
              </w:rPr>
            </w:pPr>
          </w:p>
        </w:tc>
      </w:tr>
      <w:tr>
        <w:trPr>
          <w:trHeight w:val="152"/>
        </w:trPr>
        <w:tc>
          <w:tcPr>
            <w:tcW w:w="180" w:type="dxa"/>
            <w:vAlign w:val="bottom"/>
            <w:vMerge w:val="continue"/>
          </w:tcPr>
          <w:p>
            <w:pPr>
              <w:spacing w:after="0"/>
              <w:rPr>
                <w:sz w:val="13"/>
                <w:szCs w:val="13"/>
                <w:color w:val="auto"/>
              </w:rPr>
            </w:pPr>
          </w:p>
        </w:tc>
        <w:tc>
          <w:tcPr>
            <w:tcW w:w="3840" w:type="dxa"/>
            <w:vAlign w:val="bottom"/>
            <w:vMerge w:val="continue"/>
          </w:tcPr>
          <w:p>
            <w:pPr>
              <w:spacing w:after="0"/>
              <w:rPr>
                <w:sz w:val="13"/>
                <w:szCs w:val="13"/>
                <w:color w:val="auto"/>
              </w:rPr>
            </w:pPr>
          </w:p>
        </w:tc>
        <w:tc>
          <w:tcPr>
            <w:tcW w:w="1040" w:type="dxa"/>
            <w:vAlign w:val="bottom"/>
            <w:gridSpan w:val="2"/>
            <w:vMerge w:val="restart"/>
          </w:tcPr>
          <w:p>
            <w:pPr>
              <w:ind w:left="60"/>
              <w:spacing w:after="0" w:line="291" w:lineRule="exact"/>
              <w:rPr>
                <w:sz w:val="20"/>
                <w:szCs w:val="20"/>
                <w:color w:val="auto"/>
              </w:rPr>
            </w:pPr>
            <w:r>
              <w:rPr>
                <w:rFonts w:ascii="MS PGothic" w:cs="MS PGothic" w:eastAsia="MS PGothic" w:hAnsi="MS PGothic"/>
                <w:sz w:val="29"/>
                <w:szCs w:val="29"/>
                <w:color w:val="auto"/>
              </w:rPr>
              <w:t>☐ ☐</w:t>
            </w:r>
          </w:p>
        </w:tc>
        <w:tc>
          <w:tcPr>
            <w:tcW w:w="600" w:type="dxa"/>
            <w:vAlign w:val="bottom"/>
            <w:vMerge w:val="restart"/>
          </w:tcPr>
          <w:p>
            <w:pPr>
              <w:jc w:val="center"/>
              <w:spacing w:after="0" w:line="291" w:lineRule="exact"/>
              <w:rPr>
                <w:sz w:val="20"/>
                <w:szCs w:val="20"/>
                <w:color w:val="auto"/>
              </w:rPr>
            </w:pPr>
            <w:r>
              <w:rPr>
                <w:rFonts w:ascii="MS PGothic" w:cs="MS PGothic" w:eastAsia="MS PGothic" w:hAnsi="MS PGothic"/>
                <w:sz w:val="29"/>
                <w:szCs w:val="29"/>
                <w:color w:val="auto"/>
                <w:w w:val="89"/>
              </w:rPr>
              <w:t>☐</w:t>
            </w:r>
          </w:p>
        </w:tc>
        <w:tc>
          <w:tcPr>
            <w:tcW w:w="0" w:type="dxa"/>
            <w:vAlign w:val="bottom"/>
          </w:tcPr>
          <w:p>
            <w:pPr>
              <w:spacing w:after="0"/>
              <w:rPr>
                <w:sz w:val="1"/>
                <w:szCs w:val="1"/>
                <w:color w:val="auto"/>
              </w:rPr>
            </w:pPr>
          </w:p>
        </w:tc>
      </w:tr>
      <w:tr>
        <w:trPr>
          <w:trHeight w:val="162"/>
        </w:trPr>
        <w:tc>
          <w:tcPr>
            <w:tcW w:w="180" w:type="dxa"/>
            <w:vAlign w:val="bottom"/>
          </w:tcPr>
          <w:p>
            <w:pPr>
              <w:spacing w:after="0"/>
              <w:rPr>
                <w:sz w:val="14"/>
                <w:szCs w:val="14"/>
                <w:color w:val="auto"/>
              </w:rPr>
            </w:pPr>
          </w:p>
        </w:tc>
        <w:tc>
          <w:tcPr>
            <w:tcW w:w="3840" w:type="dxa"/>
            <w:vAlign w:val="bottom"/>
          </w:tcPr>
          <w:p>
            <w:pPr>
              <w:ind w:left="40"/>
              <w:spacing w:after="0"/>
              <w:rPr>
                <w:sz w:val="20"/>
                <w:szCs w:val="20"/>
                <w:color w:val="auto"/>
              </w:rPr>
            </w:pPr>
            <w:r>
              <w:rPr>
                <w:rFonts w:ascii="Arial" w:cs="Arial" w:eastAsia="Arial" w:hAnsi="Arial"/>
                <w:sz w:val="14"/>
                <w:szCs w:val="14"/>
                <w:color w:val="auto"/>
              </w:rPr>
              <w:t>Certificate of Incorporation to increase the total authorized</w:t>
            </w:r>
          </w:p>
        </w:tc>
        <w:tc>
          <w:tcPr>
            <w:tcW w:w="1040" w:type="dxa"/>
            <w:vAlign w:val="bottom"/>
            <w:gridSpan w:val="2"/>
            <w:vMerge w:val="continue"/>
          </w:tcPr>
          <w:p>
            <w:pPr>
              <w:spacing w:after="0"/>
              <w:rPr>
                <w:sz w:val="14"/>
                <w:szCs w:val="14"/>
                <w:color w:val="auto"/>
              </w:rPr>
            </w:pPr>
          </w:p>
        </w:tc>
        <w:tc>
          <w:tcPr>
            <w:tcW w:w="60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80" w:type="dxa"/>
            <w:vAlign w:val="bottom"/>
          </w:tcPr>
          <w:p>
            <w:pPr>
              <w:spacing w:after="0"/>
              <w:rPr>
                <w:sz w:val="14"/>
                <w:szCs w:val="14"/>
                <w:color w:val="auto"/>
              </w:rPr>
            </w:pPr>
          </w:p>
        </w:tc>
        <w:tc>
          <w:tcPr>
            <w:tcW w:w="3840" w:type="dxa"/>
            <w:vAlign w:val="bottom"/>
          </w:tcPr>
          <w:p>
            <w:pPr>
              <w:ind w:left="40"/>
              <w:spacing w:after="0"/>
              <w:rPr>
                <w:sz w:val="20"/>
                <w:szCs w:val="20"/>
                <w:color w:val="auto"/>
              </w:rPr>
            </w:pPr>
            <w:r>
              <w:rPr>
                <w:rFonts w:ascii="Arial" w:cs="Arial" w:eastAsia="Arial" w:hAnsi="Arial"/>
                <w:sz w:val="14"/>
                <w:szCs w:val="14"/>
                <w:color w:val="auto"/>
              </w:rPr>
              <w:t>number of shares of common stock from 600,000,000 to</w:t>
            </w:r>
          </w:p>
        </w:tc>
        <w:tc>
          <w:tcPr>
            <w:tcW w:w="1040" w:type="dxa"/>
            <w:vAlign w:val="bottom"/>
            <w:gridSpan w:val="2"/>
            <w:vMerge w:val="continue"/>
          </w:tcPr>
          <w:p>
            <w:pPr>
              <w:spacing w:after="0"/>
              <w:rPr>
                <w:sz w:val="14"/>
                <w:szCs w:val="14"/>
                <w:color w:val="auto"/>
              </w:rPr>
            </w:pPr>
          </w:p>
        </w:tc>
        <w:tc>
          <w:tcPr>
            <w:tcW w:w="60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172"/>
        </w:trPr>
        <w:tc>
          <w:tcPr>
            <w:tcW w:w="180" w:type="dxa"/>
            <w:vAlign w:val="bottom"/>
          </w:tcPr>
          <w:p>
            <w:pPr>
              <w:spacing w:after="0"/>
              <w:rPr>
                <w:sz w:val="14"/>
                <w:szCs w:val="14"/>
                <w:color w:val="auto"/>
              </w:rPr>
            </w:pPr>
          </w:p>
        </w:tc>
        <w:tc>
          <w:tcPr>
            <w:tcW w:w="3840" w:type="dxa"/>
            <w:vAlign w:val="bottom"/>
          </w:tcPr>
          <w:p>
            <w:pPr>
              <w:ind w:left="40"/>
              <w:spacing w:after="0"/>
              <w:rPr>
                <w:sz w:val="20"/>
                <w:szCs w:val="20"/>
                <w:color w:val="auto"/>
              </w:rPr>
            </w:pPr>
            <w:r>
              <w:rPr>
                <w:rFonts w:ascii="Arial" w:cs="Arial" w:eastAsia="Arial" w:hAnsi="Arial"/>
                <w:sz w:val="14"/>
                <w:szCs w:val="14"/>
                <w:color w:val="auto"/>
              </w:rPr>
              <w:t>900,000,000.</w:t>
            </w:r>
          </w:p>
        </w:tc>
        <w:tc>
          <w:tcPr>
            <w:tcW w:w="36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38"/>
        </w:trPr>
        <w:tc>
          <w:tcPr>
            <w:tcW w:w="180" w:type="dxa"/>
            <w:vAlign w:val="bottom"/>
            <w:vMerge w:val="restart"/>
          </w:tcPr>
          <w:p>
            <w:pPr>
              <w:jc w:val="right"/>
              <w:spacing w:after="0"/>
              <w:rPr>
                <w:sz w:val="20"/>
                <w:szCs w:val="20"/>
                <w:color w:val="auto"/>
              </w:rPr>
            </w:pPr>
            <w:r>
              <w:rPr>
                <w:rFonts w:ascii="Arial" w:cs="Arial" w:eastAsia="Arial" w:hAnsi="Arial"/>
                <w:sz w:val="14"/>
                <w:szCs w:val="14"/>
                <w:color w:val="auto"/>
                <w:w w:val="85"/>
              </w:rPr>
              <w:t>4.</w:t>
            </w:r>
          </w:p>
        </w:tc>
        <w:tc>
          <w:tcPr>
            <w:tcW w:w="3840" w:type="dxa"/>
            <w:vAlign w:val="bottom"/>
            <w:vMerge w:val="restart"/>
          </w:tcPr>
          <w:p>
            <w:pPr>
              <w:ind w:left="40"/>
              <w:spacing w:after="0"/>
              <w:rPr>
                <w:sz w:val="20"/>
                <w:szCs w:val="20"/>
                <w:color w:val="auto"/>
              </w:rPr>
            </w:pPr>
            <w:r>
              <w:rPr>
                <w:rFonts w:ascii="Arial" w:cs="Arial" w:eastAsia="Arial" w:hAnsi="Arial"/>
                <w:sz w:val="14"/>
                <w:szCs w:val="14"/>
                <w:color w:val="auto"/>
              </w:rPr>
              <w:t>Ratification of appointment of Ernst &amp; Young LLP as our</w:t>
            </w:r>
          </w:p>
        </w:tc>
        <w:tc>
          <w:tcPr>
            <w:tcW w:w="360" w:type="dxa"/>
            <w:vAlign w:val="bottom"/>
          </w:tcPr>
          <w:p>
            <w:pPr>
              <w:ind w:left="60"/>
              <w:spacing w:after="0"/>
              <w:rPr>
                <w:sz w:val="20"/>
                <w:szCs w:val="20"/>
                <w:color w:val="auto"/>
              </w:rPr>
            </w:pPr>
            <w:r>
              <w:rPr>
                <w:rFonts w:ascii="Arial" w:cs="Arial" w:eastAsia="Arial" w:hAnsi="Arial"/>
                <w:sz w:val="14"/>
                <w:szCs w:val="14"/>
                <w:b w:val="1"/>
                <w:bCs w:val="1"/>
                <w:color w:val="auto"/>
              </w:rPr>
              <w:t>For</w:t>
            </w:r>
          </w:p>
        </w:tc>
        <w:tc>
          <w:tcPr>
            <w:tcW w:w="680" w:type="dxa"/>
            <w:vAlign w:val="bottom"/>
          </w:tcPr>
          <w:p>
            <w:pPr>
              <w:ind w:left="80"/>
              <w:spacing w:after="0"/>
              <w:rPr>
                <w:sz w:val="20"/>
                <w:szCs w:val="20"/>
                <w:color w:val="auto"/>
              </w:rPr>
            </w:pPr>
            <w:r>
              <w:rPr>
                <w:rFonts w:ascii="Arial" w:cs="Arial" w:eastAsia="Arial" w:hAnsi="Arial"/>
                <w:sz w:val="14"/>
                <w:szCs w:val="14"/>
                <w:b w:val="1"/>
                <w:bCs w:val="1"/>
                <w:color w:val="auto"/>
              </w:rPr>
              <w:t>Against</w:t>
            </w:r>
          </w:p>
        </w:tc>
        <w:tc>
          <w:tcPr>
            <w:tcW w:w="600" w:type="dxa"/>
            <w:vAlign w:val="bottom"/>
          </w:tcPr>
          <w:p>
            <w:pPr>
              <w:jc w:val="center"/>
              <w:spacing w:after="0"/>
              <w:rPr>
                <w:sz w:val="20"/>
                <w:szCs w:val="20"/>
                <w:color w:val="auto"/>
              </w:rPr>
            </w:pPr>
            <w:r>
              <w:rPr>
                <w:rFonts w:ascii="Arial" w:cs="Arial" w:eastAsia="Arial" w:hAnsi="Arial"/>
                <w:sz w:val="14"/>
                <w:szCs w:val="14"/>
                <w:b w:val="1"/>
                <w:bCs w:val="1"/>
                <w:color w:val="auto"/>
              </w:rPr>
              <w:t>Abstain</w:t>
            </w:r>
          </w:p>
        </w:tc>
        <w:tc>
          <w:tcPr>
            <w:tcW w:w="0" w:type="dxa"/>
            <w:vAlign w:val="bottom"/>
          </w:tcPr>
          <w:p>
            <w:pPr>
              <w:spacing w:after="0"/>
              <w:rPr>
                <w:sz w:val="1"/>
                <w:szCs w:val="1"/>
                <w:color w:val="auto"/>
              </w:rPr>
            </w:pPr>
          </w:p>
        </w:tc>
      </w:tr>
      <w:tr>
        <w:trPr>
          <w:trHeight w:val="152"/>
        </w:trPr>
        <w:tc>
          <w:tcPr>
            <w:tcW w:w="180" w:type="dxa"/>
            <w:vAlign w:val="bottom"/>
            <w:vMerge w:val="continue"/>
          </w:tcPr>
          <w:p>
            <w:pPr>
              <w:spacing w:after="0"/>
              <w:rPr>
                <w:sz w:val="13"/>
                <w:szCs w:val="13"/>
                <w:color w:val="auto"/>
              </w:rPr>
            </w:pPr>
          </w:p>
        </w:tc>
        <w:tc>
          <w:tcPr>
            <w:tcW w:w="3840" w:type="dxa"/>
            <w:vAlign w:val="bottom"/>
            <w:vMerge w:val="continue"/>
          </w:tcPr>
          <w:p>
            <w:pPr>
              <w:spacing w:after="0"/>
              <w:rPr>
                <w:sz w:val="13"/>
                <w:szCs w:val="13"/>
                <w:color w:val="auto"/>
              </w:rPr>
            </w:pPr>
          </w:p>
        </w:tc>
        <w:tc>
          <w:tcPr>
            <w:tcW w:w="1040" w:type="dxa"/>
            <w:vAlign w:val="bottom"/>
            <w:gridSpan w:val="2"/>
            <w:vMerge w:val="restart"/>
          </w:tcPr>
          <w:p>
            <w:pPr>
              <w:ind w:left="60"/>
              <w:spacing w:after="0" w:line="291" w:lineRule="exact"/>
              <w:rPr>
                <w:sz w:val="20"/>
                <w:szCs w:val="20"/>
                <w:color w:val="auto"/>
              </w:rPr>
            </w:pPr>
            <w:r>
              <w:rPr>
                <w:rFonts w:ascii="MS PGothic" w:cs="MS PGothic" w:eastAsia="MS PGothic" w:hAnsi="MS PGothic"/>
                <w:sz w:val="29"/>
                <w:szCs w:val="29"/>
                <w:color w:val="auto"/>
              </w:rPr>
              <w:t>☐ ☐</w:t>
            </w:r>
          </w:p>
        </w:tc>
        <w:tc>
          <w:tcPr>
            <w:tcW w:w="600" w:type="dxa"/>
            <w:vAlign w:val="bottom"/>
            <w:vMerge w:val="restart"/>
          </w:tcPr>
          <w:p>
            <w:pPr>
              <w:jc w:val="center"/>
              <w:spacing w:after="0" w:line="291" w:lineRule="exact"/>
              <w:rPr>
                <w:sz w:val="20"/>
                <w:szCs w:val="20"/>
                <w:color w:val="auto"/>
              </w:rPr>
            </w:pPr>
            <w:r>
              <w:rPr>
                <w:rFonts w:ascii="MS PGothic" w:cs="MS PGothic" w:eastAsia="MS PGothic" w:hAnsi="MS PGothic"/>
                <w:sz w:val="29"/>
                <w:szCs w:val="29"/>
                <w:color w:val="auto"/>
                <w:w w:val="89"/>
              </w:rPr>
              <w:t>☐</w:t>
            </w:r>
          </w:p>
        </w:tc>
        <w:tc>
          <w:tcPr>
            <w:tcW w:w="0" w:type="dxa"/>
            <w:vAlign w:val="bottom"/>
          </w:tcPr>
          <w:p>
            <w:pPr>
              <w:spacing w:after="0"/>
              <w:rPr>
                <w:sz w:val="1"/>
                <w:szCs w:val="1"/>
                <w:color w:val="auto"/>
              </w:rPr>
            </w:pPr>
          </w:p>
        </w:tc>
      </w:tr>
      <w:tr>
        <w:trPr>
          <w:trHeight w:val="162"/>
        </w:trPr>
        <w:tc>
          <w:tcPr>
            <w:tcW w:w="180" w:type="dxa"/>
            <w:vAlign w:val="bottom"/>
          </w:tcPr>
          <w:p>
            <w:pPr>
              <w:spacing w:after="0"/>
              <w:rPr>
                <w:sz w:val="14"/>
                <w:szCs w:val="14"/>
                <w:color w:val="auto"/>
              </w:rPr>
            </w:pPr>
          </w:p>
        </w:tc>
        <w:tc>
          <w:tcPr>
            <w:tcW w:w="3840" w:type="dxa"/>
            <w:vAlign w:val="bottom"/>
          </w:tcPr>
          <w:p>
            <w:pPr>
              <w:ind w:left="40"/>
              <w:spacing w:after="0"/>
              <w:rPr>
                <w:sz w:val="20"/>
                <w:szCs w:val="20"/>
                <w:color w:val="auto"/>
              </w:rPr>
            </w:pPr>
            <w:r>
              <w:rPr>
                <w:rFonts w:ascii="Arial" w:cs="Arial" w:eastAsia="Arial" w:hAnsi="Arial"/>
                <w:sz w:val="14"/>
                <w:szCs w:val="14"/>
                <w:color w:val="auto"/>
              </w:rPr>
              <w:t>independent public accountant for the year ending</w:t>
            </w:r>
          </w:p>
        </w:tc>
        <w:tc>
          <w:tcPr>
            <w:tcW w:w="1040" w:type="dxa"/>
            <w:vAlign w:val="bottom"/>
            <w:gridSpan w:val="2"/>
            <w:vMerge w:val="continue"/>
          </w:tcPr>
          <w:p>
            <w:pPr>
              <w:spacing w:after="0"/>
              <w:rPr>
                <w:sz w:val="14"/>
                <w:szCs w:val="14"/>
                <w:color w:val="auto"/>
              </w:rPr>
            </w:pPr>
          </w:p>
        </w:tc>
        <w:tc>
          <w:tcPr>
            <w:tcW w:w="60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172"/>
        </w:trPr>
        <w:tc>
          <w:tcPr>
            <w:tcW w:w="180" w:type="dxa"/>
            <w:vAlign w:val="bottom"/>
          </w:tcPr>
          <w:p>
            <w:pPr>
              <w:spacing w:after="0"/>
              <w:rPr>
                <w:sz w:val="14"/>
                <w:szCs w:val="14"/>
                <w:color w:val="auto"/>
              </w:rPr>
            </w:pPr>
          </w:p>
        </w:tc>
        <w:tc>
          <w:tcPr>
            <w:tcW w:w="3840" w:type="dxa"/>
            <w:vAlign w:val="bottom"/>
          </w:tcPr>
          <w:p>
            <w:pPr>
              <w:ind w:left="40"/>
              <w:spacing w:after="0"/>
              <w:rPr>
                <w:sz w:val="20"/>
                <w:szCs w:val="20"/>
                <w:color w:val="auto"/>
              </w:rPr>
            </w:pPr>
            <w:r>
              <w:rPr>
                <w:rFonts w:ascii="Arial" w:cs="Arial" w:eastAsia="Arial" w:hAnsi="Arial"/>
                <w:sz w:val="14"/>
                <w:szCs w:val="14"/>
                <w:color w:val="auto"/>
              </w:rPr>
              <w:t>December 31, 2018.</w:t>
            </w:r>
          </w:p>
        </w:tc>
        <w:tc>
          <w:tcPr>
            <w:tcW w:w="1040" w:type="dxa"/>
            <w:vAlign w:val="bottom"/>
            <w:gridSpan w:val="2"/>
            <w:vMerge w:val="continue"/>
          </w:tcPr>
          <w:p>
            <w:pPr>
              <w:spacing w:after="0"/>
              <w:rPr>
                <w:sz w:val="14"/>
                <w:szCs w:val="14"/>
                <w:color w:val="auto"/>
              </w:rPr>
            </w:pPr>
          </w:p>
        </w:tc>
        <w:tc>
          <w:tcPr>
            <w:tcW w:w="60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br w:type="column"/>
      </w:r>
    </w:p>
    <w:p>
      <w:pPr>
        <w:spacing w:after="0" w:line="207" w:lineRule="exact"/>
        <w:rPr>
          <w:sz w:val="20"/>
          <w:szCs w:val="20"/>
          <w:color w:val="auto"/>
        </w:rPr>
      </w:pPr>
    </w:p>
    <w:p>
      <w:pPr>
        <w:ind w:left="231" w:hanging="231"/>
        <w:spacing w:after="0" w:line="258" w:lineRule="auto"/>
        <w:tabs>
          <w:tab w:leader="none" w:pos="231" w:val="left"/>
        </w:tabs>
        <w:numPr>
          <w:ilvl w:val="0"/>
          <w:numId w:val="72"/>
        </w:numPr>
        <w:rPr>
          <w:rFonts w:ascii="Arial" w:cs="Arial" w:eastAsia="Arial" w:hAnsi="Arial"/>
          <w:sz w:val="14"/>
          <w:szCs w:val="14"/>
          <w:color w:val="auto"/>
        </w:rPr>
      </w:pPr>
      <w:r>
        <w:rPr>
          <w:rFonts w:ascii="Arial" w:cs="Arial" w:eastAsia="Arial" w:hAnsi="Arial"/>
          <w:sz w:val="14"/>
          <w:szCs w:val="14"/>
          <w:color w:val="auto"/>
        </w:rPr>
        <w:t>Advisory vote to approve the compensation of our named executive officers.</w:t>
      </w:r>
    </w:p>
    <w:p>
      <w:pPr>
        <w:spacing w:after="0" w:line="20" w:lineRule="exact"/>
        <w:rPr>
          <w:sz w:val="20"/>
          <w:szCs w:val="20"/>
          <w:color w:val="auto"/>
        </w:rPr>
      </w:pPr>
      <w:r>
        <w:rPr>
          <w:sz w:val="20"/>
          <w:szCs w:val="20"/>
          <w:color w:val="auto"/>
        </w:rPr>
        <w:br w:type="column"/>
      </w:r>
    </w:p>
    <w:p>
      <w:pPr>
        <w:spacing w:after="0" w:line="27" w:lineRule="exact"/>
        <w:rPr>
          <w:sz w:val="20"/>
          <w:szCs w:val="20"/>
          <w:color w:val="auto"/>
        </w:rPr>
      </w:pPr>
    </w:p>
    <w:p>
      <w:pPr>
        <w:spacing w:after="0"/>
        <w:tabs>
          <w:tab w:leader="none" w:pos="360" w:val="left"/>
          <w:tab w:leader="none" w:pos="1040" w:val="left"/>
        </w:tabs>
        <w:rPr>
          <w:sz w:val="20"/>
          <w:szCs w:val="20"/>
          <w:color w:val="auto"/>
        </w:rPr>
      </w:pPr>
      <w:r>
        <w:rPr>
          <w:rFonts w:ascii="Arial" w:cs="Arial" w:eastAsia="Arial" w:hAnsi="Arial"/>
          <w:sz w:val="14"/>
          <w:szCs w:val="14"/>
          <w:b w:val="1"/>
          <w:bCs w:val="1"/>
          <w:color w:val="auto"/>
        </w:rPr>
        <w:t>For</w:t>
        <w:tab/>
        <w:t>Against</w:t>
        <w:tab/>
        <w:t>Abstain</w:t>
      </w:r>
    </w:p>
    <w:p>
      <w:pPr>
        <w:spacing w:after="0" w:line="30" w:lineRule="exact"/>
        <w:rPr>
          <w:sz w:val="20"/>
          <w:szCs w:val="20"/>
          <w:color w:val="auto"/>
        </w:rPr>
      </w:pPr>
    </w:p>
    <w:p>
      <w:pPr>
        <w:spacing w:after="0" w:line="291" w:lineRule="exact"/>
        <w:tabs>
          <w:tab w:leader="none" w:pos="1160" w:val="left"/>
        </w:tabs>
        <w:rPr>
          <w:sz w:val="20"/>
          <w:szCs w:val="20"/>
          <w:color w:val="auto"/>
        </w:rPr>
      </w:pPr>
      <w:r>
        <w:rPr>
          <w:rFonts w:ascii="MS PGothic" w:cs="MS PGothic" w:eastAsia="MS PGothic" w:hAnsi="MS PGothic"/>
          <w:sz w:val="29"/>
          <w:szCs w:val="29"/>
          <w:color w:val="auto"/>
        </w:rPr>
        <w:t>☐ ☐</w:t>
      </w:r>
      <w:r>
        <w:rPr>
          <w:sz w:val="20"/>
          <w:szCs w:val="20"/>
          <w:color w:val="auto"/>
        </w:rPr>
        <w:tab/>
      </w:r>
      <w:r>
        <w:rPr>
          <w:rFonts w:ascii="MS PGothic" w:cs="MS PGothic" w:eastAsia="MS PGothic" w:hAnsi="MS PGothic"/>
          <w:sz w:val="26"/>
          <w:szCs w:val="26"/>
          <w:color w:val="auto"/>
        </w:rPr>
        <w:t>☐</w:t>
      </w:r>
    </w:p>
    <w:p>
      <w:pPr>
        <w:spacing w:after="0" w:line="1346" w:lineRule="exact"/>
        <w:rPr>
          <w:sz w:val="20"/>
          <w:szCs w:val="20"/>
          <w:color w:val="auto"/>
        </w:rPr>
      </w:pPr>
    </w:p>
    <w:p>
      <w:pPr>
        <w:sectPr>
          <w:pgSz w:w="11900" w:h="16838" w:orient="portrait"/>
          <w:cols w:equalWidth="0" w:num="3">
            <w:col w:w="5700" w:space="129"/>
            <w:col w:w="3391" w:space="600"/>
            <w:col w:w="1580"/>
          </w:cols>
          <w:pgMar w:left="240" w:top="459" w:right="259" w:bottom="479" w:gutter="0" w:footer="0" w:header="0"/>
          <w:type w:val="continuous"/>
        </w:sectPr>
      </w:pPr>
    </w:p>
    <w:p>
      <w:pPr>
        <w:ind w:left="180"/>
        <w:spacing w:after="0"/>
        <w:rPr>
          <w:sz w:val="20"/>
          <w:szCs w:val="20"/>
          <w:color w:val="auto"/>
        </w:rPr>
      </w:pPr>
      <w:r>
        <w:rPr>
          <w:rFonts w:ascii="Arial" w:cs="Arial" w:eastAsia="Arial" w:hAnsi="Arial"/>
          <w:sz w:val="14"/>
          <w:szCs w:val="14"/>
          <w:color w:val="auto"/>
        </w:rPr>
        <w:t>The proxies are authorized to vote in their discretion on any matter that may properly</w:t>
      </w:r>
    </w:p>
    <w:p>
      <w:pPr>
        <w:spacing w:after="0" w:line="1" w:lineRule="exact"/>
        <w:rPr>
          <w:sz w:val="20"/>
          <w:szCs w:val="20"/>
          <w:color w:val="auto"/>
        </w:rPr>
      </w:pPr>
    </w:p>
    <w:p>
      <w:pPr>
        <w:ind w:left="180"/>
        <w:spacing w:after="0"/>
        <w:rPr>
          <w:sz w:val="20"/>
          <w:szCs w:val="20"/>
          <w:color w:val="auto"/>
        </w:rPr>
      </w:pPr>
      <w:r>
        <w:rPr>
          <w:rFonts w:ascii="Arial" w:cs="Arial" w:eastAsia="Arial" w:hAnsi="Arial"/>
          <w:sz w:val="14"/>
          <w:szCs w:val="14"/>
          <w:color w:val="auto"/>
        </w:rPr>
        <w:t>come before said meeting or any postponement or adjournment thereof.</w:t>
      </w:r>
    </w:p>
    <w:p>
      <w:pPr>
        <w:spacing w:after="0" w:line="190" w:lineRule="exact"/>
        <w:rPr>
          <w:sz w:val="20"/>
          <w:szCs w:val="20"/>
          <w:color w:val="auto"/>
        </w:rPr>
      </w:pPr>
    </w:p>
    <w:p>
      <w:pPr>
        <w:ind w:left="380" w:hanging="322"/>
        <w:spacing w:after="0"/>
        <w:tabs>
          <w:tab w:leader="none" w:pos="380" w:val="left"/>
        </w:tabs>
        <w:numPr>
          <w:ilvl w:val="0"/>
          <w:numId w:val="73"/>
        </w:numPr>
        <w:rPr>
          <w:rFonts w:ascii="Arial" w:cs="Arial" w:eastAsia="Arial" w:hAnsi="Arial"/>
          <w:sz w:val="18"/>
          <w:szCs w:val="18"/>
          <w:b w:val="1"/>
          <w:bCs w:val="1"/>
          <w:color w:val="FFFFFF"/>
        </w:rPr>
      </w:pPr>
      <w:r>
        <w:rPr>
          <w:rFonts w:ascii="Arial" w:cs="Arial" w:eastAsia="Arial" w:hAnsi="Arial"/>
          <w:sz w:val="18"/>
          <w:szCs w:val="18"/>
          <w:b w:val="1"/>
          <w:bCs w:val="1"/>
          <w:color w:val="auto"/>
        </w:rPr>
        <w:t>Authorized Signatures —    This section must be completed for your vote to be counted — PLEASE SIGN HERE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-116205</wp:posOffset>
            </wp:positionV>
            <wp:extent cx="163195" cy="12890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6">
                      <a:extLst>
                        <a:ext uri="{28A0092B-C50C-407E-A947-70E740481C1C}"/>
                      </a:extLst>
                    </a:blip>
                    <a:srcRect/>
                    <a:stretch>
                      <a:fillRect/>
                    </a:stretch>
                  </pic:blipFill>
                  <pic:spPr bwMode="auto">
                    <a:xfrm>
                      <a:off x="0" y="0"/>
                      <a:ext cx="163195" cy="128905"/>
                    </a:xfrm>
                    <a:prstGeom prst="rect">
                      <a:avLst/>
                    </a:prstGeom>
                    <a:noFill/>
                  </pic:spPr>
                </pic:pic>
              </a:graphicData>
            </a:graphic>
          </wp:anchor>
        </w:drawing>
      </w:r>
    </w:p>
    <w:p>
      <w:pPr>
        <w:ind w:left="2880"/>
        <w:spacing w:after="0"/>
        <w:rPr>
          <w:sz w:val="20"/>
          <w:szCs w:val="20"/>
          <w:color w:val="auto"/>
        </w:rPr>
      </w:pPr>
      <w:r>
        <w:rPr>
          <w:rFonts w:ascii="Arial" w:cs="Arial" w:eastAsia="Arial" w:hAnsi="Arial"/>
          <w:sz w:val="18"/>
          <w:szCs w:val="18"/>
          <w:b w:val="1"/>
          <w:bCs w:val="1"/>
          <w:color w:val="auto"/>
        </w:rPr>
        <w:t>AND RETURN PROMPTLY.</w:t>
      </w:r>
    </w:p>
    <w:p>
      <w:pPr>
        <w:spacing w:after="0" w:line="1" w:lineRule="exact"/>
        <w:rPr>
          <w:sz w:val="20"/>
          <w:szCs w:val="20"/>
          <w:color w:val="auto"/>
        </w:rPr>
      </w:pPr>
    </w:p>
    <w:p>
      <w:pPr>
        <w:ind w:right="540"/>
        <w:spacing w:after="0" w:line="258" w:lineRule="auto"/>
        <w:rPr>
          <w:sz w:val="20"/>
          <w:szCs w:val="20"/>
          <w:color w:val="auto"/>
        </w:rPr>
      </w:pPr>
      <w:r>
        <w:rPr>
          <w:rFonts w:ascii="Arial" w:cs="Arial" w:eastAsia="Arial" w:hAnsi="Arial"/>
          <w:sz w:val="14"/>
          <w:szCs w:val="14"/>
          <w:color w:val="auto"/>
        </w:rPr>
        <w:t>Please sign exactly as your name appears on your stock certificate. If registered in the names of two or more persons, each person should sign. Executors, administrators, trustees, guardians, attorneys, and corporate officers should show their full titles.</w:t>
      </w:r>
    </w:p>
    <w:p>
      <w:pPr>
        <w:sectPr>
          <w:pgSz w:w="11900" w:h="16838" w:orient="portrait"/>
          <w:cols w:equalWidth="0" w:num="1">
            <w:col w:w="11400"/>
          </w:cols>
          <w:pgMar w:left="240" w:top="459" w:right="259" w:bottom="479" w:gutter="0" w:footer="0" w:header="0"/>
          <w:type w:val="continuous"/>
        </w:sectPr>
      </w:pPr>
    </w:p>
    <w:p>
      <w:pPr>
        <w:spacing w:after="0" w:line="32" w:lineRule="exact"/>
        <w:rPr>
          <w:sz w:val="20"/>
          <w:szCs w:val="20"/>
          <w:color w:val="auto"/>
        </w:rPr>
      </w:pPr>
    </w:p>
    <w:p>
      <w:pPr>
        <w:ind w:right="640"/>
        <w:spacing w:after="0" w:line="255" w:lineRule="auto"/>
        <w:rPr>
          <w:sz w:val="20"/>
          <w:szCs w:val="20"/>
          <w:color w:val="auto"/>
        </w:rPr>
      </w:pPr>
      <w:r>
        <w:rPr>
          <w:rFonts w:ascii="Arial" w:cs="Arial" w:eastAsia="Arial" w:hAnsi="Arial"/>
          <w:sz w:val="14"/>
          <w:szCs w:val="14"/>
          <w:color w:val="auto"/>
        </w:rPr>
        <w:t>Date (mm/dd/yyyy) — Please print date below.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-13970</wp:posOffset>
            </wp:positionV>
            <wp:extent cx="2246630" cy="36004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7">
                      <a:extLst>
                        <a:ext uri="{28A0092B-C50C-407E-A947-70E740481C1C}"/>
                      </a:extLst>
                    </a:blip>
                    <a:srcRect/>
                    <a:stretch>
                      <a:fillRect/>
                    </a:stretch>
                  </pic:blipFill>
                  <pic:spPr bwMode="auto">
                    <a:xfrm>
                      <a:off x="0" y="0"/>
                      <a:ext cx="2246630" cy="36004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2" w:lineRule="exact"/>
        <w:rPr>
          <w:sz w:val="20"/>
          <w:szCs w:val="20"/>
          <w:color w:val="auto"/>
        </w:rPr>
      </w:pPr>
    </w:p>
    <w:p>
      <w:pPr>
        <w:spacing w:after="0"/>
        <w:tabs>
          <w:tab w:leader="none" w:pos="3980" w:val="left"/>
        </w:tabs>
        <w:rPr>
          <w:sz w:val="20"/>
          <w:szCs w:val="20"/>
          <w:color w:val="auto"/>
        </w:rPr>
      </w:pPr>
      <w:r>
        <w:rPr>
          <w:rFonts w:ascii="Arial" w:cs="Arial" w:eastAsia="Arial" w:hAnsi="Arial"/>
          <w:sz w:val="14"/>
          <w:szCs w:val="14"/>
          <w:color w:val="auto"/>
        </w:rPr>
        <w:t>Signature 1 — Please keep signature within the box.</w:t>
      </w:r>
      <w:r>
        <w:rPr>
          <w:sz w:val="20"/>
          <w:szCs w:val="20"/>
          <w:color w:val="auto"/>
        </w:rPr>
        <w:tab/>
      </w:r>
      <w:r>
        <w:rPr>
          <w:rFonts w:ascii="Arial" w:cs="Arial" w:eastAsia="Arial" w:hAnsi="Arial"/>
          <w:sz w:val="14"/>
          <w:szCs w:val="14"/>
          <w:color w:val="auto"/>
        </w:rPr>
        <w:t>Signature 2 — Please keep signature within the box.</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-1905</wp:posOffset>
            </wp:positionV>
            <wp:extent cx="4785360" cy="36004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8">
                      <a:extLst>
                        <a:ext uri="{28A0092B-C50C-407E-A947-70E740481C1C}"/>
                      </a:extLst>
                    </a:blip>
                    <a:srcRect/>
                    <a:stretch>
                      <a:fillRect/>
                    </a:stretch>
                  </pic:blipFill>
                  <pic:spPr bwMode="auto">
                    <a:xfrm>
                      <a:off x="0" y="0"/>
                      <a:ext cx="4785360" cy="360045"/>
                    </a:xfrm>
                    <a:prstGeom prst="rect">
                      <a:avLst/>
                    </a:prstGeom>
                    <a:noFill/>
                  </pic:spPr>
                </pic:pic>
              </a:graphicData>
            </a:graphic>
          </wp:anchor>
        </w:drawing>
      </w:r>
    </w:p>
    <w:p>
      <w:pPr>
        <w:spacing w:after="0" w:line="182" w:lineRule="exact"/>
        <w:rPr>
          <w:sz w:val="20"/>
          <w:szCs w:val="20"/>
          <w:color w:val="auto"/>
        </w:rPr>
      </w:pPr>
    </w:p>
    <w:p>
      <w:pPr>
        <w:sectPr>
          <w:pgSz w:w="11900" w:h="16838" w:orient="portrait"/>
          <w:cols w:equalWidth="0" w:num="2">
            <w:col w:w="3160" w:space="720"/>
            <w:col w:w="7520"/>
          </w:cols>
          <w:pgMar w:left="240" w:top="459" w:right="259" w:bottom="479" w:gutter="0" w:footer="0" w:header="0"/>
          <w:type w:val="continuous"/>
        </w:sectPr>
      </w:pPr>
    </w:p>
    <w:p>
      <w:pPr>
        <w:ind w:left="1020"/>
        <w:spacing w:after="0"/>
        <w:tabs>
          <w:tab w:leader="none" w:pos="1740" w:val="left"/>
        </w:tabs>
        <w:rPr>
          <w:sz w:val="20"/>
          <w:szCs w:val="20"/>
          <w:color w:val="auto"/>
        </w:rPr>
      </w:pPr>
      <w:r>
        <w:rPr>
          <w:rFonts w:ascii="Arial" w:cs="Arial" w:eastAsia="Arial" w:hAnsi="Arial"/>
          <w:sz w:val="45"/>
          <w:szCs w:val="45"/>
          <w:color w:val="auto"/>
        </w:rPr>
        <w:t>/</w:t>
        <w:tab/>
        <w:t>/</w:t>
      </w:r>
    </w:p>
    <w:p>
      <w:pPr>
        <w:spacing w:after="0" w:line="148" w:lineRule="exact"/>
        <w:rPr>
          <w:sz w:val="20"/>
          <w:szCs w:val="20"/>
          <w:color w:val="auto"/>
        </w:rPr>
      </w:pPr>
    </w:p>
    <w:p>
      <w:pPr>
        <w:jc w:val="center"/>
        <w:ind w:right="-39"/>
        <w:spacing w:after="0"/>
        <w:rPr>
          <w:sz w:val="20"/>
          <w:szCs w:val="20"/>
          <w:color w:val="auto"/>
        </w:rPr>
      </w:pPr>
      <w:r>
        <w:rPr>
          <w:rFonts w:ascii="Arial" w:cs="Arial" w:eastAsia="Arial" w:hAnsi="Arial"/>
          <w:sz w:val="19"/>
          <w:szCs w:val="19"/>
          <w:b w:val="1"/>
          <w:bCs w:val="1"/>
          <w:color w:val="auto"/>
        </w:rPr>
        <w:t xml:space="preserve">IF VOTING BY MAIL, YOU </w:t>
      </w:r>
      <w:r>
        <w:rPr>
          <w:rFonts w:ascii="Arial" w:cs="Arial" w:eastAsia="Arial" w:hAnsi="Arial"/>
          <w:sz w:val="19"/>
          <w:szCs w:val="19"/>
          <w:b w:val="1"/>
          <w:bCs w:val="1"/>
          <w:u w:val="single" w:color="auto"/>
          <w:color w:val="auto"/>
        </w:rPr>
        <w:t>MUST</w:t>
      </w:r>
      <w:r>
        <w:rPr>
          <w:rFonts w:ascii="Arial" w:cs="Arial" w:eastAsia="Arial" w:hAnsi="Arial"/>
          <w:sz w:val="19"/>
          <w:szCs w:val="19"/>
          <w:b w:val="1"/>
          <w:bCs w:val="1"/>
          <w:color w:val="auto"/>
        </w:rPr>
        <w:t xml:space="preserve"> COMPLETE SECTIONS A - C ON BOTH SIDES OF THIS CARD.</w:t>
      </w:r>
    </w:p>
    <w:p>
      <w:pPr>
        <w:sectPr>
          <w:pgSz w:w="11900" w:h="16838" w:orient="portrait"/>
          <w:cols w:equalWidth="0" w:num="1">
            <w:col w:w="11400"/>
          </w:cols>
          <w:pgMar w:left="240" w:top="459" w:right="259" w:bottom="479" w:gutter="0" w:footer="0" w:header="0"/>
          <w:type w:val="continuous"/>
        </w:sectPr>
      </w:pPr>
    </w:p>
    <w:bookmarkStart w:id="76" w:name="page77"/>
    <w:bookmarkEnd w:id="76"/>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157480</wp:posOffset>
            </wp:positionH>
            <wp:positionV relativeFrom="page">
              <wp:posOffset>88900</wp:posOffset>
            </wp:positionV>
            <wp:extent cx="5969000" cy="59182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9">
                      <a:clrChange>
                        <a:clrFrom>
                          <a:srgbClr val="FFFFFF"/>
                        </a:clrFrom>
                        <a:clrTo>
                          <a:srgbClr val="FFFFFF">
                            <a:alpha val="0"/>
                          </a:srgbClr>
                        </a:clrTo>
                      </a:clrChange>
                      <a:extLst>
                        <a:ext uri="{28A0092B-C50C-407E-A947-70E740481C1C}"/>
                      </a:extLst>
                    </a:blip>
                    <a:srcRect/>
                    <a:stretch>
                      <a:fillRect/>
                    </a:stretch>
                  </pic:blipFill>
                  <pic:spPr bwMode="auto">
                    <a:xfrm>
                      <a:off x="0" y="0"/>
                      <a:ext cx="5969000" cy="59182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77" w:name="page78"/>
    <w:bookmarkEnd w:id="7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center"/>
        <w:spacing w:after="0" w:line="285" w:lineRule="auto"/>
        <w:rPr>
          <w:sz w:val="20"/>
          <w:szCs w:val="20"/>
          <w:color w:val="auto"/>
        </w:rPr>
      </w:pPr>
      <w:r>
        <w:rPr>
          <w:rFonts w:ascii="Arial" w:cs="Arial" w:eastAsia="Arial" w:hAnsi="Arial"/>
          <w:sz w:val="14"/>
          <w:szCs w:val="14"/>
          <w:color w:val="auto"/>
        </w:rPr>
        <w:t xml:space="preserve">q </w:t>
      </w:r>
      <w:r>
        <w:rPr>
          <w:rFonts w:ascii="Arial" w:cs="Arial" w:eastAsia="Arial" w:hAnsi="Arial"/>
          <w:sz w:val="14"/>
          <w:szCs w:val="14"/>
          <w:b w:val="1"/>
          <w:bCs w:val="1"/>
          <w:color w:val="auto"/>
        </w:rPr>
        <w:t>IF YOU HAVE NOT VOTED VIA THE INTERNET</w:t>
      </w:r>
      <w:r>
        <w:rPr>
          <w:rFonts w:ascii="Arial" w:cs="Arial" w:eastAsia="Arial" w:hAnsi="Arial"/>
          <w:sz w:val="14"/>
          <w:szCs w:val="14"/>
          <w:color w:val="auto"/>
        </w:rPr>
        <w:t xml:space="preserve"> </w:t>
      </w:r>
      <w:r>
        <w:rPr>
          <w:rFonts w:ascii="Arial" w:cs="Arial" w:eastAsia="Arial" w:hAnsi="Arial"/>
          <w:sz w:val="14"/>
          <w:szCs w:val="14"/>
          <w:b w:val="1"/>
          <w:bCs w:val="1"/>
          <w:u w:val="single" w:color="auto"/>
          <w:color w:val="auto"/>
        </w:rPr>
        <w:t>OR</w:t>
      </w:r>
      <w:r>
        <w:rPr>
          <w:rFonts w:ascii="Arial" w:cs="Arial" w:eastAsia="Arial" w:hAnsi="Arial"/>
          <w:sz w:val="14"/>
          <w:szCs w:val="14"/>
          <w:color w:val="auto"/>
        </w:rPr>
        <w:t xml:space="preserve"> </w:t>
      </w:r>
      <w:r>
        <w:rPr>
          <w:rFonts w:ascii="Arial" w:cs="Arial" w:eastAsia="Arial" w:hAnsi="Arial"/>
          <w:sz w:val="14"/>
          <w:szCs w:val="14"/>
          <w:b w:val="1"/>
          <w:bCs w:val="1"/>
          <w:color w:val="auto"/>
        </w:rPr>
        <w:t>TELEPHONE, FOLD ALONG THE PERFORATION, DETACH AND RETURN THE BOTTOM PORTION IN THE</w:t>
      </w:r>
      <w:r>
        <w:rPr>
          <w:rFonts w:ascii="Arial" w:cs="Arial" w:eastAsia="Arial" w:hAnsi="Arial"/>
          <w:sz w:val="14"/>
          <w:szCs w:val="14"/>
          <w:color w:val="auto"/>
        </w:rPr>
        <w:t xml:space="preserve"> </w:t>
      </w:r>
      <w:r>
        <w:rPr>
          <w:rFonts w:ascii="Arial" w:cs="Arial" w:eastAsia="Arial" w:hAnsi="Arial"/>
          <w:sz w:val="14"/>
          <w:szCs w:val="14"/>
          <w:b w:val="1"/>
          <w:bCs w:val="1"/>
          <w:color w:val="auto"/>
        </w:rPr>
        <w:t xml:space="preserve">ENCLOSED ENVELOPE. </w:t>
      </w:r>
      <w:r>
        <w:rPr>
          <w:rFonts w:ascii="Arial" w:cs="Arial" w:eastAsia="Arial" w:hAnsi="Arial"/>
          <w:sz w:val="14"/>
          <w:szCs w:val="14"/>
          <w:color w:val="auto"/>
        </w:rPr>
        <w:t>q</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91440</wp:posOffset>
            </wp:positionV>
            <wp:extent cx="7246620" cy="1714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1">
                      <a:extLst>
                        <a:ext uri="{28A0092B-C50C-407E-A947-70E740481C1C}"/>
                      </a:extLst>
                    </a:blip>
                    <a:srcRect/>
                    <a:stretch>
                      <a:fillRect/>
                    </a:stretch>
                  </pic:blipFill>
                  <pic:spPr bwMode="auto">
                    <a:xfrm>
                      <a:off x="0" y="0"/>
                      <a:ext cx="7246620" cy="17145"/>
                    </a:xfrm>
                    <a:prstGeom prst="rect">
                      <a:avLst/>
                    </a:prstGeom>
                    <a:noFill/>
                  </pic:spPr>
                </pic:pic>
              </a:graphicData>
            </a:graphic>
          </wp:anchor>
        </w:drawing>
      </w:r>
    </w:p>
    <w:p>
      <w:pPr>
        <w:spacing w:after="0" w:line="200" w:lineRule="exact"/>
        <w:rPr>
          <w:sz w:val="20"/>
          <w:szCs w:val="20"/>
          <w:color w:val="auto"/>
        </w:rPr>
      </w:pPr>
    </w:p>
    <w:p>
      <w:pPr>
        <w:spacing w:after="0" w:line="230" w:lineRule="exact"/>
        <w:rPr>
          <w:sz w:val="20"/>
          <w:szCs w:val="20"/>
          <w:color w:val="auto"/>
        </w:rPr>
      </w:pPr>
    </w:p>
    <w:p>
      <w:pPr>
        <w:ind w:left="11080"/>
        <w:spacing w:after="0"/>
        <w:rPr>
          <w:sz w:val="20"/>
          <w:szCs w:val="20"/>
          <w:color w:val="auto"/>
        </w:rPr>
      </w:pPr>
      <w:r>
        <w:rPr>
          <w:rFonts w:ascii="Arial" w:cs="Arial" w:eastAsia="Arial" w:hAnsi="Arial"/>
          <w:sz w:val="54"/>
          <w:szCs w:val="54"/>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328930</wp:posOffset>
            </wp:positionV>
            <wp:extent cx="7246620" cy="2603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2">
                      <a:extLst>
                        <a:ext uri="{28A0092B-C50C-407E-A947-70E740481C1C}"/>
                      </a:extLst>
                    </a:blip>
                    <a:srcRect/>
                    <a:stretch>
                      <a:fillRect/>
                    </a:stretch>
                  </pic:blipFill>
                  <pic:spPr bwMode="auto">
                    <a:xfrm>
                      <a:off x="0" y="0"/>
                      <a:ext cx="7246620" cy="2603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-390525</wp:posOffset>
            </wp:positionV>
            <wp:extent cx="1500505" cy="540385"/>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3">
                      <a:extLst>
                        <a:ext uri="{28A0092B-C50C-407E-A947-70E740481C1C}"/>
                      </a:extLst>
                    </a:blip>
                    <a:srcRect/>
                    <a:stretch>
                      <a:fillRect/>
                    </a:stretch>
                  </pic:blipFill>
                  <pic:spPr bwMode="auto">
                    <a:xfrm>
                      <a:off x="0" y="0"/>
                      <a:ext cx="1500505" cy="540385"/>
                    </a:xfrm>
                    <a:prstGeom prst="rect">
                      <a:avLst/>
                    </a:prstGeom>
                    <a:noFill/>
                  </pic:spPr>
                </pic:pic>
              </a:graphicData>
            </a:graphic>
          </wp:anchor>
        </w:drawing>
      </w:r>
    </w:p>
    <w:p>
      <w:pPr>
        <w:spacing w:after="0" w:line="200" w:lineRule="exact"/>
        <w:rPr>
          <w:sz w:val="20"/>
          <w:szCs w:val="20"/>
          <w:color w:val="auto"/>
        </w:rPr>
      </w:pPr>
    </w:p>
    <w:p>
      <w:pPr>
        <w:spacing w:after="0" w:line="335"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Proxy — AGNC Investment Corp.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68580</wp:posOffset>
            </wp:positionV>
            <wp:extent cx="7246620" cy="2603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4">
                      <a:extLst>
                        <a:ext uri="{28A0092B-C50C-407E-A947-70E740481C1C}"/>
                      </a:extLst>
                    </a:blip>
                    <a:srcRect/>
                    <a:stretch>
                      <a:fillRect/>
                    </a:stretch>
                  </pic:blipFill>
                  <pic:spPr bwMode="auto">
                    <a:xfrm>
                      <a:off x="0" y="0"/>
                      <a:ext cx="7246620" cy="26035"/>
                    </a:xfrm>
                    <a:prstGeom prst="rect">
                      <a:avLst/>
                    </a:prstGeom>
                    <a:noFill/>
                  </pic:spPr>
                </pic:pic>
              </a:graphicData>
            </a:graphic>
          </wp:anchor>
        </w:drawing>
      </w:r>
    </w:p>
    <w:p>
      <w:pPr>
        <w:spacing w:after="0" w:line="204"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THIS PROXY IS SOLICITED BY THE BOARD OF DIRECTORS FOR THE</w:t>
      </w:r>
    </w:p>
    <w:p>
      <w:pPr>
        <w:spacing w:after="0" w:line="6" w:lineRule="exact"/>
        <w:rPr>
          <w:sz w:val="20"/>
          <w:szCs w:val="20"/>
          <w:color w:val="auto"/>
        </w:rPr>
      </w:pPr>
    </w:p>
    <w:p>
      <w:pPr>
        <w:spacing w:after="0"/>
        <w:rPr>
          <w:sz w:val="20"/>
          <w:szCs w:val="20"/>
          <w:color w:val="auto"/>
        </w:rPr>
      </w:pPr>
      <w:r>
        <w:rPr>
          <w:rFonts w:ascii="Arial" w:cs="Arial" w:eastAsia="Arial" w:hAnsi="Arial"/>
          <w:sz w:val="22"/>
          <w:szCs w:val="22"/>
          <w:b w:val="1"/>
          <w:bCs w:val="1"/>
          <w:color w:val="auto"/>
        </w:rPr>
        <w:t>2018 ANNUAL MEETING OF STOCKHOLDERS OF AGNC INVESTMENT CORP.</w:t>
      </w:r>
    </w:p>
    <w:p>
      <w:pPr>
        <w:spacing w:after="0"/>
        <w:rPr>
          <w:sz w:val="20"/>
          <w:szCs w:val="20"/>
          <w:color w:val="auto"/>
        </w:rPr>
      </w:pPr>
      <w:r>
        <w:rPr>
          <w:rFonts w:ascii="Arial" w:cs="Arial" w:eastAsia="Arial" w:hAnsi="Arial"/>
          <w:sz w:val="22"/>
          <w:szCs w:val="22"/>
          <w:b w:val="1"/>
          <w:bCs w:val="1"/>
          <w:color w:val="auto"/>
        </w:rPr>
        <w:t>TO BE HELD ON APRIL 19, 2018.</w:t>
      </w:r>
    </w:p>
    <w:p>
      <w:pPr>
        <w:spacing w:after="0" w:line="279" w:lineRule="exact"/>
        <w:rPr>
          <w:sz w:val="20"/>
          <w:szCs w:val="20"/>
          <w:color w:val="auto"/>
        </w:rPr>
      </w:pPr>
    </w:p>
    <w:p>
      <w:pPr>
        <w:jc w:val="both"/>
        <w:spacing w:after="0" w:line="239" w:lineRule="auto"/>
        <w:rPr>
          <w:sz w:val="20"/>
          <w:szCs w:val="20"/>
          <w:color w:val="auto"/>
        </w:rPr>
      </w:pPr>
      <w:r>
        <w:rPr>
          <w:rFonts w:ascii="Arial" w:cs="Arial" w:eastAsia="Arial" w:hAnsi="Arial"/>
          <w:sz w:val="18"/>
          <w:szCs w:val="18"/>
          <w:color w:val="auto"/>
        </w:rPr>
        <w:t>The undersigned hereby appoints Peter J. Federico and Kenneth L. Pollack and each of them, as proxies, with full power of substitution, to vote all shares of common stock of the undersigned as shown below on this proxy at the Annual Meeting of Stockholders to be held at the Hyatt Regency Bethesda, 7400 Wisconsin Avenue, Bethesda, Maryland 20814, on Thursday, April 19, 2018, at 9:00 a.m. Eastern Time, and any postponement or adjournment or thereof.</w:t>
      </w:r>
    </w:p>
    <w:p>
      <w:pPr>
        <w:spacing w:after="0" w:line="180" w:lineRule="exact"/>
        <w:rPr>
          <w:sz w:val="20"/>
          <w:szCs w:val="20"/>
          <w:color w:val="auto"/>
        </w:rPr>
      </w:pPr>
    </w:p>
    <w:p>
      <w:pPr>
        <w:jc w:val="both"/>
        <w:ind w:right="20"/>
        <w:spacing w:after="0" w:line="247" w:lineRule="auto"/>
        <w:rPr>
          <w:sz w:val="20"/>
          <w:szCs w:val="20"/>
          <w:color w:val="auto"/>
        </w:rPr>
      </w:pPr>
      <w:r>
        <w:rPr>
          <w:rFonts w:ascii="Arial" w:cs="Arial" w:eastAsia="Arial" w:hAnsi="Arial"/>
          <w:sz w:val="18"/>
          <w:szCs w:val="18"/>
          <w:b w:val="1"/>
          <w:bCs w:val="1"/>
          <w:color w:val="auto"/>
        </w:rPr>
        <w:t>This proxy is revocable and your shares of common stock will be voted in accordance with your instructions. If no choice is specified, this proxy will be voted FOR the election of all nominees for Director and FOR Proposals 2, 3, and 4.</w:t>
      </w:r>
    </w:p>
    <w:p>
      <w:pPr>
        <w:spacing w:after="0" w:line="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CONTINUED AND TO BE SIGNED ON REVERSE SIDE</w:t>
      </w:r>
    </w:p>
    <w:p>
      <w:pPr>
        <w:sectPr>
          <w:pgSz w:w="11900" w:h="16838" w:orient="portrait"/>
          <w:cols w:equalWidth="0" w:num="1">
            <w:col w:w="11420"/>
          </w:cols>
          <w:pgMar w:left="240" w:top="459" w:right="239" w:bottom="1440" w:gutter="0" w:footer="0" w:header="0"/>
        </w:sectPr>
      </w:pPr>
    </w:p>
    <w:p>
      <w:pPr>
        <w:spacing w:after="0" w:line="217" w:lineRule="exact"/>
        <w:rPr>
          <w:sz w:val="20"/>
          <w:szCs w:val="20"/>
          <w:color w:val="auto"/>
        </w:rPr>
      </w:pPr>
    </w:p>
    <w:p>
      <w:pPr>
        <w:ind w:left="360" w:hanging="302"/>
        <w:spacing w:after="0"/>
        <w:tabs>
          <w:tab w:leader="none" w:pos="360" w:val="left"/>
        </w:tabs>
        <w:numPr>
          <w:ilvl w:val="0"/>
          <w:numId w:val="74"/>
        </w:numPr>
        <w:rPr>
          <w:rFonts w:ascii="Arial" w:cs="Arial" w:eastAsia="Arial" w:hAnsi="Arial"/>
          <w:sz w:val="18"/>
          <w:szCs w:val="18"/>
          <w:b w:val="1"/>
          <w:bCs w:val="1"/>
          <w:color w:val="FFFFFF"/>
        </w:rPr>
      </w:pPr>
      <w:r>
        <w:rPr>
          <w:rFonts w:ascii="Arial" w:cs="Arial" w:eastAsia="Arial" w:hAnsi="Arial"/>
          <w:sz w:val="18"/>
          <w:szCs w:val="18"/>
          <w:b w:val="1"/>
          <w:bCs w:val="1"/>
          <w:color w:val="auto"/>
        </w:rPr>
        <w:t>Non-Voting Items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-116205</wp:posOffset>
            </wp:positionV>
            <wp:extent cx="154305" cy="128905"/>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5">
                      <a:extLst>
                        <a:ext uri="{28A0092B-C50C-407E-A947-70E740481C1C}"/>
                      </a:extLst>
                    </a:blip>
                    <a:srcRect/>
                    <a:stretch>
                      <a:fillRect/>
                    </a:stretch>
                  </pic:blipFill>
                  <pic:spPr bwMode="auto">
                    <a:xfrm>
                      <a:off x="0" y="0"/>
                      <a:ext cx="154305" cy="128905"/>
                    </a:xfrm>
                    <a:prstGeom prst="rect">
                      <a:avLst/>
                    </a:prstGeom>
                    <a:noFill/>
                  </pic:spPr>
                </pic:pic>
              </a:graphicData>
            </a:graphic>
          </wp:anchor>
        </w:drawing>
      </w:r>
    </w:p>
    <w:p>
      <w:pPr>
        <w:spacing w:after="0" w:line="39" w:lineRule="exact"/>
        <w:rPr>
          <w:sz w:val="20"/>
          <w:szCs w:val="20"/>
          <w:color w:val="auto"/>
        </w:rPr>
      </w:pPr>
    </w:p>
    <w:p>
      <w:pPr>
        <w:spacing w:after="0"/>
        <w:rPr>
          <w:sz w:val="20"/>
          <w:szCs w:val="20"/>
          <w:color w:val="auto"/>
        </w:rPr>
      </w:pPr>
      <w:r>
        <w:rPr>
          <w:rFonts w:ascii="Arial" w:cs="Arial" w:eastAsia="Arial" w:hAnsi="Arial"/>
          <w:sz w:val="14"/>
          <w:szCs w:val="14"/>
          <w:b w:val="1"/>
          <w:bCs w:val="1"/>
          <w:color w:val="auto"/>
        </w:rPr>
        <w:t xml:space="preserve">Change of Address </w:t>
      </w:r>
      <w:r>
        <w:rPr>
          <w:rFonts w:ascii="Arial" w:cs="Arial" w:eastAsia="Arial" w:hAnsi="Arial"/>
          <w:sz w:val="14"/>
          <w:szCs w:val="14"/>
          <w:color w:val="auto"/>
        </w:rPr>
        <w:t>— Please print new address below.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8890</wp:posOffset>
            </wp:positionV>
            <wp:extent cx="3481705" cy="36893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6">
                      <a:extLst>
                        <a:ext uri="{28A0092B-C50C-407E-A947-70E740481C1C}"/>
                      </a:extLst>
                    </a:blip>
                    <a:srcRect/>
                    <a:stretch>
                      <a:fillRect/>
                    </a:stretch>
                  </pic:blipFill>
                  <pic:spPr bwMode="auto">
                    <a:xfrm>
                      <a:off x="0" y="0"/>
                      <a:ext cx="3481705" cy="36893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63" w:lineRule="exact"/>
        <w:rPr>
          <w:sz w:val="20"/>
          <w:szCs w:val="20"/>
          <w:color w:val="auto"/>
        </w:rPr>
      </w:pPr>
    </w:p>
    <w:p>
      <w:pPr>
        <w:jc w:val="center"/>
        <w:ind w:right="2400"/>
        <w:spacing w:after="0"/>
        <w:rPr>
          <w:sz w:val="20"/>
          <w:szCs w:val="20"/>
          <w:color w:val="auto"/>
        </w:rPr>
      </w:pPr>
      <w:r>
        <w:rPr>
          <w:rFonts w:ascii="Arial" w:cs="Arial" w:eastAsia="Arial" w:hAnsi="Arial"/>
          <w:sz w:val="14"/>
          <w:szCs w:val="14"/>
          <w:b w:val="1"/>
          <w:bCs w:val="1"/>
          <w:color w:val="auto"/>
        </w:rPr>
        <w:t xml:space="preserve">Comments </w:t>
      </w:r>
      <w:r>
        <w:rPr>
          <w:rFonts w:ascii="Arial" w:cs="Arial" w:eastAsia="Arial" w:hAnsi="Arial"/>
          <w:sz w:val="14"/>
          <w:szCs w:val="14"/>
          <w:color w:val="auto"/>
        </w:rPr>
        <w:t>— Please print your comments below.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8890</wp:posOffset>
            </wp:positionV>
            <wp:extent cx="3550285" cy="360045"/>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7">
                      <a:extLst>
                        <a:ext uri="{28A0092B-C50C-407E-A947-70E740481C1C}"/>
                      </a:extLst>
                    </a:blip>
                    <a:srcRect/>
                    <a:stretch>
                      <a:fillRect/>
                    </a:stretch>
                  </pic:blipFill>
                  <pic:spPr bwMode="auto">
                    <a:xfrm>
                      <a:off x="0" y="0"/>
                      <a:ext cx="3550285" cy="36004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5100" w:space="720"/>
            <w:col w:w="5600"/>
          </w:cols>
          <w:pgMar w:left="240" w:top="459" w:right="239" w:bottom="1440" w:gutter="0" w:footer="0" w:header="0"/>
          <w:type w:val="continuous"/>
        </w:sectPr>
      </w:pPr>
    </w:p>
    <w:p>
      <w:pPr>
        <w:spacing w:after="0" w:line="301" w:lineRule="exact"/>
        <w:rPr>
          <w:sz w:val="20"/>
          <w:szCs w:val="20"/>
          <w:color w:val="auto"/>
        </w:rPr>
      </w:pPr>
    </w:p>
    <w:tbl>
      <w:tblPr>
        <w:tblLayout w:type="fixed"/>
        <w:tblInd w:w="0" w:type="dxa"/>
        <w:tblCellMar>
          <w:top w:w="0" w:type="dxa"/>
          <w:left w:w="0" w:type="dxa"/>
          <w:bottom w:w="0" w:type="dxa"/>
          <w:right w:w="0" w:type="dxa"/>
        </w:tblCellMar>
      </w:tblPr>
      <w:tr>
        <w:trPr>
          <w:trHeight w:val="634"/>
        </w:trPr>
        <w:tc>
          <w:tcPr>
            <w:tcW w:w="820" w:type="dxa"/>
            <w:vAlign w:val="bottom"/>
          </w:tcPr>
          <w:p>
            <w:pPr>
              <w:spacing w:after="0" w:line="541" w:lineRule="exact"/>
              <w:rPr>
                <w:sz w:val="20"/>
                <w:szCs w:val="20"/>
                <w:color w:val="auto"/>
              </w:rPr>
            </w:pPr>
            <w:r>
              <w:rPr>
                <w:rFonts w:ascii="MS PGothic" w:cs="MS PGothic" w:eastAsia="MS PGothic" w:hAnsi="MS PGothic"/>
                <w:sz w:val="54"/>
                <w:szCs w:val="54"/>
                <w:color w:val="auto"/>
              </w:rPr>
              <w:t>∎</w:t>
            </w:r>
          </w:p>
        </w:tc>
        <w:tc>
          <w:tcPr>
            <w:tcW w:w="9800" w:type="dxa"/>
            <w:vAlign w:val="bottom"/>
            <w:gridSpan w:val="3"/>
          </w:tcPr>
          <w:p>
            <w:pPr>
              <w:ind w:left="460"/>
              <w:spacing w:after="0"/>
              <w:rPr>
                <w:sz w:val="20"/>
                <w:szCs w:val="20"/>
                <w:color w:val="auto"/>
              </w:rPr>
            </w:pPr>
            <w:r>
              <w:rPr>
                <w:rFonts w:ascii="Arial" w:cs="Arial" w:eastAsia="Arial" w:hAnsi="Arial"/>
                <w:sz w:val="20"/>
                <w:szCs w:val="20"/>
                <w:b w:val="1"/>
                <w:bCs w:val="1"/>
                <w:color w:val="auto"/>
              </w:rPr>
              <w:t>IF VOTING BY MAIL, YOU MUST COMPLETE SECTIONS A - C ON BOTH SIDES OF THIS CARD.</w:t>
            </w:r>
          </w:p>
        </w:tc>
        <w:tc>
          <w:tcPr>
            <w:tcW w:w="780" w:type="dxa"/>
            <w:vAlign w:val="bottom"/>
          </w:tcPr>
          <w:p>
            <w:pPr>
              <w:jc w:val="right"/>
              <w:spacing w:after="0"/>
              <w:rPr>
                <w:sz w:val="20"/>
                <w:szCs w:val="20"/>
                <w:color w:val="auto"/>
              </w:rPr>
            </w:pPr>
            <w:r>
              <w:rPr>
                <w:rFonts w:ascii="Arial" w:cs="Arial" w:eastAsia="Arial" w:hAnsi="Arial"/>
                <w:sz w:val="54"/>
                <w:szCs w:val="54"/>
                <w:color w:val="auto"/>
              </w:rPr>
              <w:t>+</w:t>
            </w:r>
          </w:p>
        </w:tc>
      </w:tr>
      <w:tr>
        <w:trPr>
          <w:trHeight w:val="20"/>
        </w:trPr>
        <w:tc>
          <w:tcPr>
            <w:tcW w:w="820" w:type="dxa"/>
            <w:vAlign w:val="bottom"/>
          </w:tcPr>
          <w:p>
            <w:pPr>
              <w:spacing w:after="0" w:line="20" w:lineRule="exact"/>
              <w:rPr>
                <w:sz w:val="1"/>
                <w:szCs w:val="1"/>
                <w:color w:val="auto"/>
              </w:rPr>
            </w:pPr>
          </w:p>
        </w:tc>
        <w:tc>
          <w:tcPr>
            <w:tcW w:w="2920" w:type="dxa"/>
            <w:vAlign w:val="bottom"/>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632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r>
    </w:tbl>
    <w:p>
      <w:pPr>
        <w:spacing w:after="0" w:line="1" w:lineRule="exact"/>
        <w:rPr>
          <w:sz w:val="20"/>
          <w:szCs w:val="20"/>
          <w:color w:val="auto"/>
        </w:rPr>
      </w:pPr>
    </w:p>
    <w:sectPr>
      <w:pgSz w:w="11900" w:h="16838" w:orient="portrait"/>
      <w:cols w:equalWidth="0" w:num="1">
        <w:col w:w="11420"/>
      </w:cols>
      <w:pgMar w:left="240" w:top="459" w:right="239" w:bottom="1440" w:gutter="0" w:footer="0" w:header="0"/>
      <w:type w:val="continuous"/>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7724C67E"/>
    <w:multiLevelType w:val="hybridMultilevel"/>
    <w:lvl w:ilvl="0">
      <w:lvlJc w:val="left"/>
      <w:lvlText w:val="☒"/>
      <w:numFmt w:val="bullet"/>
      <w:start w:val="1"/>
    </w:lvl>
  </w:abstractNum>
  <w:abstractNum w:abstractNumId="1">
    <w:nsid w:val="5C482A97"/>
    <w:multiLevelType w:val="hybridMultilevel"/>
    <w:lvl w:ilvl="0">
      <w:lvlJc w:val="left"/>
      <w:lvlText w:val="☐"/>
      <w:numFmt w:val="bullet"/>
      <w:start w:val="1"/>
    </w:lvl>
  </w:abstractNum>
  <w:abstractNum w:abstractNumId="2">
    <w:nsid w:val="2463B9EA"/>
    <w:multiLevelType w:val="hybridMultilevel"/>
    <w:lvl w:ilvl="0">
      <w:lvlJc w:val="left"/>
      <w:lvlText w:val="☒"/>
      <w:numFmt w:val="bullet"/>
      <w:start w:val="1"/>
    </w:lvl>
  </w:abstractNum>
  <w:abstractNum w:abstractNumId="3">
    <w:nsid w:val="5E884ADC"/>
    <w:multiLevelType w:val="hybridMultilevel"/>
    <w:lvl w:ilvl="0">
      <w:lvlJc w:val="left"/>
      <w:lvlText w:val="☐"/>
      <w:numFmt w:val="bullet"/>
      <w:start w:val="1"/>
    </w:lvl>
    <w:lvl w:ilvl="1">
      <w:lvlJc w:val="left"/>
      <w:lvlText w:val="(%2)"/>
      <w:numFmt w:val="decimal"/>
      <w:start w:val="1"/>
    </w:lvl>
  </w:abstractNum>
  <w:abstractNum w:abstractNumId="4">
    <w:nsid w:val="51EAD36B"/>
    <w:multiLevelType w:val="hybridMultilevel"/>
    <w:lvl w:ilvl="0">
      <w:lvlJc w:val="left"/>
      <w:lvlText w:val="(%1)"/>
      <w:numFmt w:val="decimal"/>
      <w:start w:val="1"/>
    </w:lvl>
  </w:abstractNum>
  <w:abstractNum w:abstractNumId="5">
    <w:nsid w:val="2D517796"/>
    <w:multiLevelType w:val="hybridMultilevel"/>
    <w:lvl w:ilvl="0">
      <w:lvlJc w:val="left"/>
      <w:lvlText w:val="1"/>
      <w:numFmt w:val="bullet"/>
      <w:start w:val="1"/>
    </w:lvl>
  </w:abstractNum>
  <w:abstractNum w:abstractNumId="6">
    <w:nsid w:val="580BD78F"/>
    <w:multiLevelType w:val="hybridMultilevel"/>
    <w:lvl w:ilvl="0">
      <w:lvlJc w:val="left"/>
      <w:lvlText w:val="(%1)"/>
      <w:numFmt w:val="decimal"/>
      <w:start w:val="1"/>
    </w:lvl>
  </w:abstractNum>
  <w:abstractNum w:abstractNumId="7">
    <w:nsid w:val="153EA438"/>
    <w:multiLevelType w:val="hybridMultilevel"/>
    <w:lvl w:ilvl="0">
      <w:lvlJc w:val="left"/>
      <w:lvlText w:val="2"/>
      <w:numFmt w:val="bullet"/>
      <w:start w:val="1"/>
    </w:lvl>
  </w:abstractNum>
  <w:abstractNum w:abstractNumId="8">
    <w:nsid w:val="3855585C"/>
    <w:multiLevelType w:val="hybridMultilevel"/>
    <w:lvl w:ilvl="0">
      <w:lvlJc w:val="left"/>
      <w:lvlText w:val="3"/>
      <w:numFmt w:val="bullet"/>
      <w:start w:val="1"/>
    </w:lvl>
  </w:abstractNum>
  <w:abstractNum w:abstractNumId="9">
    <w:nsid w:val="70A64E2A"/>
    <w:multiLevelType w:val="hybridMultilevel"/>
    <w:lvl w:ilvl="0">
      <w:lvlJc w:val="left"/>
      <w:lvlText w:val="(%1)"/>
      <w:numFmt w:val="decimal"/>
      <w:start w:val="1"/>
    </w:lvl>
  </w:abstractNum>
  <w:abstractNum w:abstractNumId="10">
    <w:nsid w:val="6A2342EC"/>
    <w:multiLevelType w:val="hybridMultilevel"/>
    <w:lvl w:ilvl="0">
      <w:lvlJc w:val="left"/>
      <w:lvlText w:val="*"/>
      <w:numFmt w:val="bullet"/>
      <w:start w:val="1"/>
    </w:lvl>
  </w:abstractNum>
  <w:abstractNum w:abstractNumId="11">
    <w:nsid w:val="2A487CB0"/>
    <w:multiLevelType w:val="hybridMultilevel"/>
    <w:lvl w:ilvl="0">
      <w:lvlJc w:val="left"/>
      <w:lvlText w:val="(%1)"/>
      <w:numFmt w:val="decimal"/>
      <w:start w:val="1"/>
    </w:lvl>
  </w:abstractNum>
  <w:abstractNum w:abstractNumId="12">
    <w:nsid w:val="1D4ED43B"/>
    <w:multiLevelType w:val="hybridMultilevel"/>
    <w:lvl w:ilvl="0">
      <w:lvlJc w:val="left"/>
      <w:lvlText w:val="•"/>
      <w:numFmt w:val="bullet"/>
      <w:start w:val="1"/>
    </w:lvl>
  </w:abstractNum>
  <w:abstractNum w:abstractNumId="13">
    <w:nsid w:val="725A06FB"/>
    <w:multiLevelType w:val="hybridMultilevel"/>
    <w:lvl w:ilvl="0">
      <w:lvlJc w:val="left"/>
      <w:lvlText w:val="•"/>
      <w:numFmt w:val="bullet"/>
      <w:start w:val="1"/>
    </w:lvl>
  </w:abstractNum>
  <w:abstractNum w:abstractNumId="14">
    <w:nsid w:val="2CD89A32"/>
    <w:multiLevelType w:val="hybridMultilevel"/>
    <w:lvl w:ilvl="0">
      <w:lvlJc w:val="left"/>
      <w:lvlText w:val="•"/>
      <w:numFmt w:val="bullet"/>
      <w:start w:val="1"/>
    </w:lvl>
  </w:abstractNum>
  <w:abstractNum w:abstractNumId="15">
    <w:nsid w:val="57E4CCAF"/>
    <w:multiLevelType w:val="hybridMultilevel"/>
    <w:lvl w:ilvl="0">
      <w:lvlJc w:val="left"/>
      <w:lvlText w:val="•"/>
      <w:numFmt w:val="bullet"/>
      <w:start w:val="1"/>
    </w:lvl>
  </w:abstractNum>
  <w:abstractNum w:abstractNumId="16">
    <w:nsid w:val="7A6D8D3C"/>
    <w:multiLevelType w:val="hybridMultilevel"/>
    <w:lvl w:ilvl="0">
      <w:lvlJc w:val="left"/>
      <w:lvlText w:val="(%1)"/>
      <w:numFmt w:val="decimal"/>
      <w:start w:val="1"/>
    </w:lvl>
  </w:abstractNum>
  <w:abstractNum w:abstractNumId="17">
    <w:nsid w:val="4B588F54"/>
    <w:multiLevelType w:val="hybridMultilevel"/>
    <w:lvl w:ilvl="0">
      <w:lvlJc w:val="left"/>
      <w:lvlText w:val="•"/>
      <w:numFmt w:val="bullet"/>
      <w:start w:val="1"/>
    </w:lvl>
  </w:abstractNum>
  <w:abstractNum w:abstractNumId="18">
    <w:nsid w:val="542289EC"/>
    <w:multiLevelType w:val="hybridMultilevel"/>
    <w:lvl w:ilvl="0">
      <w:lvlJc w:val="left"/>
      <w:lvlText w:val="%1."/>
      <w:numFmt w:val="decimal"/>
      <w:start w:val="63"/>
    </w:lvl>
  </w:abstractNum>
  <w:abstractNum w:abstractNumId="19">
    <w:nsid w:val="6DE91B18"/>
    <w:multiLevelType w:val="hybridMultilevel"/>
    <w:lvl w:ilvl="0">
      <w:lvlJc w:val="left"/>
      <w:lvlText w:val="•"/>
      <w:numFmt w:val="bullet"/>
      <w:start w:val="1"/>
    </w:lvl>
  </w:abstractNum>
  <w:abstractNum w:abstractNumId="20">
    <w:nsid w:val="38437FDB"/>
    <w:multiLevelType w:val="hybridMultilevel"/>
    <w:lvl w:ilvl="0">
      <w:lvlJc w:val="left"/>
      <w:lvlText w:val="1"/>
      <w:numFmt w:val="bullet"/>
      <w:start w:val="1"/>
    </w:lvl>
  </w:abstractNum>
  <w:abstractNum w:abstractNumId="21">
    <w:nsid w:val="7644A45C"/>
    <w:multiLevelType w:val="hybridMultilevel"/>
    <w:lvl w:ilvl="0">
      <w:lvlJc w:val="left"/>
      <w:lvlText w:val="2"/>
      <w:numFmt w:val="bullet"/>
      <w:start w:val="1"/>
    </w:lvl>
  </w:abstractNum>
  <w:abstractNum w:abstractNumId="22">
    <w:nsid w:val="32FFF902"/>
    <w:multiLevelType w:val="hybridMultilevel"/>
    <w:lvl w:ilvl="0">
      <w:lvlJc w:val="left"/>
      <w:lvlText w:val="3"/>
      <w:numFmt w:val="bullet"/>
      <w:start w:val="1"/>
    </w:lvl>
  </w:abstractNum>
  <w:abstractNum w:abstractNumId="23">
    <w:nsid w:val="684A481A"/>
    <w:multiLevelType w:val="hybridMultilevel"/>
    <w:lvl w:ilvl="0">
      <w:lvlJc w:val="left"/>
      <w:lvlText w:val="•"/>
      <w:numFmt w:val="bullet"/>
      <w:start w:val="1"/>
    </w:lvl>
  </w:abstractNum>
  <w:abstractNum w:abstractNumId="24">
    <w:nsid w:val="579478FE"/>
    <w:multiLevelType w:val="hybridMultilevel"/>
    <w:lvl w:ilvl="0">
      <w:lvlJc w:val="left"/>
      <w:lvlText w:val="(%1)"/>
      <w:numFmt w:val="decimal"/>
      <w:start w:val="1"/>
    </w:lvl>
  </w:abstractNum>
  <w:abstractNum w:abstractNumId="25">
    <w:nsid w:val="749ABB43"/>
    <w:multiLevelType w:val="hybridMultilevel"/>
    <w:lvl w:ilvl="0">
      <w:lvlJc w:val="left"/>
      <w:lvlText w:val="•"/>
      <w:numFmt w:val="bullet"/>
      <w:start w:val="1"/>
    </w:lvl>
  </w:abstractNum>
  <w:abstractNum w:abstractNumId="26">
    <w:nsid w:val="3DC240FB"/>
    <w:multiLevelType w:val="hybridMultilevel"/>
    <w:lvl w:ilvl="0">
      <w:lvlJc w:val="left"/>
      <w:lvlText w:val="•"/>
      <w:numFmt w:val="bullet"/>
      <w:start w:val="1"/>
    </w:lvl>
  </w:abstractNum>
  <w:abstractNum w:abstractNumId="27">
    <w:nsid w:val="1BA026FA"/>
    <w:multiLevelType w:val="hybridMultilevel"/>
    <w:lvl w:ilvl="0">
      <w:lvlJc w:val="left"/>
      <w:lvlText w:val="•"/>
      <w:numFmt w:val="bullet"/>
      <w:start w:val="1"/>
    </w:lvl>
  </w:abstractNum>
  <w:abstractNum w:abstractNumId="28">
    <w:nsid w:val="79A1DEAA"/>
    <w:multiLevelType w:val="hybridMultilevel"/>
    <w:lvl w:ilvl="0">
      <w:lvlJc w:val="left"/>
      <w:lvlText w:val="•"/>
      <w:numFmt w:val="bullet"/>
      <w:start w:val="1"/>
    </w:lvl>
  </w:abstractNum>
  <w:abstractNum w:abstractNumId="29">
    <w:nsid w:val="75C6C33A"/>
    <w:multiLevelType w:val="hybridMultilevel"/>
    <w:lvl w:ilvl="0">
      <w:lvlJc w:val="left"/>
      <w:lvlText w:val="*"/>
      <w:numFmt w:val="bullet"/>
      <w:start w:val="1"/>
    </w:lvl>
  </w:abstractNum>
  <w:abstractNum w:abstractNumId="30">
    <w:nsid w:val="12E685FB"/>
    <w:multiLevelType w:val="hybridMultilevel"/>
    <w:lvl w:ilvl="0">
      <w:lvlJc w:val="left"/>
      <w:lvlText w:val="✓"/>
      <w:numFmt w:val="bullet"/>
      <w:start w:val="1"/>
    </w:lvl>
  </w:abstractNum>
  <w:abstractNum w:abstractNumId="31">
    <w:nsid w:val="70C6A529"/>
    <w:multiLevelType w:val="hybridMultilevel"/>
    <w:lvl w:ilvl="0">
      <w:lvlJc w:val="left"/>
      <w:lvlText w:val="×"/>
      <w:numFmt w:val="bullet"/>
      <w:start w:val="1"/>
    </w:lvl>
  </w:abstractNum>
  <w:abstractNum w:abstractNumId="32">
    <w:nsid w:val="520EEDD1"/>
    <w:multiLevelType w:val="hybridMultilevel"/>
    <w:lvl w:ilvl="0">
      <w:lvlJc w:val="left"/>
      <w:lvlText w:val="•"/>
      <w:numFmt w:val="bullet"/>
      <w:start w:val="1"/>
    </w:lvl>
  </w:abstractNum>
  <w:abstractNum w:abstractNumId="33">
    <w:nsid w:val="374A3FE6"/>
    <w:multiLevelType w:val="hybridMultilevel"/>
    <w:lvl w:ilvl="0">
      <w:lvlJc w:val="left"/>
      <w:lvlText w:val="•"/>
      <w:numFmt w:val="bullet"/>
      <w:start w:val="1"/>
    </w:lvl>
  </w:abstractNum>
  <w:abstractNum w:abstractNumId="34">
    <w:nsid w:val="4F4EF005"/>
    <w:multiLevelType w:val="hybridMultilevel"/>
    <w:lvl w:ilvl="0">
      <w:lvlJc w:val="left"/>
      <w:lvlText w:val="•"/>
      <w:numFmt w:val="bullet"/>
      <w:start w:val="1"/>
    </w:lvl>
  </w:abstractNum>
  <w:abstractNum w:abstractNumId="35">
    <w:nsid w:val="23F9C13C"/>
    <w:multiLevelType w:val="hybridMultilevel"/>
    <w:lvl w:ilvl="0">
      <w:lvlJc w:val="left"/>
      <w:lvlText w:val="•"/>
      <w:numFmt w:val="bullet"/>
      <w:start w:val="1"/>
    </w:lvl>
  </w:abstractNum>
  <w:abstractNum w:abstractNumId="36">
    <w:nsid w:val="649BB77C"/>
    <w:multiLevelType w:val="hybridMultilevel"/>
    <w:lvl w:ilvl="0">
      <w:lvlJc w:val="left"/>
      <w:lvlText w:val="•"/>
      <w:numFmt w:val="bullet"/>
      <w:start w:val="1"/>
    </w:lvl>
  </w:abstractNum>
  <w:abstractNum w:abstractNumId="37">
    <w:nsid w:val="275AC794"/>
    <w:multiLevelType w:val="hybridMultilevel"/>
    <w:lvl w:ilvl="0">
      <w:lvlJc w:val="left"/>
      <w:lvlText w:val="•"/>
      <w:numFmt w:val="bullet"/>
      <w:start w:val="1"/>
    </w:lvl>
  </w:abstractNum>
  <w:abstractNum w:abstractNumId="38">
    <w:nsid w:val="39386575"/>
    <w:multiLevelType w:val="hybridMultilevel"/>
    <w:lvl w:ilvl="0">
      <w:lvlJc w:val="left"/>
      <w:lvlText w:val="•"/>
      <w:numFmt w:val="bullet"/>
      <w:start w:val="1"/>
    </w:lvl>
  </w:abstractNum>
  <w:abstractNum w:abstractNumId="39">
    <w:nsid w:val="1CF10FD8"/>
    <w:multiLevelType w:val="hybridMultilevel"/>
    <w:lvl w:ilvl="0">
      <w:lvlJc w:val="left"/>
      <w:lvlText w:val="*"/>
      <w:numFmt w:val="bullet"/>
      <w:start w:val="1"/>
    </w:lvl>
  </w:abstractNum>
  <w:abstractNum w:abstractNumId="40">
    <w:nsid w:val="180115BE"/>
    <w:multiLevelType w:val="hybridMultilevel"/>
    <w:lvl w:ilvl="0">
      <w:lvlJc w:val="left"/>
      <w:lvlText w:val="(%1)"/>
      <w:numFmt w:val="decimal"/>
      <w:start w:val="1"/>
    </w:lvl>
  </w:abstractNum>
  <w:abstractNum w:abstractNumId="41">
    <w:nsid w:val="235BA861"/>
    <w:multiLevelType w:val="hybridMultilevel"/>
    <w:lvl w:ilvl="0">
      <w:lvlJc w:val="left"/>
      <w:lvlText w:val="•"/>
      <w:numFmt w:val="bullet"/>
      <w:start w:val="1"/>
    </w:lvl>
  </w:abstractNum>
  <w:abstractNum w:abstractNumId="42">
    <w:nsid w:val="47398C89"/>
    <w:multiLevelType w:val="hybridMultilevel"/>
    <w:lvl w:ilvl="0">
      <w:lvlJc w:val="left"/>
      <w:lvlText w:val="•"/>
      <w:numFmt w:val="bullet"/>
      <w:start w:val="1"/>
    </w:lvl>
  </w:abstractNum>
  <w:abstractNum w:abstractNumId="43">
    <w:nsid w:val="354FE9F9"/>
    <w:multiLevelType w:val="hybridMultilevel"/>
    <w:lvl w:ilvl="0">
      <w:lvlJc w:val="left"/>
      <w:lvlText w:val="•"/>
      <w:numFmt w:val="bullet"/>
      <w:start w:val="1"/>
    </w:lvl>
  </w:abstractNum>
  <w:abstractNum w:abstractNumId="44">
    <w:nsid w:val="15B5AF5C"/>
    <w:multiLevelType w:val="hybridMultilevel"/>
    <w:lvl w:ilvl="0">
      <w:lvlJc w:val="left"/>
      <w:lvlText w:val="(%1)"/>
      <w:numFmt w:val="decimal"/>
      <w:start w:val="1"/>
    </w:lvl>
  </w:abstractNum>
  <w:abstractNum w:abstractNumId="45">
    <w:nsid w:val="741226BB"/>
    <w:multiLevelType w:val="hybridMultilevel"/>
    <w:lvl w:ilvl="0">
      <w:lvlJc w:val="left"/>
      <w:lvlText w:val="(%1)"/>
      <w:numFmt w:val="decimal"/>
      <w:start w:val="1"/>
    </w:lvl>
  </w:abstractNum>
  <w:abstractNum w:abstractNumId="46">
    <w:nsid w:val="D34B6A8"/>
    <w:multiLevelType w:val="hybridMultilevel"/>
    <w:lvl w:ilvl="0">
      <w:lvlJc w:val="left"/>
      <w:lvlText w:val="(%1)"/>
      <w:numFmt w:val="decimal"/>
      <w:start w:val="1"/>
    </w:lvl>
  </w:abstractNum>
  <w:abstractNum w:abstractNumId="47">
    <w:nsid w:val="10233C99"/>
    <w:multiLevelType w:val="hybridMultilevel"/>
    <w:lvl w:ilvl="0">
      <w:lvlJc w:val="left"/>
      <w:lvlText w:val="(%1)"/>
      <w:numFmt w:val="lowerRoman"/>
      <w:start w:val="1"/>
    </w:lvl>
  </w:abstractNum>
  <w:abstractNum w:abstractNumId="48">
    <w:nsid w:val="3F6AB60F"/>
    <w:multiLevelType w:val="hybridMultilevel"/>
    <w:lvl w:ilvl="0">
      <w:lvlJc w:val="left"/>
      <w:lvlText w:val="(%1)"/>
      <w:numFmt w:val="decimal"/>
      <w:start w:val="1"/>
    </w:lvl>
  </w:abstractNum>
  <w:abstractNum w:abstractNumId="49">
    <w:nsid w:val="61574095"/>
    <w:multiLevelType w:val="hybridMultilevel"/>
    <w:lvl w:ilvl="0">
      <w:lvlJc w:val="left"/>
      <w:lvlText w:val="*"/>
      <w:numFmt w:val="bullet"/>
      <w:start w:val="1"/>
    </w:lvl>
  </w:abstractNum>
  <w:abstractNum w:abstractNumId="50">
    <w:nsid w:val="7E0C57B1"/>
    <w:multiLevelType w:val="hybridMultilevel"/>
    <w:lvl w:ilvl="0">
      <w:lvlJc w:val="left"/>
      <w:lvlText w:val="(%1)"/>
      <w:numFmt w:val="decimal"/>
      <w:start w:val="1"/>
    </w:lvl>
  </w:abstractNum>
  <w:abstractNum w:abstractNumId="51">
    <w:nsid w:val="77AE35EB"/>
    <w:multiLevelType w:val="hybridMultilevel"/>
    <w:lvl w:ilvl="0">
      <w:lvlJc w:val="left"/>
      <w:lvlText w:val="%1."/>
      <w:numFmt w:val="decimal"/>
      <w:start w:val="1"/>
    </w:lvl>
  </w:abstractNum>
  <w:abstractNum w:abstractNumId="52">
    <w:nsid w:val="579BE4F1"/>
    <w:multiLevelType w:val="hybridMultilevel"/>
    <w:lvl w:ilvl="0">
      <w:lvlJc w:val="left"/>
      <w:lvlText w:val="%1."/>
      <w:numFmt w:val="decimal"/>
      <w:start w:val="2"/>
    </w:lvl>
  </w:abstractNum>
  <w:abstractNum w:abstractNumId="53">
    <w:nsid w:val="310C50B3"/>
    <w:multiLevelType w:val="hybridMultilevel"/>
    <w:lvl w:ilvl="0">
      <w:lvlJc w:val="left"/>
      <w:lvlText w:val="%1."/>
      <w:numFmt w:val="decimal"/>
      <w:start w:val="3"/>
    </w:lvl>
  </w:abstractNum>
  <w:abstractNum w:abstractNumId="54">
    <w:nsid w:val="5FF87E05"/>
    <w:multiLevelType w:val="hybridMultilevel"/>
    <w:lvl w:ilvl="0">
      <w:lvlJc w:val="left"/>
      <w:lvlText w:val="%1."/>
      <w:numFmt w:val="decimal"/>
      <w:start w:val="4"/>
    </w:lvl>
  </w:abstractNum>
  <w:abstractNum w:abstractNumId="55">
    <w:nsid w:val="2F305DEF"/>
    <w:multiLevelType w:val="hybridMultilevel"/>
    <w:lvl w:ilvl="0">
      <w:lvlJc w:val="left"/>
      <w:lvlText w:val="%1."/>
      <w:numFmt w:val="decimal"/>
      <w:start w:val="5"/>
    </w:lvl>
  </w:abstractNum>
  <w:abstractNum w:abstractNumId="56">
    <w:nsid w:val="25A70BF7"/>
    <w:multiLevelType w:val="hybridMultilevel"/>
    <w:lvl w:ilvl="0">
      <w:lvlJc w:val="left"/>
      <w:lvlText w:val="%1."/>
      <w:numFmt w:val="decimal"/>
      <w:start w:val="2"/>
    </w:lvl>
  </w:abstractNum>
  <w:abstractNum w:abstractNumId="57">
    <w:nsid w:val="1DBABF00"/>
    <w:multiLevelType w:val="hybridMultilevel"/>
    <w:lvl w:ilvl="0">
      <w:lvlJc w:val="left"/>
      <w:lvlText w:val="%1."/>
      <w:numFmt w:val="decimal"/>
      <w:start w:val="4"/>
    </w:lvl>
  </w:abstractNum>
  <w:abstractNum w:abstractNumId="58">
    <w:nsid w:val="4AD084E9"/>
    <w:multiLevelType w:val="hybridMultilevel"/>
    <w:lvl w:ilvl="0">
      <w:lvlJc w:val="left"/>
      <w:lvlText w:val="%1."/>
      <w:numFmt w:val="lowerLetter"/>
      <w:start w:val="1"/>
    </w:lvl>
  </w:abstractNum>
  <w:abstractNum w:abstractNumId="59">
    <w:nsid w:val="1F48EAA1"/>
    <w:multiLevelType w:val="hybridMultilevel"/>
    <w:lvl w:ilvl="0">
      <w:lvlJc w:val="left"/>
      <w:lvlText w:val="%1."/>
      <w:numFmt w:val="decimal"/>
      <w:start w:val="5"/>
    </w:lvl>
  </w:abstractNum>
  <w:abstractNum w:abstractNumId="60">
    <w:nsid w:val="1381823A"/>
    <w:multiLevelType w:val="hybridMultilevel"/>
    <w:lvl w:ilvl="0">
      <w:lvlJc w:val="left"/>
      <w:lvlText w:val="%1."/>
      <w:numFmt w:val="decimal"/>
      <w:start w:val="6"/>
    </w:lvl>
  </w:abstractNum>
  <w:abstractNum w:abstractNumId="61">
    <w:nsid w:val="5DB70AE5"/>
    <w:multiLevelType w:val="hybridMultilevel"/>
    <w:lvl w:ilvl="0">
      <w:lvlJc w:val="left"/>
      <w:lvlText w:val="%1."/>
      <w:numFmt w:val="decimal"/>
      <w:start w:val="8"/>
    </w:lvl>
  </w:abstractNum>
  <w:abstractNum w:abstractNumId="62">
    <w:nsid w:val="100F8FCA"/>
    <w:multiLevelType w:val="hybridMultilevel"/>
    <w:lvl w:ilvl="0">
      <w:lvlJc w:val="left"/>
      <w:lvlText w:val="%1."/>
      <w:numFmt w:val="decimal"/>
      <w:start w:val="9"/>
    </w:lvl>
  </w:abstractNum>
  <w:abstractNum w:abstractNumId="63">
    <w:nsid w:val="6590700B"/>
    <w:multiLevelType w:val="hybridMultilevel"/>
    <w:lvl w:ilvl="0">
      <w:lvlJc w:val="left"/>
      <w:lvlText w:val="%1."/>
      <w:numFmt w:val="decimal"/>
      <w:start w:val="10"/>
    </w:lvl>
  </w:abstractNum>
  <w:abstractNum w:abstractNumId="64">
    <w:nsid w:val="15014ACB"/>
    <w:multiLevelType w:val="hybridMultilevel"/>
    <w:lvl w:ilvl="0">
      <w:lvlJc w:val="left"/>
      <w:lvlText w:val="%1."/>
      <w:numFmt w:val="decimal"/>
      <w:start w:val="11"/>
    </w:lvl>
  </w:abstractNum>
  <w:abstractNum w:abstractNumId="65">
    <w:nsid w:val="5F5E7FD0"/>
    <w:multiLevelType w:val="hybridMultilevel"/>
    <w:lvl w:ilvl="0">
      <w:lvlJc w:val="left"/>
      <w:lvlText w:val="%1."/>
      <w:numFmt w:val="decimal"/>
      <w:start w:val="13"/>
    </w:lvl>
  </w:abstractNum>
  <w:abstractNum w:abstractNumId="66">
    <w:nsid w:val="98A3148"/>
    <w:multiLevelType w:val="hybridMultilevel"/>
    <w:lvl w:ilvl="0">
      <w:lvlJc w:val="left"/>
      <w:lvlText w:val="%1."/>
      <w:numFmt w:val="decimal"/>
      <w:start w:val="14"/>
    </w:lvl>
  </w:abstractNum>
  <w:abstractNum w:abstractNumId="67">
    <w:nsid w:val="799D0247"/>
    <w:multiLevelType w:val="hybridMultilevel"/>
    <w:lvl w:ilvl="0">
      <w:lvlJc w:val="left"/>
      <w:lvlText w:val="%1."/>
      <w:numFmt w:val="decimal"/>
      <w:start w:val="15"/>
    </w:lvl>
  </w:abstractNum>
  <w:abstractNum w:abstractNumId="68">
    <w:nsid w:val="6B94764"/>
    <w:multiLevelType w:val="hybridMultilevel"/>
    <w:lvl w:ilvl="0">
      <w:lvlJc w:val="left"/>
      <w:lvlText w:val="•"/>
      <w:numFmt w:val="bullet"/>
      <w:start w:val="1"/>
    </w:lvl>
  </w:abstractNum>
  <w:abstractNum w:abstractNumId="69">
    <w:nsid w:val="42C296BD"/>
    <w:multiLevelType w:val="hybridMultilevel"/>
    <w:lvl w:ilvl="0">
      <w:lvlJc w:val="left"/>
      <w:lvlText w:val="•"/>
      <w:numFmt w:val="bullet"/>
      <w:start w:val="1"/>
    </w:lvl>
  </w:abstractNum>
  <w:abstractNum w:abstractNumId="70">
    <w:nsid w:val="168E121F"/>
    <w:multiLevelType w:val="hybridMultilevel"/>
    <w:lvl w:ilvl="0">
      <w:lvlJc w:val="left"/>
      <w:lvlText w:val="%1."/>
      <w:numFmt w:val="decimal"/>
    </w:lvl>
    <w:lvl w:ilvl="1">
      <w:lvlJc w:val="left"/>
      <w:lvlText w:val="A"/>
      <w:numFmt w:val="bullet"/>
      <w:start w:val="1"/>
    </w:lvl>
  </w:abstractNum>
  <w:abstractNum w:abstractNumId="71">
    <w:nsid w:val="1EBA5D23"/>
    <w:multiLevelType w:val="hybridMultilevel"/>
    <w:lvl w:ilvl="0">
      <w:lvlJc w:val="left"/>
      <w:lvlText w:val="%1."/>
      <w:numFmt w:val="decimal"/>
      <w:start w:val="3"/>
    </w:lvl>
  </w:abstractNum>
  <w:abstractNum w:abstractNumId="72">
    <w:nsid w:val="661E3F1E"/>
    <w:multiLevelType w:val="hybridMultilevel"/>
    <w:lvl w:ilvl="0">
      <w:lvlJc w:val="left"/>
      <w:lvlText w:val="B"/>
      <w:numFmt w:val="bullet"/>
      <w:start w:val="1"/>
    </w:lvl>
  </w:abstractNum>
  <w:abstractNum w:abstractNumId="73">
    <w:nsid w:val="5DC79EA8"/>
    <w:multiLevelType w:val="hybridMultilevel"/>
    <w:lvl w:ilvl="0">
      <w:lvlJc w:val="left"/>
      <w:lvlText w:val="C"/>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jpe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jpe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jpe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pn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png"/><Relationship Id="rId219" Type="http://schemas.openxmlformats.org/officeDocument/2006/relationships/image" Target="media/image212.png"/><Relationship Id="rId220" Type="http://schemas.openxmlformats.org/officeDocument/2006/relationships/image" Target="media/image213.png"/><Relationship Id="rId221" Type="http://schemas.openxmlformats.org/officeDocument/2006/relationships/image" Target="media/image214.png"/><Relationship Id="rId222" Type="http://schemas.openxmlformats.org/officeDocument/2006/relationships/image" Target="media/image215.pn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pn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png"/><Relationship Id="rId230" Type="http://schemas.openxmlformats.org/officeDocument/2006/relationships/image" Target="media/image223.png"/><Relationship Id="rId231" Type="http://schemas.openxmlformats.org/officeDocument/2006/relationships/image" Target="media/image224.png"/><Relationship Id="rId232" Type="http://schemas.openxmlformats.org/officeDocument/2006/relationships/image" Target="media/image225.png"/><Relationship Id="rId233" Type="http://schemas.openxmlformats.org/officeDocument/2006/relationships/image" Target="media/image226.png"/><Relationship Id="rId234" Type="http://schemas.openxmlformats.org/officeDocument/2006/relationships/image" Target="media/image227.png"/><Relationship Id="rId235" Type="http://schemas.openxmlformats.org/officeDocument/2006/relationships/image" Target="media/image228.png"/><Relationship Id="rId236" Type="http://schemas.openxmlformats.org/officeDocument/2006/relationships/image" Target="media/image229.png"/><Relationship Id="rId237" Type="http://schemas.openxmlformats.org/officeDocument/2006/relationships/image" Target="media/image230.png"/><Relationship Id="rId238" Type="http://schemas.openxmlformats.org/officeDocument/2006/relationships/image" Target="media/image231.png"/><Relationship Id="rId239" Type="http://schemas.openxmlformats.org/officeDocument/2006/relationships/image" Target="media/image232.png"/><Relationship Id="rId240" Type="http://schemas.openxmlformats.org/officeDocument/2006/relationships/image" Target="media/image233.png"/><Relationship Id="rId241" Type="http://schemas.openxmlformats.org/officeDocument/2006/relationships/image" Target="media/image234.png"/><Relationship Id="rId242" Type="http://schemas.openxmlformats.org/officeDocument/2006/relationships/image" Target="media/image235.jpeg"/><Relationship Id="rId243" Type="http://schemas.openxmlformats.org/officeDocument/2006/relationships/image" Target="media/image236.jpeg"/><Relationship Id="rId244" Type="http://schemas.openxmlformats.org/officeDocument/2006/relationships/image" Target="media/image237.png"/><Relationship Id="rId245" Type="http://schemas.openxmlformats.org/officeDocument/2006/relationships/image" Target="media/image238.png"/><Relationship Id="rId246" Type="http://schemas.openxmlformats.org/officeDocument/2006/relationships/image" Target="media/image239.png"/><Relationship Id="rId247" Type="http://schemas.openxmlformats.org/officeDocument/2006/relationships/image" Target="media/image240.png"/><Relationship Id="rId248" Type="http://schemas.openxmlformats.org/officeDocument/2006/relationships/image" Target="media/image241.png"/><Relationship Id="rId249" Type="http://schemas.openxmlformats.org/officeDocument/2006/relationships/image" Target="media/image242.jpeg"/><Relationship Id="rId250" Type="http://schemas.openxmlformats.org/officeDocument/2006/relationships/image" Target="media/image243.png"/><Relationship Id="rId251" Type="http://schemas.openxmlformats.org/officeDocument/2006/relationships/image" Target="media/image244.png"/><Relationship Id="rId252" Type="http://schemas.openxmlformats.org/officeDocument/2006/relationships/image" Target="media/image245.png"/><Relationship Id="rId253" Type="http://schemas.openxmlformats.org/officeDocument/2006/relationships/image" Target="media/image246.jpeg"/><Relationship Id="rId254" Type="http://schemas.openxmlformats.org/officeDocument/2006/relationships/image" Target="media/image247.png"/><Relationship Id="rId255" Type="http://schemas.openxmlformats.org/officeDocument/2006/relationships/image" Target="media/image248.png"/><Relationship Id="rId256" Type="http://schemas.openxmlformats.org/officeDocument/2006/relationships/image" Target="media/image249.png"/><Relationship Id="rId257" Type="http://schemas.openxmlformats.org/officeDocument/2006/relationships/image" Target="media/image250.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2019-12-07T11:32:08Z</dcterms:created>
  <dcterms:modified xsi:type="dcterms:W3CDTF">2019-12-07T11:32:08Z</dcterms:modified>
</cp:coreProperties>
</file>